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877-2_4seq1.xml.htm"/>
      <w:bookmarkStart w:id="1" w:name="kstm2627877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Mudrick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Vroom, Inc.</w:t>
              </w:r>
            </w:hyperlink>
            <w:r>
              <w:rPr/>
              <w:t xml:space="preserve"> [ </w:t>
            </w:r>
            <w:r>
              <w:rPr>
                <w:rFonts w:ascii="Times;serif" w:hAnsi="Times;serif"/>
                <w:color w:val="0000FF"/>
                <w:sz w:val="24"/>
                <w:shd w:fill="FFFFFF" w:val="clear"/>
              </w:rPr>
              <w:t>VRM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42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1221"/>
        <w:gridCol w:w="276"/>
        <w:gridCol w:w="906"/>
        <w:gridCol w:w="801"/>
        <w:gridCol w:w="891"/>
        <w:gridCol w:w="981"/>
        <w:gridCol w:w="801"/>
        <w:gridCol w:w="1326"/>
        <w:gridCol w:w="831"/>
        <w:gridCol w:w="846"/>
      </w:tblGrid>
      <w:tr>
        <w:trPr>
          <w:tblHeader w:val="true"/>
        </w:trPr>
        <w:tc>
          <w:tcPr>
            <w:tcW w:w="134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3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10.86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8,500,035.12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04/01/2032</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782,692</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30,500,036.03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Notes</w:t>
            </w:r>
            <w:r>
              <w:rPr>
                <w:rFonts w:ascii="Times;serif" w:hAnsi="Times;serif"/>
                <w:color w:val="008000"/>
                <w:position w:val="7"/>
                <w:sz w:val="16"/>
                <w:sz w:val="20"/>
                <w:shd w:fill="FFFFFF" w:val="clear"/>
              </w:rPr>
              <w:t>(1)(2)(3)(6)</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Mudrick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Mudrick Distressed Opportunity 2020 Dislocation Fund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Mudrick Distressed Opportunity Fund Global,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Mudrick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statement is being filed by the following Reporting Persons: Mudrick Capital Management, L.P. ("MCM"); Mudrick Capital Management, LLC ("MCM GP"); Jason Mudrick; Mudrick Distressed Opportunity Fund Global, L.P. ("Mudrick Opp Global"); Mudrick GP, LLC ("Mudrick GP"); Mudrick Distressed Opportunity Drawdown Fund II, L.P. ("Drawdown II"); Mudrick Distressed Opportunity Drawdown Fund II SC, L.P. ("Drawdown II SC"); Mudrick Distressed Opportunity Drawdown Fund II GP, LLC ("Drawdown II GP"); Mudrick Distressed Opportunity Drawdown Fund III, L.P. ("Drawdown III"); Mudrick Distressed Opportunity Drawdown Fund III GP, LLC ("Drawdown III GP"); Mudrick Distressed Opportunity 2020 Dislocation Fund, L.P. ("DISL"); Mudrick Distressed Opportunity 2020 Dislocation Fund GP, LLC ("DISL GP"); and Matthew Pietroforte, who is a member of the Issuer's board of directors and a Managing Director and Senior Analyst at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Mudrick GP is the general partner of Mudrick Opp Global and may be deemed to beneficially own the number of securities of the Issuer directly held by Mudrick Opp Global. Drawdown II GP is the general partner of Drawdown II and Drawdown II SC and may be deemed to beneficially own the securities of the Issuer directly held by Drawdown II and Drawdown II SC. Drawdown III GP is the general partner of Drawdown III and may be deemed to beneficially own the securities of the Issuer directly held by Drawdown III. DISL GP is the general partner of DISL and may be deemed to beneficially own the number of securities of the Issuer held by DISL.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MCM is the investment manager to Drawdown II, Mudrick Opp Global, Drawdown II SC, Drawdown III and DISL and certain accounts managed by MCM. Mr. Mudrick is the sole member of Mudrick GP, Drawdown II GP, Drawdown III GP, MCM GP, and DISL GP. By virtue of these relationships, each of MCM, MCM GP and Mr. Mudrick may be deemed to beneficially own the securities held directly by Mudrick Opp Global, Drawdown II, Drawdown II SC, Drawdown III and DISL and certain accounts managed by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an Exchange and Subscription Agreement with the Issuer, dated as of May 14, 2026 (the "Exchange Agreement"), the Reporting Persons acquired from the Issuer Senior Secured Delayed Draw Convertible Notes due 2032 ("Notes") that are convertible into shares of Common Stock pursuant to the terms of the Exchange Agreement and the terms of the Senior Secured Delayed Draw Convertible 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into which the Notes acquired from the Issuer on October 14, 2026 may be converted in each case, subject to adjustment and other terms of the Notes as follows: 233,206 by Mudrick Opp Global; 160,681 by Drawdown II; 14,996 by Drawdown II SC; 9,912 by Drawdown III; 44,448 by DISL; and 319,449 by certain accounts managed by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Persons disclaim any beneficial ownership of the reported securities other than to the extent of any pecuniary interest they may have therein, directly or indirectly. Pursuant to Rule 16a-1(a)(4) under the Securities Exchange Act of 1934, as amended (the "Exchange Act"), this filing shall not be deemed an admission that the Reporting Persons are, for purposes of Section 16 of the Exchange Act or otherwise, the beneficial owners of any equity securities of the Issuer in excess of their respective pecuniary interests. The Reporting Persons are jointly filing this Form 4 pursuant to Rule 16a-3(j) under the Exchange Act. Exhibit List: Joint Filer Information. This filing shall not be deemed an admission that any of the Reporting Persons is subject to Section 16 of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99.1 (Joint Filer Information) is incorporated herein by reference. This Form 4 is the second of two identical Form 4s filed relating to the same event. The Form 4 has been split into two filings because there are more than 10 Reporting Persons in total, and the SEC's EDGAR filing system limits a single Form 4 to a maximum of 10 Reporting Persons. Each Form 4 is filed by Designated Filer, Mudrick Capital Management,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7877d2_ex99-1.htm"/>
      <w:bookmarkStart w:id="3" w:name="kstm2627877d2_ex991"/>
      <w:bookmarkEnd w:id="2"/>
      <w:bookmarkEnd w:id="3"/>
      <w:r>
        <w:rPr/>
        <w:t> </w:t>
      </w:r>
      <w:r>
        <w:br w:type="page"/>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560"/>
        <w:gridCol w:w="449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LLC, its general partner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0"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4490" w:type="dxa"/>
            <w:tcBorders/>
            <w:vAlign w:val="center"/>
          </w:tcPr>
          <w:p>
            <w:pPr>
              <w:pStyle w:val="TableContents"/>
              <w:bidi w:val="0"/>
              <w:spacing w:before="0" w:after="283"/>
              <w:jc w:val="left"/>
              <w:rPr/>
            </w:pPr>
            <w:r>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LLC</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LLC</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560"/>
        <w:gridCol w:w="14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0" w:type="dxa"/>
          <w:left w:w="0" w:type="dxa"/>
          <w:bottom w:w="28" w:type="dxa"/>
          <w:right w:w="0" w:type="dxa"/>
        </w:tblCellMar>
      </w:tblPr>
      <w:tblGrid>
        <w:gridCol w:w="1475"/>
        <w:gridCol w:w="75"/>
      </w:tblGrid>
      <w:tr>
        <w:trPr/>
        <w:tc>
          <w:tcPr>
            <w:tcW w:w="14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tcMar>
              <w:bottom w:w="0" w:type="dxa"/>
            </w:tcMar>
            <w:vAlign w:val="center"/>
          </w:tcPr>
          <w:p>
            <w:pPr>
              <w:pStyle w:val="TableContents"/>
              <w:bidi w:val="0"/>
              <w:spacing w:before="0" w:after="283"/>
              <w:jc w:val="left"/>
              <w:rPr/>
            </w:pPr>
            <w:r>
              <w:rPr/>
              <w:t> </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tcMar>
              <w:bottom w:w="0" w:type="dxa"/>
            </w:tcMar>
            <w:vAlign w:val="center"/>
          </w:tcPr>
          <w:p>
            <w:pPr>
              <w:pStyle w:val="TableContents"/>
              <w:bidi w:val="0"/>
              <w:spacing w:before="0" w:after="283"/>
              <w:jc w:val="left"/>
              <w:rPr/>
            </w:pPr>
            <w:r>
              <w:rPr/>
              <w:t> </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L.P.</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L.P.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560"/>
        <w:gridCol w:w="654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GP, LLC, its general partner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GP, LLC</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GP, LLC</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560"/>
        <w:gridCol w:w="14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Pietroforte</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560"/>
        <w:gridCol w:w="192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Pietroforte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Pietroforte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SC, L.P.</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SC, L.P.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35"/>
        <w:gridCol w:w="648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 its general partner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560"/>
        <w:gridCol w:w="14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560"/>
        <w:gridCol w:w="14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L.P.</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L.P.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560"/>
        <w:gridCol w:w="648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 its general partner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pPr>
      <w:r>
        <w:rPr/>
        <w:t> </w:t>
      </w:r>
    </w:p>
    <w:tbl>
      <w:tblPr>
        <w:tblW w:w="9430" w:type="dxa"/>
        <w:jc w:val="left"/>
        <w:tblInd w:w="0" w:type="dxa"/>
        <w:tblLayout w:type="fixed"/>
        <w:tblCellMar>
          <w:top w:w="0" w:type="dxa"/>
          <w:left w:w="0" w:type="dxa"/>
          <w:bottom w:w="0" w:type="dxa"/>
          <w:right w:w="0" w:type="dxa"/>
        </w:tblCellMar>
      </w:tblPr>
      <w:tblGrid>
        <w:gridCol w:w="4445"/>
        <w:gridCol w:w="4985"/>
      </w:tblGrid>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Joint Filer: </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L.P.</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Joint Filer:</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West 52</w:t>
            </w:r>
            <w:r>
              <w:rPr>
                <w:rFonts w:ascii="Times New Roman;Times;Serif" w:hAnsi="Times New Roman;Times;Serif"/>
                <w:position w:val="7"/>
                <w:sz w:val="16"/>
                <w:sz w:val="20"/>
              </w:rPr>
              <w:t>nd</w:t>
            </w:r>
            <w:r>
              <w:rPr>
                <w:rFonts w:ascii="Times New Roman;Times;Serif" w:hAnsi="Times New Roman;Times;Serif"/>
                <w:sz w:val="20"/>
              </w:rPr>
              <w:t xml:space="preserve"> Street</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16th Floor</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Name and Ticker or Trading Symbol:</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Vroom, Inc. [ VRM ]</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Earliest Transaction:</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Amendment, Date Original Filed (Month/Day/Year):</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Filer:</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L.P.</w:t>
            </w:r>
          </w:p>
        </w:tc>
      </w:tr>
    </w:tbl>
    <w:p>
      <w:pPr>
        <w:pStyle w:val="TextBody"/>
        <w:bidi w:val="0"/>
        <w:spacing w:before="0" w:after="283"/>
        <w:jc w:val="left"/>
        <w:rPr/>
      </w:pPr>
      <w:r>
        <w:rPr/>
        <w:t> </w:t>
      </w:r>
    </w:p>
    <w:tbl>
      <w:tblPr>
        <w:tblW w:w="7495" w:type="dxa"/>
        <w:jc w:val="left"/>
        <w:tblInd w:w="0" w:type="dxa"/>
        <w:tblLayout w:type="fixed"/>
        <w:tblCellMar>
          <w:top w:w="0" w:type="dxa"/>
          <w:left w:w="0" w:type="dxa"/>
          <w:bottom w:w="0" w:type="dxa"/>
          <w:right w:w="0" w:type="dxa"/>
        </w:tblCellMar>
      </w:tblPr>
      <w:tblGrid>
        <w:gridCol w:w="560"/>
        <w:gridCol w:w="6860"/>
        <w:gridCol w:w="75"/>
      </w:tblGrid>
      <w:tr>
        <w:trPr/>
        <w:tc>
          <w:tcPr>
            <w:tcW w:w="742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4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L.P.</w:t>
            </w:r>
          </w:p>
        </w:tc>
        <w:tc>
          <w:tcPr>
            <w:tcW w:w="75" w:type="dxa"/>
            <w:tcBorders/>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6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GP, LLC, its general partner</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860"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6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19, 2026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pPr>
      <w:r>
        <w:rPr/>
        <w:t> </w:t>
      </w:r>
    </w:p>
    <w:tbl>
      <w:tblPr>
        <w:tblW w:w="9775" w:type="dxa"/>
        <w:jc w:val="left"/>
        <w:tblInd w:w="0" w:type="dxa"/>
        <w:tblLayout w:type="fixed"/>
        <w:tblCellMar>
          <w:top w:w="0" w:type="dxa"/>
          <w:left w:w="0" w:type="dxa"/>
          <w:bottom w:w="0" w:type="dxa"/>
          <w:right w:w="0" w:type="dxa"/>
        </w:tblCellMar>
      </w:tblPr>
      <w:tblGrid>
        <w:gridCol w:w="4445"/>
        <w:gridCol w:w="5330"/>
      </w:tblGrid>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Joint Filer: </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GP, LLC</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Joint Filer:</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West 52</w:t>
            </w:r>
            <w:r>
              <w:rPr>
                <w:rFonts w:ascii="Times New Roman;Times;Serif" w:hAnsi="Times New Roman;Times;Serif"/>
                <w:position w:val="7"/>
                <w:sz w:val="16"/>
                <w:sz w:val="20"/>
              </w:rPr>
              <w:t>nd</w:t>
            </w:r>
            <w:r>
              <w:rPr>
                <w:rFonts w:ascii="Times New Roman;Times;Serif" w:hAnsi="Times New Roman;Times;Serif"/>
                <w:sz w:val="20"/>
              </w:rPr>
              <w:t xml:space="preserve"> Street</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16th Floor</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Name and Ticker or Trading Symbol:</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Vroom, Inc. [ VRM ]</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Earliest Transaction:</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Amendment, Date Original Filed (Month/Day/Year):</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Filer:</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L.P.</w:t>
            </w:r>
          </w:p>
        </w:tc>
      </w:tr>
    </w:tbl>
    <w:p>
      <w:pPr>
        <w:pStyle w:val="TextBody"/>
        <w:bidi w:val="0"/>
        <w:spacing w:before="0" w:after="283"/>
        <w:jc w:val="left"/>
        <w:rPr/>
      </w:pPr>
      <w:r>
        <w:rPr/>
        <w:t> </w:t>
      </w:r>
    </w:p>
    <w:tbl>
      <w:tblPr>
        <w:tblW w:w="5405" w:type="dxa"/>
        <w:jc w:val="left"/>
        <w:tblInd w:w="0" w:type="dxa"/>
        <w:tblLayout w:type="fixed"/>
        <w:tblCellMar>
          <w:top w:w="0" w:type="dxa"/>
          <w:left w:w="0" w:type="dxa"/>
          <w:bottom w:w="0" w:type="dxa"/>
          <w:right w:w="0" w:type="dxa"/>
        </w:tblCellMar>
      </w:tblPr>
      <w:tblGrid>
        <w:gridCol w:w="1456"/>
        <w:gridCol w:w="3874"/>
        <w:gridCol w:w="75"/>
      </w:tblGrid>
      <w:tr>
        <w:trPr/>
        <w:tc>
          <w:tcPr>
            <w:tcW w:w="533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pPr>
            <w:r>
              <w:rPr/>
              <w:t> </w:t>
            </w:r>
          </w:p>
        </w:tc>
        <w:tc>
          <w:tcPr>
            <w:tcW w:w="387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3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GP, LLC</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pPr>
            <w:r>
              <w:rPr/>
              <w:t> </w:t>
            </w:r>
          </w:p>
        </w:tc>
        <w:tc>
          <w:tcPr>
            <w:tcW w:w="387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38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19, 2026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4445"/>
        <w:gridCol w:w="4130"/>
      </w:tblGrid>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Joint Filer: </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Fund Global, L.P.</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Joint Filer:</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West 52</w:t>
            </w:r>
            <w:r>
              <w:rPr>
                <w:rFonts w:ascii="Times New Roman;Times;Serif" w:hAnsi="Times New Roman;Times;Serif"/>
                <w:position w:val="7"/>
                <w:sz w:val="16"/>
                <w:sz w:val="20"/>
              </w:rPr>
              <w:t>nd</w:t>
            </w:r>
            <w:r>
              <w:rPr>
                <w:rFonts w:ascii="Times New Roman;Times;Serif" w:hAnsi="Times New Roman;Times;Serif"/>
                <w:sz w:val="20"/>
              </w:rPr>
              <w:t xml:space="preserve"> Street</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16th Floor</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Name and Ticker or Trading Symbol:</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Vroom, Inc. [ VRM ]</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Earliest Transaction:</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Amendment, Date Original Filed (Month/Day/Year):</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Filer:</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L.P.</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413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204" w:type="dxa"/>
        <w:jc w:val="left"/>
        <w:tblInd w:w="0" w:type="dxa"/>
        <w:tblLayout w:type="fixed"/>
        <w:tblCellMar>
          <w:top w:w="0" w:type="dxa"/>
          <w:left w:w="0" w:type="dxa"/>
          <w:bottom w:w="0" w:type="dxa"/>
          <w:right w:w="0" w:type="dxa"/>
        </w:tblCellMar>
      </w:tblPr>
      <w:tblGrid>
        <w:gridCol w:w="1128"/>
        <w:gridCol w:w="3001"/>
        <w:gridCol w:w="75"/>
      </w:tblGrid>
      <w:tr>
        <w:trPr/>
        <w:tc>
          <w:tcPr>
            <w:tcW w:w="41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Fund Global, L.P.</w:t>
            </w:r>
          </w:p>
        </w:tc>
        <w:tc>
          <w:tcPr>
            <w:tcW w:w="75" w:type="dxa"/>
            <w:tcBorders/>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pPr>
            <w:r>
              <w:rPr/>
              <w:t> </w:t>
            </w:r>
          </w:p>
        </w:tc>
        <w:tc>
          <w:tcPr>
            <w:tcW w:w="30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2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Mudrick GP, LLC its general partner</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pPr>
            <w:r>
              <w:rPr/>
              <w:t> </w:t>
            </w:r>
          </w:p>
        </w:tc>
        <w:tc>
          <w:tcPr>
            <w:tcW w:w="30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30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19, 2026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4445"/>
        <w:gridCol w:w="2900"/>
      </w:tblGrid>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Joint Filer: </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GP, LLC</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Joint Filer:</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West 52</w:t>
            </w:r>
            <w:r>
              <w:rPr>
                <w:rFonts w:ascii="Times New Roman;Times;Serif" w:hAnsi="Times New Roman;Times;Serif"/>
                <w:position w:val="7"/>
                <w:sz w:val="16"/>
                <w:sz w:val="20"/>
              </w:rPr>
              <w:t>nd</w:t>
            </w:r>
            <w:r>
              <w:rPr>
                <w:rFonts w:ascii="Times New Roman;Times;Serif" w:hAnsi="Times New Roman;Times;Serif"/>
                <w:sz w:val="20"/>
              </w:rPr>
              <w:t xml:space="preserve"> Street</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16th Floor</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Name and Ticker or Trading Symbol:</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Vroom, Inc. [ VRM ]</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Earliest Transaction:</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Amendment, Date Original Filed (Month/Day/Year):</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Filer:</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L.P.</w:t>
            </w:r>
          </w:p>
        </w:tc>
      </w:tr>
    </w:tbl>
    <w:p>
      <w:pPr>
        <w:pStyle w:val="TextBody"/>
        <w:bidi w:val="0"/>
        <w:spacing w:before="0" w:after="283"/>
        <w:jc w:val="left"/>
        <w:rPr/>
      </w:pPr>
      <w:r>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224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4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GP, LLC</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Date:</w:t>
            </w:r>
          </w:p>
        </w:tc>
        <w:tc>
          <w:tcPr>
            <w:tcW w:w="1685" w:type="dxa"/>
            <w:tcBorders/>
            <w:shd w:fill="FFFFFF" w:val="clear"/>
            <w:vAlign w:val="center"/>
          </w:tcPr>
          <w:p>
            <w:pPr>
              <w:pStyle w:val="TableContents"/>
              <w:bidi w:val="0"/>
              <w:spacing w:before="0" w:after="283"/>
              <w:jc w:val="left"/>
              <w:rPr/>
            </w:pPr>
            <w:r>
              <w:rPr/>
              <w:t>October 19, 2026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183" TargetMode="External"/><Relationship Id="rId5" Type="http://schemas.openxmlformats.org/officeDocument/2006/relationships/hyperlink" Target="http://www.sec.gov/cgi-bin/browse-edgar?action=getcompany&amp;CIK=00015808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55183" TargetMode="External"/><Relationship Id="rId10" Type="http://schemas.openxmlformats.org/officeDocument/2006/relationships/hyperlink" Target="http://www.sec.gov/cgi-bin/browse-edgar?action=getcompany&amp;CIK=0001959099" TargetMode="External"/><Relationship Id="rId11" Type="http://schemas.openxmlformats.org/officeDocument/2006/relationships/hyperlink" Target="http://www.sec.gov/cgi-bin/browse-edgar?action=getcompany&amp;CIK=0001813628" TargetMode="External"/><Relationship Id="rId12" Type="http://schemas.openxmlformats.org/officeDocument/2006/relationships/hyperlink" Target="http://www.sec.gov/cgi-bin/browse-edgar?action=getcompany&amp;CIK=0001656059"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2425</Words>
  <Characters>13102</Characters>
  <CharactersWithSpaces>15452</CharactersWithSpaces>
  <Paragraphs>843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