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889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48895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ind w:left="740" w:hanging="732"/>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3"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740" w:hanging="732"/>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35" w:right="339" w:bottom="1440" w:gutter="0" w:footer="0" w:header="0"/>
        </w:sectPr>
      </w:pPr>
    </w:p>
    <w:p>
      <w:pPr>
        <w:spacing w:after="0" w:line="63"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50" w:lineRule="exact"/>
        <w:rPr>
          <w:sz w:val="24"/>
          <w:szCs w:val="24"/>
          <w:color w:val="auto"/>
        </w:rPr>
      </w:pPr>
    </w:p>
    <w:p>
      <w:pPr>
        <w:sectPr>
          <w:pgSz w:w="11900" w:h="16838" w:orient="portrait"/>
          <w:cols w:equalWidth="0" w:num="2">
            <w:col w:w="6300" w:space="700"/>
            <w:col w:w="4240"/>
          </w:cols>
          <w:pgMar w:left="320" w:top="235"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62865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453"/>
        </w:trPr>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5"/>
          </w:tcPr>
          <w:p>
            <w:pPr>
              <w:jc w:val="center"/>
              <w:ind w:right="560"/>
              <w:spacing w:after="0"/>
              <w:rPr>
                <w:sz w:val="20"/>
                <w:szCs w:val="20"/>
                <w:color w:val="auto"/>
              </w:rPr>
            </w:pPr>
            <w:r>
              <w:rPr>
                <w:rFonts w:ascii="Arial" w:cs="Arial" w:eastAsia="Arial" w:hAnsi="Arial"/>
                <w:sz w:val="36"/>
                <w:szCs w:val="36"/>
                <w:b w:val="1"/>
                <w:bCs w:val="1"/>
                <w:color w:val="auto"/>
                <w:w w:val="99"/>
              </w:rPr>
              <w:t>VROOM, INC.</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540" w:type="dxa"/>
            <w:vAlign w:val="bottom"/>
          </w:tcPr>
          <w:p>
            <w:pPr>
              <w:spacing w:after="0"/>
              <w:rPr>
                <w:sz w:val="17"/>
                <w:szCs w:val="17"/>
                <w:color w:val="auto"/>
              </w:rPr>
            </w:pPr>
          </w:p>
        </w:tc>
        <w:tc>
          <w:tcPr>
            <w:tcW w:w="4040" w:type="dxa"/>
            <w:vAlign w:val="bottom"/>
            <w:gridSpan w:val="7"/>
          </w:tcPr>
          <w:p>
            <w:pPr>
              <w:jc w:val="center"/>
              <w:ind w:left="48"/>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540" w:type="dxa"/>
            <w:vAlign w:val="bottom"/>
            <w:vMerge w:val="restart"/>
          </w:tcPr>
          <w:p>
            <w:pPr>
              <w:jc w:val="center"/>
              <w:ind w:left="225"/>
              <w:spacing w:after="0"/>
              <w:rPr>
                <w:sz w:val="20"/>
                <w:szCs w:val="20"/>
                <w:color w:val="auto"/>
              </w:rPr>
            </w:pPr>
            <w:r>
              <w:rPr>
                <w:rFonts w:ascii="Arial" w:cs="Arial" w:eastAsia="Arial" w:hAnsi="Arial"/>
                <w:sz w:val="14"/>
                <w:szCs w:val="14"/>
                <w:b w:val="1"/>
                <w:bCs w:val="1"/>
                <w:color w:val="auto"/>
              </w:rPr>
              <w:t>Delaware</w:t>
            </w: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901112566</w:t>
            </w:r>
          </w:p>
        </w:tc>
        <w:tc>
          <w:tcPr>
            <w:tcW w:w="0" w:type="dxa"/>
            <w:vAlign w:val="bottom"/>
          </w:tcPr>
          <w:p>
            <w:pPr>
              <w:spacing w:after="0"/>
              <w:rPr>
                <w:sz w:val="1"/>
                <w:szCs w:val="1"/>
                <w:color w:val="auto"/>
              </w:rPr>
            </w:pPr>
          </w:p>
        </w:tc>
      </w:tr>
      <w:tr>
        <w:trPr>
          <w:trHeight w:val="288"/>
        </w:trPr>
        <w:tc>
          <w:tcPr>
            <w:tcW w:w="35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540" w:type="dxa"/>
            <w:vAlign w:val="bottom"/>
          </w:tcPr>
          <w:p>
            <w:pPr>
              <w:jc w:val="center"/>
              <w:ind w:left="225"/>
              <w:spacing w:after="0"/>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200"/>
        </w:trPr>
        <w:tc>
          <w:tcPr>
            <w:tcW w:w="3540" w:type="dxa"/>
            <w:vAlign w:val="bottom"/>
          </w:tcPr>
          <w:p>
            <w:pPr>
              <w:jc w:val="center"/>
              <w:ind w:left="225"/>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5"/>
            <w:vMerge w:val="restart"/>
          </w:tcPr>
          <w:p>
            <w:pPr>
              <w:jc w:val="center"/>
              <w:ind w:right="560"/>
              <w:spacing w:after="0"/>
              <w:rPr>
                <w:sz w:val="20"/>
                <w:szCs w:val="20"/>
                <w:color w:val="auto"/>
              </w:rPr>
            </w:pPr>
            <w:r>
              <w:rPr>
                <w:rFonts w:ascii="Arial" w:cs="Arial" w:eastAsia="Arial" w:hAnsi="Arial"/>
                <w:sz w:val="14"/>
                <w:szCs w:val="14"/>
                <w:b w:val="1"/>
                <w:bCs w:val="1"/>
                <w:color w:val="auto"/>
              </w:rPr>
              <w:t>3600 W Sam Houston Pkwy S, Floor 4</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360" w:type="dxa"/>
            <w:vAlign w:val="bottom"/>
            <w:gridSpan w:val="5"/>
            <w:vMerge w:val="continue"/>
          </w:tcPr>
          <w:p>
            <w:pPr>
              <w:spacing w:after="0"/>
              <w:rPr>
                <w:sz w:val="11"/>
                <w:szCs w:val="11"/>
                <w:color w:val="auto"/>
              </w:rPr>
            </w:pPr>
          </w:p>
        </w:tc>
        <w:tc>
          <w:tcPr>
            <w:tcW w:w="3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8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rPr>
              <w:t>Houston, Texas 77042</w:t>
            </w: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540" w:type="dxa"/>
            <w:vAlign w:val="bottom"/>
          </w:tcPr>
          <w:p>
            <w:pPr>
              <w:spacing w:after="0"/>
              <w:rPr>
                <w:sz w:val="17"/>
                <w:szCs w:val="17"/>
                <w:color w:val="auto"/>
              </w:rPr>
            </w:pPr>
          </w:p>
        </w:tc>
        <w:tc>
          <w:tcPr>
            <w:tcW w:w="4040" w:type="dxa"/>
            <w:vAlign w:val="bottom"/>
            <w:gridSpan w:val="7"/>
          </w:tcPr>
          <w:p>
            <w:pPr>
              <w:jc w:val="center"/>
              <w:ind w:left="68"/>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3200" w:type="dxa"/>
            <w:vAlign w:val="bottom"/>
            <w:gridSpan w:val="4"/>
          </w:tcPr>
          <w:p>
            <w:pPr>
              <w:jc w:val="center"/>
              <w:ind w:left="908"/>
              <w:spacing w:after="0"/>
              <w:rPr>
                <w:sz w:val="20"/>
                <w:szCs w:val="20"/>
                <w:color w:val="auto"/>
              </w:rPr>
            </w:pPr>
            <w:r>
              <w:rPr>
                <w:rFonts w:ascii="Arial" w:cs="Arial" w:eastAsia="Arial" w:hAnsi="Arial"/>
                <w:sz w:val="14"/>
                <w:szCs w:val="14"/>
                <w:b w:val="1"/>
                <w:bCs w:val="1"/>
                <w:color w:val="auto"/>
              </w:rPr>
              <w:t>(518) 535-9125</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540" w:type="dxa"/>
            <w:vAlign w:val="bottom"/>
          </w:tcPr>
          <w:p>
            <w:pPr>
              <w:spacing w:after="0"/>
              <w:rPr>
                <w:sz w:val="17"/>
                <w:szCs w:val="17"/>
                <w:color w:val="auto"/>
              </w:rPr>
            </w:pPr>
          </w:p>
        </w:tc>
        <w:tc>
          <w:tcPr>
            <w:tcW w:w="4040" w:type="dxa"/>
            <w:vAlign w:val="bottom"/>
            <w:gridSpan w:val="7"/>
          </w:tcPr>
          <w:p>
            <w:pPr>
              <w:jc w:val="center"/>
              <w:ind w:left="4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280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500" w:type="dxa"/>
            <w:vAlign w:val="bottom"/>
            <w:gridSpan w:val="4"/>
          </w:tcPr>
          <w:p>
            <w:pPr>
              <w:ind w:left="380"/>
              <w:spacing w:after="0"/>
              <w:rPr>
                <w:sz w:val="20"/>
                <w:szCs w:val="20"/>
                <w:color w:val="auto"/>
              </w:rPr>
            </w:pPr>
            <w:r>
              <w:rPr>
                <w:rFonts w:ascii="Arial" w:cs="Arial" w:eastAsia="Arial" w:hAnsi="Arial"/>
                <w:sz w:val="16"/>
                <w:szCs w:val="16"/>
                <w:color w:val="auto"/>
              </w:rPr>
              <w:t>Securities registered pursuant to Section 12(b) of the Act:</w:t>
            </w:r>
          </w:p>
        </w:tc>
        <w:tc>
          <w:tcPr>
            <w:tcW w:w="22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3540" w:type="dxa"/>
            <w:vAlign w:val="bottom"/>
            <w:tcBorders>
              <w:bottom w:val="single" w:sz="8" w:color="auto"/>
            </w:tcBorders>
          </w:tcPr>
          <w:p>
            <w:pPr>
              <w:jc w:val="center"/>
              <w:ind w:left="505"/>
              <w:spacing w:after="0"/>
              <w:rPr>
                <w:sz w:val="20"/>
                <w:szCs w:val="20"/>
                <w:color w:val="auto"/>
              </w:rPr>
            </w:pPr>
            <w:r>
              <w:rPr>
                <w:rFonts w:ascii="Arial" w:cs="Arial" w:eastAsia="Arial" w:hAnsi="Arial"/>
                <w:sz w:val="14"/>
                <w:szCs w:val="14"/>
                <w:b w:val="1"/>
                <w:bCs w:val="1"/>
                <w:color w:val="auto"/>
              </w:rPr>
              <w:t>Title of each class</w:t>
            </w: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306"/>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3"/>
        </w:trPr>
        <w:tc>
          <w:tcPr>
            <w:tcW w:w="3540" w:type="dxa"/>
            <w:vAlign w:val="bottom"/>
          </w:tcPr>
          <w:p>
            <w:pPr>
              <w:jc w:val="center"/>
              <w:ind w:left="505"/>
              <w:spacing w:after="0"/>
              <w:rPr>
                <w:sz w:val="20"/>
                <w:szCs w:val="20"/>
                <w:color w:val="auto"/>
              </w:rPr>
            </w:pPr>
            <w:r>
              <w:rPr>
                <w:rFonts w:ascii="Arial" w:cs="Arial" w:eastAsia="Arial" w:hAnsi="Arial"/>
                <w:sz w:val="16"/>
                <w:szCs w:val="16"/>
                <w:color w:val="auto"/>
              </w:rPr>
              <w:t>Common Stock, $0.001 par value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4"/>
          </w:tcPr>
          <w:p>
            <w:pPr>
              <w:jc w:val="center"/>
              <w:ind w:right="800"/>
              <w:spacing w:after="0"/>
              <w:rPr>
                <w:sz w:val="20"/>
                <w:szCs w:val="20"/>
                <w:color w:val="auto"/>
              </w:rPr>
            </w:pPr>
            <w:r>
              <w:rPr>
                <w:rFonts w:ascii="Arial" w:cs="Arial" w:eastAsia="Arial" w:hAnsi="Arial"/>
                <w:sz w:val="16"/>
                <w:szCs w:val="16"/>
                <w:color w:val="auto"/>
              </w:rPr>
              <w:t>VRM</w:t>
            </w:r>
          </w:p>
        </w:tc>
        <w:tc>
          <w:tcPr>
            <w:tcW w:w="3660" w:type="dxa"/>
            <w:vAlign w:val="bottom"/>
          </w:tcPr>
          <w:p>
            <w:pPr>
              <w:jc w:val="center"/>
              <w:ind w:right="306"/>
              <w:spacing w:after="0"/>
              <w:rPr>
                <w:sz w:val="20"/>
                <w:szCs w:val="20"/>
                <w:color w:val="auto"/>
              </w:rPr>
            </w:pPr>
            <w:r>
              <w:rPr>
                <w:rFonts w:ascii="Arial" w:cs="Arial" w:eastAsia="Arial" w:hAnsi="Arial"/>
                <w:sz w:val="16"/>
                <w:szCs w:val="16"/>
                <w:color w:val="auto"/>
              </w:rPr>
              <w:t>Nasdaq Global Select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40" w:firstLine="374"/>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ind w:right="100" w:firstLine="374"/>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ind w:right="220" w:firstLine="37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528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1" w:lineRule="exact"/>
        <w:rPr>
          <w:sz w:val="24"/>
          <w:szCs w:val="24"/>
          <w:color w:val="auto"/>
        </w:rPr>
      </w:pPr>
    </w:p>
    <w:p>
      <w:pPr>
        <w:ind w:right="280" w:firstLine="374"/>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7" w:lineRule="exact"/>
        <w:rPr>
          <w:sz w:val="24"/>
          <w:szCs w:val="24"/>
          <w:color w:val="auto"/>
        </w:rPr>
      </w:pPr>
    </w:p>
    <w:p>
      <w:pPr>
        <w:ind w:left="380" w:right="2460"/>
        <w:spacing w:after="0" w:line="29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4, 2023, 139,663,524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Table of Contents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7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9"/>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r>
      <w:tr>
        <w:trPr>
          <w:trHeight w:val="47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412"/>
        </w:trPr>
        <w:tc>
          <w:tcPr>
            <w:tcW w:w="20" w:type="dxa"/>
            <w:vAlign w:val="bottom"/>
          </w:tcPr>
          <w:p>
            <w:pPr>
              <w:spacing w:after="0"/>
              <w:rPr>
                <w:sz w:val="24"/>
                <w:szCs w:val="24"/>
                <w:color w:val="auto"/>
              </w:rPr>
            </w:pPr>
          </w:p>
        </w:tc>
        <w:tc>
          <w:tcPr>
            <w:tcW w:w="10420" w:type="dxa"/>
            <w:vAlign w:val="bottom"/>
            <w:gridSpan w:val="25"/>
          </w:tcPr>
          <w:p>
            <w:pPr>
              <w:spacing w:after="0"/>
              <w:rPr>
                <w:sz w:val="20"/>
                <w:szCs w:val="20"/>
                <w:color w:val="auto"/>
              </w:rPr>
            </w:pPr>
            <w:r>
              <w:rPr>
                <w:rFonts w:ascii="Arial" w:cs="Arial" w:eastAsia="Arial" w:hAnsi="Arial"/>
                <w:sz w:val="18"/>
                <w:szCs w:val="18"/>
                <w:color w:val="0000FF"/>
              </w:rPr>
              <w:t>Part I - Financial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1.</w:t>
            </w: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 as of June 30, 2023 and December 31, 2022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 for the Three and Six Months Ended June 30, 2023 and</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920" w:type="dxa"/>
            <w:vAlign w:val="bottom"/>
            <w:gridSpan w:val="21"/>
          </w:tcPr>
          <w:p>
            <w:pPr>
              <w:spacing w:after="0" w:line="182" w:lineRule="exact"/>
              <w:rPr>
                <w:sz w:val="20"/>
                <w:szCs w:val="20"/>
                <w:color w:val="auto"/>
              </w:rPr>
            </w:pPr>
            <w:r>
              <w:rPr>
                <w:rFonts w:ascii="Arial" w:cs="Arial" w:eastAsia="Arial" w:hAnsi="Arial"/>
                <w:sz w:val="18"/>
                <w:szCs w:val="18"/>
                <w:color w:val="0000FF"/>
              </w:rPr>
              <w:t>2022 (unaudited)</w:t>
            </w:r>
          </w:p>
        </w:tc>
        <w:tc>
          <w:tcPr>
            <w:tcW w:w="8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Changes in Stockholders' Equity for the Three and Six Months Ended</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920" w:type="dxa"/>
            <w:vAlign w:val="bottom"/>
            <w:gridSpan w:val="21"/>
          </w:tcPr>
          <w:p>
            <w:pPr>
              <w:spacing w:after="0" w:line="182" w:lineRule="exact"/>
              <w:rPr>
                <w:sz w:val="20"/>
                <w:szCs w:val="20"/>
                <w:color w:val="auto"/>
              </w:rPr>
            </w:pPr>
            <w:r>
              <w:rPr>
                <w:rFonts w:ascii="Arial" w:cs="Arial" w:eastAsia="Arial" w:hAnsi="Arial"/>
                <w:sz w:val="18"/>
                <w:szCs w:val="18"/>
                <w:color w:val="0000FF"/>
              </w:rPr>
              <w:t>June 30, 2023 and 2022 (unaudited)</w:t>
            </w:r>
          </w:p>
        </w:tc>
        <w:tc>
          <w:tcPr>
            <w:tcW w:w="8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Cash Flows for the Six Months Ended June 30, 2023 and 2022</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920" w:type="dxa"/>
            <w:vAlign w:val="bottom"/>
            <w:gridSpan w:val="21"/>
          </w:tcPr>
          <w:p>
            <w:pPr>
              <w:spacing w:after="0" w:line="182" w:lineRule="exact"/>
              <w:rPr>
                <w:sz w:val="20"/>
                <w:szCs w:val="20"/>
                <w:color w:val="auto"/>
              </w:rPr>
            </w:pPr>
            <w:r>
              <w:rPr>
                <w:rFonts w:ascii="Arial" w:cs="Arial" w:eastAsia="Arial" w:hAnsi="Arial"/>
                <w:sz w:val="18"/>
                <w:szCs w:val="18"/>
                <w:color w:val="0000FF"/>
              </w:rPr>
              <w:t>(unaudited)</w:t>
            </w:r>
          </w:p>
        </w:tc>
        <w:tc>
          <w:tcPr>
            <w:tcW w:w="8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2.</w:t>
            </w: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3.</w:t>
            </w: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4.</w:t>
            </w: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53"/>
        </w:trPr>
        <w:tc>
          <w:tcPr>
            <w:tcW w:w="20" w:type="dxa"/>
            <w:vAlign w:val="bottom"/>
            <w:tcBorders>
              <w:bottom w:val="single" w:sz="8" w:color="0000EE"/>
            </w:tcBorders>
          </w:tcPr>
          <w:p>
            <w:pPr>
              <w:spacing w:after="0"/>
              <w:rPr>
                <w:sz w:val="24"/>
                <w:szCs w:val="24"/>
                <w:color w:val="auto"/>
              </w:rPr>
            </w:pPr>
          </w:p>
        </w:tc>
        <w:tc>
          <w:tcPr>
            <w:tcW w:w="20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Part II - Other information</w:t>
            </w:r>
          </w:p>
        </w:tc>
        <w:tc>
          <w:tcPr>
            <w:tcW w:w="8380" w:type="dxa"/>
            <w:vAlign w:val="bottom"/>
            <w:gridSpan w:val="2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1.</w:t>
            </w: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8"/>
              </w:rPr>
              <w:t>Item 1A.</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440" w:type="dxa"/>
            <w:vAlign w:val="bottom"/>
            <w:gridSpan w:val="7"/>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3.</w:t>
            </w: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4.</w:t>
            </w: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5.</w:t>
            </w: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54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6.</w:t>
            </w: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4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66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top w:val="single" w:sz="8" w:color="0000FF"/>
            </w:tcBorders>
            <w:gridSpan w:val="4"/>
          </w:tcPr>
          <w:p>
            <w:pPr>
              <w:spacing w:after="0"/>
              <w:rPr>
                <w:sz w:val="24"/>
                <w:szCs w:val="24"/>
                <w:color w:val="auto"/>
              </w:rPr>
            </w:pPr>
          </w:p>
        </w:tc>
        <w:tc>
          <w:tcPr>
            <w:tcW w:w="3700" w:type="dxa"/>
            <w:vAlign w:val="bottom"/>
            <w:gridSpan w:val="9"/>
          </w:tcPr>
          <w:p>
            <w:pPr>
              <w:jc w:val="right"/>
              <w:ind w:right="33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2"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 xml:space="preserve">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general economic and market conditions,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 </w:t>
      </w:r>
      <w:r>
        <w:rPr>
          <w:rFonts w:ascii="Arial" w:cs="Arial" w:eastAsia="Arial" w:hAnsi="Arial"/>
          <w:sz w:val="19"/>
          <w:szCs w:val="19"/>
          <w:color w:val="auto"/>
        </w:rPr>
        <w:t>"</w:t>
      </w:r>
      <w:r>
        <w:rPr>
          <w:rFonts w:ascii="Arial" w:cs="Arial" w:eastAsia="Arial" w:hAnsi="Arial"/>
          <w:sz w:val="18"/>
          <w:szCs w:val="18"/>
          <w:color w:val="auto"/>
        </w:rPr>
        <w:t xml:space="preserve">target," "will," </w:t>
      </w:r>
      <w:r>
        <w:rPr>
          <w:rFonts w:ascii="Arial" w:cs="Arial" w:eastAsia="Arial" w:hAnsi="Arial"/>
          <w:sz w:val="19"/>
          <w:szCs w:val="19"/>
          <w:color w:val="auto"/>
        </w:rPr>
        <w:t>"</w:t>
      </w:r>
      <w:r>
        <w:rPr>
          <w:rFonts w:ascii="Arial" w:cs="Arial" w:eastAsia="Arial" w:hAnsi="Arial"/>
          <w:sz w:val="18"/>
          <w:szCs w:val="18"/>
          <w:color w:val="auto"/>
        </w:rPr>
        <w:t>would," or the negative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these terms or other similar terms or expressions, although not all forward-looking statements contain these identifying words.</w:t>
      </w:r>
    </w:p>
    <w:p>
      <w:pPr>
        <w:spacing w:after="0" w:line="212" w:lineRule="exact"/>
        <w:rPr>
          <w:sz w:val="20"/>
          <w:szCs w:val="20"/>
          <w:color w:val="auto"/>
        </w:rPr>
      </w:pPr>
    </w:p>
    <w:p>
      <w:pPr>
        <w:ind w:right="20" w:firstLine="761"/>
        <w:spacing w:after="0" w:line="258" w:lineRule="auto"/>
        <w:rPr>
          <w:sz w:val="20"/>
          <w:szCs w:val="20"/>
          <w:color w:val="auto"/>
        </w:rPr>
      </w:pPr>
      <w:r>
        <w:rPr>
          <w:rFonts w:ascii="Arial" w:cs="Arial" w:eastAsia="Arial" w:hAnsi="Arial"/>
          <w:sz w:val="17"/>
          <w:szCs w:val="17"/>
          <w:color w:val="auto"/>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Quarterly Report on Form 10-Q.</w:t>
      </w:r>
    </w:p>
    <w:p>
      <w:pPr>
        <w:spacing w:after="0" w:line="178" w:lineRule="exact"/>
        <w:rPr>
          <w:sz w:val="20"/>
          <w:szCs w:val="20"/>
          <w:color w:val="auto"/>
        </w:rPr>
      </w:pPr>
    </w:p>
    <w:p>
      <w:pPr>
        <w:ind w:right="100" w:firstLine="761"/>
        <w:spacing w:after="0" w:line="241" w:lineRule="auto"/>
        <w:rPr>
          <w:sz w:val="20"/>
          <w:szCs w:val="20"/>
          <w:color w:val="auto"/>
        </w:rPr>
      </w:pPr>
      <w:r>
        <w:rPr>
          <w:rFonts w:ascii="Arial" w:cs="Arial" w:eastAsia="Arial" w:hAnsi="Arial"/>
          <w:sz w:val="18"/>
          <w:szCs w:val="18"/>
          <w:color w:val="auto"/>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89"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22" w:lineRule="exact"/>
        <w:rPr>
          <w:sz w:val="20"/>
          <w:szCs w:val="20"/>
          <w:color w:val="auto"/>
        </w:rPr>
      </w:pPr>
    </w:p>
    <w:p>
      <w:pPr>
        <w:ind w:right="400" w:firstLine="761"/>
        <w:spacing w:after="0" w:line="247"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spacing w:after="0" w:line="184" w:lineRule="exact"/>
        <w:rPr>
          <w:sz w:val="20"/>
          <w:szCs w:val="20"/>
          <w:color w:val="auto"/>
        </w:rPr>
      </w:pPr>
    </w:p>
    <w:p>
      <w:pPr>
        <w:ind w:left="760" w:right="380" w:hanging="378"/>
        <w:spacing w:after="0" w:line="243"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despite the cost saving measures, reduced growth rates and increased focus on liquidity and profitability contemplated by our Business Realignment Plan and long-term roadmap, we may need to raise additional capital through debt or equity financing to achieve our business objectives and there can be no assurance that such financing will be available in amounts or on terms acceptable to us, if at all;</w:t>
      </w:r>
    </w:p>
    <w:p>
      <w:pPr>
        <w:spacing w:after="0" w:line="18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business and economic conditions and risks related to the larger automotive ecosystem, including consumer demand;</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generate sufficient revenue to generate positive cash flow on a sustained basis;</w:t>
      </w:r>
    </w:p>
    <w:p>
      <w:pPr>
        <w:spacing w:after="0" w:line="225" w:lineRule="exact"/>
        <w:rPr>
          <w:rFonts w:ascii="Arial" w:cs="Arial" w:eastAsia="Arial" w:hAnsi="Arial"/>
          <w:sz w:val="18"/>
          <w:szCs w:val="18"/>
          <w:color w:val="auto"/>
        </w:rPr>
      </w:pPr>
    </w:p>
    <w:p>
      <w:pPr>
        <w:ind w:left="760" w:right="160" w:hanging="378"/>
        <w:spacing w:after="0" w:line="260"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7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and are still building out our foundational systems;</w:t>
      </w:r>
    </w:p>
    <w:p>
      <w:pPr>
        <w:spacing w:after="0" w:line="225" w:lineRule="exact"/>
        <w:rPr>
          <w:rFonts w:ascii="Arial" w:cs="Arial" w:eastAsia="Arial" w:hAnsi="Arial"/>
          <w:sz w:val="18"/>
          <w:szCs w:val="18"/>
          <w:color w:val="auto"/>
        </w:rPr>
      </w:pPr>
    </w:p>
    <w:p>
      <w:pPr>
        <w:ind w:left="760" w:right="120" w:hanging="378"/>
        <w:spacing w:after="0" w:line="260"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meet the continued listing requirements of the Nasdaq Global Select Market could result in a delisting of our common stock;</w:t>
      </w:r>
    </w:p>
    <w:p>
      <w:pPr>
        <w:spacing w:after="0" w:line="172" w:lineRule="exact"/>
        <w:rPr>
          <w:rFonts w:ascii="Arial" w:cs="Arial" w:eastAsia="Arial" w:hAnsi="Arial"/>
          <w:sz w:val="18"/>
          <w:szCs w:val="18"/>
          <w:color w:val="auto"/>
        </w:rPr>
      </w:pPr>
    </w:p>
    <w:p>
      <w:pPr>
        <w:ind w:left="760" w:right="340" w:hanging="378"/>
        <w:spacing w:after="0" w:line="260"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prior rapid growth is not indicative of our near term growth under our long-term roadmap and, if and when we return to rapid growth, we may not be able to manage our growth effectively;</w:t>
      </w:r>
    </w:p>
    <w:p>
      <w:pPr>
        <w:spacing w:after="0" w:line="172" w:lineRule="exact"/>
        <w:rPr>
          <w:rFonts w:ascii="Arial" w:cs="Arial" w:eastAsia="Arial" w:hAnsi="Arial"/>
          <w:sz w:val="18"/>
          <w:szCs w:val="18"/>
          <w:color w:val="auto"/>
        </w:rPr>
      </w:pPr>
    </w:p>
    <w:p>
      <w:pPr>
        <w:ind w:left="760" w:hanging="378"/>
        <w:spacing w:after="0" w:line="24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complete the integration of the United Auto Credit Corporation ("UACC") business into our business and support UACC as a captive lending operation for Vroom, or realize the anticipated benefits of the UACC Acquisition or those benefits could take longer than anticipated;</w:t>
      </w:r>
    </w:p>
    <w:p>
      <w:pPr>
        <w:spacing w:after="0" w:line="184" w:lineRule="exact"/>
        <w:rPr>
          <w:rFonts w:ascii="Arial" w:cs="Arial" w:eastAsia="Arial" w:hAnsi="Arial"/>
          <w:sz w:val="18"/>
          <w:szCs w:val="18"/>
          <w:color w:val="auto"/>
        </w:rPr>
      </w:pPr>
    </w:p>
    <w:p>
      <w:pPr>
        <w:ind w:left="760" w:right="60" w:hanging="378"/>
        <w:spacing w:after="0" w:line="260"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UACC may be unable to sell automotive finance receivables and generate gains on sales of those finance receivables, which could harm our business, results of operations, and financial condition;</w:t>
      </w:r>
    </w:p>
    <w:p>
      <w:pPr>
        <w:spacing w:after="0" w:line="17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vendors for key components of our business, which exposes us to increased risks;</w:t>
      </w:r>
    </w:p>
    <w:p>
      <w:pPr>
        <w:spacing w:after="0" w:line="225" w:lineRule="exact"/>
        <w:rPr>
          <w:rFonts w:ascii="Arial" w:cs="Arial" w:eastAsia="Arial" w:hAnsi="Arial"/>
          <w:sz w:val="18"/>
          <w:szCs w:val="18"/>
          <w:color w:val="auto"/>
        </w:rPr>
      </w:pPr>
    </w:p>
    <w:p>
      <w:pPr>
        <w:ind w:left="760" w:right="20" w:hanging="378"/>
        <w:spacing w:after="0" w:line="24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entered into outsourcing arrangements with third parties related to our customer experience team, and difficulties experienced in and our transition away from these arrangements have and could continue to result in an interruption of our ability to sell our vehicles and value-added products;</w:t>
      </w:r>
    </w:p>
    <w:p>
      <w:pPr>
        <w:spacing w:after="0" w:line="76"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sales and results of operations are materially affected by our customer experience, our reputation and our brand;</w:t>
      </w:r>
    </w:p>
    <w:p>
      <w:pPr>
        <w:spacing w:after="0" w:line="225" w:lineRule="exact"/>
        <w:rPr>
          <w:rFonts w:ascii="Arial" w:cs="Arial" w:eastAsia="Arial" w:hAnsi="Arial"/>
          <w:sz w:val="18"/>
          <w:szCs w:val="18"/>
          <w:color w:val="auto"/>
        </w:rPr>
      </w:pPr>
    </w:p>
    <w:p>
      <w:pPr>
        <w:ind w:left="760" w:right="560" w:hanging="378"/>
        <w:spacing w:after="0" w:line="289"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a variety of risks associated with the operation of our vehicle reconditioning centers by us and our third-party service provider, any of which could materially and adversely affect our business, financial condition and results of operations;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60" w:right="20" w:hanging="378"/>
        <w:spacing w:after="0" w:line="289"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currently rely heavily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50" w:lineRule="exact"/>
        <w:rPr>
          <w:rFonts w:ascii="Arial" w:cs="Arial" w:eastAsia="Arial" w:hAnsi="Arial"/>
          <w:sz w:val="17"/>
          <w:szCs w:val="17"/>
          <w:color w:val="auto"/>
        </w:rPr>
      </w:pPr>
    </w:p>
    <w:p>
      <w:pPr>
        <w:ind w:left="760" w:right="160" w:hanging="378"/>
        <w:spacing w:after="0" w:line="24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optimizing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184" w:lineRule="exact"/>
        <w:rPr>
          <w:rFonts w:ascii="Arial" w:cs="Arial" w:eastAsia="Arial" w:hAnsi="Arial"/>
          <w:sz w:val="18"/>
          <w:szCs w:val="18"/>
          <w:color w:val="auto"/>
        </w:rPr>
      </w:pPr>
    </w:p>
    <w:p>
      <w:pPr>
        <w:ind w:left="760" w:right="20" w:hanging="378"/>
        <w:spacing w:after="0" w:line="24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geographic concentration where we provide reconditioning services and store inventory and where UACC has a high concentration of borrowers creates an exposure to local and regional downturns or severe weather or catastrophic occurrences that may materially and adversely affect our business, financial condition and results of operations;</w:t>
      </w:r>
    </w:p>
    <w:p>
      <w:pPr>
        <w:spacing w:after="0" w:line="184" w:lineRule="exact"/>
        <w:rPr>
          <w:rFonts w:ascii="Arial" w:cs="Arial" w:eastAsia="Arial" w:hAnsi="Arial"/>
          <w:sz w:val="18"/>
          <w:szCs w:val="18"/>
          <w:color w:val="auto"/>
        </w:rPr>
      </w:pPr>
    </w:p>
    <w:p>
      <w:pPr>
        <w:ind w:left="760" w:right="40" w:hanging="378"/>
        <w:spacing w:after="0" w:line="24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184" w:lineRule="exact"/>
        <w:rPr>
          <w:rFonts w:ascii="Arial" w:cs="Arial" w:eastAsia="Arial" w:hAnsi="Arial"/>
          <w:sz w:val="18"/>
          <w:szCs w:val="18"/>
          <w:color w:val="auto"/>
        </w:rPr>
      </w:pPr>
    </w:p>
    <w:p>
      <w:pPr>
        <w:ind w:left="760" w:right="40" w:hanging="378"/>
        <w:spacing w:after="0" w:line="24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highly regulated industry and are subject to a wide range of federal, state and local laws and regulations and failure to comply with these laws and regulations could have a material adverse effect on our business, financial condition and results of operations;</w:t>
      </w:r>
    </w:p>
    <w:p>
      <w:pPr>
        <w:spacing w:after="0" w:line="184" w:lineRule="exact"/>
        <w:rPr>
          <w:rFonts w:ascii="Arial" w:cs="Arial" w:eastAsia="Arial" w:hAnsi="Arial"/>
          <w:sz w:val="18"/>
          <w:szCs w:val="18"/>
          <w:color w:val="auto"/>
        </w:rPr>
      </w:pPr>
    </w:p>
    <w:p>
      <w:pPr>
        <w:ind w:left="760" w:hanging="378"/>
        <w:spacing w:after="0" w:line="24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 and</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actual operating results may differ significantly from our guidance.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34" w:lineRule="auto"/>
        <w:rPr>
          <w:sz w:val="20"/>
          <w:szCs w:val="20"/>
          <w:color w:val="auto"/>
        </w:rPr>
      </w:pPr>
      <w:r>
        <w:rPr>
          <w:rFonts w:ascii="Arial" w:cs="Arial" w:eastAsia="Arial" w:hAnsi="Arial"/>
          <w:sz w:val="18"/>
          <w:szCs w:val="18"/>
          <w:b w:val="1"/>
          <w:bCs w:val="1"/>
          <w:color w:val="auto"/>
        </w:rPr>
        <w:t>VROOM, INC.</w:t>
      </w:r>
    </w:p>
    <w:p>
      <w:pPr>
        <w:ind w:left="3440"/>
        <w:spacing w:after="0" w:line="235" w:lineRule="auto"/>
        <w:rPr>
          <w:sz w:val="20"/>
          <w:szCs w:val="20"/>
          <w:color w:val="auto"/>
        </w:rPr>
      </w:pPr>
      <w:r>
        <w:rPr>
          <w:rFonts w:ascii="Arial" w:cs="Arial" w:eastAsia="Arial" w:hAnsi="Arial"/>
          <w:sz w:val="18"/>
          <w:szCs w:val="18"/>
          <w:b w:val="1"/>
          <w:bCs w:val="1"/>
          <w:color w:val="auto"/>
        </w:rPr>
        <w:t>CONDENSED CONSOLIDATED BALANCE SHEETS</w:t>
      </w:r>
    </w:p>
    <w:p>
      <w:pPr>
        <w:ind w:left="3380"/>
        <w:spacing w:after="0" w:line="235"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center"/>
              <w:ind w:right="40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center"/>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7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60"/>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237,925</w:t>
            </w:r>
          </w:p>
        </w:tc>
        <w:tc>
          <w:tcPr>
            <w:tcW w:w="4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398,915</w:t>
            </w:r>
          </w:p>
        </w:tc>
        <w:tc>
          <w:tcPr>
            <w:tcW w:w="0" w:type="dxa"/>
            <w:vAlign w:val="bottom"/>
          </w:tcPr>
          <w:p>
            <w:pPr>
              <w:spacing w:after="0"/>
              <w:rPr>
                <w:sz w:val="1"/>
                <w:szCs w:val="1"/>
                <w:color w:val="auto"/>
              </w:rPr>
            </w:pPr>
          </w:p>
        </w:tc>
      </w:tr>
      <w:tr>
        <w:trPr>
          <w:trHeight w:val="192"/>
        </w:trPr>
        <w:tc>
          <w:tcPr>
            <w:tcW w:w="7320" w:type="dxa"/>
            <w:vAlign w:val="bottom"/>
          </w:tcPr>
          <w:p>
            <w:pPr>
              <w:ind w:left="20"/>
              <w:spacing w:after="0"/>
              <w:rPr>
                <w:sz w:val="20"/>
                <w:szCs w:val="20"/>
                <w:color w:val="auto"/>
              </w:rPr>
            </w:pPr>
            <w:r>
              <w:rPr>
                <w:rFonts w:ascii="Arial" w:cs="Arial" w:eastAsia="Arial" w:hAnsi="Arial"/>
                <w:sz w:val="16"/>
                <w:szCs w:val="16"/>
                <w:color w:val="auto"/>
              </w:rPr>
              <w:t>Restricted cash (including restricted cash of consolidated VIEs of $44.9 million and $24.7 million,</w:t>
            </w: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340" w:type="dxa"/>
            <w:vAlign w:val="bottom"/>
          </w:tcPr>
          <w:p>
            <w:pPr>
              <w:spacing w:after="0"/>
              <w:rPr>
                <w:sz w:val="18"/>
                <w:szCs w:val="18"/>
                <w:color w:val="auto"/>
              </w:rPr>
            </w:pPr>
          </w:p>
        </w:tc>
        <w:tc>
          <w:tcPr>
            <w:tcW w:w="1520" w:type="dxa"/>
            <w:vAlign w:val="bottom"/>
          </w:tcPr>
          <w:p>
            <w:pPr>
              <w:jc w:val="right"/>
              <w:ind w:right="60"/>
              <w:spacing w:after="0"/>
              <w:rPr>
                <w:sz w:val="20"/>
                <w:szCs w:val="20"/>
                <w:color w:val="auto"/>
              </w:rPr>
            </w:pPr>
            <w:r>
              <w:rPr>
                <w:rFonts w:ascii="Arial" w:cs="Arial" w:eastAsia="Arial" w:hAnsi="Arial"/>
                <w:sz w:val="16"/>
                <w:szCs w:val="16"/>
                <w:color w:val="auto"/>
              </w:rPr>
              <w:t>66,306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73,095</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 of allowance of $9.9 million and $21.5 million, respectively</w:t>
            </w: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9,565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13,967</w:t>
            </w:r>
          </w:p>
        </w:tc>
        <w:tc>
          <w:tcPr>
            <w:tcW w:w="0" w:type="dxa"/>
            <w:vAlign w:val="bottom"/>
          </w:tcPr>
          <w:p>
            <w:pPr>
              <w:spacing w:after="0"/>
              <w:rPr>
                <w:sz w:val="1"/>
                <w:szCs w:val="1"/>
                <w:color w:val="auto"/>
              </w:rPr>
            </w:pPr>
          </w:p>
        </w:tc>
      </w:tr>
      <w:tr>
        <w:trPr>
          <w:trHeight w:val="192"/>
        </w:trPr>
        <w:tc>
          <w:tcPr>
            <w:tcW w:w="7320" w:type="dxa"/>
            <w:vAlign w:val="bottom"/>
          </w:tcPr>
          <w:p>
            <w:pPr>
              <w:ind w:left="20"/>
              <w:spacing w:after="0"/>
              <w:rPr>
                <w:sz w:val="20"/>
                <w:szCs w:val="20"/>
                <w:color w:val="auto"/>
              </w:rPr>
            </w:pPr>
            <w:r>
              <w:rPr>
                <w:rFonts w:ascii="Arial" w:cs="Arial" w:eastAsia="Arial" w:hAnsi="Arial"/>
                <w:sz w:val="16"/>
                <w:szCs w:val="16"/>
                <w:color w:val="auto"/>
              </w:rPr>
              <w:t>Finance receivables at fair value (including finance receivables of consolidated VIEs of</w:t>
            </w: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6"/>
                <w:szCs w:val="16"/>
                <w:color w:val="auto"/>
              </w:rPr>
              <w:t>$12.4 million and $11.5 million, respectively)</w:t>
            </w:r>
          </w:p>
        </w:tc>
        <w:tc>
          <w:tcPr>
            <w:tcW w:w="340" w:type="dxa"/>
            <w:vAlign w:val="bottom"/>
          </w:tcPr>
          <w:p>
            <w:pPr>
              <w:spacing w:after="0"/>
              <w:rPr>
                <w:sz w:val="18"/>
                <w:szCs w:val="18"/>
                <w:color w:val="auto"/>
              </w:rPr>
            </w:pPr>
          </w:p>
        </w:tc>
        <w:tc>
          <w:tcPr>
            <w:tcW w:w="1520" w:type="dxa"/>
            <w:vAlign w:val="bottom"/>
          </w:tcPr>
          <w:p>
            <w:pPr>
              <w:jc w:val="right"/>
              <w:ind w:right="60"/>
              <w:spacing w:after="0"/>
              <w:rPr>
                <w:sz w:val="20"/>
                <w:szCs w:val="20"/>
                <w:color w:val="auto"/>
              </w:rPr>
            </w:pPr>
            <w:r>
              <w:rPr>
                <w:rFonts w:ascii="Arial" w:cs="Arial" w:eastAsia="Arial" w:hAnsi="Arial"/>
                <w:sz w:val="16"/>
                <w:szCs w:val="16"/>
                <w:color w:val="auto"/>
              </w:rPr>
              <w:t>13,117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12,939</w:t>
            </w: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receivables held for sale, net (including finance receivables of consolidated VIEs of</w:t>
            </w:r>
          </w:p>
        </w:tc>
        <w:tc>
          <w:tcPr>
            <w:tcW w:w="3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$204.4 million and $305.9 million, respectively)</w:t>
            </w: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290,015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321,626</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40" w:type="dxa"/>
            <w:vAlign w:val="bottom"/>
          </w:tcPr>
          <w:p>
            <w:pPr>
              <w:spacing w:after="0"/>
              <w:rPr>
                <w:sz w:val="18"/>
                <w:szCs w:val="18"/>
                <w:color w:val="auto"/>
              </w:rPr>
            </w:pPr>
          </w:p>
        </w:tc>
        <w:tc>
          <w:tcPr>
            <w:tcW w:w="1520" w:type="dxa"/>
            <w:vAlign w:val="bottom"/>
          </w:tcPr>
          <w:p>
            <w:pPr>
              <w:jc w:val="right"/>
              <w:ind w:right="60"/>
              <w:spacing w:after="0"/>
              <w:rPr>
                <w:sz w:val="20"/>
                <w:szCs w:val="20"/>
                <w:color w:val="auto"/>
              </w:rPr>
            </w:pPr>
            <w:r>
              <w:rPr>
                <w:rFonts w:ascii="Arial" w:cs="Arial" w:eastAsia="Arial" w:hAnsi="Arial"/>
                <w:sz w:val="16"/>
                <w:szCs w:val="16"/>
                <w:color w:val="auto"/>
              </w:rPr>
              <w:t>208,871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320,648</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Beneficial interests in securitizations</w:t>
            </w: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6,553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20,592</w:t>
            </w:r>
          </w:p>
        </w:tc>
        <w:tc>
          <w:tcPr>
            <w:tcW w:w="0" w:type="dxa"/>
            <w:vAlign w:val="bottom"/>
          </w:tcPr>
          <w:p>
            <w:pPr>
              <w:spacing w:after="0"/>
              <w:rPr>
                <w:sz w:val="1"/>
                <w:szCs w:val="1"/>
                <w:color w:val="auto"/>
              </w:rPr>
            </w:pPr>
          </w:p>
        </w:tc>
      </w:tr>
      <w:tr>
        <w:trPr>
          <w:trHeight w:val="192"/>
        </w:trPr>
        <w:tc>
          <w:tcPr>
            <w:tcW w:w="732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 (including other current assets of consolidated VIEs of</w:t>
            </w:r>
          </w:p>
        </w:tc>
        <w:tc>
          <w:tcPr>
            <w:tcW w:w="340" w:type="dxa"/>
            <w:vAlign w:val="bottom"/>
          </w:tcPr>
          <w:p>
            <w:pPr>
              <w:spacing w:after="0"/>
              <w:rPr>
                <w:sz w:val="16"/>
                <w:szCs w:val="16"/>
                <w:color w:val="auto"/>
              </w:rPr>
            </w:pPr>
          </w:p>
        </w:tc>
        <w:tc>
          <w:tcPr>
            <w:tcW w:w="1520" w:type="dxa"/>
            <w:vAlign w:val="bottom"/>
            <w:vMerge w:val="restart"/>
          </w:tcPr>
          <w:p>
            <w:pPr>
              <w:jc w:val="right"/>
              <w:ind w:right="60"/>
              <w:spacing w:after="0"/>
              <w:rPr>
                <w:sz w:val="20"/>
                <w:szCs w:val="20"/>
                <w:color w:val="auto"/>
              </w:rPr>
            </w:pPr>
            <w:r>
              <w:rPr>
                <w:rFonts w:ascii="Arial" w:cs="Arial" w:eastAsia="Arial" w:hAnsi="Arial"/>
                <w:sz w:val="16"/>
                <w:szCs w:val="16"/>
                <w:color w:val="auto"/>
              </w:rPr>
              <w:t>57,221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vMerge w:val="restart"/>
          </w:tcPr>
          <w:p>
            <w:pPr>
              <w:jc w:val="right"/>
              <w:ind w:right="80"/>
              <w:spacing w:after="0"/>
              <w:rPr>
                <w:sz w:val="20"/>
                <w:szCs w:val="20"/>
                <w:color w:val="auto"/>
              </w:rPr>
            </w:pPr>
            <w:r>
              <w:rPr>
                <w:rFonts w:ascii="Arial" w:cs="Arial" w:eastAsia="Arial" w:hAnsi="Arial"/>
                <w:sz w:val="16"/>
                <w:szCs w:val="16"/>
                <w:color w:val="auto"/>
              </w:rPr>
              <w:t>58,327</w:t>
            </w:r>
          </w:p>
        </w:tc>
        <w:tc>
          <w:tcPr>
            <w:tcW w:w="0" w:type="dxa"/>
            <w:vAlign w:val="bottom"/>
          </w:tcPr>
          <w:p>
            <w:pPr>
              <w:spacing w:after="0"/>
              <w:rPr>
                <w:sz w:val="1"/>
                <w:szCs w:val="1"/>
                <w:color w:val="auto"/>
              </w:rPr>
            </w:pPr>
          </w:p>
        </w:tc>
      </w:tr>
      <w:tr>
        <w:trPr>
          <w:trHeight w:val="199"/>
        </w:trPr>
        <w:tc>
          <w:tcPr>
            <w:tcW w:w="7320" w:type="dxa"/>
            <w:vAlign w:val="bottom"/>
          </w:tcPr>
          <w:p>
            <w:pPr>
              <w:ind w:left="20"/>
              <w:spacing w:after="0"/>
              <w:rPr>
                <w:sz w:val="20"/>
                <w:szCs w:val="20"/>
                <w:color w:val="auto"/>
              </w:rPr>
            </w:pPr>
            <w:r>
              <w:rPr>
                <w:rFonts w:ascii="Arial" w:cs="Arial" w:eastAsia="Arial" w:hAnsi="Arial"/>
                <w:sz w:val="16"/>
                <w:szCs w:val="16"/>
                <w:color w:val="auto"/>
              </w:rPr>
              <w:t>$20.9 million and $11.7 million, respectively)</w:t>
            </w: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889,573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1,220,109</w:t>
            </w:r>
          </w:p>
        </w:tc>
        <w:tc>
          <w:tcPr>
            <w:tcW w:w="0" w:type="dxa"/>
            <w:vAlign w:val="bottom"/>
          </w:tcPr>
          <w:p>
            <w:pPr>
              <w:spacing w:after="0"/>
              <w:rPr>
                <w:sz w:val="1"/>
                <w:szCs w:val="1"/>
                <w:color w:val="auto"/>
              </w:rPr>
            </w:pPr>
          </w:p>
        </w:tc>
      </w:tr>
      <w:tr>
        <w:trPr>
          <w:trHeight w:val="192"/>
        </w:trPr>
        <w:tc>
          <w:tcPr>
            <w:tcW w:w="7320" w:type="dxa"/>
            <w:vAlign w:val="bottom"/>
          </w:tcPr>
          <w:p>
            <w:pPr>
              <w:ind w:left="20"/>
              <w:spacing w:after="0"/>
              <w:rPr>
                <w:sz w:val="20"/>
                <w:szCs w:val="20"/>
                <w:color w:val="auto"/>
              </w:rPr>
            </w:pPr>
            <w:r>
              <w:rPr>
                <w:rFonts w:ascii="Arial" w:cs="Arial" w:eastAsia="Arial" w:hAnsi="Arial"/>
                <w:sz w:val="16"/>
                <w:szCs w:val="16"/>
                <w:color w:val="auto"/>
              </w:rPr>
              <w:t>Finance receivables at fair value (including finance receivables of consolidated VIEs of</w:t>
            </w: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6"/>
                <w:szCs w:val="16"/>
                <w:color w:val="auto"/>
              </w:rPr>
              <w:t>$442.4 million and $119.6 million, respectively)</w:t>
            </w:r>
          </w:p>
        </w:tc>
        <w:tc>
          <w:tcPr>
            <w:tcW w:w="340" w:type="dxa"/>
            <w:vAlign w:val="bottom"/>
          </w:tcPr>
          <w:p>
            <w:pPr>
              <w:spacing w:after="0"/>
              <w:rPr>
                <w:sz w:val="18"/>
                <w:szCs w:val="18"/>
                <w:color w:val="auto"/>
              </w:rPr>
            </w:pPr>
          </w:p>
        </w:tc>
        <w:tc>
          <w:tcPr>
            <w:tcW w:w="1520" w:type="dxa"/>
            <w:vAlign w:val="bottom"/>
          </w:tcPr>
          <w:p>
            <w:pPr>
              <w:jc w:val="right"/>
              <w:ind w:right="60"/>
              <w:spacing w:after="0"/>
              <w:rPr>
                <w:sz w:val="20"/>
                <w:szCs w:val="20"/>
                <w:color w:val="auto"/>
              </w:rPr>
            </w:pPr>
            <w:r>
              <w:rPr>
                <w:rFonts w:ascii="Arial" w:cs="Arial" w:eastAsia="Arial" w:hAnsi="Arial"/>
                <w:sz w:val="16"/>
                <w:szCs w:val="16"/>
                <w:color w:val="auto"/>
              </w:rPr>
              <w:t>454,580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140,235</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50,689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50,201</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tcPr>
          <w:p>
            <w:pPr>
              <w:spacing w:after="0"/>
              <w:rPr>
                <w:sz w:val="18"/>
                <w:szCs w:val="18"/>
                <w:color w:val="auto"/>
              </w:rPr>
            </w:pPr>
          </w:p>
        </w:tc>
        <w:tc>
          <w:tcPr>
            <w:tcW w:w="1520" w:type="dxa"/>
            <w:vAlign w:val="bottom"/>
          </w:tcPr>
          <w:p>
            <w:pPr>
              <w:jc w:val="right"/>
              <w:ind w:right="60"/>
              <w:spacing w:after="0"/>
              <w:rPr>
                <w:sz w:val="20"/>
                <w:szCs w:val="20"/>
                <w:color w:val="auto"/>
              </w:rPr>
            </w:pPr>
            <w:r>
              <w:rPr>
                <w:rFonts w:ascii="Arial" w:cs="Arial" w:eastAsia="Arial" w:hAnsi="Arial"/>
                <w:sz w:val="16"/>
                <w:szCs w:val="16"/>
                <w:color w:val="auto"/>
              </w:rPr>
              <w:t>145,399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158,910</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26,837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23,568</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24,791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26,004</w:t>
            </w:r>
          </w:p>
        </w:tc>
        <w:tc>
          <w:tcPr>
            <w:tcW w:w="0" w:type="dxa"/>
            <w:vAlign w:val="bottom"/>
          </w:tcPr>
          <w:p>
            <w:pPr>
              <w:spacing w:after="0"/>
              <w:rPr>
                <w:sz w:val="1"/>
                <w:szCs w:val="1"/>
                <w:color w:val="auto"/>
              </w:rPr>
            </w:pPr>
          </w:p>
        </w:tc>
      </w:tr>
      <w:tr>
        <w:trPr>
          <w:trHeight w:val="250"/>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1,591,869</w:t>
            </w:r>
          </w:p>
        </w:tc>
        <w:tc>
          <w:tcPr>
            <w:tcW w:w="4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1,619,027</w:t>
            </w:r>
          </w:p>
        </w:tc>
        <w:tc>
          <w:tcPr>
            <w:tcW w:w="0" w:type="dxa"/>
            <w:vAlign w:val="bottom"/>
          </w:tcPr>
          <w:p>
            <w:pPr>
              <w:spacing w:after="0"/>
              <w:rPr>
                <w:sz w:val="1"/>
                <w:szCs w:val="1"/>
                <w:color w:val="auto"/>
              </w:rPr>
            </w:pPr>
          </w:p>
        </w:tc>
      </w:tr>
      <w:tr>
        <w:trPr>
          <w:trHeight w:val="200"/>
        </w:trPr>
        <w:tc>
          <w:tcPr>
            <w:tcW w:w="732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60"/>
              <w:spacing w:after="0"/>
              <w:rPr>
                <w:sz w:val="20"/>
                <w:szCs w:val="20"/>
                <w:color w:val="auto"/>
              </w:rPr>
            </w:pPr>
            <w:r>
              <w:rPr>
                <w:rFonts w:ascii="Arial" w:cs="Arial" w:eastAsia="Arial" w:hAnsi="Arial"/>
                <w:sz w:val="16"/>
                <w:szCs w:val="16"/>
                <w:color w:val="auto"/>
              </w:rPr>
              <w:t>29,345</w:t>
            </w:r>
          </w:p>
        </w:tc>
        <w:tc>
          <w:tcPr>
            <w:tcW w:w="4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34,702</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58,307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76,795</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Vehicle floorplan</w:t>
            </w:r>
          </w:p>
        </w:tc>
        <w:tc>
          <w:tcPr>
            <w:tcW w:w="340" w:type="dxa"/>
            <w:vAlign w:val="bottom"/>
          </w:tcPr>
          <w:p>
            <w:pPr>
              <w:spacing w:after="0"/>
              <w:rPr>
                <w:sz w:val="18"/>
                <w:szCs w:val="18"/>
                <w:color w:val="auto"/>
              </w:rPr>
            </w:pPr>
          </w:p>
        </w:tc>
        <w:tc>
          <w:tcPr>
            <w:tcW w:w="1520" w:type="dxa"/>
            <w:vAlign w:val="bottom"/>
          </w:tcPr>
          <w:p>
            <w:pPr>
              <w:jc w:val="right"/>
              <w:ind w:right="60"/>
              <w:spacing w:after="0"/>
              <w:rPr>
                <w:sz w:val="20"/>
                <w:szCs w:val="20"/>
                <w:color w:val="auto"/>
              </w:rPr>
            </w:pPr>
            <w:r>
              <w:rPr>
                <w:rFonts w:ascii="Arial" w:cs="Arial" w:eastAsia="Arial" w:hAnsi="Arial"/>
                <w:sz w:val="16"/>
                <w:szCs w:val="16"/>
                <w:color w:val="auto"/>
              </w:rPr>
              <w:t>132,480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276,988</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Warehouse credit facilities of consolidated VIEs</w:t>
            </w: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177,864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229,518</w:t>
            </w:r>
          </w:p>
        </w:tc>
        <w:tc>
          <w:tcPr>
            <w:tcW w:w="0" w:type="dxa"/>
            <w:vAlign w:val="bottom"/>
          </w:tcPr>
          <w:p>
            <w:pPr>
              <w:spacing w:after="0"/>
              <w:rPr>
                <w:sz w:val="1"/>
                <w:szCs w:val="1"/>
                <w:color w:val="auto"/>
              </w:rPr>
            </w:pPr>
          </w:p>
        </w:tc>
      </w:tr>
      <w:tr>
        <w:trPr>
          <w:trHeight w:val="192"/>
        </w:trPr>
        <w:tc>
          <w:tcPr>
            <w:tcW w:w="7320" w:type="dxa"/>
            <w:vAlign w:val="bottom"/>
          </w:tcPr>
          <w:p>
            <w:pPr>
              <w:ind w:left="20"/>
              <w:spacing w:after="0"/>
              <w:rPr>
                <w:sz w:val="20"/>
                <w:szCs w:val="20"/>
                <w:color w:val="auto"/>
              </w:rPr>
            </w:pPr>
            <w:r>
              <w:rPr>
                <w:rFonts w:ascii="Arial" w:cs="Arial" w:eastAsia="Arial" w:hAnsi="Arial"/>
                <w:sz w:val="16"/>
                <w:szCs w:val="16"/>
                <w:color w:val="auto"/>
              </w:rPr>
              <w:t>Current portion of long term debt (including current portion of securitization debt of consolidated</w:t>
            </w: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6"/>
                <w:szCs w:val="16"/>
                <w:color w:val="auto"/>
              </w:rPr>
              <w:t>VIEs at fair value of $219.4 million and $47.2 million, respectively)</w:t>
            </w:r>
          </w:p>
        </w:tc>
        <w:tc>
          <w:tcPr>
            <w:tcW w:w="340" w:type="dxa"/>
            <w:vAlign w:val="bottom"/>
          </w:tcPr>
          <w:p>
            <w:pPr>
              <w:spacing w:after="0"/>
              <w:rPr>
                <w:sz w:val="18"/>
                <w:szCs w:val="18"/>
                <w:color w:val="auto"/>
              </w:rPr>
            </w:pPr>
          </w:p>
        </w:tc>
        <w:tc>
          <w:tcPr>
            <w:tcW w:w="1520" w:type="dxa"/>
            <w:vAlign w:val="bottom"/>
          </w:tcPr>
          <w:p>
            <w:pPr>
              <w:jc w:val="right"/>
              <w:ind w:right="60"/>
              <w:spacing w:after="0"/>
              <w:rPr>
                <w:sz w:val="20"/>
                <w:szCs w:val="20"/>
                <w:color w:val="auto"/>
              </w:rPr>
            </w:pPr>
            <w:r>
              <w:rPr>
                <w:rFonts w:ascii="Arial" w:cs="Arial" w:eastAsia="Arial" w:hAnsi="Arial"/>
                <w:sz w:val="16"/>
                <w:szCs w:val="16"/>
                <w:color w:val="auto"/>
              </w:rPr>
              <w:t>231,471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47,239</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16,717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10,655</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340" w:type="dxa"/>
            <w:vAlign w:val="bottom"/>
          </w:tcPr>
          <w:p>
            <w:pPr>
              <w:spacing w:after="0"/>
              <w:rPr>
                <w:sz w:val="18"/>
                <w:szCs w:val="18"/>
                <w:color w:val="auto"/>
              </w:rPr>
            </w:pPr>
          </w:p>
        </w:tc>
        <w:tc>
          <w:tcPr>
            <w:tcW w:w="1520" w:type="dxa"/>
            <w:vAlign w:val="bottom"/>
          </w:tcPr>
          <w:p>
            <w:pPr>
              <w:jc w:val="right"/>
              <w:ind w:right="60"/>
              <w:spacing w:after="0"/>
              <w:rPr>
                <w:sz w:val="20"/>
                <w:szCs w:val="20"/>
                <w:color w:val="auto"/>
              </w:rPr>
            </w:pPr>
            <w:r>
              <w:rPr>
                <w:rFonts w:ascii="Arial" w:cs="Arial" w:eastAsia="Arial" w:hAnsi="Arial"/>
                <w:sz w:val="16"/>
                <w:szCs w:val="16"/>
                <w:color w:val="auto"/>
              </w:rPr>
              <w:t>9,267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9,730</w:t>
            </w: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current liabilities (including other current liabilities of consolidated VIEs of $2.8 million and</w:t>
            </w:r>
          </w:p>
        </w:tc>
        <w:tc>
          <w:tcPr>
            <w:tcW w:w="340" w:type="dxa"/>
            <w:vAlign w:val="bottom"/>
            <w:shd w:val="clear" w:color="auto" w:fill="CFF0FC"/>
          </w:tcPr>
          <w:p>
            <w:pPr>
              <w:spacing w:after="0"/>
              <w:rPr>
                <w:sz w:val="16"/>
                <w:szCs w:val="16"/>
                <w:color w:val="auto"/>
              </w:rPr>
            </w:pPr>
          </w:p>
        </w:tc>
        <w:tc>
          <w:tcPr>
            <w:tcW w:w="1520" w:type="dxa"/>
            <w:vAlign w:val="bottom"/>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11,912</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20" w:type="dxa"/>
            <w:vAlign w:val="bottom"/>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17,693</w:t>
            </w:r>
          </w:p>
        </w:tc>
        <w:tc>
          <w:tcPr>
            <w:tcW w:w="0" w:type="dxa"/>
            <w:vAlign w:val="bottom"/>
          </w:tcPr>
          <w:p>
            <w:pPr>
              <w:spacing w:after="0"/>
              <w:rPr>
                <w:sz w:val="1"/>
                <w:szCs w:val="1"/>
                <w:color w:val="auto"/>
              </w:rPr>
            </w:pPr>
          </w:p>
        </w:tc>
      </w:tr>
      <w:tr>
        <w:trPr>
          <w:trHeight w:val="199"/>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$1.5 million, respectively)</w:t>
            </w:r>
          </w:p>
        </w:tc>
        <w:tc>
          <w:tcPr>
            <w:tcW w:w="3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2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7"/>
                <w:szCs w:val="17"/>
                <w:color w:val="auto"/>
              </w:rPr>
            </w:pPr>
          </w:p>
        </w:tc>
        <w:tc>
          <w:tcPr>
            <w:tcW w:w="1520" w:type="dxa"/>
            <w:vAlign w:val="bottom"/>
          </w:tcPr>
          <w:p>
            <w:pPr>
              <w:jc w:val="right"/>
              <w:ind w:right="60"/>
              <w:spacing w:after="0"/>
              <w:rPr>
                <w:sz w:val="20"/>
                <w:szCs w:val="20"/>
                <w:color w:val="auto"/>
              </w:rPr>
            </w:pPr>
            <w:r>
              <w:rPr>
                <w:rFonts w:ascii="Arial" w:cs="Arial" w:eastAsia="Arial" w:hAnsi="Arial"/>
                <w:sz w:val="16"/>
                <w:szCs w:val="16"/>
                <w:color w:val="auto"/>
              </w:rPr>
              <w:t>667,363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703,320</w:t>
            </w: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 term debt, net of current portion (including securitization debt of consolidated VIEs of</w:t>
            </w:r>
          </w:p>
        </w:tc>
        <w:tc>
          <w:tcPr>
            <w:tcW w:w="3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$197.6 million and $32.6 million at fair value, respectively)</w:t>
            </w: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544,931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402,154</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Operating lease liabilities, excluding current portion</w:t>
            </w:r>
          </w:p>
        </w:tc>
        <w:tc>
          <w:tcPr>
            <w:tcW w:w="340" w:type="dxa"/>
            <w:vAlign w:val="bottom"/>
          </w:tcPr>
          <w:p>
            <w:pPr>
              <w:spacing w:after="0"/>
              <w:rPr>
                <w:sz w:val="18"/>
                <w:szCs w:val="18"/>
                <w:color w:val="auto"/>
              </w:rPr>
            </w:pPr>
          </w:p>
        </w:tc>
        <w:tc>
          <w:tcPr>
            <w:tcW w:w="1520" w:type="dxa"/>
            <w:vAlign w:val="bottom"/>
          </w:tcPr>
          <w:p>
            <w:pPr>
              <w:jc w:val="right"/>
              <w:ind w:right="60"/>
              <w:spacing w:after="0"/>
              <w:rPr>
                <w:sz w:val="20"/>
                <w:szCs w:val="20"/>
                <w:color w:val="auto"/>
              </w:rPr>
            </w:pPr>
            <w:r>
              <w:rPr>
                <w:rFonts w:ascii="Arial" w:cs="Arial" w:eastAsia="Arial" w:hAnsi="Arial"/>
                <w:sz w:val="16"/>
                <w:szCs w:val="16"/>
                <w:color w:val="auto"/>
              </w:rPr>
              <w:t>23,929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20,129</w:t>
            </w: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long-term liabilities (including other long-term liabilities of consolidated VIEs of $9.2 million</w:t>
            </w:r>
          </w:p>
        </w:tc>
        <w:tc>
          <w:tcPr>
            <w:tcW w:w="340" w:type="dxa"/>
            <w:vAlign w:val="bottom"/>
            <w:shd w:val="clear" w:color="auto" w:fill="CFF0FC"/>
          </w:tcPr>
          <w:p>
            <w:pPr>
              <w:spacing w:after="0"/>
              <w:rPr>
                <w:sz w:val="16"/>
                <w:szCs w:val="16"/>
                <w:color w:val="auto"/>
              </w:rPr>
            </w:pPr>
          </w:p>
        </w:tc>
        <w:tc>
          <w:tcPr>
            <w:tcW w:w="1520" w:type="dxa"/>
            <w:vAlign w:val="bottom"/>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17,410</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20" w:type="dxa"/>
            <w:vAlign w:val="bottom"/>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18,183</w:t>
            </w:r>
          </w:p>
        </w:tc>
        <w:tc>
          <w:tcPr>
            <w:tcW w:w="0" w:type="dxa"/>
            <w:vAlign w:val="bottom"/>
          </w:tcPr>
          <w:p>
            <w:pPr>
              <w:spacing w:after="0"/>
              <w:rPr>
                <w:sz w:val="1"/>
                <w:szCs w:val="1"/>
                <w:color w:val="auto"/>
              </w:rPr>
            </w:pPr>
          </w:p>
        </w:tc>
      </w:tr>
      <w:tr>
        <w:trPr>
          <w:trHeight w:val="199"/>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and $7.4 million, respectively)</w:t>
            </w:r>
          </w:p>
        </w:tc>
        <w:tc>
          <w:tcPr>
            <w:tcW w:w="3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1,253,633</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1,143,786</w:t>
            </w:r>
          </w:p>
        </w:tc>
        <w:tc>
          <w:tcPr>
            <w:tcW w:w="0" w:type="dxa"/>
            <w:vAlign w:val="bottom"/>
          </w:tcPr>
          <w:p>
            <w:pPr>
              <w:spacing w:after="0"/>
              <w:rPr>
                <w:sz w:val="1"/>
                <w:szCs w:val="1"/>
                <w:color w:val="auto"/>
              </w:rPr>
            </w:pPr>
          </w:p>
        </w:tc>
      </w:tr>
      <w:tr>
        <w:trPr>
          <w:trHeight w:val="213"/>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13)</w:t>
            </w: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stock, $0.001 par value; 500,000,000 shares authorized as of June 30, 2023 and</w:t>
            </w:r>
          </w:p>
        </w:tc>
        <w:tc>
          <w:tcPr>
            <w:tcW w:w="3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December 31, 2022; 139,649,290 and 138,201,903 shares issued and outstanding as of June 30,</w:t>
            </w:r>
          </w:p>
        </w:tc>
        <w:tc>
          <w:tcPr>
            <w:tcW w:w="3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 and December 31, 2022, respectively</w:t>
            </w: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135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340" w:type="dxa"/>
            <w:vAlign w:val="bottom"/>
          </w:tcPr>
          <w:p>
            <w:pPr>
              <w:spacing w:after="0"/>
              <w:rPr>
                <w:sz w:val="18"/>
                <w:szCs w:val="18"/>
                <w:color w:val="auto"/>
              </w:rPr>
            </w:pPr>
          </w:p>
        </w:tc>
        <w:tc>
          <w:tcPr>
            <w:tcW w:w="1520" w:type="dxa"/>
            <w:vAlign w:val="bottom"/>
          </w:tcPr>
          <w:p>
            <w:pPr>
              <w:jc w:val="right"/>
              <w:ind w:right="60"/>
              <w:spacing w:after="0"/>
              <w:rPr>
                <w:sz w:val="20"/>
                <w:szCs w:val="20"/>
                <w:color w:val="auto"/>
              </w:rPr>
            </w:pPr>
            <w:r>
              <w:rPr>
                <w:rFonts w:ascii="Arial" w:cs="Arial" w:eastAsia="Arial" w:hAnsi="Arial"/>
                <w:sz w:val="16"/>
                <w:szCs w:val="16"/>
                <w:color w:val="auto"/>
              </w:rPr>
              <w:t>2,080,155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2,075,798</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(1,742,054 )</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(1,600,692 )</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338,236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475,241</w:t>
            </w:r>
          </w:p>
        </w:tc>
        <w:tc>
          <w:tcPr>
            <w:tcW w:w="0" w:type="dxa"/>
            <w:vAlign w:val="bottom"/>
          </w:tcPr>
          <w:p>
            <w:pPr>
              <w:spacing w:after="0"/>
              <w:rPr>
                <w:sz w:val="1"/>
                <w:szCs w:val="1"/>
                <w:color w:val="auto"/>
              </w:rPr>
            </w:pPr>
          </w:p>
        </w:tc>
      </w:tr>
      <w:tr>
        <w:trPr>
          <w:trHeight w:val="249"/>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1,591,869</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6"/>
                <w:szCs w:val="16"/>
                <w:color w:val="auto"/>
              </w:rPr>
              <w:t>1,619,027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-3814445</wp:posOffset>
            </wp:positionV>
            <wp:extent cx="12001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-2185670</wp:posOffset>
            </wp:positionV>
            <wp:extent cx="12001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1460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-1396365</wp:posOffset>
            </wp:positionV>
            <wp:extent cx="12001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-316865</wp:posOffset>
            </wp:positionV>
            <wp:extent cx="12001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1200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1200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CONSOLIDATED STATEMENTS OF OPERATIONS</w:t>
      </w:r>
    </w:p>
    <w:p>
      <w:pPr>
        <w:ind w:left="3380"/>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4"/>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right"/>
              <w:ind w:right="83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Retail vehicle, net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136,568</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341,724</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271,838</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1,048,910</w:t>
            </w:r>
          </w:p>
        </w:tc>
        <w:tc>
          <w:tcPr>
            <w:tcW w:w="0" w:type="dxa"/>
            <w:vAlign w:val="bottom"/>
          </w:tcPr>
          <w:p>
            <w:pPr>
              <w:spacing w:after="0"/>
              <w:rPr>
                <w:sz w:val="1"/>
                <w:szCs w:val="1"/>
                <w:color w:val="auto"/>
              </w:rPr>
            </w:pPr>
          </w:p>
        </w:tc>
      </w:tr>
      <w:tr>
        <w:trPr>
          <w:trHeight w:val="21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Wholesale vehicle</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30,800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82,901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44,695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222,885</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Product, net</w:t>
            </w:r>
          </w:p>
        </w:tc>
        <w:tc>
          <w:tcPr>
            <w:tcW w:w="2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11,924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14,324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23,424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38,773</w:t>
            </w:r>
          </w:p>
        </w:tc>
        <w:tc>
          <w:tcPr>
            <w:tcW w:w="0" w:type="dxa"/>
            <w:vAlign w:val="bottom"/>
          </w:tcPr>
          <w:p>
            <w:pPr>
              <w:spacing w:after="0"/>
              <w:rPr>
                <w:sz w:val="1"/>
                <w:szCs w:val="1"/>
                <w:color w:val="auto"/>
              </w:rPr>
            </w:pPr>
          </w:p>
        </w:tc>
      </w:tr>
      <w:tr>
        <w:trPr>
          <w:trHeight w:val="21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42,128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32,121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74,116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79,808</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3,758</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4,367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7,572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8,836</w:t>
            </w:r>
          </w:p>
        </w:tc>
        <w:tc>
          <w:tcPr>
            <w:tcW w:w="0" w:type="dxa"/>
            <w:vAlign w:val="bottom"/>
          </w:tcPr>
          <w:p>
            <w:pPr>
              <w:spacing w:after="0"/>
              <w:rPr>
                <w:sz w:val="1"/>
                <w:szCs w:val="1"/>
                <w:color w:val="auto"/>
              </w:rPr>
            </w:pPr>
          </w:p>
        </w:tc>
      </w:tr>
      <w:tr>
        <w:trPr>
          <w:trHeight w:val="213"/>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225,178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475,437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421,645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1,399,212</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vehicle</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134,539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319,903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270,263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1,015,412</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Wholesale vehicle</w:t>
            </w:r>
          </w:p>
        </w:tc>
        <w:tc>
          <w:tcPr>
            <w:tcW w:w="2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34,793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84,834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48,626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227,571</w:t>
            </w:r>
          </w:p>
        </w:tc>
        <w:tc>
          <w:tcPr>
            <w:tcW w:w="0" w:type="dxa"/>
            <w:vAlign w:val="bottom"/>
          </w:tcPr>
          <w:p>
            <w:pPr>
              <w:spacing w:after="0"/>
              <w:rPr>
                <w:sz w:val="1"/>
                <w:szCs w:val="1"/>
                <w:color w:val="auto"/>
              </w:rPr>
            </w:pPr>
          </w:p>
        </w:tc>
      </w:tr>
      <w:tr>
        <w:trPr>
          <w:trHeight w:val="21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Product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704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1,601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Finance</w:t>
            </w:r>
          </w:p>
        </w:tc>
        <w:tc>
          <w:tcPr>
            <w:tcW w:w="2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8,060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3,402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14,274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6,126</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1,081</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941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2,075</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Total cost of sales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179,177</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409,080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336,839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1,251,215</w:t>
            </w:r>
          </w:p>
        </w:tc>
        <w:tc>
          <w:tcPr>
            <w:tcW w:w="0" w:type="dxa"/>
            <w:vAlign w:val="bottom"/>
          </w:tcPr>
          <w:p>
            <w:pPr>
              <w:spacing w:after="0"/>
              <w:rPr>
                <w:sz w:val="1"/>
                <w:szCs w:val="1"/>
                <w:color w:val="auto"/>
              </w:rPr>
            </w:pPr>
          </w:p>
        </w:tc>
      </w:tr>
      <w:tr>
        <w:trPr>
          <w:trHeight w:val="213"/>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gross profit</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46,001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66,357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84,806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147,997</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86,955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152,990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183,492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340,984</w:t>
            </w:r>
          </w:p>
        </w:tc>
        <w:tc>
          <w:tcPr>
            <w:tcW w:w="0" w:type="dxa"/>
            <w:vAlign w:val="bottom"/>
          </w:tcPr>
          <w:p>
            <w:pPr>
              <w:spacing w:after="0"/>
              <w:rPr>
                <w:sz w:val="1"/>
                <w:szCs w:val="1"/>
                <w:color w:val="auto"/>
              </w:rPr>
            </w:pPr>
          </w:p>
        </w:tc>
      </w:tr>
      <w:tr>
        <w:trPr>
          <w:trHeight w:val="21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10,304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10,039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20,835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17,895</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Impairment charges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1,353</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3,407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1,353</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205,110</w:t>
            </w:r>
          </w:p>
        </w:tc>
        <w:tc>
          <w:tcPr>
            <w:tcW w:w="0" w:type="dxa"/>
            <w:vAlign w:val="bottom"/>
          </w:tcPr>
          <w:p>
            <w:pPr>
              <w:spacing w:after="0"/>
              <w:rPr>
                <w:sz w:val="1"/>
                <w:szCs w:val="1"/>
                <w:color w:val="auto"/>
              </w:rPr>
            </w:pPr>
          </w:p>
        </w:tc>
      </w:tr>
      <w:tr>
        <w:trPr>
          <w:trHeight w:val="213"/>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(52,611 )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(100,079 )</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(120,874 )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(415,992 )</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Gain on debt extinguishment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(10,931 )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(19,640 )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8,938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9,533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18,857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18,913</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(4,921 )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(3,935 )</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(10,863 )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(7,887 )</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loss, net</w:t>
            </w: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20,236</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9,156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31,476</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21,514</w:t>
            </w: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color w:val="auto"/>
              </w:rPr>
              <w:t>Loss before provision (benefit) for income taxes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(65,933 )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(114,833 )</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(140,704 )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(448,532 )</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(benefit) for income taxes</w:t>
            </w: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385</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658</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(22,984 )</w:t>
            </w: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(66,318 )</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(115,089 )</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(141,362 )</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(425,548 )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8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Net loss per share attributable to common stockholders, basic and</w:t>
            </w:r>
          </w:p>
        </w:tc>
        <w:tc>
          <w:tcPr>
            <w:tcW w:w="2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(0.48 )</w:t>
            </w:r>
          </w:p>
        </w:tc>
        <w:tc>
          <w:tcPr>
            <w:tcW w:w="4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(0.83 )</w:t>
            </w:r>
          </w:p>
        </w:tc>
        <w:tc>
          <w:tcPr>
            <w:tcW w:w="5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(1.02 )</w:t>
            </w:r>
          </w:p>
        </w:tc>
        <w:tc>
          <w:tcPr>
            <w:tcW w:w="4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(3.09 )</w:t>
            </w:r>
          </w:p>
        </w:tc>
        <w:tc>
          <w:tcPr>
            <w:tcW w:w="0" w:type="dxa"/>
            <w:vAlign w:val="bottom"/>
          </w:tcPr>
          <w:p>
            <w:pPr>
              <w:spacing w:after="0"/>
              <w:rPr>
                <w:sz w:val="1"/>
                <w:szCs w:val="1"/>
                <w:color w:val="auto"/>
              </w:rPr>
            </w:pPr>
          </w:p>
        </w:tc>
      </w:tr>
      <w:tr>
        <w:trPr>
          <w:trHeight w:val="19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240" w:type="dxa"/>
            <w:vAlign w:val="bottom"/>
            <w:vMerge w:val="continue"/>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400" w:type="dxa"/>
            <w:vAlign w:val="bottom"/>
            <w:gridSpan w:val="2"/>
            <w:vMerge w:val="continue"/>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500" w:type="dxa"/>
            <w:vAlign w:val="bottom"/>
            <w:gridSpan w:val="2"/>
            <w:vMerge w:val="continue"/>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400" w:type="dxa"/>
            <w:vAlign w:val="bottom"/>
            <w:gridSpan w:val="2"/>
            <w:vMerge w:val="continue"/>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0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Weighted-average number of shares outstanding used to compute</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 basic and</w:t>
            </w:r>
          </w:p>
        </w:tc>
        <w:tc>
          <w:tcPr>
            <w:tcW w:w="240" w:type="dxa"/>
            <w:vAlign w:val="bottom"/>
          </w:tcPr>
          <w:p>
            <w:pPr>
              <w:spacing w:after="0"/>
              <w:rPr>
                <w:sz w:val="16"/>
                <w:szCs w:val="16"/>
                <w:color w:val="auto"/>
              </w:rPr>
            </w:pPr>
          </w:p>
        </w:tc>
        <w:tc>
          <w:tcPr>
            <w:tcW w:w="1160" w:type="dxa"/>
            <w:vAlign w:val="bottom"/>
            <w:vMerge w:val="restart"/>
          </w:tcPr>
          <w:p>
            <w:pPr>
              <w:jc w:val="right"/>
              <w:ind w:right="60"/>
              <w:spacing w:after="0"/>
              <w:rPr>
                <w:sz w:val="20"/>
                <w:szCs w:val="20"/>
                <w:color w:val="auto"/>
              </w:rPr>
            </w:pPr>
            <w:r>
              <w:rPr>
                <w:rFonts w:ascii="Arial" w:cs="Arial" w:eastAsia="Arial" w:hAnsi="Arial"/>
                <w:sz w:val="16"/>
                <w:szCs w:val="16"/>
                <w:color w:val="auto"/>
              </w:rPr>
              <w:t>139,146,848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right"/>
              <w:ind w:right="59"/>
              <w:spacing w:after="0"/>
              <w:rPr>
                <w:sz w:val="20"/>
                <w:szCs w:val="20"/>
                <w:color w:val="auto"/>
              </w:rPr>
            </w:pPr>
            <w:r>
              <w:rPr>
                <w:rFonts w:ascii="Arial" w:cs="Arial" w:eastAsia="Arial" w:hAnsi="Arial"/>
                <w:sz w:val="16"/>
                <w:szCs w:val="16"/>
                <w:color w:val="auto"/>
              </w:rPr>
              <w:t>138,075,210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restart"/>
          </w:tcPr>
          <w:p>
            <w:pPr>
              <w:jc w:val="right"/>
              <w:ind w:right="60"/>
              <w:spacing w:after="0"/>
              <w:rPr>
                <w:sz w:val="20"/>
                <w:szCs w:val="20"/>
                <w:color w:val="auto"/>
              </w:rPr>
            </w:pPr>
            <w:r>
              <w:rPr>
                <w:rFonts w:ascii="Arial" w:cs="Arial" w:eastAsia="Arial" w:hAnsi="Arial"/>
                <w:sz w:val="16"/>
                <w:szCs w:val="16"/>
                <w:color w:val="auto"/>
              </w:rPr>
              <w:t>138,838,866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auto"/>
              </w:rPr>
              <w:t>137,667,419</w:t>
            </w:r>
          </w:p>
        </w:tc>
        <w:tc>
          <w:tcPr>
            <w:tcW w:w="0" w:type="dxa"/>
            <w:vAlign w:val="bottom"/>
          </w:tcPr>
          <w:p>
            <w:pPr>
              <w:spacing w:after="0"/>
              <w:rPr>
                <w:sz w:val="1"/>
                <w:szCs w:val="1"/>
                <w:color w:val="auto"/>
              </w:rPr>
            </w:pPr>
          </w:p>
        </w:tc>
      </w:tr>
      <w:tr>
        <w:trPr>
          <w:trHeight w:val="172"/>
        </w:trPr>
        <w:tc>
          <w:tcPr>
            <w:tcW w:w="5080" w:type="dxa"/>
            <w:vAlign w:val="bottom"/>
          </w:tcPr>
          <w:p>
            <w:pPr>
              <w:ind w:left="20"/>
              <w:spacing w:after="0" w:line="172" w:lineRule="exact"/>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-2485390</wp:posOffset>
            </wp:positionV>
            <wp:extent cx="939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-2485390</wp:posOffset>
            </wp:positionV>
            <wp:extent cx="17145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-2485390</wp:posOffset>
            </wp:positionV>
            <wp:extent cx="10287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-1088390</wp:posOffset>
            </wp:positionV>
            <wp:extent cx="9398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460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-1088390</wp:posOffset>
            </wp:positionV>
            <wp:extent cx="17145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1460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-1088390</wp:posOffset>
            </wp:positionV>
            <wp:extent cx="10287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14605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-805180</wp:posOffset>
            </wp:positionV>
            <wp:extent cx="939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-805180</wp:posOffset>
            </wp:positionV>
            <wp:extent cx="1714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-805180</wp:posOffset>
            </wp:positionV>
            <wp:extent cx="10287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-385445</wp:posOffset>
            </wp:positionV>
            <wp:extent cx="93980" cy="386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38608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-385445</wp:posOffset>
            </wp:positionV>
            <wp:extent cx="171450" cy="386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38608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-385445</wp:posOffset>
            </wp:positionV>
            <wp:extent cx="102870" cy="386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38608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64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201"/>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28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0"/>
        </w:trPr>
        <w:tc>
          <w:tcPr>
            <w:tcW w:w="4480" w:type="dxa"/>
            <w:vAlign w:val="bottom"/>
          </w:tcPr>
          <w:p>
            <w:pPr>
              <w:spacing w:after="0"/>
              <w:rPr>
                <w:sz w:val="15"/>
                <w:szCs w:val="15"/>
                <w:color w:val="auto"/>
              </w:rPr>
            </w:pPr>
          </w:p>
        </w:tc>
        <w:tc>
          <w:tcPr>
            <w:tcW w:w="264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201"/>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5"/>
                <w:szCs w:val="15"/>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22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7"/>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12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137,092,891</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2,063,841</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(1,148,782 )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915,194</w:t>
            </w: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3,629</w:t>
            </w:r>
          </w:p>
        </w:tc>
        <w:tc>
          <w:tcPr>
            <w:tcW w:w="34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602,630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(310,459 )</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(310,459 )</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March 31, 2022</w:t>
            </w:r>
          </w:p>
        </w:tc>
        <w:tc>
          <w:tcPr>
            <w:tcW w:w="12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137,695,521</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2,067,470</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(1,459,241 )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608,364</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1,776</w:t>
            </w:r>
          </w:p>
        </w:tc>
        <w:tc>
          <w:tcPr>
            <w:tcW w:w="34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50,516</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Issuance of restricted stock purchase agreement</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356,718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(115,089 )</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(115,089 )</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138,102,755</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135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2,069,246</w:t>
            </w:r>
          </w:p>
        </w:tc>
        <w:tc>
          <w:tcPr>
            <w:tcW w:w="34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(1,574,330 )</w:t>
            </w:r>
          </w:p>
        </w:tc>
        <w:tc>
          <w:tcPr>
            <w:tcW w:w="38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495,051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480" w:type="dxa"/>
            <w:vAlign w:val="bottom"/>
          </w:tcPr>
          <w:p>
            <w:pPr>
              <w:spacing w:after="0"/>
              <w:rPr>
                <w:sz w:val="12"/>
                <w:szCs w:val="12"/>
                <w:color w:val="auto"/>
              </w:rPr>
            </w:pPr>
          </w:p>
        </w:tc>
        <w:tc>
          <w:tcPr>
            <w:tcW w:w="264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201"/>
              <w:spacing w:after="0" w:line="146"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281"/>
              <w:spacing w:after="0" w:line="146"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0"/>
        </w:trPr>
        <w:tc>
          <w:tcPr>
            <w:tcW w:w="4480" w:type="dxa"/>
            <w:vAlign w:val="bottom"/>
          </w:tcPr>
          <w:p>
            <w:pPr>
              <w:spacing w:after="0"/>
              <w:rPr>
                <w:sz w:val="15"/>
                <w:szCs w:val="15"/>
                <w:color w:val="auto"/>
              </w:rPr>
            </w:pPr>
          </w:p>
        </w:tc>
        <w:tc>
          <w:tcPr>
            <w:tcW w:w="264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201"/>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5"/>
                <w:szCs w:val="15"/>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22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7"/>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12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138,201,903</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2,075,798</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(1,600,692 )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475,241</w:t>
            </w: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2,041</w:t>
            </w:r>
          </w:p>
        </w:tc>
        <w:tc>
          <w:tcPr>
            <w:tcW w:w="34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600,108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(75,044 )</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(75,044 )</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March 31, 2023</w:t>
            </w:r>
          </w:p>
        </w:tc>
        <w:tc>
          <w:tcPr>
            <w:tcW w:w="12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138,802,011</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2,077,839</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(1,675,736 )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402,238</w:t>
            </w: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2,316</w:t>
            </w:r>
          </w:p>
        </w:tc>
        <w:tc>
          <w:tcPr>
            <w:tcW w:w="34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2,316</w:t>
            </w: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847,279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(66,318 )</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(66,318 )</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June 30, 2023</w:t>
            </w:r>
          </w:p>
        </w:tc>
        <w:tc>
          <w:tcPr>
            <w:tcW w:w="12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139,649,290</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2,080,155</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(1,742,054 )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338,236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-3007995</wp:posOffset>
            </wp:positionV>
            <wp:extent cx="270891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08910" cy="16319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-2425700</wp:posOffset>
            </wp:positionV>
            <wp:extent cx="270891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08910" cy="16319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-1851025</wp:posOffset>
            </wp:positionV>
            <wp:extent cx="9461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-1851025</wp:posOffset>
            </wp:positionV>
            <wp:extent cx="94615" cy="52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52260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-1851025</wp:posOffset>
            </wp:positionV>
            <wp:extent cx="94615" cy="52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615" cy="5226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-1851025</wp:posOffset>
            </wp:positionV>
            <wp:extent cx="102870" cy="52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5226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-1191260</wp:posOffset>
            </wp:positionV>
            <wp:extent cx="270891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08910" cy="16319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-607695</wp:posOffset>
            </wp:positionV>
            <wp:extent cx="270891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08910" cy="16256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-25400</wp:posOffset>
            </wp:positionV>
            <wp:extent cx="946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-8255</wp:posOffset>
            </wp:positionV>
            <wp:extent cx="946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946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946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946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946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102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102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ind w:left="498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4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2022</w:t>
            </w:r>
          </w:p>
        </w:tc>
      </w:tr>
      <w:tr>
        <w:trPr>
          <w:trHeight w:val="183"/>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(141,362 )</w:t>
            </w:r>
          </w:p>
        </w:tc>
        <w:tc>
          <w:tcPr>
            <w:tcW w:w="5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(425,548 )</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10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1,353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205,110</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Gain on debt extinguishment</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(19,640 )</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21,173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18,010</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debt issuance costs</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2,248</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2,523</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Realized gains on securitization transactions</w:t>
            </w:r>
          </w:p>
        </w:tc>
        <w:tc>
          <w:tcPr>
            <w:tcW w:w="10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(29,617 )</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taxes</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(23,855 )</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Losses on finance receivables and securitization debt, net</w:t>
            </w:r>
          </w:p>
        </w:tc>
        <w:tc>
          <w:tcPr>
            <w:tcW w:w="10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42,532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29,457</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4,357</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5,405</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Provision to record inventory at lower of cost or net realizable value</w:t>
            </w:r>
          </w:p>
        </w:tc>
        <w:tc>
          <w:tcPr>
            <w:tcW w:w="10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(11,811 )</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(2,006 )</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bad debt</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529</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11,119</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Provision to record finance receivables held for sale at lower of cost or fair value</w:t>
            </w:r>
          </w:p>
        </w:tc>
        <w:tc>
          <w:tcPr>
            <w:tcW w:w="10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1,651</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1,986</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unearned discounts on finance receivables at fair value</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(13,414 )</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(8,788 )</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Other, net</w:t>
            </w:r>
          </w:p>
        </w:tc>
        <w:tc>
          <w:tcPr>
            <w:tcW w:w="10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(7,579 )</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(851 )</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i w:val="1"/>
                <w:iCs w:val="1"/>
                <w:color w:val="auto"/>
              </w:rPr>
              <w:t>Finance receivables, held for sale</w:t>
            </w: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Originations of finance receivables held for sale</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(274,707 )</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(319,314 )</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Principal payments received on finance receivables held for sale</w:t>
            </w:r>
          </w:p>
        </w:tc>
        <w:tc>
          <w:tcPr>
            <w:tcW w:w="10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42,862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23,179</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sale of finance receivables held for sale, net</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271,820</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505</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(4,011 )</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receivable</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3,873</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34,192</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Inventory</w:t>
            </w:r>
          </w:p>
        </w:tc>
        <w:tc>
          <w:tcPr>
            <w:tcW w:w="10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123,588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192,618</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16,611</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13,513</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0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1,213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(1,670 )</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payable</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(5,357 )</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(15,352 )</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10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(19,042 )</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(23,832 )</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revenue</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6,062</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(58,003 )</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10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(7,770 )</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(33,604 )</w:t>
            </w:r>
          </w:p>
        </w:tc>
      </w:tr>
      <w:tr>
        <w:trPr>
          <w:trHeight w:val="183"/>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operating activities</w:t>
            </w:r>
          </w:p>
        </w:tc>
        <w:tc>
          <w:tcPr>
            <w:tcW w:w="10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(232,125 )</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(137,519 )</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i w:val="1"/>
                <w:iCs w:val="1"/>
                <w:color w:val="auto"/>
              </w:rPr>
              <w:t>Finance receivables at fair value</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Purchases of finance receivables at fair value</w:t>
            </w:r>
          </w:p>
        </w:tc>
        <w:tc>
          <w:tcPr>
            <w:tcW w:w="10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(3,392 )</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(49,475 )</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payments received on finance receivables at fair value</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91,892</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74,690</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Proceeds from sale of finance receivables at fair value, net</w:t>
            </w:r>
          </w:p>
        </w:tc>
        <w:tc>
          <w:tcPr>
            <w:tcW w:w="10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29,026</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Consolidation of VIEs</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11,409</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Principal payments received on beneficial interests</w:t>
            </w:r>
          </w:p>
        </w:tc>
        <w:tc>
          <w:tcPr>
            <w:tcW w:w="10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3,306</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2,720</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 of property and equipment</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(8,521 )</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(16,046 )</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 of $47.9 million</w:t>
            </w:r>
          </w:p>
        </w:tc>
        <w:tc>
          <w:tcPr>
            <w:tcW w:w="10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(267,488 )</w:t>
            </w:r>
          </w:p>
        </w:tc>
      </w:tr>
      <w:tr>
        <w:trPr>
          <w:trHeight w:val="183"/>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94,694</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(226,573 )</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borrowings under secured financing agreements</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261,991</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Principal repayment under secured financing agreements</w:t>
            </w:r>
          </w:p>
        </w:tc>
        <w:tc>
          <w:tcPr>
            <w:tcW w:w="10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(103,980 )</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(105,563 )</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financing of beneficial interests in securitizations</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24,506</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Principal repayments of financing of beneficial interests in securitizations</w:t>
            </w:r>
          </w:p>
        </w:tc>
        <w:tc>
          <w:tcPr>
            <w:tcW w:w="10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(2,304 )</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vehicle floorplan</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182,734</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1,074,184</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Repayments of vehicle floorplan</w:t>
            </w:r>
          </w:p>
        </w:tc>
        <w:tc>
          <w:tcPr>
            <w:tcW w:w="10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(327,242 )</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(1,164,533 )</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warehouse credit facilities</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211,400</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261,700</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Repayments of warehouse credit facilities</w:t>
            </w:r>
          </w:p>
        </w:tc>
        <w:tc>
          <w:tcPr>
            <w:tcW w:w="10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(263,216 )</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(228,744 )</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Repurchases of convertible senior notes</w:t>
            </w:r>
          </w:p>
        </w:tc>
        <w:tc>
          <w:tcPr>
            <w:tcW w:w="1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(13,194 )</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10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(1,043 )</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(1,344 )</w:t>
            </w:r>
          </w:p>
        </w:tc>
      </w:tr>
      <w:tr>
        <w:trPr>
          <w:trHeight w:val="183"/>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(30,348 )</w:t>
            </w:r>
          </w:p>
        </w:tc>
        <w:tc>
          <w:tcPr>
            <w:tcW w:w="2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(164,300 )</w:t>
            </w:r>
          </w:p>
        </w:tc>
      </w:tr>
      <w:tr>
        <w:trPr>
          <w:trHeight w:val="183"/>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10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(167,779 )</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(528,392 )</w:t>
            </w:r>
          </w:p>
        </w:tc>
      </w:tr>
      <w:tr>
        <w:trPr>
          <w:trHeight w:val="18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10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472,010</w:t>
            </w:r>
          </w:p>
        </w:tc>
        <w:tc>
          <w:tcPr>
            <w:tcW w:w="2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1,214,775</w:t>
            </w:r>
          </w:p>
        </w:tc>
      </w:tr>
      <w:tr>
        <w:trPr>
          <w:trHeight w:val="183"/>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304,231</w:t>
            </w:r>
          </w:p>
        </w:tc>
        <w:tc>
          <w:tcPr>
            <w:tcW w:w="5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686,383</w:t>
            </w:r>
          </w:p>
        </w:tc>
      </w:tr>
      <w:tr>
        <w:trPr>
          <w:trHeight w:val="20"/>
        </w:trPr>
        <w:tc>
          <w:tcPr>
            <w:tcW w:w="7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-401955</wp:posOffset>
            </wp:positionV>
            <wp:extent cx="12001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-153670</wp:posOffset>
            </wp:positionV>
            <wp:extent cx="12001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15430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(Continued on following page)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ind w:left="498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6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74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25,983</w:t>
            </w:r>
          </w:p>
        </w:tc>
        <w:tc>
          <w:tcPr>
            <w:tcW w:w="84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16,299</w:t>
            </w:r>
          </w:p>
        </w:tc>
      </w:tr>
      <w:tr>
        <w:trPr>
          <w:trHeight w:val="20"/>
        </w:trPr>
        <w:tc>
          <w:tcPr>
            <w:tcW w:w="7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income taxes</w:t>
            </w: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3,682</w:t>
            </w:r>
          </w:p>
        </w:tc>
        <w:tc>
          <w:tcPr>
            <w:tcW w:w="840" w:type="dxa"/>
            <w:vAlign w:val="bottom"/>
            <w:gridSpan w:val="2"/>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2,062</w:t>
            </w:r>
          </w:p>
        </w:tc>
      </w:tr>
      <w:tr>
        <w:trPr>
          <w:trHeight w:val="170"/>
        </w:trPr>
        <w:tc>
          <w:tcPr>
            <w:tcW w:w="744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6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r>
      <w:tr>
        <w:trPr>
          <w:trHeight w:val="223"/>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Finance receivables from consolidation of 2022-2 securitization transaction</w:t>
            </w:r>
          </w:p>
        </w:tc>
        <w:tc>
          <w:tcPr>
            <w:tcW w:w="600" w:type="dxa"/>
            <w:vAlign w:val="bottom"/>
            <w:tcBorders>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180,706</w:t>
            </w:r>
          </w:p>
        </w:tc>
        <w:tc>
          <w:tcPr>
            <w:tcW w:w="2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69"/>
        </w:trPr>
        <w:tc>
          <w:tcPr>
            <w:tcW w:w="7440" w:type="dxa"/>
            <w:vAlign w:val="bottom"/>
          </w:tcPr>
          <w:p>
            <w:pPr>
              <w:ind w:left="20"/>
              <w:spacing w:after="0"/>
              <w:rPr>
                <w:sz w:val="20"/>
                <w:szCs w:val="20"/>
                <w:color w:val="auto"/>
              </w:rPr>
            </w:pPr>
            <w:r>
              <w:rPr>
                <w:rFonts w:ascii="Arial" w:cs="Arial" w:eastAsia="Arial" w:hAnsi="Arial"/>
                <w:sz w:val="14"/>
                <w:szCs w:val="14"/>
                <w:color w:val="auto"/>
              </w:rPr>
              <w:t>Elimination of beneficial interest from the consolidation of 2022-2 securitization transaction</w:t>
            </w: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9,811</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0"/>
        </w:trPr>
        <w:tc>
          <w:tcPr>
            <w:tcW w:w="7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Securitization debt from consolidation of 2022-2 securitization transaction</w:t>
            </w:r>
          </w:p>
        </w:tc>
        <w:tc>
          <w:tcPr>
            <w:tcW w:w="600" w:type="dxa"/>
            <w:vAlign w:val="bottom"/>
            <w:tcBorders>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186,386</w:t>
            </w: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69"/>
        </w:trPr>
        <w:tc>
          <w:tcPr>
            <w:tcW w:w="7440" w:type="dxa"/>
            <w:vAlign w:val="bottom"/>
          </w:tcPr>
          <w:p>
            <w:pPr>
              <w:ind w:left="20"/>
              <w:spacing w:after="0"/>
              <w:rPr>
                <w:sz w:val="20"/>
                <w:szCs w:val="20"/>
                <w:color w:val="auto"/>
              </w:rPr>
            </w:pPr>
            <w:r>
              <w:rPr>
                <w:rFonts w:ascii="Arial" w:cs="Arial" w:eastAsia="Arial" w:hAnsi="Arial"/>
                <w:sz w:val="14"/>
                <w:szCs w:val="14"/>
                <w:color w:val="auto"/>
              </w:rPr>
              <w:t>Reclassification of finance receivables held for sale to finance receivables at fair value, net</w:t>
            </w: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248,081</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0"/>
        </w:trPr>
        <w:tc>
          <w:tcPr>
            <w:tcW w:w="7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Fair value of beneficial interests received in securitization transactions</w:t>
            </w:r>
          </w:p>
        </w:tc>
        <w:tc>
          <w:tcPr>
            <w:tcW w:w="600" w:type="dxa"/>
            <w:vAlign w:val="bottom"/>
            <w:tcBorders>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16,473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-882650</wp:posOffset>
            </wp:positionV>
            <wp:extent cx="12001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-607695</wp:posOffset>
            </wp:positionV>
            <wp:extent cx="12001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-316230</wp:posOffset>
            </wp:positionV>
            <wp:extent cx="12001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1200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120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208" w:lineRule="exact"/>
        <w:rPr>
          <w:sz w:val="20"/>
          <w:szCs w:val="20"/>
          <w:color w:val="auto"/>
        </w:rPr>
      </w:pPr>
    </w:p>
    <w:p>
      <w:pPr>
        <w:ind w:firstLine="761"/>
        <w:spacing w:after="0" w:line="260"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159"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In December 2015, the Company acquired Houston-based Left Gate Property Holding, LLC (d/b/a Texas Direct Auto and Vroom). The acquisition included the Company's proprietary vehicle reconditioning center, the Texas Direct Auto ("TDA") dealership, and Sell Us Your Car® centers. Left Gate Property Holding, LLC was renamed Vroom Automotive, LLC in March 2021, and is the primary operating entity for the Company's purchases and sales of used vehicles. In January 2021, the Company acquired Vast Holdings, Inc. (d/b/a CarStory). On February 1, 2022, the ("Acquisition Date"), the Company completed the acquisition of Unitas Holdings Corp. (now known as Vroom Finance Corporation), including its wholly owned subsidiaries United PanAm Financial Corp. (now known as Vroom Automotive Financial Corporation) and United Auto Credit Corporation ("UACC").</w:t>
      </w:r>
    </w:p>
    <w:p>
      <w:pPr>
        <w:spacing w:after="0" w:line="177" w:lineRule="exact"/>
        <w:rPr>
          <w:sz w:val="20"/>
          <w:szCs w:val="20"/>
          <w:color w:val="auto"/>
        </w:rPr>
      </w:pPr>
    </w:p>
    <w:p>
      <w:pPr>
        <w:ind w:right="480" w:firstLine="761"/>
        <w:spacing w:after="0" w:line="239" w:lineRule="auto"/>
        <w:rPr>
          <w:sz w:val="20"/>
          <w:szCs w:val="20"/>
          <w:color w:val="auto"/>
        </w:rPr>
      </w:pPr>
      <w:r>
        <w:rPr>
          <w:rFonts w:ascii="Arial" w:cs="Arial" w:eastAsia="Arial" w:hAnsi="Arial"/>
          <w:sz w:val="18"/>
          <w:szCs w:val="18"/>
          <w:color w:val="auto"/>
        </w:rPr>
        <w:t>The Company is organized into three reportable segments: Ecommerce, Wholesale, and Retail Financing. The Ecommerce reportable segment represents retail sales of used vehicles through the Company’s ecommerce platform, revenue earned on vehicle financing originated by UACC or the Company's third-party financing sources and sales of value-added products associated with those vehicles sales. The Wholesale reportable segment represents sales of used vehicles through wholesale channels. The Retail Financing reportable segment represents UACC’s operations with its network of third-party dealership customers, which primarily consists of the purchases and servicing of vehicle installment contracts, but excluding financing of vehicle sales to Vroom customers.</w:t>
      </w:r>
    </w:p>
    <w:p>
      <w:pPr>
        <w:spacing w:after="0" w:line="181" w:lineRule="exact"/>
        <w:rPr>
          <w:sz w:val="20"/>
          <w:szCs w:val="20"/>
          <w:color w:val="auto"/>
        </w:rPr>
      </w:pPr>
    </w:p>
    <w:p>
      <w:pPr>
        <w:ind w:right="160" w:firstLine="761"/>
        <w:spacing w:after="0" w:line="260"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08" w:lineRule="exact"/>
        <w:rPr>
          <w:sz w:val="20"/>
          <w:szCs w:val="20"/>
          <w:color w:val="auto"/>
        </w:rPr>
      </w:pPr>
    </w:p>
    <w:p>
      <w:pPr>
        <w:ind w:right="40" w:firstLine="761"/>
        <w:spacing w:after="0" w:line="239" w:lineRule="auto"/>
        <w:rPr>
          <w:sz w:val="20"/>
          <w:szCs w:val="20"/>
          <w:color w:val="auto"/>
        </w:rPr>
      </w:pPr>
      <w:r>
        <w:rPr>
          <w:rFonts w:ascii="Arial" w:cs="Arial" w:eastAsia="Arial" w:hAnsi="Arial"/>
          <w:sz w:val="18"/>
          <w:szCs w:val="18"/>
          <w:color w:val="auto"/>
        </w:rPr>
        <w:t>The condensed consolidated financial statements of the Company have been prepared in accordance with U.S. generally accepted accounting principles (“U.S. GAAP”) and applicable rules and regulations of the U.S. Securities and Exchange Commission ("SEC") regarding interim financial reporting. The condensed consolidated balance sheet as of December 31, 2022,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Annual Report on Form 10-K for the year ended December 31, 2022.</w:t>
      </w:r>
    </w:p>
    <w:p>
      <w:pPr>
        <w:spacing w:after="0" w:line="177" w:lineRule="exact"/>
        <w:rPr>
          <w:sz w:val="20"/>
          <w:szCs w:val="20"/>
          <w:color w:val="auto"/>
        </w:rPr>
      </w:pPr>
    </w:p>
    <w:p>
      <w:pPr>
        <w:ind w:right="20" w:firstLine="761"/>
        <w:spacing w:after="0" w:line="239" w:lineRule="auto"/>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June 30, 2023 and its results of operations for the three and six months ended June 30, 2023 and 2022. The results for the three and six months ended June 30, 2023 are not necessarily indicative of the results expected for the current fiscal year or any other future periods. Certain prior year amounts have been reclassified to conform to the current year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08" w:lineRule="exact"/>
        <w:rPr>
          <w:sz w:val="20"/>
          <w:szCs w:val="20"/>
          <w:color w:val="auto"/>
        </w:rPr>
      </w:pPr>
    </w:p>
    <w:p>
      <w:pPr>
        <w:ind w:right="600" w:firstLine="761"/>
        <w:spacing w:after="0" w:line="260"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08" w:lineRule="exact"/>
        <w:rPr>
          <w:sz w:val="20"/>
          <w:szCs w:val="20"/>
          <w:color w:val="auto"/>
        </w:rPr>
      </w:pPr>
    </w:p>
    <w:p>
      <w:pPr>
        <w:ind w:right="60" w:firstLine="761"/>
        <w:spacing w:after="0" w:line="239"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other comprehensive income or loss for the three and six months ended June 30, 2023 and 2022.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Accordingly, net loss and comprehensive loss are the same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08" w:lineRule="exact"/>
        <w:rPr>
          <w:sz w:val="20"/>
          <w:szCs w:val="20"/>
          <w:color w:val="auto"/>
        </w:rPr>
      </w:pPr>
    </w:p>
    <w:p>
      <w:pPr>
        <w:ind w:right="340" w:firstLine="761"/>
        <w:spacing w:after="0" w:line="243" w:lineRule="auto"/>
        <w:rPr>
          <w:sz w:val="20"/>
          <w:szCs w:val="20"/>
          <w:color w:val="auto"/>
        </w:rPr>
      </w:pPr>
      <w:r>
        <w:rPr>
          <w:rFonts w:ascii="Arial" w:cs="Arial" w:eastAsia="Arial" w:hAnsi="Arial"/>
          <w:sz w:val="18"/>
          <w:szCs w:val="18"/>
          <w:color w:val="auto"/>
        </w:rPr>
        <w:t>Restricted cash includes cash deposits required under the Company’s 2022 Vehicle Floorplan Facility as explained in Note 10 – Vehicle Floorplan Facility and UACC restricted cash. UACC collects and services receivables under the securitization transactions and warehouse credit facilities. These collections are restricted for use until properly remitted each month under the terms of the servicing agreement. Refer to Note 11 — Warehouse Credit Facilities of Consolidated VIEs and Note 12 — Long Term Debt for further detail.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208" w:lineRule="exact"/>
        <w:rPr>
          <w:sz w:val="20"/>
          <w:szCs w:val="20"/>
          <w:color w:val="auto"/>
        </w:rPr>
      </w:pPr>
    </w:p>
    <w:p>
      <w:pPr>
        <w:ind w:right="180" w:firstLine="761"/>
        <w:spacing w:after="0" w:line="260" w:lineRule="auto"/>
        <w:rPr>
          <w:sz w:val="20"/>
          <w:szCs w:val="20"/>
          <w:color w:val="auto"/>
        </w:rPr>
      </w:pPr>
      <w:r>
        <w:rPr>
          <w:rFonts w:ascii="Arial" w:cs="Arial" w:eastAsia="Arial" w:hAnsi="Arial"/>
          <w:sz w:val="18"/>
          <w:szCs w:val="18"/>
          <w:color w:val="auto"/>
        </w:rPr>
        <w:t>Finance receivables consist of installment contracts the Company originates through UACC to finance the vehicles it sells, as well as installment contracts acquired by UACC from its existing network of third-party dealership customers.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finance receivables are generally secured by the vehicles being financed.</w:t>
      </w:r>
    </w:p>
    <w:p>
      <w:pPr>
        <w:spacing w:after="0" w:line="198" w:lineRule="exact"/>
        <w:rPr>
          <w:sz w:val="20"/>
          <w:szCs w:val="20"/>
          <w:color w:val="auto"/>
        </w:rPr>
      </w:pPr>
    </w:p>
    <w:p>
      <w:pPr>
        <w:ind w:firstLine="761"/>
        <w:spacing w:after="0" w:line="247" w:lineRule="auto"/>
        <w:rPr>
          <w:sz w:val="20"/>
          <w:szCs w:val="20"/>
          <w:color w:val="auto"/>
        </w:rPr>
      </w:pPr>
      <w:r>
        <w:rPr>
          <w:rFonts w:ascii="Arial" w:cs="Arial" w:eastAsia="Arial" w:hAnsi="Arial"/>
          <w:sz w:val="18"/>
          <w:szCs w:val="18"/>
          <w:color w:val="auto"/>
        </w:rPr>
        <w:t>Finance receivables over 90 days delinquent are considered nonaccrual finance receivables. Interest income is subsequently recognized only to the extent cash payments are received. Finance receivables may be restored to accrual status when a customer settles all delinquency balances and future interest and principal payments are reasonably assured.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Held for Sale, Net</w:t>
      </w:r>
    </w:p>
    <w:p>
      <w:pPr>
        <w:spacing w:after="0" w:line="208" w:lineRule="exact"/>
        <w:rPr>
          <w:sz w:val="20"/>
          <w:szCs w:val="20"/>
          <w:color w:val="auto"/>
        </w:rPr>
      </w:pPr>
    </w:p>
    <w:p>
      <w:pPr>
        <w:ind w:right="80" w:firstLine="761"/>
        <w:spacing w:after="0" w:line="241" w:lineRule="auto"/>
        <w:rPr>
          <w:sz w:val="20"/>
          <w:szCs w:val="20"/>
          <w:color w:val="auto"/>
        </w:rPr>
      </w:pPr>
      <w:r>
        <w:rPr>
          <w:rFonts w:ascii="Arial" w:cs="Arial" w:eastAsia="Arial" w:hAnsi="Arial"/>
          <w:sz w:val="18"/>
          <w:szCs w:val="18"/>
          <w:color w:val="auto"/>
        </w:rPr>
        <w:t>Finance receivables that the Company intends to sell and not hold to maturity are classified as held-for-sale. The Company intends to sell finance receivables either through securitization transactions or forward flow arrangements. Finance receivables classified as held for sale are recorded at the lower of cost or fair value. Deferred acquisition costs and any discounts or premiums are deferred until the finance receivables are sold and are then recognized as part of the total gain or loss on sale and recorded in “Finance Revenue” and "Product, net" in the condensed consolidated statements of operations. Refer to Note 3 – Revenue Recognition.</w:t>
      </w:r>
    </w:p>
    <w:p>
      <w:pPr>
        <w:spacing w:after="0" w:line="176" w:lineRule="exact"/>
        <w:rPr>
          <w:sz w:val="20"/>
          <w:szCs w:val="20"/>
          <w:color w:val="auto"/>
        </w:rPr>
      </w:pPr>
    </w:p>
    <w:p>
      <w:pPr>
        <w:ind w:right="80" w:firstLine="761"/>
        <w:spacing w:after="0" w:line="239" w:lineRule="auto"/>
        <w:rPr>
          <w:sz w:val="20"/>
          <w:szCs w:val="20"/>
          <w:color w:val="auto"/>
        </w:rPr>
      </w:pPr>
      <w:r>
        <w:rPr>
          <w:rFonts w:ascii="Arial" w:cs="Arial" w:eastAsia="Arial" w:hAnsi="Arial"/>
          <w:sz w:val="18"/>
          <w:szCs w:val="18"/>
          <w:color w:val="auto"/>
        </w:rPr>
        <w:t>The Company records a valuation allowance to report finance receivables at the lower of amortized cost basis or fair value. To determine the valuation allowance, finance receivables are evaluated collectively as they represent a large group of smaller-balance homogeneous loans. To the extent that actual experience differs from estimates, significant adjustments to the Company's valuation allowance may be needed. Fair value adjustments are recorded in "Other loss, net" in the condensed consolidated statements of operations. Principal balances of finance receivables are charged-off when the Company is unable to sell the finance receivable and the related vehicle has been repossessed and liquidated or the receivable has otherwise been deemed uncollectible. As of June 30, 2023 and December 31, 2022, the valuation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allowance for finance receivables classified as held for sale was $10.2 million and $10.5 million, respectively. Refer to Note 16 – Financial Instruments and Fair Value Measurements.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at Fair Value</w:t>
      </w:r>
    </w:p>
    <w:p>
      <w:pPr>
        <w:spacing w:after="0" w:line="208" w:lineRule="exact"/>
        <w:rPr>
          <w:sz w:val="20"/>
          <w:szCs w:val="20"/>
          <w:color w:val="auto"/>
        </w:rPr>
      </w:pPr>
    </w:p>
    <w:p>
      <w:pPr>
        <w:ind w:right="340" w:firstLine="761"/>
        <w:spacing w:after="0" w:line="247" w:lineRule="auto"/>
        <w:rPr>
          <w:sz w:val="20"/>
          <w:szCs w:val="20"/>
          <w:color w:val="auto"/>
        </w:rPr>
      </w:pPr>
      <w:r>
        <w:rPr>
          <w:rFonts w:ascii="Arial" w:cs="Arial" w:eastAsia="Arial" w:hAnsi="Arial"/>
          <w:sz w:val="18"/>
          <w:szCs w:val="18"/>
          <w:color w:val="auto"/>
        </w:rPr>
        <w:t>Finance receivables at fair value represent finance receivables that the Company does not intend to sell in the immediate future and for which the fair value option was elected. Fair value adjustments are recorded in "Other loss, net" in the condensed consolidated statements of operations. Refer to Note 16 – Financial Instruments and Fair Value 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CFEs</w:t>
      </w:r>
    </w:p>
    <w:p>
      <w:pPr>
        <w:spacing w:after="0" w:line="208" w:lineRule="exact"/>
        <w:rPr>
          <w:sz w:val="20"/>
          <w:szCs w:val="20"/>
          <w:color w:val="auto"/>
        </w:rPr>
      </w:pPr>
    </w:p>
    <w:p>
      <w:pPr>
        <w:ind w:right="100" w:firstLine="761"/>
        <w:spacing w:after="0" w:line="239" w:lineRule="auto"/>
        <w:rPr>
          <w:sz w:val="20"/>
          <w:szCs w:val="20"/>
          <w:color w:val="auto"/>
        </w:rPr>
      </w:pPr>
      <w:r>
        <w:rPr>
          <w:rFonts w:ascii="Arial" w:cs="Arial" w:eastAsia="Arial" w:hAnsi="Arial"/>
          <w:sz w:val="18"/>
          <w:szCs w:val="18"/>
          <w:color w:val="auto"/>
        </w:rPr>
        <w:t xml:space="preserve">The Company elected the fair value option upon consolidation of the assets and liabilities of its variable interest entities ("VIEs") related to the 2021-1, 2022-2, and 2023-1 securitization transactions. Refer to Note 4 – Variable Interest Entities and Securitizations. These VIEs are consolidated collateralized financing entities (CFEs) and are accounted for using the measurement alternative in accordance with ASU 2014-13, </w:t>
      </w:r>
      <w:r>
        <w:rPr>
          <w:rFonts w:ascii="Arial" w:cs="Arial" w:eastAsia="Arial" w:hAnsi="Arial"/>
          <w:sz w:val="18"/>
          <w:szCs w:val="18"/>
          <w:i w:val="1"/>
          <w:iCs w:val="1"/>
          <w:color w:val="auto"/>
        </w:rPr>
        <w:t>Measuring the Financial Assets and Liabilities of a Consolidated Collateralized Financing Entity</w:t>
      </w:r>
      <w:r>
        <w:rPr>
          <w:rFonts w:ascii="Arial" w:cs="Arial" w:eastAsia="Arial" w:hAnsi="Arial"/>
          <w:sz w:val="18"/>
          <w:szCs w:val="18"/>
          <w:color w:val="auto"/>
        </w:rPr>
        <w:t xml:space="preserve"> (“ASU 2014-13"). During the three and six months ended June 30, 2023 and 2022, the Company recognized the following revenue and expenses associated with these CFEs in the condensed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9"/>
        </w:trPr>
        <w:tc>
          <w:tcPr>
            <w:tcW w:w="3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3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223"/>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revenue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24,849</w:t>
            </w:r>
          </w:p>
        </w:tc>
        <w:tc>
          <w:tcPr>
            <w:tcW w:w="4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14,156</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39,768</w:t>
            </w:r>
          </w:p>
        </w:tc>
        <w:tc>
          <w:tcPr>
            <w:tcW w:w="4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25,040</w:t>
            </w:r>
          </w:p>
        </w:tc>
        <w:tc>
          <w:tcPr>
            <w:tcW w:w="140" w:type="dxa"/>
            <w:vAlign w:val="bottom"/>
            <w:shd w:val="clear" w:color="auto" w:fill="CFF0FC"/>
          </w:tcPr>
          <w:p>
            <w:pPr>
              <w:spacing w:after="0"/>
              <w:rPr>
                <w:sz w:val="19"/>
                <w:szCs w:val="19"/>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3,644</w:t>
            </w:r>
          </w:p>
        </w:tc>
        <w:tc>
          <w:tcPr>
            <w:tcW w:w="42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5,975</w:t>
            </w:r>
          </w:p>
        </w:tc>
        <w:tc>
          <w:tcPr>
            <w:tcW w:w="44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cost of sales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(5,330 )</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(1,159 )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(8,829 )</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(2,005 )</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Product cost of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(703 )</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(1,601 )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loss, net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(15,534 )</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(311 )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(24,209 )</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(12,319 )</w:t>
            </w:r>
          </w:p>
        </w:tc>
      </w:tr>
    </w:tbl>
    <w:p>
      <w:pPr>
        <w:spacing w:after="0" w:line="190" w:lineRule="exact"/>
        <w:rPr>
          <w:sz w:val="20"/>
          <w:szCs w:val="20"/>
          <w:color w:val="auto"/>
        </w:rPr>
      </w:pPr>
    </w:p>
    <w:p>
      <w:pPr>
        <w:ind w:right="60" w:firstLine="811"/>
        <w:spacing w:after="0" w:line="243" w:lineRule="auto"/>
        <w:rPr>
          <w:sz w:val="20"/>
          <w:szCs w:val="20"/>
          <w:color w:val="auto"/>
        </w:rPr>
      </w:pPr>
      <w:r>
        <w:rPr>
          <w:rFonts w:ascii="Arial" w:cs="Arial" w:eastAsia="Arial" w:hAnsi="Arial"/>
          <w:sz w:val="18"/>
          <w:szCs w:val="18"/>
          <w:color w:val="auto"/>
        </w:rPr>
        <w:t>The assets and liabilities of the CFEs are presented as part of the current and noncurrent “Finance receivables at fair value”, “Current portion of securitization debt of consolidated VIEs at fair value”, and "Long term debt, net of current portion", respectively, on the condensed consolidated balance sheets. Refer to Note 4 – Variable Interest Entities and Securitizations and Note 16 – Financial Instruments and Fair Value Measurements for further details.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08" w:lineRule="exact"/>
        <w:rPr>
          <w:sz w:val="20"/>
          <w:szCs w:val="20"/>
          <w:color w:val="auto"/>
        </w:rPr>
      </w:pPr>
    </w:p>
    <w:p>
      <w:pPr>
        <w:ind w:right="60" w:firstLine="764"/>
        <w:spacing w:after="0" w:line="238" w:lineRule="auto"/>
        <w:rPr>
          <w:sz w:val="20"/>
          <w:szCs w:val="20"/>
          <w:color w:val="auto"/>
        </w:rPr>
      </w:pPr>
      <w:r>
        <w:rPr>
          <w:rFonts w:ascii="Arial" w:cs="Arial" w:eastAsia="Arial" w:hAnsi="Arial"/>
          <w:sz w:val="18"/>
          <w:szCs w:val="18"/>
          <w:color w:val="auto"/>
        </w:rPr>
        <w:t>The Company uses its best estimates and assumptions to assign fair value to the tangible and intangible assets acquired and liabilities assumed at the acquisition date. 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will continue to collect information and reevaluate these estimates and assumptions quarterly and record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will be recorded to the Company’s condensed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08" w:lineRule="exact"/>
        <w:rPr>
          <w:sz w:val="20"/>
          <w:szCs w:val="20"/>
          <w:color w:val="auto"/>
        </w:rPr>
      </w:pPr>
    </w:p>
    <w:p>
      <w:pPr>
        <w:ind w:right="280" w:firstLine="761"/>
        <w:spacing w:after="0" w:line="269" w:lineRule="auto"/>
        <w:rPr>
          <w:sz w:val="20"/>
          <w:szCs w:val="20"/>
          <w:color w:val="auto"/>
        </w:rPr>
      </w:pPr>
      <w:r>
        <w:rPr>
          <w:rFonts w:ascii="Arial" w:cs="Arial" w:eastAsia="Arial" w:hAnsi="Arial"/>
          <w:sz w:val="17"/>
          <w:szCs w:val="17"/>
          <w:color w:val="auto"/>
        </w:rPr>
        <w:t>Advertising costs are expensed as incurred and are included within “Selling, general and administrative expenses” in the condensed consolidated statements of operations. Advertising expenses were $15.0 million and $21.1 million for the three months ended June 30, 2023 and 2022, respectively, and $26.4 million and $54.9 million for the six months ended June 30, 2023 and 2022,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08" w:lineRule="exact"/>
        <w:rPr>
          <w:sz w:val="20"/>
          <w:szCs w:val="20"/>
          <w:color w:val="auto"/>
        </w:rPr>
      </w:pPr>
    </w:p>
    <w:p>
      <w:pPr>
        <w:ind w:right="160" w:firstLine="761"/>
        <w:spacing w:after="0" w:line="241" w:lineRule="auto"/>
        <w:rPr>
          <w:sz w:val="20"/>
          <w:szCs w:val="20"/>
          <w:color w:val="auto"/>
        </w:rPr>
      </w:pPr>
      <w:r>
        <w:rPr>
          <w:rFonts w:ascii="Arial" w:cs="Arial" w:eastAsia="Arial" w:hAnsi="Arial"/>
          <w:sz w:val="18"/>
          <w:szCs w:val="18"/>
          <w:color w:val="auto"/>
        </w:rPr>
        <w:t>Logistics costs related to inbound transportation from the point of acquisition to the relevant reconditioning facility are included in cost of sales when the related used vehicle is sold. Logistics costs not included in cost of sales are accounted for as costs to fulfill contracts with customers and are included in “Selling, general and administrative expenses” in the condensed consolidated statements of operations and were $2.0 million and $8.2 million for the three months ended June 30, 2023 and 2022, respectively, and $4.0 million and $35.0 million for the six months ended June 30, 2023 and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08" w:lineRule="exact"/>
        <w:rPr>
          <w:sz w:val="20"/>
          <w:szCs w:val="20"/>
          <w:color w:val="auto"/>
        </w:rPr>
      </w:pPr>
    </w:p>
    <w:p>
      <w:pPr>
        <w:ind w:right="220" w:firstLine="761"/>
        <w:spacing w:after="0" w:line="239"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treasury securities and commercial paper investments. Concentration of credit risk with respect to accounts receivable is generally mitigated by a large customer base.</w:t>
      </w:r>
    </w:p>
    <w:p>
      <w:pPr>
        <w:spacing w:after="0" w:line="181" w:lineRule="exact"/>
        <w:rPr>
          <w:sz w:val="20"/>
          <w:szCs w:val="20"/>
          <w:color w:val="auto"/>
        </w:rPr>
      </w:pPr>
    </w:p>
    <w:p>
      <w:pPr>
        <w:ind w:right="220" w:firstLine="761"/>
        <w:spacing w:after="0" w:line="260" w:lineRule="auto"/>
        <w:rPr>
          <w:sz w:val="20"/>
          <w:szCs w:val="20"/>
          <w:color w:val="auto"/>
        </w:rPr>
      </w:pPr>
      <w:r>
        <w:rPr>
          <w:rFonts w:ascii="Arial" w:cs="Arial" w:eastAsia="Arial" w:hAnsi="Arial"/>
          <w:sz w:val="18"/>
          <w:szCs w:val="18"/>
          <w:color w:val="auto"/>
        </w:rPr>
        <w:t>For the three and six months ended June 30, 2023 and 2022, no customer represented 10% or more of the Company’s revenues and no customer represented more than 10% of the Company’s accounts receivable as of June 30, 2023 and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08" w:lineRule="exact"/>
        <w:rPr>
          <w:sz w:val="20"/>
          <w:szCs w:val="20"/>
          <w:color w:val="auto"/>
        </w:rPr>
      </w:pPr>
    </w:p>
    <w:p>
      <w:pPr>
        <w:ind w:right="240" w:firstLine="761"/>
        <w:spacing w:after="0" w:line="260" w:lineRule="auto"/>
        <w:rPr>
          <w:sz w:val="20"/>
          <w:szCs w:val="20"/>
          <w:color w:val="auto"/>
        </w:rPr>
      </w:pPr>
      <w:r>
        <w:rPr>
          <w:rFonts w:ascii="Arial" w:cs="Arial" w:eastAsia="Arial" w:hAnsi="Arial"/>
          <w:sz w:val="18"/>
          <w:szCs w:val="18"/>
          <w:color w:val="auto"/>
        </w:rPr>
        <w:t>The Company has had negative cash flows and generated losses from operations since inception and has historically had to rely on debt and equity financing to fund its operations. Further, the Company expects to incur additional losses in the future.</w:t>
      </w:r>
    </w:p>
    <w:p>
      <w:pPr>
        <w:spacing w:after="0" w:line="159"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On May 5, 2022, the Company approved the long-term roadmap, which was designed to position the Company for long-term profitable growth by prioritizing unit economics, reducing operating expenses and maximizing liquidity. On January 18, 2023, the Company executed a reduction in force as part of the continued focus on reducing variable and fixed costs. Additionally, on April 26, 2023, as part of the Company’s ongoing reexamination of all facets of the business, the Company implemented an organizational restructuring that included a reduction in force. Refer to Note 17 – Restructuring Activities for further discussion.</w:t>
      </w:r>
    </w:p>
    <w:p>
      <w:pPr>
        <w:spacing w:after="0" w:line="176" w:lineRule="exact"/>
        <w:rPr>
          <w:sz w:val="20"/>
          <w:szCs w:val="20"/>
          <w:color w:val="auto"/>
        </w:rPr>
      </w:pPr>
    </w:p>
    <w:p>
      <w:pPr>
        <w:ind w:right="580" w:firstLine="761"/>
        <w:spacing w:after="0" w:line="260" w:lineRule="auto"/>
        <w:rPr>
          <w:sz w:val="20"/>
          <w:szCs w:val="20"/>
          <w:color w:val="auto"/>
        </w:rPr>
      </w:pPr>
      <w:r>
        <w:rPr>
          <w:rFonts w:ascii="Arial" w:cs="Arial" w:eastAsia="Arial" w:hAnsi="Arial"/>
          <w:sz w:val="18"/>
          <w:szCs w:val="18"/>
          <w:color w:val="auto"/>
        </w:rPr>
        <w:t>As of June 30, 2023, the Company had cash and cash equivalents of $237.9 million and restricted cash of $66.3 million. The primary source of liquidity is cash generated through financing activities.</w:t>
      </w:r>
    </w:p>
    <w:p>
      <w:pPr>
        <w:spacing w:after="0" w:line="159" w:lineRule="exact"/>
        <w:rPr>
          <w:sz w:val="20"/>
          <w:szCs w:val="20"/>
          <w:color w:val="auto"/>
        </w:rPr>
      </w:pPr>
    </w:p>
    <w:p>
      <w:pPr>
        <w:ind w:right="240" w:firstLine="761"/>
        <w:spacing w:after="0" w:line="239" w:lineRule="auto"/>
        <w:rPr>
          <w:sz w:val="20"/>
          <w:szCs w:val="20"/>
          <w:color w:val="auto"/>
        </w:rPr>
      </w:pPr>
      <w:r>
        <w:rPr>
          <w:rFonts w:ascii="Arial" w:cs="Arial" w:eastAsia="Arial" w:hAnsi="Arial"/>
          <w:sz w:val="18"/>
          <w:szCs w:val="18"/>
          <w:color w:val="auto"/>
        </w:rPr>
        <w:t>In June 2021, the Company issued $625.0 million aggregate principal amount of 0.75% unsecured Convertible Senior Notes due 2026. For the three and six months ended June 30, 2023, the Company repurchased approximately $18.2 million and $32.8 million in aggregate principal amount of the Notes (as defined in Note 12), net of deferred issuance costs, for $7.3 million and $ 13.2 million, respectively, in open-market transactions. The Company recognized a gain on extinguishment of debt of $10.9 million and $19.6 million for the three and six months ended June 30, 2023, respectively. As of June 30, 2023, $ 327.4 million aggregate principal amount of the Notes remain outstanding, net of deferred issuance costs of $5.1 million. Refer to Note 12 – Long Term Debt for further discussion.</w:t>
      </w:r>
    </w:p>
    <w:p>
      <w:pPr>
        <w:spacing w:after="0" w:line="181" w:lineRule="exact"/>
        <w:rPr>
          <w:sz w:val="20"/>
          <w:szCs w:val="20"/>
          <w:color w:val="auto"/>
        </w:rPr>
      </w:pPr>
    </w:p>
    <w:p>
      <w:pPr>
        <w:jc w:val="both"/>
        <w:ind w:right="180" w:firstLine="761"/>
        <w:spacing w:after="0" w:line="247" w:lineRule="auto"/>
        <w:rPr>
          <w:sz w:val="20"/>
          <w:szCs w:val="20"/>
          <w:color w:val="auto"/>
        </w:rPr>
      </w:pPr>
      <w:r>
        <w:rPr>
          <w:rFonts w:ascii="Arial" w:cs="Arial" w:eastAsia="Arial" w:hAnsi="Arial"/>
          <w:sz w:val="18"/>
          <w:szCs w:val="18"/>
          <w:color w:val="auto"/>
        </w:rPr>
        <w:t>The Company has a 2022 Vehicle Floorplan Facility (as defined in Note 10) with a borrowing capacity of $171.6 million as of June 30, 2023, of which $39.1 million was unutilized. The 2022 Vehicle Floorplan Facility provides a committed credit line of up to $500.0 million which is scheduled to mature on March 31, 2024. Refer to Note 10 – Vehicle Floorplan Facility for further discussion.</w:t>
      </w:r>
    </w:p>
    <w:p>
      <w:pPr>
        <w:spacing w:after="0" w:line="171" w:lineRule="exact"/>
        <w:rPr>
          <w:sz w:val="20"/>
          <w:szCs w:val="20"/>
          <w:color w:val="auto"/>
        </w:rPr>
      </w:pPr>
    </w:p>
    <w:p>
      <w:pPr>
        <w:jc w:val="both"/>
        <w:ind w:firstLine="761"/>
        <w:spacing w:after="0" w:line="247" w:lineRule="auto"/>
        <w:rPr>
          <w:sz w:val="20"/>
          <w:szCs w:val="20"/>
          <w:color w:val="auto"/>
        </w:rPr>
      </w:pPr>
      <w:r>
        <w:rPr>
          <w:rFonts w:ascii="Arial" w:cs="Arial" w:eastAsia="Arial" w:hAnsi="Arial"/>
          <w:sz w:val="18"/>
          <w:szCs w:val="18"/>
          <w:color w:val="auto"/>
        </w:rPr>
        <w:t>In January 2023, UACC sold approximately $238.7 million of rated asset-backed securities in an auto loan securitization transaction from a securitization trust, established and sponsored by UACC, for proceeds of $237.8 million. In April 2023, UACC sold the non-investment grade securities related to the 2023-1 securitization transaction for $23.1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right="200" w:firstLine="50"/>
        <w:spacing w:after="0" w:line="260" w:lineRule="auto"/>
        <w:rPr>
          <w:sz w:val="20"/>
          <w:szCs w:val="20"/>
          <w:color w:val="auto"/>
        </w:rPr>
      </w:pPr>
      <w:r>
        <w:rPr>
          <w:rFonts w:ascii="Arial" w:cs="Arial" w:eastAsia="Arial" w:hAnsi="Arial"/>
          <w:sz w:val="18"/>
          <w:szCs w:val="18"/>
          <w:color w:val="auto"/>
        </w:rPr>
        <w:t>million. UACC still retains the residual interests related to the 2023-1 securitization transaction. Refer to Note 4 – Variable Interest Entities and Securitizations for further discussion.</w:t>
      </w:r>
    </w:p>
    <w:p>
      <w:pPr>
        <w:spacing w:after="0" w:line="159" w:lineRule="exact"/>
        <w:rPr>
          <w:sz w:val="20"/>
          <w:szCs w:val="20"/>
          <w:color w:val="auto"/>
        </w:rPr>
      </w:pPr>
    </w:p>
    <w:p>
      <w:pPr>
        <w:ind w:right="160" w:firstLine="761"/>
        <w:spacing w:after="0" w:line="247" w:lineRule="auto"/>
        <w:rPr>
          <w:sz w:val="20"/>
          <w:szCs w:val="20"/>
          <w:color w:val="auto"/>
        </w:rPr>
      </w:pPr>
      <w:r>
        <w:rPr>
          <w:rFonts w:ascii="Arial" w:cs="Arial" w:eastAsia="Arial" w:hAnsi="Arial"/>
          <w:sz w:val="18"/>
          <w:szCs w:val="18"/>
          <w:color w:val="auto"/>
        </w:rPr>
        <w:t>UACC has four warehouse credit facilities with an aggregate borrowing limit of $850.0 million as of June 30, 2023. As of June 30, 2023, outstanding borrowings related to the Warehouse Credit Facilities were $177.9 million and excess borrowing capacity was $93.0 million. Refer to Note 11 – Warehouse Credit Facilities of Consolidated VIEs for further discussion.</w:t>
      </w:r>
    </w:p>
    <w:p>
      <w:pPr>
        <w:spacing w:after="0" w:line="171" w:lineRule="exact"/>
        <w:rPr>
          <w:sz w:val="20"/>
          <w:szCs w:val="20"/>
          <w:color w:val="auto"/>
        </w:rPr>
      </w:pPr>
    </w:p>
    <w:p>
      <w:pPr>
        <w:ind w:right="20" w:firstLine="761"/>
        <w:spacing w:after="0" w:line="247" w:lineRule="auto"/>
        <w:rPr>
          <w:sz w:val="20"/>
          <w:szCs w:val="20"/>
          <w:color w:val="auto"/>
        </w:rPr>
      </w:pPr>
      <w:r>
        <w:rPr>
          <w:rFonts w:ascii="Arial" w:cs="Arial" w:eastAsia="Arial" w:hAnsi="Arial"/>
          <w:sz w:val="18"/>
          <w:szCs w:val="18"/>
          <w:color w:val="auto"/>
        </w:rPr>
        <w:t>The Company anticipates that its existing cash and cash equivalents, the 2022 Vehicle Floorplan Facility and UACC credit facilities will be sufficient to support its operations for at least the next twelve months from the date of issuance of the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202" w:lineRule="exact"/>
        <w:rPr>
          <w:sz w:val="20"/>
          <w:szCs w:val="20"/>
          <w:color w:val="auto"/>
        </w:rPr>
      </w:pPr>
    </w:p>
    <w:p>
      <w:pPr>
        <w:ind w:firstLine="761"/>
        <w:spacing w:after="0" w:line="264"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Contracts with Customers</w:t>
      </w:r>
      <w:r>
        <w:rPr>
          <w:rFonts w:ascii="Arial" w:cs="Arial" w:eastAsia="Arial" w:hAnsi="Arial"/>
          <w:sz w:val="17"/>
          <w:szCs w:val="17"/>
          <w:color w:val="auto"/>
        </w:rPr>
        <w:t>, which requires contract assets and contract liabilities acquired in a business combination to be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accordance with Topic 606 as if the acquirer had originated the contracts. The Company adopted the guidance on January 1, 2023, which did not have a material impact on the Company's condensed consolidated financial statements and related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08" w:lineRule="exact"/>
        <w:rPr>
          <w:sz w:val="20"/>
          <w:szCs w:val="20"/>
          <w:color w:val="auto"/>
        </w:rPr>
      </w:pPr>
    </w:p>
    <w:p>
      <w:pPr>
        <w:ind w:right="80" w:firstLine="761"/>
        <w:spacing w:after="0" w:line="243"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and government fees from customers on behalf of governmental authorities at the time of sale as required. These taxes are accounted for on a net basis and are not included in revenues or cost of sales.</w:t>
      </w:r>
    </w:p>
    <w:p>
      <w:pPr>
        <w:spacing w:after="0" w:line="174" w:lineRule="exact"/>
        <w:rPr>
          <w:sz w:val="20"/>
          <w:szCs w:val="20"/>
          <w:color w:val="auto"/>
        </w:rPr>
      </w:pPr>
    </w:p>
    <w:p>
      <w:pPr>
        <w:ind w:right="460" w:firstLine="761"/>
        <w:spacing w:after="0" w:line="260" w:lineRule="auto"/>
        <w:rPr>
          <w:sz w:val="20"/>
          <w:szCs w:val="20"/>
          <w:color w:val="auto"/>
        </w:rPr>
      </w:pPr>
      <w:r>
        <w:rPr>
          <w:rFonts w:ascii="Arial" w:cs="Arial" w:eastAsia="Arial" w:hAnsi="Arial"/>
          <w:sz w:val="18"/>
          <w:szCs w:val="18"/>
          <w:color w:val="auto"/>
        </w:rPr>
        <w:t>The Company’s revenue is disaggregated within the condensed consolidated statements of operations and is generated from customers throughout the United States.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208"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and document fees stated within the customer contract. Revenue excludes any sales taxes, title and registration fees, and other government fees that are collected from customers.</w:t>
      </w:r>
    </w:p>
    <w:p>
      <w:pPr>
        <w:spacing w:after="0" w:line="180" w:lineRule="exact"/>
        <w:rPr>
          <w:sz w:val="20"/>
          <w:szCs w:val="20"/>
          <w:color w:val="auto"/>
        </w:rPr>
      </w:pPr>
    </w:p>
    <w:p>
      <w:pPr>
        <w:jc w:val="both"/>
        <w:ind w:right="40" w:firstLine="761"/>
        <w:spacing w:after="0" w:line="247" w:lineRule="auto"/>
        <w:rPr>
          <w:sz w:val="20"/>
          <w:szCs w:val="20"/>
          <w:color w:val="auto"/>
        </w:rPr>
      </w:pPr>
      <w:r>
        <w:rPr>
          <w:rFonts w:ascii="Arial" w:cs="Arial" w:eastAsia="Arial" w:hAnsi="Arial"/>
          <w:sz w:val="18"/>
          <w:szCs w:val="18"/>
          <w:color w:val="auto"/>
        </w:rPr>
        <w:t>The Company receives payment for used vehicle sales directly from the customer at the time of sale or arranges financing within a short period of time following the sale. Payments received prior to delivery or pick-up at the TDA retail location of used vehicles are recorded as “Deferred revenue” within the condensed consolidated balance sheets.</w:t>
      </w:r>
    </w:p>
    <w:p>
      <w:pPr>
        <w:spacing w:after="0" w:line="171" w:lineRule="exact"/>
        <w:rPr>
          <w:sz w:val="20"/>
          <w:szCs w:val="20"/>
          <w:color w:val="auto"/>
        </w:rPr>
      </w:pPr>
    </w:p>
    <w:p>
      <w:pPr>
        <w:ind w:right="20" w:firstLine="761"/>
        <w:spacing w:after="0" w:line="247" w:lineRule="auto"/>
        <w:rPr>
          <w:sz w:val="20"/>
          <w:szCs w:val="20"/>
          <w:color w:val="auto"/>
        </w:rPr>
      </w:pPr>
      <w:r>
        <w:rPr>
          <w:rFonts w:ascii="Arial" w:cs="Arial" w:eastAsia="Arial" w:hAnsi="Arial"/>
          <w:sz w:val="18"/>
          <w:szCs w:val="18"/>
          <w:color w:val="auto"/>
        </w:rPr>
        <w:t>The Company offers a return program for used vehicle sales and establishes a provision for estimated returns based on historical information and current trends. The reserve for estimated returns is presented gross on the condensed consolidated balance sheets, with an asset recorded in “Prepaid expenses and other current assets” and a refund liability recorded in “Other current liabilities.”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208"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The Company sells vehicles that do not meet its retail sales criteria through wholesale channels. Vehicles sold through wholesale channels are acquired from customers who trade-in their vehicles when making a purchase from the Company, from customers who sell their vehicles to the Company in direct-buy transactions, and from liquidation of vehicles previously listed for retail sale. The transaction price for wholesale vehicles is a fixed amount. The Company satisfies its performance obligation and recognizes revenue for wholesale vehicle sales at a point in time when the vehicle is sold. The transaction price is typically due and collected within a short period of time following the vehicle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08" w:lineRule="exact"/>
        <w:rPr>
          <w:sz w:val="20"/>
          <w:szCs w:val="20"/>
          <w:color w:val="auto"/>
        </w:rPr>
      </w:pPr>
    </w:p>
    <w:p>
      <w:pPr>
        <w:ind w:firstLine="761"/>
        <w:spacing w:after="0" w:line="247" w:lineRule="auto"/>
        <w:rPr>
          <w:sz w:val="20"/>
          <w:szCs w:val="20"/>
          <w:color w:val="auto"/>
        </w:rPr>
      </w:pPr>
      <w:r>
        <w:rPr>
          <w:rFonts w:ascii="Arial" w:cs="Arial" w:eastAsia="Arial" w:hAnsi="Arial"/>
          <w:sz w:val="18"/>
          <w:szCs w:val="18"/>
          <w:color w:val="auto"/>
        </w:rPr>
        <w:t>The Company’s product revenue consists of income from financing vehicle sales for Vroom customers through UACC and fees earned on selling third-party financing and value-added products, such as vehicle service contracts, guaranteed asset protection (“GAP”) and tire and wheel coverage.</w:t>
      </w:r>
    </w:p>
    <w:p>
      <w:pPr>
        <w:spacing w:after="0" w:line="171" w:lineRule="exact"/>
        <w:rPr>
          <w:sz w:val="20"/>
          <w:szCs w:val="20"/>
          <w:color w:val="auto"/>
        </w:rPr>
      </w:pPr>
    </w:p>
    <w:p>
      <w:pPr>
        <w:ind w:right="160" w:firstLine="761"/>
        <w:spacing w:after="0" w:line="243" w:lineRule="auto"/>
        <w:rPr>
          <w:sz w:val="20"/>
          <w:szCs w:val="20"/>
          <w:color w:val="auto"/>
        </w:rPr>
      </w:pPr>
      <w:r>
        <w:rPr>
          <w:rFonts w:ascii="Arial" w:cs="Arial" w:eastAsia="Arial" w:hAnsi="Arial"/>
          <w:sz w:val="18"/>
          <w:szCs w:val="18"/>
          <w:color w:val="auto"/>
        </w:rPr>
        <w:t>As a result of the UACC Acquisition (as defined below), the Company generates ecommerce product revenue by providing Vroom customers with automotive financing solutions through its captive financing operation. The Company earns interest income on finance receivables before they are sold, interest income on finance receivables held in consolidated VIEs, and gains on the sale of finance receivables. Refer to Note 4 – Variable Interest Entities and Securitizations.</w:t>
      </w:r>
    </w:p>
    <w:p>
      <w:pPr>
        <w:spacing w:after="0" w:line="174"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The Company also sells third-party financing and value-added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174" w:lineRule="exact"/>
        <w:rPr>
          <w:sz w:val="20"/>
          <w:szCs w:val="20"/>
          <w:color w:val="auto"/>
        </w:rPr>
      </w:pPr>
    </w:p>
    <w:p>
      <w:pPr>
        <w:ind w:right="340" w:firstLine="761"/>
        <w:spacing w:after="0" w:line="241"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176"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A portion of the fees earned on third-party financing and value-added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June 30, 2023 and December 31, 2022, the Company’s reserve for chargebacks was $7.0 million and $8.2 million, respectively, of which $3.7 million and $4.4 million, respectively, are included within “Accrued expenses” and $3.3 million and $3.8 million, respectively, are included in “Other long-term liabilities.”</w:t>
      </w:r>
    </w:p>
    <w:p>
      <w:pPr>
        <w:spacing w:after="0" w:line="177"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June 30, 2023 and December 31, 2022, the Company recognized $21.4 million and $22.5 million, respectively, related to cumulative profit-sharing payments to which it expects to be entitled, of which $2.0 million and $1.6 million, respectively, are included within “Prepaid expenses and other current assets” and $19.4 million and $20.9 million, respectively, are included within “Other assets.”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Revenue</w:t>
      </w:r>
    </w:p>
    <w:p>
      <w:pPr>
        <w:spacing w:after="0" w:line="208" w:lineRule="exact"/>
        <w:rPr>
          <w:sz w:val="20"/>
          <w:szCs w:val="20"/>
          <w:color w:val="auto"/>
        </w:rPr>
      </w:pPr>
    </w:p>
    <w:p>
      <w:pPr>
        <w:ind w:right="20" w:firstLine="761"/>
        <w:spacing w:after="0" w:line="247" w:lineRule="auto"/>
        <w:rPr>
          <w:sz w:val="20"/>
          <w:szCs w:val="20"/>
          <w:color w:val="auto"/>
        </w:rPr>
      </w:pPr>
      <w:r>
        <w:rPr>
          <w:rFonts w:ascii="Arial" w:cs="Arial" w:eastAsia="Arial" w:hAnsi="Arial"/>
          <w:sz w:val="18"/>
          <w:szCs w:val="18"/>
          <w:color w:val="auto"/>
        </w:rPr>
        <w:t>The Company’s finance revenue is related to finance receivables originated by UACC for its network of third-party dealership customers and consists of interest income earned on finance receivables before they are sold, interest income earned on finance receivables held in consolidated VIEs, and gains on the sale of finance receivables. Refer to Note 4 – Variable Interest Entities and Securitizations.</w:t>
      </w:r>
    </w:p>
    <w:p>
      <w:pPr>
        <w:spacing w:after="0" w:line="171"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Interest income deemed uncollectible is reversed at the time the finance receivable is charged off. An account is considered delinquent if a scheduled payment has not been received by the date such payment was contractually due.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 Late charges and other fees are calculated at predetermined amounts or percentages of overdue finance receivable balances and are recorded on a cash basis.</w:t>
      </w:r>
    </w:p>
    <w:p>
      <w:pPr>
        <w:spacing w:after="0" w:line="181" w:lineRule="exact"/>
        <w:rPr>
          <w:sz w:val="20"/>
          <w:szCs w:val="20"/>
          <w:color w:val="auto"/>
        </w:rPr>
      </w:pPr>
    </w:p>
    <w:p>
      <w:pPr>
        <w:ind w:right="60" w:firstLine="761"/>
        <w:spacing w:after="0" w:line="241" w:lineRule="auto"/>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for the 2022-1 securitization transaction and 3.25% for the 2022-2 and 2023-1 securitization transactions of the outstanding principal balance of the finance receivables serviced. From January to March 2023, UACC waived the monthly servicing fees related to the 2022-2 securitization transaction, which resulted in consolidation of the 2022-2 VIE. Refer to Note 4 – Variable Interest Entities and Securitizations.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08" w:lineRule="exact"/>
        <w:rPr>
          <w:sz w:val="20"/>
          <w:szCs w:val="20"/>
          <w:color w:val="auto"/>
        </w:rPr>
      </w:pPr>
    </w:p>
    <w:p>
      <w:pPr>
        <w:ind w:right="40" w:firstLine="761"/>
        <w:spacing w:after="0" w:line="247" w:lineRule="auto"/>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condensed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Variable Interest Entities and Securitizations</w:t>
      </w:r>
    </w:p>
    <w:p>
      <w:pPr>
        <w:spacing w:after="0" w:line="208" w:lineRule="exact"/>
        <w:rPr>
          <w:sz w:val="20"/>
          <w:szCs w:val="20"/>
          <w:color w:val="auto"/>
        </w:rPr>
      </w:pPr>
    </w:p>
    <w:p>
      <w:pPr>
        <w:ind w:right="80" w:firstLine="761"/>
        <w:spacing w:after="0" w:line="239" w:lineRule="auto"/>
        <w:rPr>
          <w:sz w:val="20"/>
          <w:szCs w:val="20"/>
          <w:color w:val="auto"/>
        </w:rPr>
      </w:pPr>
      <w:r>
        <w:rPr>
          <w:rFonts w:ascii="Arial" w:cs="Arial" w:eastAsia="Arial" w:hAnsi="Arial"/>
          <w:sz w:val="18"/>
          <w:szCs w:val="18"/>
          <w:color w:val="auto"/>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spacing w:after="0" w:line="177"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UACC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spacing w:after="0" w:line="174" w:lineRule="exact"/>
        <w:rPr>
          <w:sz w:val="20"/>
          <w:szCs w:val="20"/>
          <w:color w:val="auto"/>
        </w:rPr>
      </w:pPr>
    </w:p>
    <w:p>
      <w:pPr>
        <w:ind w:right="140" w:firstLine="761"/>
        <w:spacing w:after="0" w:line="241" w:lineRule="auto"/>
        <w:rPr>
          <w:sz w:val="20"/>
          <w:szCs w:val="20"/>
          <w:color w:val="auto"/>
        </w:rPr>
      </w:pPr>
      <w:r>
        <w:rPr>
          <w:rFonts w:ascii="Arial" w:cs="Arial" w:eastAsia="Arial" w:hAnsi="Arial"/>
          <w:sz w:val="18"/>
          <w:szCs w:val="18"/>
          <w:color w:val="auto"/>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 In February and July 2022, UACC completed the 2022-1 and 2022-2 securitization transactions, respectively, and in January 2023, UACC completed the 2023-1 securitization transaction.</w:t>
      </w:r>
    </w:p>
    <w:p>
      <w:pPr>
        <w:spacing w:after="0" w:line="176" w:lineRule="exact"/>
        <w:rPr>
          <w:sz w:val="20"/>
          <w:szCs w:val="20"/>
          <w:color w:val="auto"/>
        </w:rPr>
      </w:pPr>
    </w:p>
    <w:p>
      <w:pPr>
        <w:jc w:val="both"/>
        <w:ind w:right="60" w:firstLine="761"/>
        <w:spacing w:after="0" w:line="243" w:lineRule="auto"/>
        <w:rPr>
          <w:sz w:val="20"/>
          <w:szCs w:val="20"/>
          <w:color w:val="auto"/>
        </w:rPr>
      </w:pPr>
      <w:r>
        <w:rPr>
          <w:rFonts w:ascii="Arial" w:cs="Arial" w:eastAsia="Arial" w:hAnsi="Arial"/>
          <w:sz w:val="18"/>
          <w:szCs w:val="18"/>
          <w:color w:val="auto"/>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 For all securitization transactions consummated prior to the Acquisition Date, the Company consolidated VIEs and accounted for these transactions as secured borrowings.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spacing w:after="0" w:line="176" w:lineRule="exact"/>
        <w:rPr>
          <w:sz w:val="20"/>
          <w:szCs w:val="20"/>
          <w:color w:val="auto"/>
        </w:rPr>
      </w:pPr>
    </w:p>
    <w:p>
      <w:pPr>
        <w:ind w:right="140" w:firstLine="761"/>
        <w:spacing w:after="0" w:line="241" w:lineRule="auto"/>
        <w:rPr>
          <w:sz w:val="20"/>
          <w:szCs w:val="20"/>
          <w:color w:val="auto"/>
        </w:rPr>
      </w:pPr>
      <w:r>
        <w:rPr>
          <w:rFonts w:ascii="Arial" w:cs="Arial" w:eastAsia="Arial" w:hAnsi="Arial"/>
          <w:sz w:val="18"/>
          <w:szCs w:val="18"/>
          <w:color w:val="auto"/>
        </w:rPr>
        <w:t>In January 2023, UACC completed the 2023-1 securitization transaction, in which it sold approximately $238.7 million of rated asset-backed securities, for proceeds of $237.8 million. In April 2023, UACC sold the non-investment grade securities related to the 2023-1 securitization transaction for $23.1 million. UACC still retains the residual interests related to the 2023-1 securitization transaction. The trust is collateralized by finance receivables with an aggregate principal balance of $326.4 million. These finance receivables are serviced by UACC. The Company consolidated the 2023-1 VIE and accounted for this transaction as a secured borrowing.</w:t>
      </w:r>
    </w:p>
    <w:p>
      <w:pPr>
        <w:spacing w:after="0" w:line="176" w:lineRule="exact"/>
        <w:rPr>
          <w:sz w:val="20"/>
          <w:szCs w:val="20"/>
          <w:color w:val="auto"/>
        </w:rPr>
      </w:pPr>
    </w:p>
    <w:p>
      <w:pPr>
        <w:ind w:right="40" w:firstLine="761"/>
        <w:spacing w:after="0" w:line="239" w:lineRule="auto"/>
        <w:rPr>
          <w:sz w:val="20"/>
          <w:szCs w:val="20"/>
          <w:color w:val="auto"/>
        </w:rPr>
      </w:pPr>
      <w:r>
        <w:rPr>
          <w:rFonts w:ascii="Arial" w:cs="Arial" w:eastAsia="Arial" w:hAnsi="Arial"/>
          <w:sz w:val="18"/>
          <w:szCs w:val="18"/>
          <w:color w:val="auto"/>
        </w:rPr>
        <w:t>UACC is the primary beneficiary of the 2021-1 and 2023-1 securitization trusts, as it has both the power to direct the activities that most significantly impact the entity’s economic performance and the obligation to absorb losses or the right to receive benefits from the entity that could potentially be significant to the VIE. UACC also retained a portion of the economic interests in the 2021-1 and 2023-1 asset-backed securitization transactions, in the form of residual interests in accordance with Regulation RR of the Dodd-Frank Wall Street Reform and Consumer Protection Act of 2010 (the "Risk Retention Rules"). The Risk Retention Rules require the Company to retain at least 5% of the beneficial interests issued by the securitization trusts. Refer to Note 12 – Long Term Debt for further details.</w:t>
      </w:r>
    </w:p>
    <w:p>
      <w:pPr>
        <w:spacing w:after="0" w:line="181"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In July 2022, UACC sold a pool of finance receivables in the 2022-2 securitization transaction. UACC retained the servicing rights to these finance receivables and receives an "at market" servicing fee. UACC retained an insignificant amount of the asset-backed securities issued in the securitization in order to comply with risk retention rules. Originally, the Company concluded that it is not the primary beneficiary of the 2022-2 securitization trust because UACC retained interests in the VIE are insignificant. Therefore, the Company did not originally consolidate the 2022-2 trust. From January to March 2023, although not contractually required, UACC elected to waive its servicing fee on the 2022-2 securitization, due to higher-than-expected losses, which transferred more than an insignificant portion of the corresponding risk of loss from the VIE to the Company. Since UACC has the power to direct the significant activities of the VIE, as it is the servicer, and additionally it absorbs the risk of loss, the Company concluded that it is the primary beneficiary of the VIE. In March 2023, the Company accounted for the transaction as secured borrowings and consolidated the 2022-2 securitization trust. The beneficial interest was then eliminated.</w:t>
      </w:r>
    </w:p>
    <w:p>
      <w:pPr>
        <w:spacing w:after="0" w:line="184" w:lineRule="exact"/>
        <w:rPr>
          <w:sz w:val="20"/>
          <w:szCs w:val="20"/>
          <w:color w:val="auto"/>
        </w:rPr>
      </w:pPr>
    </w:p>
    <w:p>
      <w:pPr>
        <w:ind w:right="80" w:firstLine="761"/>
        <w:spacing w:after="0" w:line="239" w:lineRule="auto"/>
        <w:rPr>
          <w:sz w:val="20"/>
          <w:szCs w:val="20"/>
          <w:color w:val="auto"/>
        </w:rPr>
      </w:pPr>
      <w:r>
        <w:rPr>
          <w:rFonts w:ascii="Arial" w:cs="Arial" w:eastAsia="Arial" w:hAnsi="Arial"/>
          <w:sz w:val="18"/>
          <w:szCs w:val="18"/>
          <w:color w:val="auto"/>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consolidated income statement. The 2021-1, 2022-2, and 2023-1 securitization trusts consolidated by UACC meet the definition of a CFE, therefore, the Company has elected to apply the measurement alternative when consolidating these VIEs. Refer to Note 16 – Financial Instruments and Fair Value Measurements for further detail.</w:t>
      </w:r>
    </w:p>
    <w:p>
      <w:pPr>
        <w:spacing w:after="0" w:line="181" w:lineRule="exact"/>
        <w:rPr>
          <w:sz w:val="20"/>
          <w:szCs w:val="20"/>
          <w:color w:val="auto"/>
        </w:rPr>
      </w:pPr>
    </w:p>
    <w:p>
      <w:pPr>
        <w:jc w:val="both"/>
        <w:ind w:right="140" w:firstLine="761"/>
        <w:spacing w:after="0" w:line="239" w:lineRule="auto"/>
        <w:rPr>
          <w:sz w:val="20"/>
          <w:szCs w:val="20"/>
          <w:color w:val="auto"/>
        </w:rPr>
      </w:pPr>
      <w:r>
        <w:rPr>
          <w:rFonts w:ascii="Arial" w:cs="Arial" w:eastAsia="Arial" w:hAnsi="Arial"/>
          <w:sz w:val="18"/>
          <w:szCs w:val="18"/>
          <w:color w:val="auto"/>
        </w:rPr>
        <w:t>UACC has four 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These trusts are consolidated VIEs. Refer to Note 11 – Warehouse Credit Facilities of Consolidated VIEs for further details on the warehouse facilities.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jc w:val="both"/>
        <w:ind w:right="20" w:firstLine="764"/>
        <w:spacing w:after="0" w:line="247" w:lineRule="auto"/>
        <w:rPr>
          <w:sz w:val="20"/>
          <w:szCs w:val="20"/>
          <w:color w:val="auto"/>
        </w:rPr>
      </w:pPr>
      <w:r>
        <w:rPr>
          <w:rFonts w:ascii="Arial" w:cs="Arial" w:eastAsia="Arial" w:hAnsi="Arial"/>
          <w:sz w:val="18"/>
          <w:szCs w:val="18"/>
          <w:color w:val="auto"/>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in the condensed consolidated balance sheets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As of June 30, 2023</w:t>
            </w: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42"/>
        </w:trPr>
        <w:tc>
          <w:tcPr>
            <w:tcW w:w="5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13"/>
              <w:spacing w:after="0" w:line="142" w:lineRule="exact"/>
              <w:rPr>
                <w:sz w:val="20"/>
                <w:szCs w:val="20"/>
                <w:color w:val="auto"/>
              </w:rPr>
            </w:pPr>
            <w:r>
              <w:rPr>
                <w:rFonts w:ascii="Arial" w:cs="Arial" w:eastAsia="Arial" w:hAnsi="Arial"/>
                <w:sz w:val="14"/>
                <w:szCs w:val="14"/>
                <w:b w:val="1"/>
                <w:bCs w:val="1"/>
                <w:color w:val="auto"/>
              </w:rPr>
              <w:t>Warehouse</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3"/>
        </w:trPr>
        <w:tc>
          <w:tcPr>
            <w:tcW w:w="5060" w:type="dxa"/>
            <w:vAlign w:val="bottom"/>
          </w:tcPr>
          <w:p>
            <w:pPr>
              <w:spacing w:after="0"/>
              <w:rPr>
                <w:sz w:val="17"/>
                <w:szCs w:val="17"/>
                <w:color w:val="auto"/>
              </w:rPr>
            </w:pPr>
          </w:p>
        </w:tc>
        <w:tc>
          <w:tcPr>
            <w:tcW w:w="1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Securitization Vehicles</w:t>
            </w: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73"/>
              <w:spacing w:after="0" w:line="203" w:lineRule="exact"/>
              <w:rPr>
                <w:sz w:val="20"/>
                <w:szCs w:val="20"/>
                <w:color w:val="auto"/>
              </w:rPr>
            </w:pPr>
            <w:r>
              <w:rPr>
                <w:rFonts w:ascii="Arial" w:cs="Arial" w:eastAsia="Arial" w:hAnsi="Arial"/>
                <w:sz w:val="14"/>
                <w:szCs w:val="14"/>
                <w:b w:val="1"/>
                <w:bCs w:val="1"/>
                <w:color w:val="auto"/>
              </w:rPr>
              <w:t>Facilities</w:t>
            </w:r>
            <w:r>
              <w:rPr>
                <w:rFonts w:ascii="Arial" w:cs="Arial" w:eastAsia="Arial" w:hAnsi="Arial"/>
                <w:sz w:val="19"/>
                <w:szCs w:val="19"/>
                <w:b w:val="1"/>
                <w:bCs w:val="1"/>
                <w:color w:val="auto"/>
                <w:vertAlign w:val="superscript"/>
              </w:rPr>
              <w:t>1</w:t>
            </w:r>
          </w:p>
        </w:tc>
        <w:tc>
          <w:tcPr>
            <w:tcW w:w="3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34,764</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10,143</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44,907</w:t>
            </w:r>
          </w:p>
        </w:tc>
        <w:tc>
          <w:tcPr>
            <w:tcW w:w="140" w:type="dxa"/>
            <w:vAlign w:val="bottom"/>
          </w:tcPr>
          <w:p>
            <w:pPr>
              <w:spacing w:after="0"/>
              <w:rPr>
                <w:sz w:val="19"/>
                <w:szCs w:val="19"/>
                <w:color w:val="auto"/>
              </w:rPr>
            </w:pPr>
          </w:p>
        </w:tc>
      </w:tr>
      <w:tr>
        <w:trPr>
          <w:trHeight w:val="230"/>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11,431</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12,360</w:t>
            </w:r>
          </w:p>
        </w:tc>
        <w:tc>
          <w:tcPr>
            <w:tcW w:w="140" w:type="dxa"/>
            <w:vAlign w:val="bottom"/>
            <w:shd w:val="clear" w:color="auto" w:fill="CFF0FC"/>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Finance receivables held for sale</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204,420</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204,420</w:t>
            </w:r>
          </w:p>
        </w:tc>
        <w:tc>
          <w:tcPr>
            <w:tcW w:w="140" w:type="dxa"/>
            <w:vAlign w:val="bottom"/>
          </w:tcPr>
          <w:p>
            <w:pPr>
              <w:spacing w:after="0"/>
              <w:rPr>
                <w:sz w:val="19"/>
                <w:szCs w:val="19"/>
                <w:color w:val="auto"/>
              </w:rPr>
            </w:pPr>
          </w:p>
        </w:tc>
      </w:tr>
      <w:tr>
        <w:trPr>
          <w:trHeight w:val="229"/>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6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15,681</w:t>
            </w: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5,196</w:t>
            </w:r>
          </w:p>
        </w:tc>
        <w:tc>
          <w:tcPr>
            <w:tcW w:w="3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20,877</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61,876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220,688</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282,564</w:t>
            </w:r>
          </w:p>
        </w:tc>
        <w:tc>
          <w:tcPr>
            <w:tcW w:w="140" w:type="dxa"/>
            <w:vAlign w:val="bottom"/>
          </w:tcPr>
          <w:p>
            <w:pPr>
              <w:spacing w:after="0"/>
              <w:rPr>
                <w:sz w:val="19"/>
                <w:szCs w:val="19"/>
                <w:color w:val="auto"/>
              </w:rPr>
            </w:pPr>
          </w:p>
        </w:tc>
      </w:tr>
      <w:tr>
        <w:trPr>
          <w:trHeight w:val="229"/>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6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418,591</w:t>
            </w: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23,857</w:t>
            </w:r>
          </w:p>
        </w:tc>
        <w:tc>
          <w:tcPr>
            <w:tcW w:w="3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442,448</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480,467</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244,545</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725,012</w:t>
            </w:r>
          </w:p>
        </w:tc>
        <w:tc>
          <w:tcPr>
            <w:tcW w:w="14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Current portion of securitization debt</w:t>
            </w: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219,391</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219,391</w:t>
            </w:r>
          </w:p>
        </w:tc>
        <w:tc>
          <w:tcPr>
            <w:tcW w:w="140" w:type="dxa"/>
            <w:vAlign w:val="bottom"/>
          </w:tcPr>
          <w:p>
            <w:pPr>
              <w:spacing w:after="0"/>
              <w:rPr>
                <w:sz w:val="19"/>
                <w:szCs w:val="19"/>
                <w:color w:val="auto"/>
              </w:rPr>
            </w:pPr>
          </w:p>
        </w:tc>
      </w:tr>
      <w:tr>
        <w:trPr>
          <w:trHeight w:val="230"/>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Warehouse credit facilities</w:t>
            </w: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177,864</w:t>
            </w: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177,864</w:t>
            </w:r>
          </w:p>
        </w:tc>
        <w:tc>
          <w:tcPr>
            <w:tcW w:w="140" w:type="dxa"/>
            <w:vAlign w:val="bottom"/>
            <w:shd w:val="clear" w:color="auto" w:fill="CFF0FC"/>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3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140" w:type="dxa"/>
            <w:vAlign w:val="bottom"/>
          </w:tcPr>
          <w:p>
            <w:pPr>
              <w:spacing w:after="0"/>
              <w:rPr>
                <w:sz w:val="19"/>
                <w:szCs w:val="19"/>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220,961</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179,094</w:t>
            </w: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400,055</w:t>
            </w:r>
          </w:p>
        </w:tc>
        <w:tc>
          <w:tcPr>
            <w:tcW w:w="140" w:type="dxa"/>
            <w:vAlign w:val="bottom"/>
            <w:shd w:val="clear" w:color="auto" w:fill="CFF0FC"/>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Securitization debt, net of current portion</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197,584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197,584</w:t>
            </w:r>
          </w:p>
        </w:tc>
        <w:tc>
          <w:tcPr>
            <w:tcW w:w="140" w:type="dxa"/>
            <w:vAlign w:val="bottom"/>
          </w:tcPr>
          <w:p>
            <w:pPr>
              <w:spacing w:after="0"/>
              <w:rPr>
                <w:sz w:val="19"/>
                <w:szCs w:val="19"/>
                <w:color w:val="auto"/>
              </w:rPr>
            </w:pPr>
          </w:p>
        </w:tc>
      </w:tr>
      <w:tr>
        <w:trPr>
          <w:trHeight w:val="229"/>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5,696</w:t>
            </w: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w:t>
            </w:r>
          </w:p>
        </w:tc>
        <w:tc>
          <w:tcPr>
            <w:tcW w:w="3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9,247</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424,241</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182,645</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606,886</w:t>
            </w:r>
          </w:p>
        </w:tc>
        <w:tc>
          <w:tcPr>
            <w:tcW w:w="14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07"/>
        </w:trPr>
        <w:tc>
          <w:tcPr>
            <w:tcW w:w="50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December 31, 2022</w:t>
            </w: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5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13"/>
              <w:spacing w:after="0" w:line="142" w:lineRule="exact"/>
              <w:rPr>
                <w:sz w:val="20"/>
                <w:szCs w:val="20"/>
                <w:color w:val="auto"/>
              </w:rPr>
            </w:pPr>
            <w:r>
              <w:rPr>
                <w:rFonts w:ascii="Arial" w:cs="Arial" w:eastAsia="Arial" w:hAnsi="Arial"/>
                <w:sz w:val="14"/>
                <w:szCs w:val="14"/>
                <w:b w:val="1"/>
                <w:bCs w:val="1"/>
                <w:color w:val="auto"/>
              </w:rPr>
              <w:t>Warehouse</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3"/>
        </w:trPr>
        <w:tc>
          <w:tcPr>
            <w:tcW w:w="5060" w:type="dxa"/>
            <w:vAlign w:val="bottom"/>
          </w:tcPr>
          <w:p>
            <w:pPr>
              <w:spacing w:after="0"/>
              <w:rPr>
                <w:sz w:val="17"/>
                <w:szCs w:val="17"/>
                <w:color w:val="auto"/>
              </w:rPr>
            </w:pPr>
          </w:p>
        </w:tc>
        <w:tc>
          <w:tcPr>
            <w:tcW w:w="1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Securitization Vehicles</w:t>
            </w: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73"/>
              <w:spacing w:after="0" w:line="203" w:lineRule="exact"/>
              <w:rPr>
                <w:sz w:val="20"/>
                <w:szCs w:val="20"/>
                <w:color w:val="auto"/>
              </w:rPr>
            </w:pPr>
            <w:r>
              <w:rPr>
                <w:rFonts w:ascii="Arial" w:cs="Arial" w:eastAsia="Arial" w:hAnsi="Arial"/>
                <w:sz w:val="14"/>
                <w:szCs w:val="14"/>
                <w:b w:val="1"/>
                <w:bCs w:val="1"/>
                <w:color w:val="auto"/>
              </w:rPr>
              <w:t>Facilities</w:t>
            </w:r>
            <w:r>
              <w:rPr>
                <w:rFonts w:ascii="Arial" w:cs="Arial" w:eastAsia="Arial" w:hAnsi="Arial"/>
                <w:sz w:val="19"/>
                <w:szCs w:val="19"/>
                <w:b w:val="1"/>
                <w:bCs w:val="1"/>
                <w:color w:val="auto"/>
                <w:vertAlign w:val="superscript"/>
              </w:rPr>
              <w:t>1</w:t>
            </w:r>
          </w:p>
        </w:tc>
        <w:tc>
          <w:tcPr>
            <w:tcW w:w="3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9,023</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15,654</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24,677</w:t>
            </w:r>
          </w:p>
        </w:tc>
        <w:tc>
          <w:tcPr>
            <w:tcW w:w="140" w:type="dxa"/>
            <w:vAlign w:val="bottom"/>
          </w:tcPr>
          <w:p>
            <w:pPr>
              <w:spacing w:after="0"/>
              <w:rPr>
                <w:sz w:val="19"/>
                <w:szCs w:val="19"/>
                <w:color w:val="auto"/>
              </w:rPr>
            </w:pPr>
          </w:p>
        </w:tc>
      </w:tr>
      <w:tr>
        <w:trPr>
          <w:trHeight w:val="229"/>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5,336</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w:t>
            </w: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11,492</w:t>
            </w:r>
          </w:p>
        </w:tc>
        <w:tc>
          <w:tcPr>
            <w:tcW w:w="140" w:type="dxa"/>
            <w:vAlign w:val="bottom"/>
            <w:shd w:val="clear" w:color="auto" w:fill="CFF0FC"/>
          </w:tcPr>
          <w:p>
            <w:pPr>
              <w:spacing w:after="0"/>
              <w:rPr>
                <w:sz w:val="19"/>
                <w:szCs w:val="19"/>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Finance receivables held for sale</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305,917</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305,917</w:t>
            </w:r>
          </w:p>
        </w:tc>
        <w:tc>
          <w:tcPr>
            <w:tcW w:w="140" w:type="dxa"/>
            <w:vAlign w:val="bottom"/>
          </w:tcPr>
          <w:p>
            <w:pPr>
              <w:spacing w:after="0"/>
              <w:rPr>
                <w:sz w:val="19"/>
                <w:szCs w:val="19"/>
                <w:color w:val="auto"/>
              </w:rPr>
            </w:pPr>
          </w:p>
        </w:tc>
      </w:tr>
      <w:tr>
        <w:trPr>
          <w:trHeight w:val="230"/>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6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9,004</w:t>
            </w:r>
          </w:p>
        </w:tc>
        <w:tc>
          <w:tcPr>
            <w:tcW w:w="3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11,734</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17,089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336,731</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353,820</w:t>
            </w:r>
          </w:p>
        </w:tc>
        <w:tc>
          <w:tcPr>
            <w:tcW w:w="140" w:type="dxa"/>
            <w:vAlign w:val="bottom"/>
          </w:tcPr>
          <w:p>
            <w:pPr>
              <w:spacing w:after="0"/>
              <w:rPr>
                <w:sz w:val="19"/>
                <w:szCs w:val="19"/>
                <w:color w:val="auto"/>
              </w:rPr>
            </w:pPr>
          </w:p>
        </w:tc>
      </w:tr>
      <w:tr>
        <w:trPr>
          <w:trHeight w:val="230"/>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6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72,568</w:t>
            </w: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47,024</w:t>
            </w:r>
          </w:p>
        </w:tc>
        <w:tc>
          <w:tcPr>
            <w:tcW w:w="3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119,592</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89,657</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383,755</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473,412</w:t>
            </w:r>
          </w:p>
        </w:tc>
        <w:tc>
          <w:tcPr>
            <w:tcW w:w="14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Current portion of securitization debt</w:t>
            </w: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47,239</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47,239</w:t>
            </w:r>
          </w:p>
        </w:tc>
        <w:tc>
          <w:tcPr>
            <w:tcW w:w="140" w:type="dxa"/>
            <w:vAlign w:val="bottom"/>
          </w:tcPr>
          <w:p>
            <w:pPr>
              <w:spacing w:after="0"/>
              <w:rPr>
                <w:sz w:val="19"/>
                <w:szCs w:val="19"/>
                <w:color w:val="auto"/>
              </w:rPr>
            </w:pPr>
          </w:p>
        </w:tc>
      </w:tr>
      <w:tr>
        <w:trPr>
          <w:trHeight w:val="230"/>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Warehouse credit facilities</w:t>
            </w: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229,518</w:t>
            </w: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229,518</w:t>
            </w:r>
          </w:p>
        </w:tc>
        <w:tc>
          <w:tcPr>
            <w:tcW w:w="140" w:type="dxa"/>
            <w:vAlign w:val="bottom"/>
            <w:shd w:val="clear" w:color="auto" w:fill="CFF0FC"/>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3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40" w:type="dxa"/>
            <w:vAlign w:val="bottom"/>
          </w:tcPr>
          <w:p>
            <w:pPr>
              <w:spacing w:after="0"/>
              <w:rPr>
                <w:sz w:val="19"/>
                <w:szCs w:val="19"/>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47,329</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230,957</w:t>
            </w: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278,286</w:t>
            </w:r>
          </w:p>
        </w:tc>
        <w:tc>
          <w:tcPr>
            <w:tcW w:w="140" w:type="dxa"/>
            <w:vAlign w:val="bottom"/>
            <w:shd w:val="clear" w:color="auto" w:fill="CFF0FC"/>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Securitization debt, net of current portion</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32,590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32,590</w:t>
            </w:r>
          </w:p>
        </w:tc>
        <w:tc>
          <w:tcPr>
            <w:tcW w:w="140" w:type="dxa"/>
            <w:vAlign w:val="bottom"/>
          </w:tcPr>
          <w:p>
            <w:pPr>
              <w:spacing w:after="0"/>
              <w:rPr>
                <w:sz w:val="19"/>
                <w:szCs w:val="19"/>
                <w:color w:val="auto"/>
              </w:rPr>
            </w:pPr>
          </w:p>
        </w:tc>
      </w:tr>
      <w:tr>
        <w:trPr>
          <w:trHeight w:val="230"/>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3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7,410</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80,605</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237,681</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318,286</w:t>
            </w:r>
          </w:p>
        </w:tc>
        <w:tc>
          <w:tcPr>
            <w:tcW w:w="14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-4679950</wp:posOffset>
            </wp:positionV>
            <wp:extent cx="8572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-4679950</wp:posOffset>
            </wp:positionV>
            <wp:extent cx="8572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-4679950</wp:posOffset>
            </wp:positionV>
            <wp:extent cx="8572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-4380230</wp:posOffset>
            </wp:positionV>
            <wp:extent cx="85725"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-4380230</wp:posOffset>
            </wp:positionV>
            <wp:extent cx="8572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-4380230</wp:posOffset>
            </wp:positionV>
            <wp:extent cx="85725"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-3171190</wp:posOffset>
            </wp:positionV>
            <wp:extent cx="85725" cy="3517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3517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-3171190</wp:posOffset>
            </wp:positionV>
            <wp:extent cx="85725" cy="3517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3517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-3171190</wp:posOffset>
            </wp:positionV>
            <wp:extent cx="85725" cy="7543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75438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-1688465</wp:posOffset>
            </wp:positionV>
            <wp:extent cx="8572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-1688465</wp:posOffset>
            </wp:positionV>
            <wp:extent cx="85725"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-1688465</wp:posOffset>
            </wp:positionV>
            <wp:extent cx="8572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-1388110</wp:posOffset>
            </wp:positionV>
            <wp:extent cx="85725"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-1388110</wp:posOffset>
            </wp:positionV>
            <wp:extent cx="85725"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-1388110</wp:posOffset>
            </wp:positionV>
            <wp:extent cx="85725"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-179705</wp:posOffset>
            </wp:positionV>
            <wp:extent cx="85725"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-179705</wp:posOffset>
            </wp:positionV>
            <wp:extent cx="85725"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 Refer to Note 11 – Warehouse Credit Facilities of Consolidated VIEs for further details of the warehouse facilities.</w:t>
      </w:r>
    </w:p>
    <w:p>
      <w:pPr>
        <w:spacing w:after="0" w:line="196" w:lineRule="exact"/>
        <w:rPr>
          <w:sz w:val="20"/>
          <w:szCs w:val="20"/>
          <w:color w:val="auto"/>
        </w:rPr>
      </w:pPr>
    </w:p>
    <w:p>
      <w:pPr>
        <w:jc w:val="both"/>
        <w:ind w:right="320" w:firstLine="761"/>
        <w:spacing w:after="0" w:line="243" w:lineRule="auto"/>
        <w:rPr>
          <w:sz w:val="20"/>
          <w:szCs w:val="20"/>
          <w:color w:val="auto"/>
        </w:rPr>
      </w:pPr>
      <w:r>
        <w:rPr>
          <w:rFonts w:ascii="Arial" w:cs="Arial" w:eastAsia="Arial" w:hAnsi="Arial"/>
          <w:sz w:val="18"/>
          <w:szCs w:val="18"/>
          <w:color w:val="auto"/>
        </w:rPr>
        <w:t>UACC establishes securitization trusts to purchase finance receivables. The securitization trusts issue asset-backed securities, which are collateralized by the finance receivables that UACC sells to the securitization trusts. Upon sale of the finance receivables to the securitization trusts, the Company recognizes a gain or loss on sales of finance receivables if it determines it qualifies for sale accounting treatment and it is not the primary beneficiary of the VIE.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On February 16, 2022, UACC sold a pool of finance receivables in the 2022-1 securitization transaction. UACC retained the servicing rights to these finance receivables and receives an "at market" servicing fee. UACC retained an insignificant amount of the asset-backed securities issued in the securitization in order to comply with risk retention rules. The 2022-1 securitization trust is a VIE that the Company does not consolidate. As the servicer, UACC retained the power to direct the activities that are most significant to the entities, however, the Company concluded that it is not the primary beneficiary of the 2022-1 securitization trust because UACC retained interests in the VIE are insignificant. The beneficial interest retained by UACC included rated notes and unrated residual certificates issued by the 2022-1 securitization trust. During the six months ended June 30, 2022, the Company sold $281.4 million of rated asset-backed securities and $32.3 million of residual certificates through securitization transactions. The total gain related to finance receivables sold pursuant to the 2022-1 securitization transactions was $29.6 million for the six months ended June 30, 2022.</w:t>
      </w:r>
    </w:p>
    <w:p>
      <w:pPr>
        <w:spacing w:after="0" w:line="178" w:lineRule="exact"/>
        <w:rPr>
          <w:sz w:val="20"/>
          <w:szCs w:val="20"/>
          <w:color w:val="auto"/>
        </w:rPr>
      </w:pPr>
    </w:p>
    <w:p>
      <w:pPr>
        <w:ind w:right="40" w:firstLine="761"/>
        <w:spacing w:after="0" w:line="239" w:lineRule="auto"/>
        <w:rPr>
          <w:sz w:val="20"/>
          <w:szCs w:val="20"/>
          <w:color w:val="auto"/>
        </w:rPr>
      </w:pPr>
      <w:r>
        <w:rPr>
          <w:rFonts w:ascii="Arial" w:cs="Arial" w:eastAsia="Arial" w:hAnsi="Arial"/>
          <w:sz w:val="18"/>
          <w:szCs w:val="18"/>
          <w:color w:val="auto"/>
        </w:rPr>
        <w:t>As of June 30, 2023 and December 31, 2022, the assets UACC retains in the unconsolidated VIEs were approximately $6.6 million and $20.6 million, respectively, and are included in "Beneficial interests in securitizations" in the Company's condensed consolidated balance sheet. The beneficial interests in securitizations are subject to restrictions on transfer pursuant to UACC’s obligations as a sponsor under Risk Retention Rules. These securities are interests in securitization trusts, thus there are no contractual maturities. In the three months ended June 30, 2023, the Company entered into a Risk Retention Financing Facility to finance the majority of its retained beneficial interests in securitizations. Refer to Note 12 – Long Term Debt for further detail.</w:t>
      </w:r>
    </w:p>
    <w:p>
      <w:pPr>
        <w:spacing w:after="0" w:line="181" w:lineRule="exact"/>
        <w:rPr>
          <w:sz w:val="20"/>
          <w:szCs w:val="20"/>
          <w:color w:val="auto"/>
        </w:rPr>
      </w:pPr>
    </w:p>
    <w:p>
      <w:pPr>
        <w:ind w:right="400" w:firstLine="761"/>
        <w:spacing w:after="0" w:line="260" w:lineRule="auto"/>
        <w:rPr>
          <w:sz w:val="20"/>
          <w:szCs w:val="20"/>
          <w:color w:val="auto"/>
        </w:rPr>
      </w:pPr>
      <w:r>
        <w:rPr>
          <w:rFonts w:ascii="Arial" w:cs="Arial" w:eastAsia="Arial" w:hAnsi="Arial"/>
          <w:sz w:val="18"/>
          <w:szCs w:val="18"/>
          <w:color w:val="auto"/>
        </w:rPr>
        <w:t>The following table summarizes the amortized cost, the carrying amount, which is the fair value, and the maximum exposure to losses of UACC's assets related to unconsolidated VIEs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As of June 30, 2023</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56"/>
        </w:trPr>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18"/>
              <w:spacing w:after="0" w:line="156" w:lineRule="exact"/>
              <w:rPr>
                <w:sz w:val="20"/>
                <w:szCs w:val="20"/>
                <w:color w:val="auto"/>
              </w:rPr>
            </w:pPr>
            <w:r>
              <w:rPr>
                <w:rFonts w:ascii="Arial" w:cs="Arial" w:eastAsia="Arial" w:hAnsi="Arial"/>
                <w:sz w:val="14"/>
                <w:szCs w:val="14"/>
                <w:b w:val="1"/>
                <w:bCs w:val="1"/>
                <w:color w:val="auto"/>
              </w:rPr>
              <w:t>Aggregate</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18"/>
              <w:spacing w:after="0" w:line="156" w:lineRule="exact"/>
              <w:rPr>
                <w:sz w:val="20"/>
                <w:szCs w:val="20"/>
                <w:color w:val="auto"/>
              </w:rPr>
            </w:pPr>
            <w:r>
              <w:rPr>
                <w:rFonts w:ascii="Arial" w:cs="Arial" w:eastAsia="Arial" w:hAnsi="Arial"/>
                <w:sz w:val="14"/>
                <w:szCs w:val="14"/>
                <w:b w:val="1"/>
                <w:bCs w:val="1"/>
                <w:color w:val="auto"/>
              </w:rPr>
              <w:t>Aggregate</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rPr>
              <w:t>Principal</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rPr>
              <w:t>Principal</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9"/>
        </w:trPr>
        <w:tc>
          <w:tcPr>
            <w:tcW w:w="2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Exposure</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Exposure</w:t>
            </w:r>
          </w:p>
        </w:tc>
        <w:tc>
          <w:tcPr>
            <w:tcW w:w="140" w:type="dxa"/>
            <w:vAlign w:val="bottom"/>
          </w:tcPr>
          <w:p>
            <w:pPr>
              <w:spacing w:after="0"/>
              <w:rPr>
                <w:sz w:val="16"/>
                <w:szCs w:val="16"/>
                <w:color w:val="auto"/>
              </w:rPr>
            </w:pPr>
          </w:p>
        </w:tc>
      </w:tr>
      <w:tr>
        <w:trPr>
          <w:trHeight w:val="223"/>
        </w:trPr>
        <w:tc>
          <w:tcPr>
            <w:tcW w:w="2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Rated notes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w:t>
            </w:r>
          </w:p>
        </w:tc>
        <w:tc>
          <w:tcPr>
            <w:tcW w:w="6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19,233</w:t>
            </w:r>
          </w:p>
        </w:tc>
        <w:tc>
          <w:tcPr>
            <w:tcW w:w="6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18,664</w:t>
            </w:r>
          </w:p>
        </w:tc>
        <w:tc>
          <w:tcPr>
            <w:tcW w:w="140" w:type="dxa"/>
            <w:vAlign w:val="bottom"/>
            <w:shd w:val="clear" w:color="auto" w:fill="CFF0FC"/>
          </w:tcPr>
          <w:p>
            <w:pPr>
              <w:spacing w:after="0"/>
              <w:rPr>
                <w:sz w:val="19"/>
                <w:szCs w:val="19"/>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Certificates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1,928</w:t>
            </w:r>
          </w:p>
        </w:tc>
        <w:tc>
          <w:tcPr>
            <w:tcW w:w="140" w:type="dxa"/>
            <w:vAlign w:val="bottom"/>
          </w:tcPr>
          <w:p>
            <w:pPr>
              <w:spacing w:after="0"/>
              <w:rPr>
                <w:sz w:val="19"/>
                <w:szCs w:val="19"/>
                <w:color w:val="auto"/>
              </w:rPr>
            </w:pPr>
          </w:p>
        </w:tc>
      </w:tr>
      <w:tr>
        <w:trPr>
          <w:trHeight w:val="229"/>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3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6,678</w:t>
            </w:r>
          </w:p>
        </w:tc>
        <w:tc>
          <w:tcPr>
            <w:tcW w:w="6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6,863</w:t>
            </w:r>
          </w:p>
        </w:tc>
        <w:tc>
          <w:tcPr>
            <w:tcW w:w="30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6,863</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19,543</w:t>
            </w:r>
          </w:p>
        </w:tc>
        <w:tc>
          <w:tcPr>
            <w:tcW w:w="6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20,902</w:t>
            </w:r>
          </w:p>
        </w:tc>
        <w:tc>
          <w:tcPr>
            <w:tcW w:w="28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20,902</w:t>
            </w:r>
          </w:p>
        </w:tc>
        <w:tc>
          <w:tcPr>
            <w:tcW w:w="14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-179705</wp:posOffset>
            </wp:positionV>
            <wp:extent cx="85725"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-179705</wp:posOffset>
            </wp:positionV>
            <wp:extent cx="85725"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-179705</wp:posOffset>
            </wp:positionV>
            <wp:extent cx="77470"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-179705</wp:posOffset>
            </wp:positionV>
            <wp:extent cx="76835"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-179705</wp:posOffset>
            </wp:positionV>
            <wp:extent cx="85725"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70" w:lineRule="exact"/>
        <w:rPr>
          <w:sz w:val="20"/>
          <w:szCs w:val="20"/>
          <w:color w:val="auto"/>
        </w:rPr>
      </w:pPr>
    </w:p>
    <w:p>
      <w:pPr>
        <w:ind w:right="40" w:firstLine="761"/>
        <w:spacing w:after="0" w:line="247" w:lineRule="auto"/>
        <w:rPr>
          <w:sz w:val="20"/>
          <w:szCs w:val="20"/>
          <w:color w:val="auto"/>
        </w:rPr>
      </w:pPr>
      <w:r>
        <w:rPr>
          <w:rFonts w:ascii="Arial" w:cs="Arial" w:eastAsia="Arial" w:hAnsi="Arial"/>
          <w:sz w:val="18"/>
          <w:szCs w:val="18"/>
          <w:color w:val="auto"/>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Acquisition</w:t>
      </w:r>
    </w:p>
    <w:p>
      <w:pPr>
        <w:spacing w:after="0" w:line="208" w:lineRule="exact"/>
        <w:rPr>
          <w:sz w:val="20"/>
          <w:szCs w:val="20"/>
          <w:color w:val="auto"/>
        </w:rPr>
      </w:pPr>
    </w:p>
    <w:p>
      <w:pPr>
        <w:ind w:right="60" w:firstLine="749"/>
        <w:spacing w:after="0" w:line="254" w:lineRule="auto"/>
        <w:rPr>
          <w:sz w:val="20"/>
          <w:szCs w:val="20"/>
          <w:color w:val="auto"/>
        </w:rPr>
      </w:pPr>
      <w:r>
        <w:rPr>
          <w:rFonts w:ascii="Arial" w:cs="Arial" w:eastAsia="Arial" w:hAnsi="Arial"/>
          <w:sz w:val="17"/>
          <w:szCs w:val="17"/>
          <w:color w:val="auto"/>
        </w:rPr>
        <w:t>On February 1, 2022, the Company completed the acquisition (the "UACC Acquisition") of 100% of Unitas Holdings Corp., a Delaware corporation, including its wholly owned subsidiaries United PanAm Financial Corp. and UACC. Unitas Holdings Corp. (now known as Vroom Finance Corporation), United PanAm Financial Corp. (now known as Vroom Automotive Financial Corporation) and UACC, as well as their other subsidiaries, are now wholly owned subsidiaries of the Company. This acquisition accelerates the Company's strategy of establishing a captive financing arm and underwriting vehicle financing for its customers, the results of which are included within the Ecommerce reporting segment. UACC will also continue its current operations with its network of third-party dealership customers, including the purchases and servicing of vehicle installment contracts, which constitutes the separate Retail Financing reporting segment. The cash consideration transferred was approximately $315.4 million at the Acquisition Date, inclusive of immaterial measurement period adjustments.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right="260" w:firstLine="799"/>
        <w:spacing w:after="0" w:line="260" w:lineRule="auto"/>
        <w:rPr>
          <w:sz w:val="20"/>
          <w:szCs w:val="20"/>
          <w:color w:val="auto"/>
        </w:rPr>
      </w:pPr>
      <w:r>
        <w:rPr>
          <w:rFonts w:ascii="Arial" w:cs="Arial" w:eastAsia="Arial" w:hAnsi="Arial"/>
          <w:sz w:val="18"/>
          <w:szCs w:val="18"/>
          <w:color w:val="auto"/>
        </w:rPr>
        <w:t>The following table summarizes the fair value of the identified assets acquired and liabilities assumed as of the Acquisition Date, inclusive of immaterial measurement period adjustments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60" w:type="dxa"/>
            <w:vAlign w:val="bottom"/>
            <w:gridSpan w:val="2"/>
          </w:tcPr>
          <w:p>
            <w:pPr>
              <w:jc w:val="right"/>
              <w:ind w:right="2200"/>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3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140" w:type="dxa"/>
            <w:vAlign w:val="bottom"/>
            <w:shd w:val="clear" w:color="auto" w:fill="CFF0FC"/>
          </w:tcPr>
          <w:p>
            <w:pPr>
              <w:spacing w:after="0"/>
              <w:rPr>
                <w:sz w:val="19"/>
                <w:szCs w:val="19"/>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80" w:type="dxa"/>
            <w:vAlign w:val="bottom"/>
          </w:tcPr>
          <w:p>
            <w:pPr>
              <w:spacing w:after="0"/>
              <w:rPr>
                <w:sz w:val="19"/>
                <w:szCs w:val="19"/>
                <w:color w:val="auto"/>
              </w:rPr>
            </w:pPr>
          </w:p>
        </w:tc>
        <w:tc>
          <w:tcPr>
            <w:tcW w:w="3720" w:type="dxa"/>
            <w:vAlign w:val="bottom"/>
          </w:tcPr>
          <w:p>
            <w:pPr>
              <w:jc w:val="right"/>
              <w:spacing w:after="0"/>
              <w:rPr>
                <w:sz w:val="20"/>
                <w:szCs w:val="20"/>
                <w:color w:val="auto"/>
              </w:rPr>
            </w:pPr>
            <w:r>
              <w:rPr>
                <w:rFonts w:ascii="Arial" w:cs="Arial" w:eastAsia="Arial" w:hAnsi="Arial"/>
                <w:sz w:val="18"/>
                <w:szCs w:val="18"/>
                <w:color w:val="auto"/>
              </w:rPr>
              <w:t>42,631</w:t>
            </w:r>
          </w:p>
        </w:tc>
        <w:tc>
          <w:tcPr>
            <w:tcW w:w="140" w:type="dxa"/>
            <w:vAlign w:val="bottom"/>
          </w:tcPr>
          <w:p>
            <w:pPr>
              <w:spacing w:after="0"/>
              <w:rPr>
                <w:sz w:val="19"/>
                <w:szCs w:val="19"/>
                <w:color w:val="auto"/>
              </w:rPr>
            </w:pPr>
          </w:p>
        </w:tc>
      </w:tr>
      <w:tr>
        <w:trPr>
          <w:trHeight w:val="230"/>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1080" w:type="dxa"/>
            <w:vAlign w:val="bottom"/>
            <w:shd w:val="clear" w:color="auto" w:fill="CFF0FC"/>
          </w:tcPr>
          <w:p>
            <w:pPr>
              <w:spacing w:after="0"/>
              <w:rPr>
                <w:sz w:val="19"/>
                <w:szCs w:val="19"/>
                <w:color w:val="auto"/>
              </w:rPr>
            </w:pPr>
          </w:p>
        </w:tc>
        <w:tc>
          <w:tcPr>
            <w:tcW w:w="3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296,927</w:t>
            </w:r>
          </w:p>
        </w:tc>
        <w:tc>
          <w:tcPr>
            <w:tcW w:w="140" w:type="dxa"/>
            <w:vAlign w:val="bottom"/>
            <w:shd w:val="clear" w:color="auto" w:fill="CFF0FC"/>
          </w:tcPr>
          <w:p>
            <w:pPr>
              <w:spacing w:after="0"/>
              <w:rPr>
                <w:sz w:val="19"/>
                <w:szCs w:val="19"/>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Finance receivables, held for sale</w:t>
            </w:r>
          </w:p>
        </w:tc>
        <w:tc>
          <w:tcPr>
            <w:tcW w:w="1080" w:type="dxa"/>
            <w:vAlign w:val="bottom"/>
          </w:tcPr>
          <w:p>
            <w:pPr>
              <w:spacing w:after="0"/>
              <w:rPr>
                <w:sz w:val="19"/>
                <w:szCs w:val="19"/>
                <w:color w:val="auto"/>
              </w:rPr>
            </w:pPr>
          </w:p>
        </w:tc>
        <w:tc>
          <w:tcPr>
            <w:tcW w:w="3720" w:type="dxa"/>
            <w:vAlign w:val="bottom"/>
          </w:tcPr>
          <w:p>
            <w:pPr>
              <w:jc w:val="right"/>
              <w:spacing w:after="0"/>
              <w:rPr>
                <w:sz w:val="20"/>
                <w:szCs w:val="20"/>
                <w:color w:val="auto"/>
              </w:rPr>
            </w:pPr>
            <w:r>
              <w:rPr>
                <w:rFonts w:ascii="Arial" w:cs="Arial" w:eastAsia="Arial" w:hAnsi="Arial"/>
                <w:sz w:val="18"/>
                <w:szCs w:val="18"/>
                <w:color w:val="auto"/>
              </w:rPr>
              <w:t>263,393</w:t>
            </w:r>
          </w:p>
        </w:tc>
        <w:tc>
          <w:tcPr>
            <w:tcW w:w="140" w:type="dxa"/>
            <w:vAlign w:val="bottom"/>
          </w:tcPr>
          <w:p>
            <w:pPr>
              <w:spacing w:after="0"/>
              <w:rPr>
                <w:sz w:val="19"/>
                <w:szCs w:val="19"/>
                <w:color w:val="auto"/>
              </w:rPr>
            </w:pPr>
          </w:p>
        </w:tc>
      </w:tr>
      <w:tr>
        <w:trPr>
          <w:trHeight w:val="230"/>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1080" w:type="dxa"/>
            <w:vAlign w:val="bottom"/>
            <w:shd w:val="clear" w:color="auto" w:fill="CFF0FC"/>
          </w:tcPr>
          <w:p>
            <w:pPr>
              <w:spacing w:after="0"/>
              <w:rPr>
                <w:sz w:val="19"/>
                <w:szCs w:val="19"/>
                <w:color w:val="auto"/>
              </w:rPr>
            </w:pPr>
          </w:p>
        </w:tc>
        <w:tc>
          <w:tcPr>
            <w:tcW w:w="3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156,000</w:t>
            </w:r>
          </w:p>
        </w:tc>
        <w:tc>
          <w:tcPr>
            <w:tcW w:w="140" w:type="dxa"/>
            <w:vAlign w:val="bottom"/>
            <w:shd w:val="clear" w:color="auto" w:fill="CFF0FC"/>
          </w:tcPr>
          <w:p>
            <w:pPr>
              <w:spacing w:after="0"/>
              <w:rPr>
                <w:sz w:val="19"/>
                <w:szCs w:val="19"/>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19"/>
                <w:szCs w:val="19"/>
                <w:color w:val="auto"/>
              </w:rPr>
            </w:pPr>
          </w:p>
        </w:tc>
        <w:tc>
          <w:tcPr>
            <w:tcW w:w="3720" w:type="dxa"/>
            <w:vAlign w:val="bottom"/>
          </w:tcPr>
          <w:p>
            <w:pPr>
              <w:jc w:val="right"/>
              <w:spacing w:after="0"/>
              <w:rPr>
                <w:sz w:val="20"/>
                <w:szCs w:val="20"/>
                <w:color w:val="auto"/>
              </w:rPr>
            </w:pPr>
            <w:r>
              <w:rPr>
                <w:rFonts w:ascii="Arial" w:cs="Arial" w:eastAsia="Arial" w:hAnsi="Arial"/>
                <w:sz w:val="18"/>
                <w:szCs w:val="18"/>
                <w:color w:val="auto"/>
              </w:rPr>
              <w:t>42,886</w:t>
            </w:r>
          </w:p>
        </w:tc>
        <w:tc>
          <w:tcPr>
            <w:tcW w:w="140" w:type="dxa"/>
            <w:vAlign w:val="bottom"/>
          </w:tcPr>
          <w:p>
            <w:pPr>
              <w:spacing w:after="0"/>
              <w:rPr>
                <w:sz w:val="19"/>
                <w:szCs w:val="19"/>
                <w:color w:val="auto"/>
              </w:rPr>
            </w:pPr>
          </w:p>
        </w:tc>
      </w:tr>
      <w:tr>
        <w:trPr>
          <w:trHeight w:val="229"/>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auto"/>
            </w:tcBorders>
            <w:shd w:val="clear" w:color="auto" w:fill="CFF0FC"/>
          </w:tcPr>
          <w:p>
            <w:pPr>
              <w:spacing w:after="0"/>
              <w:rPr>
                <w:sz w:val="19"/>
                <w:szCs w:val="19"/>
                <w:color w:val="auto"/>
              </w:rPr>
            </w:pPr>
          </w:p>
        </w:tc>
        <w:tc>
          <w:tcPr>
            <w:tcW w:w="3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25,934</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833,065</w:t>
            </w:r>
          </w:p>
        </w:tc>
        <w:tc>
          <w:tcPr>
            <w:tcW w:w="140" w:type="dxa"/>
            <w:vAlign w:val="bottom"/>
          </w:tcPr>
          <w:p>
            <w:pPr>
              <w:spacing w:after="0"/>
              <w:rPr>
                <w:sz w:val="19"/>
                <w:szCs w:val="19"/>
                <w:color w:val="auto"/>
              </w:rPr>
            </w:pPr>
          </w:p>
        </w:tc>
      </w:tr>
      <w:tr>
        <w:trPr>
          <w:trHeight w:val="22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Warehouse credit facilities</w:t>
            </w:r>
          </w:p>
        </w:tc>
        <w:tc>
          <w:tcPr>
            <w:tcW w:w="1080" w:type="dxa"/>
            <w:vAlign w:val="bottom"/>
            <w:shd w:val="clear" w:color="auto" w:fill="CFF0FC"/>
          </w:tcPr>
          <w:p>
            <w:pPr>
              <w:spacing w:after="0"/>
              <w:rPr>
                <w:sz w:val="19"/>
                <w:szCs w:val="19"/>
                <w:color w:val="auto"/>
              </w:rPr>
            </w:pPr>
          </w:p>
        </w:tc>
        <w:tc>
          <w:tcPr>
            <w:tcW w:w="3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(178,067 )</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Long term debt</w:t>
            </w:r>
          </w:p>
        </w:tc>
        <w:tc>
          <w:tcPr>
            <w:tcW w:w="1080" w:type="dxa"/>
            <w:vAlign w:val="bottom"/>
          </w:tcPr>
          <w:p>
            <w:pPr>
              <w:spacing w:after="0"/>
              <w:rPr>
                <w:sz w:val="19"/>
                <w:szCs w:val="19"/>
                <w:color w:val="auto"/>
              </w:rPr>
            </w:pPr>
          </w:p>
        </w:tc>
        <w:tc>
          <w:tcPr>
            <w:tcW w:w="3860" w:type="dxa"/>
            <w:vAlign w:val="bottom"/>
            <w:gridSpan w:val="2"/>
          </w:tcPr>
          <w:p>
            <w:pPr>
              <w:jc w:val="right"/>
              <w:ind w:right="60"/>
              <w:spacing w:after="0"/>
              <w:rPr>
                <w:sz w:val="20"/>
                <w:szCs w:val="20"/>
                <w:color w:val="auto"/>
              </w:rPr>
            </w:pPr>
            <w:r>
              <w:rPr>
                <w:rFonts w:ascii="Arial" w:cs="Arial" w:eastAsia="Arial" w:hAnsi="Arial"/>
                <w:sz w:val="18"/>
                <w:szCs w:val="18"/>
                <w:color w:val="auto"/>
              </w:rPr>
              <w:t>(285,704 )</w:t>
            </w:r>
          </w:p>
        </w:tc>
      </w:tr>
      <w:tr>
        <w:trPr>
          <w:trHeight w:val="229"/>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liability</w:t>
            </w:r>
          </w:p>
        </w:tc>
        <w:tc>
          <w:tcPr>
            <w:tcW w:w="1080" w:type="dxa"/>
            <w:vAlign w:val="bottom"/>
            <w:shd w:val="clear" w:color="auto" w:fill="CFF0FC"/>
          </w:tcPr>
          <w:p>
            <w:pPr>
              <w:spacing w:after="0"/>
              <w:rPr>
                <w:sz w:val="19"/>
                <w:szCs w:val="19"/>
                <w:color w:val="auto"/>
              </w:rPr>
            </w:pPr>
          </w:p>
        </w:tc>
        <w:tc>
          <w:tcPr>
            <w:tcW w:w="3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(23,855 )</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9"/>
                <w:szCs w:val="19"/>
                <w:color w:val="auto"/>
              </w:rPr>
            </w:pPr>
          </w:p>
        </w:tc>
        <w:tc>
          <w:tcPr>
            <w:tcW w:w="3860" w:type="dxa"/>
            <w:vAlign w:val="bottom"/>
            <w:gridSpan w:val="2"/>
          </w:tcPr>
          <w:p>
            <w:pPr>
              <w:jc w:val="right"/>
              <w:ind w:right="60"/>
              <w:spacing w:after="0"/>
              <w:rPr>
                <w:sz w:val="20"/>
                <w:szCs w:val="20"/>
                <w:color w:val="auto"/>
              </w:rPr>
            </w:pPr>
            <w:r>
              <w:rPr>
                <w:rFonts w:ascii="Arial" w:cs="Arial" w:eastAsia="Arial" w:hAnsi="Arial"/>
                <w:sz w:val="18"/>
                <w:szCs w:val="18"/>
                <w:color w:val="auto"/>
              </w:rPr>
              <w:t>(30,026 )</w:t>
            </w:r>
          </w:p>
        </w:tc>
      </w:tr>
      <w:tr>
        <w:trPr>
          <w:trHeight w:val="20"/>
        </w:trPr>
        <w:tc>
          <w:tcPr>
            <w:tcW w:w="6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 assumed</w:t>
            </w:r>
          </w:p>
        </w:tc>
        <w:tc>
          <w:tcPr>
            <w:tcW w:w="108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3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(517,652 )</w:t>
            </w:r>
          </w:p>
        </w:tc>
      </w:tr>
      <w:tr>
        <w:trPr>
          <w:trHeight w:val="223"/>
        </w:trPr>
        <w:tc>
          <w:tcPr>
            <w:tcW w:w="63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assets acquired</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315,413</w:t>
            </w:r>
          </w:p>
        </w:tc>
        <w:tc>
          <w:tcPr>
            <w:tcW w:w="140" w:type="dxa"/>
            <w:vAlign w:val="bottom"/>
            <w:tcBorders>
              <w:top w:val="single" w:sz="8" w:color="CFF0FC"/>
            </w:tcBorders>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-1079500</wp:posOffset>
            </wp:positionV>
            <wp:extent cx="85725"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70"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The estimated fair value of the finance receivables that were designated as held for sale were determined using the discounted cash flow method under the income approach. The Company determined the fair value of these finance receivables utilizing sales prices based on an estimated securitization transaction, adjusted for transaction costs, risk and a normal profit margin associated with securitization transactions. The significant assumptions used in the valuation were discount rate, prepayment rate, cumulative net losses, weighted average interest rate and recovery rate. Such fair value measurement of finance receivables held for sale is considered Level 3 of the fair value hierarchy.</w:t>
      </w:r>
    </w:p>
    <w:p>
      <w:pPr>
        <w:spacing w:after="0" w:line="181"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The Company acquired two types of finance receivables that are accounted for under the fair value option: (i) those that were sold in one of the securitization transactions that UACC completed in 2019, 2020 or 2021, and (ii) those that were not eligible to be sold in future securitization transactions. The estimated fair value of the finance receivables that were previously sold were valued using the measurement alternative by reference to the fair value of the securitization debt. See Note 16 – Financial Instruments and Fair Value Measurements for more information regarding the measurement alternative and the fair value of these finance receivables. The fair value of the ineligible finance receivables was determined using a discounted cash flow method under the income approach. The significant assumptions used in the valuation were discount rate and recovery rate. Such fair value measurement of finance receivables accounted for under the fair value option is considered Level 3 of the fair value hierarchy.</w:t>
      </w:r>
    </w:p>
    <w:p>
      <w:pPr>
        <w:spacing w:after="0" w:line="180" w:lineRule="exact"/>
        <w:rPr>
          <w:sz w:val="20"/>
          <w:szCs w:val="20"/>
          <w:color w:val="auto"/>
        </w:rPr>
      </w:pPr>
    </w:p>
    <w:p>
      <w:pPr>
        <w:ind w:right="280" w:firstLine="749"/>
        <w:spacing w:after="0" w:line="247" w:lineRule="auto"/>
        <w:rPr>
          <w:sz w:val="20"/>
          <w:szCs w:val="20"/>
          <w:color w:val="auto"/>
        </w:rPr>
      </w:pPr>
      <w:r>
        <w:rPr>
          <w:rFonts w:ascii="Arial" w:cs="Arial" w:eastAsia="Arial" w:hAnsi="Arial"/>
          <w:sz w:val="18"/>
          <w:szCs w:val="18"/>
          <w:color w:val="auto"/>
        </w:rPr>
        <w:t>The estimated fair value of the securitization debt of consolidated VIEs was determined using the discounted cash flow method under the income approach. The significant assumption used in the valuation was the yield. Such fair value measurement of securitization debt is considered Level 3 of the fair value hierarchy.</w:t>
      </w:r>
    </w:p>
    <w:p>
      <w:pPr>
        <w:spacing w:after="0" w:line="171" w:lineRule="exact"/>
        <w:rPr>
          <w:sz w:val="20"/>
          <w:szCs w:val="20"/>
          <w:color w:val="auto"/>
        </w:rPr>
      </w:pPr>
    </w:p>
    <w:p>
      <w:pPr>
        <w:jc w:val="both"/>
        <w:ind w:right="20" w:firstLine="749"/>
        <w:spacing w:after="0" w:line="247" w:lineRule="auto"/>
        <w:rPr>
          <w:sz w:val="20"/>
          <w:szCs w:val="20"/>
          <w:color w:val="auto"/>
        </w:rPr>
      </w:pPr>
      <w:r>
        <w:rPr>
          <w:rFonts w:ascii="Arial" w:cs="Arial" w:eastAsia="Arial" w:hAnsi="Arial"/>
          <w:sz w:val="18"/>
          <w:szCs w:val="18"/>
          <w:color w:val="auto"/>
        </w:rPr>
        <w:t>The estimated fair value of the warehouse credit facilities of consolidated VIEs approximated its carrying value due to the proximity of the Acquisition Date to the payoff date. These notes were acquired on February 1, 2022, as part of the UACC Acquisition and were paid off with the proceeds from the 2022-1 securitization transaction that UACC completed on February 16, 2022.</w:t>
      </w:r>
    </w:p>
    <w:p>
      <w:pPr>
        <w:spacing w:after="0" w:line="171"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as well as benefits related to integrating UACC’s financing operations to establish a captive financing arm and underwrite vehicle financing for the Company's customers. All of the goodwill was assigned to the Ecommerce reporting unit.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right="260" w:firstLine="749"/>
        <w:spacing w:after="0" w:line="260" w:lineRule="auto"/>
        <w:rPr>
          <w:sz w:val="20"/>
          <w:szCs w:val="20"/>
          <w:color w:val="auto"/>
        </w:rPr>
      </w:pPr>
      <w:r>
        <w:rPr>
          <w:rFonts w:ascii="Arial" w:cs="Arial" w:eastAsia="Arial" w:hAnsi="Arial"/>
          <w:sz w:val="18"/>
          <w:szCs w:val="18"/>
          <w:color w:val="auto"/>
        </w:rPr>
        <w:t>The following table summarizes the identifiable intangible assets acquired and their estimated weighted average useful life at the date of acquisition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24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Fair Value</w:t>
            </w:r>
          </w:p>
        </w:tc>
        <w:tc>
          <w:tcPr>
            <w:tcW w:w="10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Weighted Average Useful Life</w:t>
            </w:r>
          </w:p>
        </w:tc>
      </w:tr>
      <w:tr>
        <w:trPr>
          <w:trHeight w:val="22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technology</w:t>
            </w:r>
          </w:p>
        </w:tc>
        <w:tc>
          <w:tcPr>
            <w:tcW w:w="2480" w:type="dxa"/>
            <w:vAlign w:val="bottom"/>
            <w:shd w:val="clear" w:color="auto" w:fill="CFF0FC"/>
          </w:tcPr>
          <w:p>
            <w:pPr>
              <w:jc w:val="right"/>
              <w:ind w:right="227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83,000</w:t>
            </w:r>
          </w:p>
        </w:tc>
        <w:tc>
          <w:tcPr>
            <w:tcW w:w="3060" w:type="dxa"/>
            <w:vAlign w:val="bottom"/>
            <w:gridSpan w:val="2"/>
            <w:shd w:val="clear" w:color="auto" w:fill="CFF0FC"/>
          </w:tcPr>
          <w:p>
            <w:pPr>
              <w:jc w:val="center"/>
              <w:ind w:left="270"/>
              <w:spacing w:after="0"/>
              <w:rPr>
                <w:sz w:val="20"/>
                <w:szCs w:val="20"/>
                <w:color w:val="auto"/>
              </w:rPr>
            </w:pPr>
            <w:r>
              <w:rPr>
                <w:rFonts w:ascii="Arial" w:cs="Arial" w:eastAsia="Arial" w:hAnsi="Arial"/>
                <w:sz w:val="18"/>
                <w:szCs w:val="18"/>
                <w:color w:val="auto"/>
                <w:w w:val="99"/>
              </w:rPr>
              <w:t>7</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66,000</w:t>
            </w:r>
          </w:p>
        </w:tc>
        <w:tc>
          <w:tcPr>
            <w:tcW w:w="3060" w:type="dxa"/>
            <w:vAlign w:val="bottom"/>
            <w:gridSpan w:val="2"/>
          </w:tcPr>
          <w:p>
            <w:pPr>
              <w:jc w:val="center"/>
              <w:ind w:left="270"/>
              <w:spacing w:after="0"/>
              <w:rPr>
                <w:sz w:val="20"/>
                <w:szCs w:val="20"/>
                <w:color w:val="auto"/>
              </w:rPr>
            </w:pPr>
            <w:r>
              <w:rPr>
                <w:rFonts w:ascii="Arial" w:cs="Arial" w:eastAsia="Arial" w:hAnsi="Arial"/>
                <w:sz w:val="18"/>
                <w:szCs w:val="18"/>
                <w:color w:val="auto"/>
                <w:w w:val="99"/>
              </w:rPr>
              <w:t>8</w:t>
            </w:r>
          </w:p>
        </w:tc>
      </w:tr>
      <w:tr>
        <w:trPr>
          <w:trHeight w:val="230"/>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24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3060" w:type="dxa"/>
            <w:vAlign w:val="bottom"/>
            <w:tcBorders>
              <w:bottom w:val="single" w:sz="8" w:color="CFF0FC"/>
            </w:tcBorders>
            <w:gridSpan w:val="2"/>
            <w:shd w:val="clear" w:color="auto" w:fill="CFF0FC"/>
          </w:tcPr>
          <w:p>
            <w:pPr>
              <w:jc w:val="center"/>
              <w:ind w:left="250"/>
              <w:spacing w:after="0"/>
              <w:rPr>
                <w:sz w:val="20"/>
                <w:szCs w:val="20"/>
                <w:color w:val="auto"/>
              </w:rPr>
            </w:pPr>
            <w:r>
              <w:rPr>
                <w:rFonts w:ascii="Arial" w:cs="Arial" w:eastAsia="Arial" w:hAnsi="Arial"/>
                <w:sz w:val="18"/>
                <w:szCs w:val="18"/>
                <w:color w:val="auto"/>
                <w:w w:val="99"/>
              </w:rPr>
              <w:t>10</w:t>
            </w:r>
          </w:p>
        </w:tc>
      </w:tr>
      <w:tr>
        <w:trPr>
          <w:trHeight w:val="223"/>
        </w:trPr>
        <w:tc>
          <w:tcPr>
            <w:tcW w:w="4660" w:type="dxa"/>
            <w:vAlign w:val="bottom"/>
          </w:tcPr>
          <w:p>
            <w:pPr>
              <w:spacing w:after="0"/>
              <w:rPr>
                <w:sz w:val="19"/>
                <w:szCs w:val="19"/>
                <w:color w:val="auto"/>
              </w:rPr>
            </w:pPr>
          </w:p>
        </w:tc>
        <w:tc>
          <w:tcPr>
            <w:tcW w:w="2480" w:type="dxa"/>
            <w:vAlign w:val="bottom"/>
            <w:tcBorders>
              <w:bottom w:val="single" w:sz="8" w:color="auto"/>
            </w:tcBorders>
          </w:tcPr>
          <w:p>
            <w:pPr>
              <w:jc w:val="right"/>
              <w:ind w:right="227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156,000</w:t>
            </w:r>
          </w:p>
        </w:tc>
        <w:tc>
          <w:tcPr>
            <w:tcW w:w="3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-179070</wp:posOffset>
            </wp:positionV>
            <wp:extent cx="85725"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70" w:lineRule="exact"/>
        <w:rPr>
          <w:sz w:val="20"/>
          <w:szCs w:val="20"/>
          <w:color w:val="auto"/>
        </w:rPr>
      </w:pPr>
    </w:p>
    <w:p>
      <w:pPr>
        <w:ind w:right="80" w:firstLine="799"/>
        <w:spacing w:after="0" w:line="241" w:lineRule="auto"/>
        <w:rPr>
          <w:sz w:val="20"/>
          <w:szCs w:val="20"/>
          <w:color w:val="auto"/>
        </w:rPr>
      </w:pPr>
      <w:r>
        <w:rPr>
          <w:rFonts w:ascii="Arial" w:cs="Arial" w:eastAsia="Arial" w:hAnsi="Arial"/>
          <w:sz w:val="18"/>
          <w:szCs w:val="18"/>
          <w:color w:val="auto"/>
        </w:rPr>
        <w:t>Purchased technology represents the fair value of UACC’s proprietary technology used to support all aspects of their business including underwriting, servicing, and risk management. The estimated fair value of the purchased technology was determined using a relief-from-royalty method under the income approach. The significant assumptions used in the relief-from-royalty method include estimates about future expected cash flows from the purchased technology, including the revenue growth rates, the royalty rate, the obsolescence factor and the discount rate.</w:t>
      </w:r>
    </w:p>
    <w:p>
      <w:pPr>
        <w:spacing w:after="0" w:line="176" w:lineRule="exact"/>
        <w:rPr>
          <w:sz w:val="20"/>
          <w:szCs w:val="20"/>
          <w:color w:val="auto"/>
        </w:rPr>
      </w:pPr>
    </w:p>
    <w:p>
      <w:pPr>
        <w:ind w:right="100" w:firstLine="749"/>
        <w:spacing w:after="0" w:line="239" w:lineRule="auto"/>
        <w:rPr>
          <w:sz w:val="20"/>
          <w:szCs w:val="20"/>
          <w:color w:val="auto"/>
        </w:rPr>
      </w:pPr>
      <w:r>
        <w:rPr>
          <w:rFonts w:ascii="Arial" w:cs="Arial" w:eastAsia="Arial" w:hAnsi="Arial"/>
          <w:sz w:val="18"/>
          <w:szCs w:val="18"/>
          <w:color w:val="auto"/>
        </w:rPr>
        <w:t>Customer relationships represents UACC's relationship with its network of dealer customers. UACC has expertise in the non-prime credit dealer market serving as the key link between independent dealerships and consumers. UACC has developed expertise and robust relationships in the independent dealer market as demonstrated by its active dealership network. The estimated fair value of the customer relationships was determined using a multi-period excess earnings method under the income approach. The significant assumptions used in the multi-period excess earnings method include estimates about future expected cash flows from the customer relationships, including pre-tax income margins and the discount rate.</w:t>
      </w:r>
    </w:p>
    <w:p>
      <w:pPr>
        <w:spacing w:after="0" w:line="181" w:lineRule="exact"/>
        <w:rPr>
          <w:sz w:val="20"/>
          <w:szCs w:val="20"/>
          <w:color w:val="auto"/>
        </w:rPr>
      </w:pPr>
    </w:p>
    <w:p>
      <w:pPr>
        <w:ind w:right="180" w:firstLine="799"/>
        <w:spacing w:after="0" w:line="243" w:lineRule="auto"/>
        <w:rPr>
          <w:sz w:val="20"/>
          <w:szCs w:val="20"/>
          <w:color w:val="auto"/>
        </w:rPr>
      </w:pPr>
      <w:r>
        <w:rPr>
          <w:rFonts w:ascii="Arial" w:cs="Arial" w:eastAsia="Arial" w:hAnsi="Arial"/>
          <w:sz w:val="18"/>
          <w:szCs w:val="18"/>
          <w:color w:val="auto"/>
        </w:rPr>
        <w:t>Trade name represents the value of the UACC trade name. The UACC brand is an important factor in the marketing of UACC’s services to prospective dealership customers. The fair value of the trade name acquired was determined using a relief-from-royalty method under the income approach. The significant assumptions used in the relief-from-royalty method include future expected cash flows from the trade name, the royalty rate, and the discount rate.</w:t>
      </w:r>
    </w:p>
    <w:p>
      <w:pPr>
        <w:spacing w:after="0" w:line="174" w:lineRule="exact"/>
        <w:rPr>
          <w:sz w:val="20"/>
          <w:szCs w:val="20"/>
          <w:color w:val="auto"/>
        </w:rPr>
      </w:pPr>
    </w:p>
    <w:p>
      <w:pPr>
        <w:ind w:right="200" w:firstLine="749"/>
        <w:spacing w:after="0" w:line="247" w:lineRule="auto"/>
        <w:rPr>
          <w:sz w:val="20"/>
          <w:szCs w:val="20"/>
          <w:color w:val="auto"/>
        </w:rPr>
      </w:pPr>
      <w:r>
        <w:rPr>
          <w:rFonts w:ascii="Arial" w:cs="Arial" w:eastAsia="Arial" w:hAnsi="Arial"/>
          <w:sz w:val="18"/>
          <w:szCs w:val="18"/>
          <w:color w:val="auto"/>
        </w:rPr>
        <w:t>The fair values assigned to assets acquired and liabilities assumed are based on management’s estimates and assumptions. The allocation of the total consideration transferred to the assets acquired, including intangible assets and goodwill, as well as the liabilities assumed was final as of December 31, 2022.</w:t>
      </w:r>
    </w:p>
    <w:p>
      <w:pPr>
        <w:spacing w:after="0" w:line="171"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The transaction costs associated with the UACC Acquisition were not material for the three months ended June 30, 2022 and were $5.7 million for the six months ended June 30, 2022, and are included within "Selling, general and administrative expenses" in the condensed consolidated statement of operations.</w:t>
      </w:r>
    </w:p>
    <w:p>
      <w:pPr>
        <w:spacing w:after="0" w:line="171" w:lineRule="exact"/>
        <w:rPr>
          <w:sz w:val="20"/>
          <w:szCs w:val="20"/>
          <w:color w:val="auto"/>
        </w:rPr>
      </w:pPr>
    </w:p>
    <w:p>
      <w:pPr>
        <w:ind w:right="100" w:firstLine="749"/>
        <w:spacing w:after="0" w:line="247" w:lineRule="auto"/>
        <w:rPr>
          <w:sz w:val="20"/>
          <w:szCs w:val="20"/>
          <w:color w:val="auto"/>
        </w:rPr>
      </w:pPr>
      <w:r>
        <w:rPr>
          <w:rFonts w:ascii="Arial" w:cs="Arial" w:eastAsia="Arial" w:hAnsi="Arial"/>
          <w:sz w:val="18"/>
          <w:szCs w:val="18"/>
          <w:color w:val="auto"/>
        </w:rPr>
        <w:t>The aggregate revenue and net income of UACC consolidated into the Company’s financial statements from the date of the acquisition was $37.0 million and $1.0 million for the three months ended June 30, 2022, respectively and $86.0 million and $20.2 million for the six months ended June 30, 2022,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Information</w:t>
      </w:r>
    </w:p>
    <w:p>
      <w:pPr>
        <w:spacing w:after="0" w:line="208"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The unaudited pro forma financial information in the table below summarizes the combined results of the Company and UACC, as though the companies had been combined on January 1, 2021. The pro forma adjustments include incremental amortization of intangible assets and a non-recurring tax adjustment of $24.1 million for the six months ended June 30, 2022. The pro forma information is presented for informational purposes only and may not be indicative of the results of operations that would have been achieved if the acquisition had taken place on January 1, 2021 or that may occur in the future, and does not reflect future synergies, integration costs, or other such costs or savings. The pro forma information for the six months ended June 30, 2022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14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3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tcPr>
          <w:p>
            <w:pPr>
              <w:jc w:val="right"/>
              <w:ind w:right="215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8"/>
                <w:szCs w:val="18"/>
                <w:color w:val="auto"/>
              </w:rPr>
            </w:pPr>
          </w:p>
        </w:tc>
      </w:tr>
      <w:tr>
        <w:trPr>
          <w:trHeight w:val="223"/>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3780" w:type="dxa"/>
            <w:vAlign w:val="bottom"/>
            <w:gridSpan w:val="2"/>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4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1,414,683</w:t>
            </w:r>
          </w:p>
        </w:tc>
        <w:tc>
          <w:tcPr>
            <w:tcW w:w="140" w:type="dxa"/>
            <w:vAlign w:val="bottom"/>
            <w:shd w:val="clear" w:color="auto" w:fill="CFF0FC"/>
          </w:tcPr>
          <w:p>
            <w:pPr>
              <w:spacing w:after="0"/>
              <w:rPr>
                <w:sz w:val="19"/>
                <w:szCs w:val="19"/>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7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jc w:val="right"/>
              <w:ind w:right="60"/>
              <w:spacing w:after="0"/>
              <w:rPr>
                <w:sz w:val="20"/>
                <w:szCs w:val="20"/>
                <w:color w:val="auto"/>
              </w:rPr>
            </w:pPr>
            <w:r>
              <w:rPr>
                <w:rFonts w:ascii="Arial" w:cs="Arial" w:eastAsia="Arial" w:hAnsi="Arial"/>
                <w:sz w:val="18"/>
                <w:szCs w:val="18"/>
                <w:color w:val="auto"/>
              </w:rPr>
              <w:t>(437,739 )</w:t>
            </w:r>
          </w:p>
        </w:tc>
      </w:tr>
      <w:tr>
        <w:trPr>
          <w:trHeight w:val="635"/>
        </w:trPr>
        <w:tc>
          <w:tcPr>
            <w:tcW w:w="3320" w:type="dxa"/>
            <w:vAlign w:val="bottom"/>
          </w:tcPr>
          <w:p>
            <w:pPr>
              <w:spacing w:after="0"/>
              <w:rPr>
                <w:sz w:val="24"/>
                <w:szCs w:val="24"/>
                <w:color w:val="auto"/>
              </w:rPr>
            </w:pPr>
          </w:p>
        </w:tc>
        <w:tc>
          <w:tcPr>
            <w:tcW w:w="2980" w:type="dxa"/>
            <w:vAlign w:val="bottom"/>
          </w:tcPr>
          <w:p>
            <w:pPr>
              <w:jc w:val="right"/>
              <w:ind w:right="490"/>
              <w:spacing w:after="0"/>
              <w:rPr>
                <w:sz w:val="20"/>
                <w:szCs w:val="20"/>
                <w:color w:val="auto"/>
              </w:rPr>
            </w:pPr>
            <w:r>
              <w:rPr>
                <w:rFonts w:ascii="Arial" w:cs="Arial" w:eastAsia="Arial" w:hAnsi="Arial"/>
                <w:sz w:val="18"/>
                <w:szCs w:val="18"/>
                <w:color w:val="auto"/>
              </w:rPr>
              <w:t>22</w:t>
            </w:r>
          </w:p>
        </w:tc>
        <w:tc>
          <w:tcPr>
            <w:tcW w:w="8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8"/>
        </w:trPr>
        <w:tc>
          <w:tcPr>
            <w:tcW w:w="3320" w:type="dxa"/>
            <w:vAlign w:val="bottom"/>
            <w:tcBorders>
              <w:bottom w:val="single" w:sz="8" w:color="9A9A9A"/>
            </w:tcBorders>
          </w:tcPr>
          <w:p>
            <w:pPr>
              <w:spacing w:after="0"/>
              <w:rPr>
                <w:sz w:val="7"/>
                <w:szCs w:val="7"/>
                <w:color w:val="auto"/>
              </w:rPr>
            </w:pPr>
          </w:p>
        </w:tc>
        <w:tc>
          <w:tcPr>
            <w:tcW w:w="29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consisted of the following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7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2022</w:t>
            </w:r>
          </w:p>
        </w:tc>
      </w:tr>
      <w:tr>
        <w:trPr>
          <w:trHeight w:val="223"/>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207,135</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317,994</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Parts and accessories</w:t>
            </w: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2,654</w:t>
            </w:r>
          </w:p>
        </w:tc>
      </w:tr>
      <w:tr>
        <w:trPr>
          <w:trHeight w:val="263"/>
        </w:trPr>
        <w:tc>
          <w:tcPr>
            <w:tcW w:w="7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inventory</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8"/>
                <w:szCs w:val="18"/>
                <w:color w:val="auto"/>
              </w:rPr>
              <w:t>208,871</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8"/>
                <w:szCs w:val="18"/>
                <w:color w:val="auto"/>
              </w:rPr>
              <w:t>320,648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0" w:lineRule="exact"/>
        <w:rPr>
          <w:sz w:val="20"/>
          <w:szCs w:val="20"/>
          <w:color w:val="auto"/>
        </w:rPr>
      </w:pPr>
    </w:p>
    <w:p>
      <w:pPr>
        <w:ind w:right="80" w:firstLine="761"/>
        <w:spacing w:after="0" w:line="260" w:lineRule="auto"/>
        <w:rPr>
          <w:sz w:val="20"/>
          <w:szCs w:val="20"/>
          <w:color w:val="auto"/>
        </w:rPr>
      </w:pPr>
      <w:r>
        <w:rPr>
          <w:rFonts w:ascii="Arial" w:cs="Arial" w:eastAsia="Arial" w:hAnsi="Arial"/>
          <w:sz w:val="18"/>
          <w:szCs w:val="18"/>
          <w:color w:val="auto"/>
        </w:rPr>
        <w:t>As of June 30, 2023 and December 31, 2022, “Inventory” includes an adjustment of $12.4 million and $24.2 million, respectively, to record the balances at the lower of cost or net realizable value.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7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2022</w:t>
            </w:r>
          </w:p>
        </w:tc>
      </w:tr>
      <w:tr>
        <w:trPr>
          <w:trHeight w:val="223"/>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3,636</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3,357</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640" w:type="dxa"/>
            <w:vAlign w:val="bottom"/>
          </w:tcPr>
          <w:p>
            <w:pPr>
              <w:jc w:val="right"/>
              <w:ind w:right="73"/>
              <w:spacing w:after="0"/>
              <w:rPr>
                <w:sz w:val="20"/>
                <w:szCs w:val="20"/>
                <w:color w:val="auto"/>
              </w:rPr>
            </w:pPr>
            <w:r>
              <w:rPr>
                <w:rFonts w:ascii="Arial" w:cs="Arial" w:eastAsia="Arial" w:hAnsi="Arial"/>
                <w:sz w:val="18"/>
                <w:szCs w:val="18"/>
                <w:color w:val="auto"/>
              </w:rPr>
              <w:t>1,898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1,896</w:t>
            </w:r>
          </w:p>
        </w:tc>
      </w:tr>
      <w:tr>
        <w:trPr>
          <w:trHeight w:val="230"/>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Logistics fleet</w:t>
            </w:r>
          </w:p>
        </w:tc>
        <w:tc>
          <w:tcPr>
            <w:tcW w:w="3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32,544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32,468</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9"/>
                <w:szCs w:val="19"/>
                <w:color w:val="auto"/>
              </w:rPr>
            </w:pPr>
          </w:p>
        </w:tc>
        <w:tc>
          <w:tcPr>
            <w:tcW w:w="1640" w:type="dxa"/>
            <w:vAlign w:val="bottom"/>
          </w:tcPr>
          <w:p>
            <w:pPr>
              <w:jc w:val="right"/>
              <w:ind w:right="73"/>
              <w:spacing w:after="0"/>
              <w:rPr>
                <w:sz w:val="20"/>
                <w:szCs w:val="20"/>
                <w:color w:val="auto"/>
              </w:rPr>
            </w:pPr>
            <w:r>
              <w:rPr>
                <w:rFonts w:ascii="Arial" w:cs="Arial" w:eastAsia="Arial" w:hAnsi="Arial"/>
                <w:sz w:val="18"/>
                <w:szCs w:val="18"/>
                <w:color w:val="auto"/>
              </w:rPr>
              <w:t>7,595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6,577</w:t>
            </w:r>
          </w:p>
        </w:tc>
      </w:tr>
      <w:tr>
        <w:trPr>
          <w:trHeight w:val="230"/>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Internal-use software</w:t>
            </w:r>
          </w:p>
        </w:tc>
        <w:tc>
          <w:tcPr>
            <w:tcW w:w="3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36,981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30,725</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8,569</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8,081</w:t>
            </w:r>
          </w:p>
        </w:tc>
      </w:tr>
      <w:tr>
        <w:trPr>
          <w:trHeight w:val="223"/>
        </w:trPr>
        <w:tc>
          <w:tcPr>
            <w:tcW w:w="7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91,223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83,104</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(40,534 )</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(32,903 )</w:t>
            </w:r>
          </w:p>
        </w:tc>
      </w:tr>
      <w:tr>
        <w:trPr>
          <w:trHeight w:val="263"/>
        </w:trPr>
        <w:tc>
          <w:tcPr>
            <w:tcW w:w="7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50,689</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50,201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-24765</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137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0" w:lineRule="exact"/>
        <w:rPr>
          <w:sz w:val="20"/>
          <w:szCs w:val="20"/>
          <w:color w:val="auto"/>
        </w:rPr>
      </w:pPr>
    </w:p>
    <w:p>
      <w:pPr>
        <w:ind w:right="80" w:firstLine="761"/>
        <w:spacing w:after="0" w:line="243" w:lineRule="auto"/>
        <w:rPr>
          <w:sz w:val="20"/>
          <w:szCs w:val="20"/>
          <w:color w:val="auto"/>
        </w:rPr>
      </w:pPr>
      <w:r>
        <w:rPr>
          <w:rFonts w:ascii="Arial" w:cs="Arial" w:eastAsia="Arial" w:hAnsi="Arial"/>
          <w:sz w:val="18"/>
          <w:szCs w:val="18"/>
          <w:color w:val="auto"/>
        </w:rPr>
        <w:t>Depreciation and amortization expense was $3.8 million and $3.4 million for the three months ended June 30, 2023 and 2022, respectively, and $7.7 million and $6.2 million for the six months ended June 30, 2023 and 2022, respectively. Depreciation and amortization expense included within “Cost of sales” in the condensed consolidated statements of operations was not material for the three and six months ended June 30, 2023 and 2022, respectively.</w:t>
      </w:r>
    </w:p>
    <w:p>
      <w:pPr>
        <w:spacing w:after="0" w:line="174"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Implementation costs capitalized and accumulated amortization related to the Company’s cloud computing arrangements were $8.6 million and $5.4 million as of June 30, 2023, respectively, and $7.7 million and $4.6 million as of December 31, 2022, respectively, and were included within “Other assets” in the condensed consolidated balance sheets. Amortization expense of $0.3 million and $0.6 million was included within “Selling, general and administrative expenses” in the condensed consolidated statements of operations for the three months ended June 30, 2023 and 2022, respectively, and $0.7 million and $1.1 million for the six months ended June 30, 2023 and 2022,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08" w:lineRule="exact"/>
        <w:rPr>
          <w:sz w:val="20"/>
          <w:szCs w:val="20"/>
          <w:color w:val="auto"/>
        </w:rPr>
      </w:pPr>
    </w:p>
    <w:p>
      <w:pPr>
        <w:ind w:right="380" w:firstLine="761"/>
        <w:spacing w:after="0" w:line="291" w:lineRule="auto"/>
        <w:rPr>
          <w:sz w:val="20"/>
          <w:szCs w:val="20"/>
          <w:color w:val="auto"/>
        </w:rPr>
      </w:pPr>
      <w:r>
        <w:rPr>
          <w:rFonts w:ascii="Arial" w:cs="Arial" w:eastAsia="Arial" w:hAnsi="Arial"/>
          <w:sz w:val="18"/>
          <w:szCs w:val="18"/>
          <w:color w:val="auto"/>
        </w:rPr>
        <w:t>The following table summarizes the activity in the carrying value of goodwill by reporting unit for the six months ended June 30, 2022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6"/>
                <w:szCs w:val="16"/>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Wholesale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TDA</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152,876</w:t>
            </w:r>
          </w:p>
        </w:tc>
        <w:tc>
          <w:tcPr>
            <w:tcW w:w="3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1,720</w:t>
            </w:r>
          </w:p>
        </w:tc>
        <w:tc>
          <w:tcPr>
            <w:tcW w:w="34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4,221</w:t>
            </w:r>
          </w:p>
        </w:tc>
        <w:tc>
          <w:tcPr>
            <w:tcW w:w="34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158,817</w:t>
            </w:r>
          </w:p>
        </w:tc>
        <w:tc>
          <w:tcPr>
            <w:tcW w:w="140" w:type="dxa"/>
            <w:vAlign w:val="bottom"/>
            <w:shd w:val="clear" w:color="auto" w:fill="CFF0FC"/>
          </w:tcPr>
          <w:p>
            <w:pPr>
              <w:spacing w:after="0"/>
              <w:rPr>
                <w:sz w:val="19"/>
                <w:szCs w:val="19"/>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42,886</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42,886</w:t>
            </w:r>
          </w:p>
        </w:tc>
        <w:tc>
          <w:tcPr>
            <w:tcW w:w="140" w:type="dxa"/>
            <w:vAlign w:val="bottom"/>
          </w:tcPr>
          <w:p>
            <w:pPr>
              <w:spacing w:after="0"/>
              <w:rPr>
                <w:sz w:val="19"/>
                <w:szCs w:val="19"/>
                <w:color w:val="auto"/>
              </w:rPr>
            </w:pPr>
          </w:p>
        </w:tc>
      </w:tr>
      <w:tr>
        <w:trPr>
          <w:trHeight w:val="229"/>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 charge</w:t>
            </w: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(195,762 )</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(1,720 )</w:t>
            </w:r>
          </w:p>
        </w:tc>
        <w:tc>
          <w:tcPr>
            <w:tcW w:w="9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(4,221 )</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(201,703 )</w:t>
            </w:r>
          </w:p>
        </w:tc>
      </w:tr>
      <w:tr>
        <w:trPr>
          <w:trHeight w:val="223"/>
        </w:trPr>
        <w:tc>
          <w:tcPr>
            <w:tcW w:w="38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tcBorders>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-179070</wp:posOffset>
            </wp:positionV>
            <wp:extent cx="85725"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-179070</wp:posOffset>
            </wp:positionV>
            <wp:extent cx="85725" cy="179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-179070</wp:posOffset>
            </wp:positionV>
            <wp:extent cx="85725"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was no goodwill as of June 30, 2023.</w:t>
      </w:r>
    </w:p>
    <w:p>
      <w:pPr>
        <w:spacing w:after="0" w:line="193" w:lineRule="exact"/>
        <w:rPr>
          <w:sz w:val="20"/>
          <w:szCs w:val="20"/>
          <w:color w:val="auto"/>
        </w:rPr>
      </w:pPr>
    </w:p>
    <w:p>
      <w:pPr>
        <w:ind w:right="260" w:firstLine="761"/>
        <w:spacing w:after="0" w:line="258" w:lineRule="auto"/>
        <w:rPr>
          <w:sz w:val="20"/>
          <w:szCs w:val="20"/>
          <w:color w:val="auto"/>
        </w:rPr>
      </w:pPr>
      <w:r>
        <w:rPr>
          <w:rFonts w:ascii="Arial" w:cs="Arial" w:eastAsia="Arial" w:hAnsi="Arial"/>
          <w:sz w:val="17"/>
          <w:szCs w:val="17"/>
          <w:color w:val="auto"/>
        </w:rPr>
        <w:t>As of March 31, 2022, a quantitative interim goodwill impairment assessment was performed over the Company's reporting units due to further sustained declines in the Company's and comparable companies' stock prices during the three months ended March 31, 2022.</w:t>
      </w:r>
    </w:p>
    <w:p>
      <w:pPr>
        <w:spacing w:after="0" w:line="166" w:lineRule="exact"/>
        <w:rPr>
          <w:sz w:val="20"/>
          <w:szCs w:val="20"/>
          <w:color w:val="auto"/>
        </w:rPr>
      </w:pPr>
    </w:p>
    <w:p>
      <w:pPr>
        <w:ind w:right="320" w:firstLine="764"/>
        <w:spacing w:after="0" w:line="239" w:lineRule="auto"/>
        <w:rPr>
          <w:sz w:val="20"/>
          <w:szCs w:val="20"/>
          <w:color w:val="auto"/>
        </w:rPr>
      </w:pPr>
      <w:r>
        <w:rPr>
          <w:rFonts w:ascii="Arial" w:cs="Arial" w:eastAsia="Arial" w:hAnsi="Arial"/>
          <w:sz w:val="18"/>
          <w:szCs w:val="18"/>
          <w:color w:val="auto"/>
        </w:rPr>
        <w:t>The Company estimated the fair value of the Ecommerce, Wholesale, and TDA reporting units using the discounted cash flow method under the income approach. The significant assumptions used in the valuation include revenue growth rates, future gross profit margins and operating expenses used to calculate projected future cash flows, 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The Company bases its estimates and assumptions on its knowledge of the automotive and ecommerce industries, recent performance, expectations of future performance and other assumptions the Company believe to be reasonable.</w:t>
      </w:r>
    </w:p>
    <w:p>
      <w:pPr>
        <w:spacing w:after="0" w:line="177" w:lineRule="exact"/>
        <w:rPr>
          <w:sz w:val="20"/>
          <w:szCs w:val="20"/>
          <w:color w:val="auto"/>
        </w:rPr>
      </w:pPr>
    </w:p>
    <w:p>
      <w:pPr>
        <w:ind w:right="160" w:firstLine="764"/>
        <w:spacing w:after="0" w:line="247" w:lineRule="auto"/>
        <w:rPr>
          <w:sz w:val="20"/>
          <w:szCs w:val="20"/>
          <w:color w:val="auto"/>
        </w:rPr>
      </w:pPr>
      <w:r>
        <w:rPr>
          <w:rFonts w:ascii="Arial" w:cs="Arial" w:eastAsia="Arial" w:hAnsi="Arial"/>
          <w:sz w:val="18"/>
          <w:szCs w:val="18"/>
          <w:color w:val="auto"/>
        </w:rPr>
        <w:t>The Company determined that the estimated fair value of the Ecommerce, Wholesale, and TDA reporting units was less than their carrying amounts. The Company recorded a goodwill impairment charge of $201.7 million in the condensed consolidated statements of operations for the six months ended June 30, 2022.</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5 – Acquisition for more information related to the acquisition that occurred in the six months ended June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56"/>
        </w:trPr>
        <w:tc>
          <w:tcPr>
            <w:tcW w:w="4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3"/>
          </w:tcPr>
          <w:p>
            <w:pPr>
              <w:jc w:val="center"/>
              <w:ind w:right="260"/>
              <w:spacing w:after="0" w:line="156" w:lineRule="exact"/>
              <w:rPr>
                <w:sz w:val="20"/>
                <w:szCs w:val="20"/>
                <w:color w:val="auto"/>
              </w:rPr>
            </w:pPr>
            <w:r>
              <w:rPr>
                <w:rFonts w:ascii="Arial" w:cs="Arial" w:eastAsia="Arial" w:hAnsi="Arial"/>
                <w:sz w:val="14"/>
                <w:szCs w:val="14"/>
                <w:b w:val="1"/>
                <w:bCs w:val="1"/>
                <w:color w:val="auto"/>
              </w:rPr>
              <w:t>Accumulate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3"/>
          </w:tcPr>
          <w:p>
            <w:pPr>
              <w:jc w:val="center"/>
              <w:ind w:right="300"/>
              <w:spacing w:after="0" w:line="156" w:lineRule="exact"/>
              <w:rPr>
                <w:sz w:val="20"/>
                <w:szCs w:val="20"/>
                <w:color w:val="auto"/>
              </w:rPr>
            </w:pPr>
            <w:r>
              <w:rPr>
                <w:rFonts w:ascii="Arial" w:cs="Arial" w:eastAsia="Arial" w:hAnsi="Arial"/>
                <w:sz w:val="14"/>
                <w:szCs w:val="14"/>
                <w:b w:val="1"/>
                <w:bCs w:val="1"/>
                <w:color w:val="auto"/>
              </w:rPr>
              <w:t>Accumulate</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46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Gross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6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Amortizatio</w:t>
            </w:r>
          </w:p>
        </w:tc>
        <w:tc>
          <w:tcPr>
            <w:tcW w:w="86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Amortizatio</w:t>
            </w:r>
          </w:p>
        </w:tc>
        <w:tc>
          <w:tcPr>
            <w:tcW w:w="8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r>
      <w:tr>
        <w:trPr>
          <w:trHeight w:val="189"/>
        </w:trPr>
        <w:tc>
          <w:tcPr>
            <w:tcW w:w="46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n</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n</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and purchased technology</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$ 108,700</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(29,552 )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79,148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$ 108,700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(21,053 )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87,647</w:t>
            </w:r>
          </w:p>
        </w:tc>
        <w:tc>
          <w:tcPr>
            <w:tcW w:w="140" w:type="dxa"/>
            <w:vAlign w:val="bottom"/>
            <w:shd w:val="clear" w:color="auto" w:fill="CFF0FC"/>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840" w:type="dxa"/>
            <w:vAlign w:val="bottom"/>
          </w:tcPr>
          <w:p>
            <w:pPr>
              <w:jc w:val="right"/>
              <w:spacing w:after="0"/>
              <w:rPr>
                <w:sz w:val="20"/>
                <w:szCs w:val="20"/>
                <w:color w:val="auto"/>
              </w:rPr>
            </w:pPr>
            <w:r>
              <w:rPr>
                <w:rFonts w:ascii="Arial" w:cs="Arial" w:eastAsia="Arial" w:hAnsi="Arial"/>
                <w:sz w:val="18"/>
                <w:szCs w:val="18"/>
                <w:color w:val="auto"/>
              </w:rPr>
              <w:t>69,400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(12,999 )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56,401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69,400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(8,661 )</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60,739</w:t>
            </w:r>
          </w:p>
        </w:tc>
        <w:tc>
          <w:tcPr>
            <w:tcW w:w="140" w:type="dxa"/>
            <w:vAlign w:val="bottom"/>
          </w:tcPr>
          <w:p>
            <w:pPr>
              <w:spacing w:after="0"/>
              <w:rPr>
                <w:sz w:val="19"/>
                <w:szCs w:val="19"/>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Trademarks and trade names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(2,350 )</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(1,676 )</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10,524</w:t>
            </w:r>
          </w:p>
        </w:tc>
        <w:tc>
          <w:tcPr>
            <w:tcW w:w="140" w:type="dxa"/>
            <w:vAlign w:val="bottom"/>
            <w:shd w:val="clear" w:color="auto" w:fill="CFF0FC"/>
          </w:tcPr>
          <w:p>
            <w:pPr>
              <w:spacing w:after="0"/>
              <w:rPr>
                <w:sz w:val="19"/>
                <w:szCs w:val="19"/>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3"/>
        </w:trPr>
        <w:tc>
          <w:tcPr>
            <w:tcW w:w="4600" w:type="dxa"/>
            <w:vAlign w:val="bottom"/>
          </w:tcPr>
          <w:p>
            <w:pPr>
              <w:ind w:left="320"/>
              <w:spacing w:after="0"/>
              <w:rPr>
                <w:sz w:val="20"/>
                <w:szCs w:val="20"/>
                <w:color w:val="auto"/>
              </w:rPr>
            </w:pPr>
            <w:r>
              <w:rPr>
                <w:rFonts w:ascii="Arial" w:cs="Arial" w:eastAsia="Arial" w:hAnsi="Arial"/>
                <w:sz w:val="18"/>
                <w:szCs w:val="18"/>
                <w:color w:val="auto"/>
              </w:rPr>
              <w:t>Total intangible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$ 190,300</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(44,901 )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145,399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$ 190,300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(31,390 )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158,910</w:t>
            </w:r>
          </w:p>
        </w:tc>
        <w:tc>
          <w:tcPr>
            <w:tcW w:w="14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-179705</wp:posOffset>
            </wp:positionV>
            <wp:extent cx="85725" cy="180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-179705</wp:posOffset>
            </wp:positionV>
            <wp:extent cx="85725" cy="180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-179705</wp:posOffset>
            </wp:positionV>
            <wp:extent cx="85725"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-179705</wp:posOffset>
            </wp:positionV>
            <wp:extent cx="76835"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-179705</wp:posOffset>
            </wp:positionV>
            <wp:extent cx="85725"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5 – Acquisition for more information related to the acquisition that occurred in the six months ended June 30, 2022.</w:t>
      </w:r>
    </w:p>
    <w:p>
      <w:pPr>
        <w:spacing w:after="0" w:line="198" w:lineRule="exact"/>
        <w:rPr>
          <w:sz w:val="20"/>
          <w:szCs w:val="20"/>
          <w:color w:val="auto"/>
        </w:rPr>
      </w:pPr>
    </w:p>
    <w:p>
      <w:pPr>
        <w:ind w:right="200" w:firstLine="761"/>
        <w:spacing w:after="0" w:line="260" w:lineRule="auto"/>
        <w:rPr>
          <w:sz w:val="20"/>
          <w:szCs w:val="20"/>
          <w:color w:val="auto"/>
        </w:rPr>
      </w:pPr>
      <w:r>
        <w:rPr>
          <w:rFonts w:ascii="Arial" w:cs="Arial" w:eastAsia="Arial" w:hAnsi="Arial"/>
          <w:sz w:val="18"/>
          <w:szCs w:val="18"/>
          <w:color w:val="auto"/>
        </w:rPr>
        <w:t>Amortization expense for intangible assets was $ 6.8 million and $6.8 million for the three months ended June 30, 2023 and 2022, respectively, and $13.5 million and $11.8 million for the six months ended June 30, 2023 and 2022, respectively.</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estimated amortization expense for intangible assets subsequent to June 30, 2023, consists of the following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 remainder of 2023</w:t>
            </w:r>
          </w:p>
        </w:tc>
        <w:tc>
          <w:tcPr>
            <w:tcW w:w="5960" w:type="dxa"/>
            <w:vAlign w:val="bottom"/>
            <w:gridSpan w:val="3"/>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13,511</w:t>
            </w:r>
          </w:p>
        </w:tc>
        <w:tc>
          <w:tcPr>
            <w:tcW w:w="140" w:type="dxa"/>
            <w:vAlign w:val="bottom"/>
            <w:shd w:val="clear" w:color="auto" w:fill="CFF0FC"/>
          </w:tcPr>
          <w:p>
            <w:pPr>
              <w:spacing w:after="0"/>
              <w:rPr>
                <w:sz w:val="19"/>
                <w:szCs w:val="19"/>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2024</w:t>
            </w: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27,022</w:t>
            </w:r>
          </w:p>
        </w:tc>
        <w:tc>
          <w:tcPr>
            <w:tcW w:w="140" w:type="dxa"/>
            <w:vAlign w:val="bottom"/>
          </w:tcPr>
          <w:p>
            <w:pPr>
              <w:spacing w:after="0"/>
              <w:rPr>
                <w:sz w:val="19"/>
                <w:szCs w:val="19"/>
                <w:color w:val="auto"/>
              </w:rPr>
            </w:pPr>
          </w:p>
        </w:tc>
      </w:tr>
      <w:tr>
        <w:trPr>
          <w:trHeight w:val="230"/>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27,022</w:t>
            </w:r>
          </w:p>
        </w:tc>
        <w:tc>
          <w:tcPr>
            <w:tcW w:w="140" w:type="dxa"/>
            <w:vAlign w:val="bottom"/>
            <w:shd w:val="clear" w:color="auto" w:fill="CFF0FC"/>
          </w:tcPr>
          <w:p>
            <w:pPr>
              <w:spacing w:after="0"/>
              <w:rPr>
                <w:sz w:val="19"/>
                <w:szCs w:val="19"/>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2026</w:t>
            </w: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21,979</w:t>
            </w:r>
          </w:p>
        </w:tc>
        <w:tc>
          <w:tcPr>
            <w:tcW w:w="140" w:type="dxa"/>
            <w:vAlign w:val="bottom"/>
          </w:tcPr>
          <w:p>
            <w:pPr>
              <w:spacing w:after="0"/>
              <w:rPr>
                <w:sz w:val="19"/>
                <w:szCs w:val="19"/>
                <w:color w:val="auto"/>
              </w:rPr>
            </w:pPr>
          </w:p>
        </w:tc>
      </w:tr>
      <w:tr>
        <w:trPr>
          <w:trHeight w:val="230"/>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21,882</w:t>
            </w:r>
          </w:p>
        </w:tc>
        <w:tc>
          <w:tcPr>
            <w:tcW w:w="140" w:type="dxa"/>
            <w:vAlign w:val="bottom"/>
            <w:shd w:val="clear" w:color="auto" w:fill="CFF0FC"/>
          </w:tcPr>
          <w:p>
            <w:pPr>
              <w:spacing w:after="0"/>
              <w:rPr>
                <w:sz w:val="19"/>
                <w:szCs w:val="19"/>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33,983</w:t>
            </w:r>
          </w:p>
        </w:tc>
        <w:tc>
          <w:tcPr>
            <w:tcW w:w="140" w:type="dxa"/>
            <w:vAlign w:val="bottom"/>
          </w:tcPr>
          <w:p>
            <w:pPr>
              <w:spacing w:after="0"/>
              <w:rPr>
                <w:sz w:val="19"/>
                <w:szCs w:val="19"/>
                <w:color w:val="auto"/>
              </w:rPr>
            </w:pPr>
          </w:p>
        </w:tc>
      </w:tr>
      <w:tr>
        <w:trPr>
          <w:trHeight w:val="263"/>
        </w:trPr>
        <w:tc>
          <w:tcPr>
            <w:tcW w:w="3680" w:type="dxa"/>
            <w:vAlign w:val="bottom"/>
            <w:shd w:val="clear" w:color="auto" w:fill="CFF0FC"/>
          </w:tcPr>
          <w:p>
            <w:pPr>
              <w:spacing w:after="0"/>
              <w:rPr>
                <w:sz w:val="22"/>
                <w:szCs w:val="22"/>
                <w:color w:val="auto"/>
              </w:rPr>
            </w:pPr>
          </w:p>
        </w:tc>
        <w:tc>
          <w:tcPr>
            <w:tcW w:w="5960" w:type="dxa"/>
            <w:vAlign w:val="bottom"/>
            <w:gridSpan w:val="3"/>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145,399</w:t>
            </w:r>
          </w:p>
        </w:tc>
        <w:tc>
          <w:tcPr>
            <w:tcW w:w="140" w:type="dxa"/>
            <w:vAlign w:val="bottom"/>
            <w:shd w:val="clear" w:color="auto" w:fill="CFF0FC"/>
          </w:tcPr>
          <w:p>
            <w:pPr>
              <w:spacing w:after="0"/>
              <w:rPr>
                <w:sz w:val="22"/>
                <w:szCs w:val="22"/>
                <w:color w:val="auto"/>
              </w:rPr>
            </w:pPr>
          </w:p>
        </w:tc>
      </w:tr>
      <w:tr>
        <w:trPr>
          <w:trHeight w:val="615"/>
        </w:trPr>
        <w:tc>
          <w:tcPr>
            <w:tcW w:w="3680" w:type="dxa"/>
            <w:vAlign w:val="bottom"/>
            <w:tcBorders>
              <w:top w:val="single" w:sz="8" w:color="CFF0FC"/>
            </w:tcBorders>
          </w:tcPr>
          <w:p>
            <w:pPr>
              <w:spacing w:after="0"/>
              <w:rPr>
                <w:sz w:val="24"/>
                <w:szCs w:val="24"/>
                <w:color w:val="auto"/>
              </w:rPr>
            </w:pPr>
          </w:p>
        </w:tc>
        <w:tc>
          <w:tcPr>
            <w:tcW w:w="4800" w:type="dxa"/>
            <w:vAlign w:val="bottom"/>
            <w:tcBorders>
              <w:top w:val="single" w:sz="8" w:color="CFF0FC"/>
            </w:tcBorders>
          </w:tcPr>
          <w:p>
            <w:pPr>
              <w:jc w:val="right"/>
              <w:ind w:right="2670"/>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-488315</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accrued expenses consisted of the following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7000" w:type="dxa"/>
            <w:vAlign w:val="bottom"/>
          </w:tcPr>
          <w:p>
            <w:pPr>
              <w:spacing w:after="0"/>
              <w:rPr>
                <w:sz w:val="15"/>
                <w:szCs w:val="15"/>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2022</w:t>
            </w:r>
          </w:p>
        </w:tc>
      </w:tr>
      <w:tr>
        <w:trPr>
          <w:trHeight w:val="223"/>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marketing expenses</w:t>
            </w:r>
          </w:p>
        </w:tc>
        <w:tc>
          <w:tcPr>
            <w:tcW w:w="1260" w:type="dxa"/>
            <w:vAlign w:val="bottom"/>
            <w:shd w:val="clear" w:color="auto" w:fill="CFF0FC"/>
          </w:tcPr>
          <w:p>
            <w:pPr>
              <w:jc w:val="right"/>
              <w:ind w:right="107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7,365</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2,093</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Vehicle related expenses</w:t>
            </w:r>
          </w:p>
        </w:tc>
        <w:tc>
          <w:tcPr>
            <w:tcW w:w="126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11,015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14,789</w:t>
            </w:r>
          </w:p>
        </w:tc>
      </w:tr>
      <w:tr>
        <w:trPr>
          <w:trHeight w:val="229"/>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taxes</w:t>
            </w: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5,014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5,983</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26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17,765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28,276</w:t>
            </w:r>
          </w:p>
        </w:tc>
      </w:tr>
      <w:tr>
        <w:trPr>
          <w:trHeight w:val="230"/>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services</w:t>
            </w: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1,703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3,488</w:t>
            </w:r>
          </w:p>
        </w:tc>
      </w:tr>
      <w:tr>
        <w:trPr>
          <w:trHeight w:val="229"/>
        </w:trPr>
        <w:tc>
          <w:tcPr>
            <w:tcW w:w="7000" w:type="dxa"/>
            <w:vAlign w:val="bottom"/>
          </w:tcPr>
          <w:p>
            <w:pPr>
              <w:ind w:left="20"/>
              <w:spacing w:after="0" w:line="229" w:lineRule="exact"/>
              <w:rPr>
                <w:sz w:val="20"/>
                <w:szCs w:val="20"/>
                <w:color w:val="auto"/>
              </w:rPr>
            </w:pPr>
            <w:r>
              <w:rPr>
                <w:rFonts w:ascii="Arial" w:cs="Arial" w:eastAsia="Arial" w:hAnsi="Arial"/>
                <w:sz w:val="18"/>
                <w:szCs w:val="18"/>
                <w:color w:val="auto"/>
              </w:rPr>
              <w:t>Accrued legal settlements</w:t>
            </w:r>
            <w:r>
              <w:rPr>
                <w:rFonts w:ascii="Arial" w:cs="Arial" w:eastAsia="Arial" w:hAnsi="Arial"/>
                <w:sz w:val="24"/>
                <w:szCs w:val="24"/>
                <w:color w:val="auto"/>
                <w:vertAlign w:val="superscript"/>
              </w:rPr>
              <w:t>(1)</w:t>
            </w:r>
          </w:p>
        </w:tc>
        <w:tc>
          <w:tcPr>
            <w:tcW w:w="126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4,306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7,383</w:t>
            </w:r>
          </w:p>
        </w:tc>
      </w:tr>
      <w:tr>
        <w:trPr>
          <w:trHeight w:val="230"/>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payable</w:t>
            </w: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4,121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3,990</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7,018</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10,793</w:t>
            </w:r>
          </w:p>
        </w:tc>
      </w:tr>
      <w:tr>
        <w:trPr>
          <w:trHeight w:val="263"/>
        </w:trPr>
        <w:tc>
          <w:tcPr>
            <w:tcW w:w="7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1260" w:type="dxa"/>
            <w:vAlign w:val="bottom"/>
            <w:tcBorders>
              <w:bottom w:val="single" w:sz="8" w:color="auto"/>
            </w:tcBorders>
            <w:shd w:val="clear" w:color="auto" w:fill="CFF0FC"/>
          </w:tcPr>
          <w:p>
            <w:pPr>
              <w:jc w:val="right"/>
              <w:ind w:right="107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58,307</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76,795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-24765</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3" w:lineRule="exact"/>
        <w:rPr>
          <w:sz w:val="20"/>
          <w:szCs w:val="20"/>
          <w:color w:val="auto"/>
        </w:rPr>
      </w:pPr>
    </w:p>
    <w:p>
      <w:pPr>
        <w:ind w:right="500" w:firstLine="769"/>
        <w:spacing w:after="0" w:line="261" w:lineRule="auto"/>
        <w:tabs>
          <w:tab w:leader="none" w:pos="935" w:val="left"/>
        </w:tabs>
        <w:numPr>
          <w:ilvl w:val="0"/>
          <w:numId w:val="5"/>
        </w:numPr>
        <w:rPr>
          <w:rFonts w:ascii="Arial" w:cs="Arial" w:eastAsia="Arial" w:hAnsi="Arial"/>
          <w:sz w:val="12"/>
          <w:szCs w:val="12"/>
          <w:color w:val="auto"/>
        </w:rPr>
      </w:pPr>
      <w:r>
        <w:rPr>
          <w:rFonts w:ascii="Arial" w:cs="Arial" w:eastAsia="Arial" w:hAnsi="Arial"/>
          <w:sz w:val="12"/>
          <w:szCs w:val="12"/>
          <w:color w:val="auto"/>
        </w:rPr>
        <w:t>Accrued legal settlements are primarily related to legal challenges stemming from operational challenges created by the Company's prior rapid growth, which resulted in additional costs incurred, including legal settlements.</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current liabilities consisted of the following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7000" w:type="dxa"/>
            <w:vAlign w:val="bottom"/>
          </w:tcPr>
          <w:p>
            <w:pPr>
              <w:spacing w:after="0"/>
              <w:rPr>
                <w:sz w:val="15"/>
                <w:szCs w:val="15"/>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2022</w:t>
            </w:r>
          </w:p>
        </w:tc>
      </w:tr>
      <w:tr>
        <w:trPr>
          <w:trHeight w:val="223"/>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payable</w:t>
            </w:r>
          </w:p>
        </w:tc>
        <w:tc>
          <w:tcPr>
            <w:tcW w:w="1280" w:type="dxa"/>
            <w:vAlign w:val="bottom"/>
            <w:shd w:val="clear" w:color="auto" w:fill="CFF0FC"/>
          </w:tcPr>
          <w:p>
            <w:pPr>
              <w:jc w:val="right"/>
              <w:ind w:right="109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5,897</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3,617</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Reserve for estimated returns</w:t>
            </w:r>
          </w:p>
        </w:tc>
        <w:tc>
          <w:tcPr>
            <w:tcW w:w="128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2,384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3,919</w:t>
            </w:r>
          </w:p>
        </w:tc>
      </w:tr>
      <w:tr>
        <w:trPr>
          <w:trHeight w:val="230"/>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 payable</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4,551</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2,999</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5,606</w:t>
            </w:r>
          </w:p>
        </w:tc>
      </w:tr>
      <w:tr>
        <w:trPr>
          <w:trHeight w:val="263"/>
        </w:trPr>
        <w:tc>
          <w:tcPr>
            <w:tcW w:w="7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current liabilities</w:t>
            </w:r>
          </w:p>
        </w:tc>
        <w:tc>
          <w:tcPr>
            <w:tcW w:w="1280" w:type="dxa"/>
            <w:vAlign w:val="bottom"/>
            <w:tcBorders>
              <w:bottom w:val="single" w:sz="8" w:color="auto"/>
            </w:tcBorders>
            <w:shd w:val="clear" w:color="auto" w:fill="CFF0FC"/>
          </w:tcPr>
          <w:p>
            <w:pPr>
              <w:jc w:val="right"/>
              <w:ind w:right="109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11,912</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17,693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-24765</wp:posOffset>
            </wp:positionV>
            <wp:extent cx="137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137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Vehicle Floorplan Facility</w:t>
      </w:r>
    </w:p>
    <w:p>
      <w:pPr>
        <w:spacing w:after="0" w:line="208" w:lineRule="exact"/>
        <w:rPr>
          <w:sz w:val="20"/>
          <w:szCs w:val="20"/>
          <w:color w:val="auto"/>
        </w:rPr>
      </w:pPr>
    </w:p>
    <w:p>
      <w:pPr>
        <w:ind w:right="100" w:firstLine="761"/>
        <w:spacing w:after="0" w:line="247" w:lineRule="auto"/>
        <w:rPr>
          <w:sz w:val="20"/>
          <w:szCs w:val="20"/>
          <w:color w:val="auto"/>
        </w:rPr>
      </w:pPr>
      <w:r>
        <w:rPr>
          <w:rFonts w:ascii="Arial" w:cs="Arial" w:eastAsia="Arial" w:hAnsi="Arial"/>
          <w:sz w:val="18"/>
          <w:szCs w:val="18"/>
          <w:color w:val="auto"/>
        </w:rPr>
        <w:t>In November 2022, the Company amended its floorplan facility with Ally Bank and Ally Financial (the “2022 Vehicle Floorplan Facility”). The 2022 Vehicle Floorplan Facility provides a committed credit line of up to $500.0 million which is scheduled to mature on March 31, 2024.</w:t>
      </w:r>
    </w:p>
    <w:p>
      <w:pPr>
        <w:spacing w:after="0" w:line="171" w:lineRule="exact"/>
        <w:rPr>
          <w:sz w:val="20"/>
          <w:szCs w:val="20"/>
          <w:color w:val="auto"/>
        </w:rPr>
      </w:pPr>
    </w:p>
    <w:p>
      <w:pPr>
        <w:ind w:right="100" w:firstLine="761"/>
        <w:spacing w:after="0" w:line="239" w:lineRule="auto"/>
        <w:rPr>
          <w:sz w:val="20"/>
          <w:szCs w:val="20"/>
          <w:color w:val="auto"/>
        </w:rPr>
      </w:pPr>
      <w:r>
        <w:rPr>
          <w:rFonts w:ascii="Arial" w:cs="Arial" w:eastAsia="Arial" w:hAnsi="Arial"/>
          <w:sz w:val="18"/>
          <w:szCs w:val="18"/>
          <w:color w:val="auto"/>
        </w:rPr>
        <w:t>The amount of credit available to the Company on a monthly basis equals the product of (1) the greater of five times the aggregate number of retail units sold during the most recent month for which information is available or the aggregate number of retail units sold during the five most recent months for which information is available and (2) the greater of the average outstanding floorplan balance of all vehicles on the floorplan as of the immediately preceding month-end or the average monthly outstanding floorplan balance of all vehicles on the floorplan as of month-end for the immediately preceding five months. As of June 30, 2023, the borrowing capacity of the 2022 Vehicle Floorplan Facility was $171.6 million, of which $ 39.1 million was unutilized. As of December 31, 2022, the borrowing capacity of the 2022 Vehicle Floorplan Facility was $343.9 million, of which $66.9 million was unutilized.</w:t>
      </w:r>
    </w:p>
    <w:p>
      <w:pPr>
        <w:spacing w:after="0" w:line="177" w:lineRule="exact"/>
        <w:rPr>
          <w:sz w:val="20"/>
          <w:szCs w:val="20"/>
          <w:color w:val="auto"/>
        </w:rPr>
      </w:pPr>
    </w:p>
    <w:p>
      <w:pPr>
        <w:ind w:right="200" w:firstLine="761"/>
        <w:spacing w:after="0" w:line="239" w:lineRule="auto"/>
        <w:rPr>
          <w:sz w:val="20"/>
          <w:szCs w:val="20"/>
          <w:color w:val="auto"/>
        </w:rPr>
      </w:pPr>
      <w:r>
        <w:rPr>
          <w:rFonts w:ascii="Arial" w:cs="Arial" w:eastAsia="Arial" w:hAnsi="Arial"/>
          <w:sz w:val="18"/>
          <w:szCs w:val="18"/>
          <w:color w:val="auto"/>
        </w:rPr>
        <w:t>Additionally, the Company may elect to increase its monthly credit line availability by an additional $25.0 million during any four months in the period from November 1, 2022 through March 31, 2024, subject to the maximum $ 500.0 million credit limit. The 2022 Vehicle Floorplan Facility allows for more flexibility in the Company's borrowing capacity. Consistent with the terms of the 2020 Vehicle Floorplan Facility, the Company and Vroom Automotive, LLC have provided Ally with a guaranty of payment of all amounts owed under the 2022 Vehicle Floorplan Facility as well as a security interest in all or substantially all tangible, intangible, and other personal property of Vroom, Inc., to secure obligations under the 2022 Vehicle Floorplan Facility.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The 2022 Vehicle Floorplan Facility bears interest at a rate equal to the Prime Rate, announced per annum by Ally Bank, plus 175 basis points. Additionally, the Company is subject to amended covenants and events of default. The Company is required to maintain a certain level of equity in the vehicles that are financed, to maintain at least 20.0% of the credit line in cash and cash equivalents, and to maintain a minimum required balance with Ally of at least 15.0% of the daily floorplan principal balance outstanding. The Company was required to pay a commitment fee upon execution of the 2022 Vehicle Floorplan Facility.</w:t>
      </w:r>
    </w:p>
    <w:p>
      <w:pPr>
        <w:spacing w:after="0" w:line="176" w:lineRule="exact"/>
        <w:rPr>
          <w:sz w:val="20"/>
          <w:szCs w:val="20"/>
          <w:color w:val="auto"/>
        </w:rPr>
      </w:pPr>
    </w:p>
    <w:p>
      <w:pPr>
        <w:ind w:right="200" w:firstLine="761"/>
        <w:spacing w:after="0" w:line="247" w:lineRule="auto"/>
        <w:rPr>
          <w:sz w:val="20"/>
          <w:szCs w:val="20"/>
          <w:color w:val="auto"/>
        </w:rPr>
      </w:pPr>
      <w:r>
        <w:rPr>
          <w:rFonts w:ascii="Arial" w:cs="Arial" w:eastAsia="Arial" w:hAnsi="Arial"/>
          <w:sz w:val="18"/>
          <w:szCs w:val="18"/>
          <w:color w:val="auto"/>
        </w:rPr>
        <w:t>As of June 30, 2023 and December 31, 2022, outstanding borrowings on the vehicle floorplan facilities were $132.5 million and $277.0 million, respectively. Cash deposits required under the vehicle floorplan facilities of $19.9 million and $34.6 million are classified as "Restricted cash" within the condensed consolidated balance sheets as of June 30, 2023 and December 31, 2022, respectively.</w:t>
      </w:r>
    </w:p>
    <w:p>
      <w:pPr>
        <w:spacing w:after="0" w:line="171" w:lineRule="exact"/>
        <w:rPr>
          <w:sz w:val="20"/>
          <w:szCs w:val="20"/>
          <w:color w:val="auto"/>
        </w:rPr>
      </w:pPr>
    </w:p>
    <w:p>
      <w:pPr>
        <w:ind w:right="100" w:firstLine="761"/>
        <w:spacing w:after="0" w:line="243" w:lineRule="auto"/>
        <w:rPr>
          <w:sz w:val="20"/>
          <w:szCs w:val="20"/>
          <w:color w:val="auto"/>
        </w:rPr>
      </w:pPr>
      <w:r>
        <w:rPr>
          <w:rFonts w:ascii="Arial" w:cs="Arial" w:eastAsia="Arial" w:hAnsi="Arial"/>
          <w:sz w:val="18"/>
          <w:szCs w:val="18"/>
          <w:color w:val="auto"/>
        </w:rPr>
        <w:t>Interest expense incurred by the Company for the vehicle floorplan facilities was $3.7 million and $6.3 million for the three months ended June 30, 2023 and 2022, respectively, and $9.2 million and $13.3 million for the six months ended June 30, 2023 and 2022, respectively, which are recorded within “Interest expense” in the condensed consolidated statements of operations. The weighted average interest rate on the vehicle floorplan borrowings was 10.00% and 9.25% as of June 30, 2023 and December 31, 2022, respectively.</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June 30, 2023 and December 31, 2022, the Company was in compliance with all covenants related to the vehicle floorplan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facilities.</w:t>
      </w:r>
    </w:p>
    <w:p>
      <w:pPr>
        <w:spacing w:after="0" w:line="186"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In connection with the vehicle floorplan facilities, the Company entered into credit balance agreements with Ally Bank and Ally Financial that permit the Company to deposit cash with the bank for the purpose of reducing the amount of interest payable for borrowings. Interest credits earned by the Company were $2.3 million and $ 3.6 million for the three months ended June 30, 2023 and 2022, respectively, and $ 5.8 million and $7.5 million for the six months ended June 30, 2023 and 2022, respectively, which are recorded within “Interest income” in the condensed consolidated statements of operations.</w:t>
      </w:r>
    </w:p>
    <w:p>
      <w:pPr>
        <w:spacing w:after="0" w:line="176" w:lineRule="exact"/>
        <w:rPr>
          <w:sz w:val="20"/>
          <w:szCs w:val="20"/>
          <w:color w:val="auto"/>
        </w:rPr>
      </w:pPr>
    </w:p>
    <w:p>
      <w:pPr>
        <w:ind w:right="260" w:firstLine="761"/>
        <w:spacing w:after="0" w:line="260" w:lineRule="auto"/>
        <w:rPr>
          <w:sz w:val="20"/>
          <w:szCs w:val="20"/>
          <w:color w:val="auto"/>
        </w:rPr>
      </w:pPr>
      <w:r>
        <w:rPr>
          <w:rFonts w:ascii="Arial" w:cs="Arial" w:eastAsia="Arial" w:hAnsi="Arial"/>
          <w:sz w:val="18"/>
          <w:szCs w:val="18"/>
          <w:color w:val="auto"/>
        </w:rPr>
        <w:t>In August 2023, the Company amended its 2022 Vehicle Floorplan Facility to modify certain terms, and also amended the credit balance agreements to modify the minimum required credit balance calculation.</w:t>
      </w: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Warehouse Credit Facilities of Consolidated VIEs</w:t>
      </w:r>
    </w:p>
    <w:p>
      <w:pPr>
        <w:spacing w:after="0" w:line="208" w:lineRule="exact"/>
        <w:rPr>
          <w:sz w:val="20"/>
          <w:szCs w:val="20"/>
          <w:color w:val="auto"/>
        </w:rPr>
      </w:pPr>
    </w:p>
    <w:p>
      <w:pPr>
        <w:ind w:right="340" w:firstLine="764"/>
        <w:spacing w:after="0" w:line="241" w:lineRule="auto"/>
        <w:rPr>
          <w:sz w:val="20"/>
          <w:szCs w:val="20"/>
          <w:color w:val="auto"/>
        </w:rPr>
      </w:pPr>
      <w:r>
        <w:rPr>
          <w:rFonts w:ascii="Arial" w:cs="Arial" w:eastAsia="Arial" w:hAnsi="Arial"/>
          <w:sz w:val="18"/>
          <w:szCs w:val="18"/>
          <w:color w:val="auto"/>
        </w:rPr>
        <w:t>UACC has four senior secured warehouse facility agreements (the “Warehouse Credit Facilities”) with banking institutions as of June 30, 2023. The Warehouse Credit Facilities are collateralized by eligible finance receivables and available borrowings are computed based on a percentage of eligible finance receivables. As of June 30, 2023 and December 31, 2022, the Company had excess borrowing capacity of $93.0 million and $105.8 million on UACC's Warehouse Credit Facilities, respectively. The terms of the Warehouse Credit Facilities include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Facility One</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Facility Two</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Facility Three</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Facility Four</w:t>
            </w:r>
          </w:p>
        </w:tc>
        <w:tc>
          <w:tcPr>
            <w:tcW w:w="140" w:type="dxa"/>
            <w:vAlign w:val="bottom"/>
          </w:tcPr>
          <w:p>
            <w:pPr>
              <w:spacing w:after="0"/>
              <w:rPr>
                <w:sz w:val="16"/>
                <w:szCs w:val="16"/>
                <w:color w:val="auto"/>
              </w:rPr>
            </w:pPr>
          </w:p>
        </w:tc>
      </w:tr>
      <w:tr>
        <w:trPr>
          <w:trHeight w:val="197"/>
        </w:trPr>
        <w:tc>
          <w:tcPr>
            <w:tcW w:w="40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Execution date</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November 18,</w:t>
            </w:r>
          </w:p>
        </w:tc>
        <w:tc>
          <w:tcPr>
            <w:tcW w:w="140" w:type="dxa"/>
            <w:vAlign w:val="bottom"/>
            <w:shd w:val="clear" w:color="auto" w:fill="CFF0FC"/>
          </w:tcPr>
          <w:p>
            <w:pPr>
              <w:spacing w:after="0"/>
              <w:rPr>
                <w:sz w:val="17"/>
                <w:szCs w:val="17"/>
                <w:color w:val="auto"/>
              </w:rPr>
            </w:pPr>
          </w:p>
        </w:tc>
      </w:tr>
      <w:tr>
        <w:trPr>
          <w:trHeight w:val="229"/>
        </w:trPr>
        <w:tc>
          <w:tcPr>
            <w:tcW w:w="4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May 30, 2012</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November 19, 2013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11, 2019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r>
      <w:tr>
        <w:trPr>
          <w:trHeight w:val="203"/>
        </w:trPr>
        <w:tc>
          <w:tcPr>
            <w:tcW w:w="4040" w:type="dxa"/>
            <w:vAlign w:val="bottom"/>
          </w:tcPr>
          <w:p>
            <w:pPr>
              <w:ind w:left="20"/>
              <w:spacing w:after="0" w:line="203" w:lineRule="exact"/>
              <w:rPr>
                <w:sz w:val="20"/>
                <w:szCs w:val="20"/>
                <w:color w:val="auto"/>
              </w:rPr>
            </w:pPr>
            <w:r>
              <w:rPr>
                <w:rFonts w:ascii="Arial" w:cs="Arial" w:eastAsia="Arial" w:hAnsi="Arial"/>
                <w:sz w:val="18"/>
                <w:szCs w:val="18"/>
                <w:color w:val="auto"/>
              </w:rPr>
              <w:t>Maturity date</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December 12,</w:t>
            </w:r>
          </w:p>
        </w:tc>
        <w:tc>
          <w:tcPr>
            <w:tcW w:w="140" w:type="dxa"/>
            <w:vAlign w:val="bottom"/>
          </w:tcPr>
          <w:p>
            <w:pPr>
              <w:spacing w:after="0"/>
              <w:rPr>
                <w:sz w:val="17"/>
                <w:szCs w:val="17"/>
                <w:color w:val="auto"/>
              </w:rPr>
            </w:pPr>
          </w:p>
        </w:tc>
      </w:tr>
      <w:tr>
        <w:trPr>
          <w:trHeight w:val="229"/>
        </w:trPr>
        <w:tc>
          <w:tcPr>
            <w:tcW w:w="4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July 20, 2024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June 2, 2025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May 24, 2024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r>
      <w:tr>
        <w:trPr>
          <w:trHeight w:val="22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Aggregate borrowings limit (in thousands)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5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FF0FC"/>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June 30, 2023</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4040" w:type="dxa"/>
            <w:vAlign w:val="bottom"/>
            <w:shd w:val="clear" w:color="auto" w:fill="CFF0FC"/>
          </w:tcPr>
          <w:p>
            <w:pPr>
              <w:ind w:left="20"/>
              <w:spacing w:after="0" w:line="204" w:lineRule="exact"/>
              <w:rPr>
                <w:sz w:val="20"/>
                <w:szCs w:val="20"/>
                <w:color w:val="auto"/>
              </w:rPr>
            </w:pPr>
            <w:r>
              <w:rPr>
                <w:rFonts w:ascii="Arial" w:cs="Arial" w:eastAsia="Arial" w:hAnsi="Arial"/>
                <w:sz w:val="18"/>
                <w:szCs w:val="18"/>
                <w:color w:val="auto"/>
              </w:rPr>
              <w:t>Aggregate principal balance of finance</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2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receivables pledged as collateral (in thousands)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137,062</w:t>
            </w:r>
          </w:p>
        </w:tc>
        <w:tc>
          <w:tcPr>
            <w:tcW w:w="5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24,516</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95,058</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Outstanding balance (in thousands)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87,100</w:t>
            </w: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18,735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74,000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2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(in thousands)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4,805</w:t>
            </w:r>
          </w:p>
        </w:tc>
        <w:tc>
          <w:tcPr>
            <w:tcW w:w="5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r>
      <w:tr>
        <w:trPr>
          <w:trHeight w:val="228"/>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4040" w:type="dxa"/>
            <w:vAlign w:val="bottom"/>
            <w:shd w:val="clear" w:color="auto" w:fill="CFF0FC"/>
          </w:tcPr>
          <w:p>
            <w:pPr>
              <w:ind w:left="20"/>
              <w:spacing w:after="0" w:line="204" w:lineRule="exact"/>
              <w:rPr>
                <w:sz w:val="20"/>
                <w:szCs w:val="20"/>
                <w:color w:val="auto"/>
              </w:rPr>
            </w:pPr>
            <w:r>
              <w:rPr>
                <w:rFonts w:ascii="Arial" w:cs="Arial" w:eastAsia="Arial" w:hAnsi="Arial"/>
                <w:sz w:val="18"/>
                <w:szCs w:val="18"/>
                <w:color w:val="auto"/>
              </w:rPr>
              <w:t>Aggregate principal balance of finance</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2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receivables pledged as collateral (in thousands)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143,919</w:t>
            </w:r>
          </w:p>
        </w:tc>
        <w:tc>
          <w:tcPr>
            <w:tcW w:w="5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142,503</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126,636</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Outstanding balance (in thousands)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110,602</w:t>
            </w: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19,615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101,435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0"/>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(in thousands)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8,110</w:t>
            </w:r>
          </w:p>
        </w:tc>
        <w:tc>
          <w:tcPr>
            <w:tcW w:w="5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5,537</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r>
    </w:tbl>
    <w:p>
      <w:pPr>
        <w:spacing w:after="0" w:line="190" w:lineRule="exact"/>
        <w:rPr>
          <w:sz w:val="20"/>
          <w:szCs w:val="20"/>
          <w:color w:val="auto"/>
        </w:rPr>
      </w:pPr>
    </w:p>
    <w:p>
      <w:pPr>
        <w:ind w:right="320" w:firstLine="764"/>
        <w:spacing w:after="0" w:line="260" w:lineRule="auto"/>
        <w:rPr>
          <w:sz w:val="20"/>
          <w:szCs w:val="20"/>
          <w:color w:val="auto"/>
        </w:rPr>
      </w:pPr>
      <w:r>
        <w:rPr>
          <w:rFonts w:ascii="Arial" w:cs="Arial" w:eastAsia="Arial" w:hAnsi="Arial"/>
          <w:sz w:val="18"/>
          <w:szCs w:val="18"/>
          <w:color w:val="auto"/>
        </w:rPr>
        <w:t>As of June 30, 2023 and December 31, 2022, the Company's weighted average interest rate on the Warehouse Credit Facilities borrowings was approximately 7.00% and 6.19%, respectively.</w:t>
      </w:r>
    </w:p>
    <w:p>
      <w:pPr>
        <w:spacing w:after="0" w:line="159" w:lineRule="exact"/>
        <w:rPr>
          <w:sz w:val="20"/>
          <w:szCs w:val="20"/>
          <w:color w:val="auto"/>
        </w:rPr>
      </w:pPr>
    </w:p>
    <w:p>
      <w:pPr>
        <w:ind w:right="20" w:firstLine="764"/>
        <w:spacing w:after="0" w:line="239" w:lineRule="auto"/>
        <w:rPr>
          <w:sz w:val="20"/>
          <w:szCs w:val="20"/>
          <w:color w:val="auto"/>
        </w:rPr>
      </w:pPr>
      <w:r>
        <w:rPr>
          <w:rFonts w:ascii="Arial" w:cs="Arial" w:eastAsia="Arial" w:hAnsi="Arial"/>
          <w:sz w:val="18"/>
          <w:szCs w:val="18"/>
          <w:color w:val="auto"/>
        </w:rPr>
        <w:t>The Company's ability to utilize its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specified leverage ratios and certain indebtedness levels. Failure to satisfy these and or any other requirements contained within the agreements would restrict access to the Warehouse Credit Facilities. Certain breaches of covenants may also result in acceleration of the repayment of borrowings prior to the scheduled maturity. As of June 30, 2023 and December 31, 2022, the Company was in compliance with all covenants related to the Warehouse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 Term Debt</w:t>
      </w:r>
    </w:p>
    <w:p>
      <w:pPr>
        <w:spacing w:after="0" w:line="208" w:lineRule="exact"/>
        <w:rPr>
          <w:sz w:val="20"/>
          <w:szCs w:val="20"/>
          <w:color w:val="auto"/>
        </w:rPr>
      </w:pPr>
    </w:p>
    <w:p>
      <w:pPr>
        <w:ind w:right="360" w:firstLine="764"/>
        <w:spacing w:after="0" w:line="247" w:lineRule="auto"/>
        <w:rPr>
          <w:sz w:val="20"/>
          <w:szCs w:val="20"/>
          <w:color w:val="auto"/>
        </w:rPr>
      </w:pPr>
      <w:r>
        <w:rPr>
          <w:rFonts w:ascii="Arial" w:cs="Arial" w:eastAsia="Arial" w:hAnsi="Arial"/>
          <w:sz w:val="18"/>
          <w:szCs w:val="18"/>
          <w:color w:val="auto"/>
        </w:rPr>
        <w:t>Debt instruments, excluding the 2022 Vehicle Floorplan Facility, which is discussed in Note 10 — Vehicle Floorplan Facility, and warehouse credit facilities of consolidated VIEs, which are discussed in Note 11 — Warehouse Credit Facilities of Consolidated VIEs, consisted of the following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7"/>
                <w:szCs w:val="17"/>
                <w:color w:val="auto"/>
              </w:rPr>
            </w:pPr>
          </w:p>
        </w:tc>
      </w:tr>
      <w:tr>
        <w:trPr>
          <w:trHeight w:val="183"/>
        </w:trPr>
        <w:tc>
          <w:tcPr>
            <w:tcW w:w="5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22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securitization debt of consolidated VIEs</w:t>
            </w:r>
          </w:p>
        </w:tc>
        <w:tc>
          <w:tcPr>
            <w:tcW w:w="2720" w:type="dxa"/>
            <w:vAlign w:val="bottom"/>
            <w:gridSpan w:val="2"/>
            <w:shd w:val="clear" w:color="auto" w:fill="CFF0FC"/>
          </w:tcPr>
          <w:p>
            <w:pPr>
              <w:jc w:val="right"/>
              <w:ind w:right="105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219,391</w:t>
            </w:r>
          </w:p>
        </w:tc>
        <w:tc>
          <w:tcPr>
            <w:tcW w:w="7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47,239</w:t>
            </w:r>
          </w:p>
        </w:tc>
        <w:tc>
          <w:tcPr>
            <w:tcW w:w="140" w:type="dxa"/>
            <w:vAlign w:val="bottom"/>
            <w:shd w:val="clear" w:color="auto" w:fill="CFF0FC"/>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Current portion of financing of beneficial interest in securitizations</w:t>
            </w:r>
          </w:p>
        </w:tc>
        <w:tc>
          <w:tcPr>
            <w:tcW w:w="14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12,080</w:t>
            </w: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portion of long term debt</w:t>
            </w:r>
          </w:p>
        </w:tc>
        <w:tc>
          <w:tcPr>
            <w:tcW w:w="14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0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231,471</w:t>
            </w:r>
          </w:p>
        </w:tc>
        <w:tc>
          <w:tcPr>
            <w:tcW w:w="4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47,239</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2720" w:type="dxa"/>
            <w:vAlign w:val="bottom"/>
            <w:gridSpan w:val="2"/>
          </w:tcPr>
          <w:p>
            <w:pPr>
              <w:jc w:val="right"/>
              <w:ind w:right="105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327,408</w:t>
            </w:r>
          </w:p>
        </w:tc>
        <w:tc>
          <w:tcPr>
            <w:tcW w:w="7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359,254</w:t>
            </w:r>
          </w:p>
        </w:tc>
        <w:tc>
          <w:tcPr>
            <w:tcW w:w="140" w:type="dxa"/>
            <w:vAlign w:val="bottom"/>
          </w:tcPr>
          <w:p>
            <w:pPr>
              <w:spacing w:after="0"/>
              <w:rPr>
                <w:sz w:val="19"/>
                <w:szCs w:val="19"/>
                <w:color w:val="auto"/>
              </w:rPr>
            </w:pPr>
          </w:p>
        </w:tc>
      </w:tr>
      <w:tr>
        <w:trPr>
          <w:trHeight w:val="230"/>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debt of consolidated VIEs, net of current portion</w:t>
            </w:r>
          </w:p>
        </w:tc>
        <w:tc>
          <w:tcPr>
            <w:tcW w:w="14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197,584</w:t>
            </w: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32,590</w:t>
            </w:r>
          </w:p>
        </w:tc>
        <w:tc>
          <w:tcPr>
            <w:tcW w:w="140" w:type="dxa"/>
            <w:vAlign w:val="bottom"/>
            <w:shd w:val="clear" w:color="auto" w:fill="CFF0FC"/>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Financing of beneficial interest in securitizations</w:t>
            </w:r>
          </w:p>
        </w:tc>
        <w:tc>
          <w:tcPr>
            <w:tcW w:w="1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9,629</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0"/>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Junior subordinated debentures</w:t>
            </w:r>
          </w:p>
        </w:tc>
        <w:tc>
          <w:tcPr>
            <w:tcW w:w="14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10,310</w:t>
            </w:r>
          </w:p>
        </w:tc>
        <w:tc>
          <w:tcPr>
            <w:tcW w:w="4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10,310</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Long term debt, net of current portion</w:t>
            </w:r>
          </w:p>
        </w:tc>
        <w:tc>
          <w:tcPr>
            <w:tcW w:w="1480" w:type="dxa"/>
            <w:vAlign w:val="bottom"/>
          </w:tcPr>
          <w:p>
            <w:pPr>
              <w:spacing w:after="0"/>
              <w:rPr>
                <w:sz w:val="19"/>
                <w:szCs w:val="19"/>
                <w:color w:val="auto"/>
              </w:rPr>
            </w:pP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544,931</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402,154</w:t>
            </w:r>
          </w:p>
        </w:tc>
        <w:tc>
          <w:tcPr>
            <w:tcW w:w="140" w:type="dxa"/>
            <w:vAlign w:val="bottom"/>
          </w:tcPr>
          <w:p>
            <w:pPr>
              <w:spacing w:after="0"/>
              <w:rPr>
                <w:sz w:val="19"/>
                <w:szCs w:val="19"/>
                <w:color w:val="auto"/>
              </w:rPr>
            </w:pPr>
          </w:p>
        </w:tc>
      </w:tr>
      <w:tr>
        <w:trPr>
          <w:trHeight w:val="26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debt</w:t>
            </w:r>
          </w:p>
        </w:tc>
        <w:tc>
          <w:tcPr>
            <w:tcW w:w="2720" w:type="dxa"/>
            <w:vAlign w:val="bottom"/>
            <w:gridSpan w:val="2"/>
            <w:shd w:val="clear" w:color="auto" w:fill="CFF0FC"/>
          </w:tcPr>
          <w:p>
            <w:pPr>
              <w:jc w:val="right"/>
              <w:ind w:right="105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776,402</w:t>
            </w:r>
          </w:p>
        </w:tc>
        <w:tc>
          <w:tcPr>
            <w:tcW w:w="7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449,393</w:t>
            </w:r>
          </w:p>
        </w:tc>
        <w:tc>
          <w:tcPr>
            <w:tcW w:w="140" w:type="dxa"/>
            <w:vAlign w:val="bottom"/>
            <w:shd w:val="clear" w:color="auto" w:fill="CFF0FC"/>
          </w:tcPr>
          <w:p>
            <w:pPr>
              <w:spacing w:after="0"/>
              <w:rPr>
                <w:sz w:val="22"/>
                <w:szCs w:val="22"/>
                <w:color w:val="auto"/>
              </w:rPr>
            </w:pPr>
          </w:p>
        </w:tc>
      </w:tr>
      <w:tr>
        <w:trPr>
          <w:trHeight w:val="615"/>
        </w:trPr>
        <w:tc>
          <w:tcPr>
            <w:tcW w:w="5380" w:type="dxa"/>
            <w:vAlign w:val="bottom"/>
            <w:tcBorders>
              <w:top w:val="single" w:sz="8" w:color="CFF0FC"/>
            </w:tcBorders>
          </w:tcPr>
          <w:p>
            <w:pPr>
              <w:spacing w:after="0"/>
              <w:rPr>
                <w:sz w:val="24"/>
                <w:szCs w:val="24"/>
                <w:color w:val="auto"/>
              </w:rPr>
            </w:pPr>
          </w:p>
        </w:tc>
        <w:tc>
          <w:tcPr>
            <w:tcW w:w="1480" w:type="dxa"/>
            <w:vAlign w:val="bottom"/>
            <w:tcBorders>
              <w:top w:val="single" w:sz="8" w:color="CFF0FC"/>
            </w:tcBorders>
          </w:tcPr>
          <w:p>
            <w:pPr>
              <w:jc w:val="right"/>
              <w:ind w:right="1050"/>
              <w:spacing w:after="0"/>
              <w:rPr>
                <w:sz w:val="20"/>
                <w:szCs w:val="20"/>
                <w:color w:val="auto"/>
              </w:rPr>
            </w:pPr>
            <w:r>
              <w:rPr>
                <w:rFonts w:ascii="Arial" w:cs="Arial" w:eastAsia="Arial" w:hAnsi="Arial"/>
                <w:sz w:val="18"/>
                <w:szCs w:val="18"/>
                <w:color w:val="auto"/>
              </w:rPr>
              <w:t>27</w:t>
            </w:r>
          </w:p>
        </w:tc>
        <w:tc>
          <w:tcPr>
            <w:tcW w:w="1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r>
      <w:tr>
        <w:trPr>
          <w:trHeight w:val="88"/>
        </w:trPr>
        <w:tc>
          <w:tcPr>
            <w:tcW w:w="53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-1396365</wp:posOffset>
            </wp:positionV>
            <wp:extent cx="8572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-1396365</wp:posOffset>
            </wp:positionV>
            <wp:extent cx="8572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-805180</wp:posOffset>
            </wp:positionV>
            <wp:extent cx="85725"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-805180</wp:posOffset>
            </wp:positionV>
            <wp:extent cx="85725"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-496570</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-479425</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-496570</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-479425</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49"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On June 18, 2021, the Company issued $625.0 million aggregate principal amount of 0.75% unsecured Convertible Senior Notes due 2026 (the “Notes”), including $75.0 million aggregate principal amount of such notes pursuant to the exercise in full of the overallotment option granted to the initial purchasers. The Notes were issued pursuant to an indenture (the “Indenture”), between the Company and U.S. Bank National Association, as trustee.</w:t>
      </w:r>
    </w:p>
    <w:p>
      <w:pPr>
        <w:spacing w:after="0" w:line="174" w:lineRule="exact"/>
        <w:rPr>
          <w:sz w:val="20"/>
          <w:szCs w:val="20"/>
          <w:color w:val="auto"/>
        </w:rPr>
      </w:pPr>
    </w:p>
    <w:p>
      <w:pPr>
        <w:ind w:right="160" w:firstLine="749"/>
        <w:spacing w:after="0" w:line="243"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paid to third-parties, were approximately $608.9 million.</w:t>
      </w:r>
    </w:p>
    <w:p>
      <w:pPr>
        <w:spacing w:after="0" w:line="215"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Each $1,000 principal amount of the Notes will initially be convertible into 17.8527 shares of the Company’s common stock, which is equivalent to an initial conversion price of approximately $56.01 per share, subject to adjustment upon the occurrence of specified events. The Notes are convertible, at the option of the noteholders, on or after April 1, 2026. Prior to April 1, 2026, the Notes are convertible only under the following circumstances:</w:t>
      </w:r>
    </w:p>
    <w:p>
      <w:pPr>
        <w:spacing w:after="0" w:line="215" w:lineRule="exact"/>
        <w:rPr>
          <w:sz w:val="20"/>
          <w:szCs w:val="20"/>
          <w:color w:val="auto"/>
        </w:rPr>
      </w:pPr>
    </w:p>
    <w:p>
      <w:pPr>
        <w:ind w:left="760" w:right="60" w:hanging="378"/>
        <w:spacing w:after="0" w:line="243"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the Company’s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174" w:lineRule="exact"/>
        <w:rPr>
          <w:rFonts w:ascii="Arial" w:cs="Arial" w:eastAsia="Arial" w:hAnsi="Arial"/>
          <w:sz w:val="18"/>
          <w:szCs w:val="18"/>
          <w:color w:val="auto"/>
        </w:rPr>
      </w:pPr>
    </w:p>
    <w:p>
      <w:pPr>
        <w:jc w:val="both"/>
        <w:ind w:left="760" w:right="180" w:hanging="378"/>
        <w:spacing w:after="0" w:line="24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five consecutive business day period after any ten consecutive trading day period in which the trading price per $1,000 principal amount of the Notes for each day of that ten consecutive trading day period was less than 98% of the product of the last reported sale price of the Company’s common stock and the conversion rate of the Notes on such trading day;</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or</w:t>
      </w:r>
    </w:p>
    <w:p>
      <w:pPr>
        <w:spacing w:after="0" w:line="211" w:lineRule="exact"/>
        <w:rPr>
          <w:rFonts w:ascii="Arial" w:cs="Arial" w:eastAsia="Arial" w:hAnsi="Arial"/>
          <w:sz w:val="18"/>
          <w:szCs w:val="18"/>
          <w:color w:val="auto"/>
        </w:rPr>
      </w:pPr>
    </w:p>
    <w:p>
      <w:pPr>
        <w:ind w:left="760" w:right="780" w:hanging="378"/>
        <w:spacing w:after="0" w:line="260"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200" w:lineRule="exact"/>
        <w:rPr>
          <w:sz w:val="20"/>
          <w:szCs w:val="20"/>
          <w:color w:val="auto"/>
        </w:rPr>
      </w:pPr>
    </w:p>
    <w:p>
      <w:pPr>
        <w:ind w:right="120" w:firstLine="764"/>
        <w:spacing w:after="0" w:line="260" w:lineRule="auto"/>
        <w:rPr>
          <w:sz w:val="20"/>
          <w:szCs w:val="20"/>
          <w:color w:val="auto"/>
        </w:rPr>
      </w:pPr>
      <w:r>
        <w:rPr>
          <w:rFonts w:ascii="Arial" w:cs="Arial" w:eastAsia="Arial" w:hAnsi="Arial"/>
          <w:sz w:val="18"/>
          <w:szCs w:val="18"/>
          <w:color w:val="auto"/>
        </w:rPr>
        <w:t>The Company may settle conversions by paying or delivering, as applicable, cash, shares of its common stock or a combination of cash and shares of its common stock, at the Company’s election.</w:t>
      </w:r>
    </w:p>
    <w:p>
      <w:pPr>
        <w:spacing w:after="0" w:line="200" w:lineRule="exact"/>
        <w:rPr>
          <w:sz w:val="20"/>
          <w:szCs w:val="20"/>
          <w:color w:val="auto"/>
        </w:rPr>
      </w:pPr>
    </w:p>
    <w:p>
      <w:pPr>
        <w:ind w:right="100" w:firstLine="823"/>
        <w:spacing w:after="0" w:line="243" w:lineRule="auto"/>
        <w:rPr>
          <w:sz w:val="20"/>
          <w:szCs w:val="20"/>
          <w:color w:val="auto"/>
        </w:rPr>
      </w:pPr>
      <w:r>
        <w:rPr>
          <w:rFonts w:ascii="Arial" w:cs="Arial" w:eastAsia="Arial" w:hAnsi="Arial"/>
          <w:sz w:val="18"/>
          <w:szCs w:val="18"/>
          <w:color w:val="auto"/>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 trading days (whether or not consecutive) during any 30 consecutive trading day period.</w:t>
      </w:r>
    </w:p>
    <w:p>
      <w:pPr>
        <w:spacing w:after="0" w:line="215" w:lineRule="exact"/>
        <w:rPr>
          <w:sz w:val="20"/>
          <w:szCs w:val="20"/>
          <w:color w:val="auto"/>
        </w:rPr>
      </w:pPr>
    </w:p>
    <w:p>
      <w:pPr>
        <w:ind w:firstLine="764"/>
        <w:spacing w:after="0" w:line="239"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three and six months ended June 30, 2023, the conditions allowing holders of the Notes to convert were not met.</w:t>
      </w:r>
    </w:p>
    <w:p>
      <w:pPr>
        <w:spacing w:after="0" w:line="181" w:lineRule="exact"/>
        <w:rPr>
          <w:sz w:val="20"/>
          <w:szCs w:val="20"/>
          <w:color w:val="auto"/>
        </w:rPr>
      </w:pPr>
    </w:p>
    <w:p>
      <w:pPr>
        <w:ind w:right="460" w:firstLine="749"/>
        <w:spacing w:after="0" w:line="260" w:lineRule="auto"/>
        <w:rPr>
          <w:sz w:val="20"/>
          <w:szCs w:val="20"/>
          <w:color w:val="auto"/>
        </w:rPr>
      </w:pPr>
      <w:r>
        <w:rPr>
          <w:rFonts w:ascii="Arial" w:cs="Arial" w:eastAsia="Arial" w:hAnsi="Arial"/>
          <w:sz w:val="18"/>
          <w:szCs w:val="18"/>
          <w:color w:val="auto"/>
        </w:rPr>
        <w:t>During the three and six months ended June 30, 2023, the Company repurchased $18.2 million and $32.8 million in aggregate principal amount of the Notes, net of deferred issuance costs, for $7.3 million and $13.2 million, respectively,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in open-market transactions. The Company recognized a gain on extinguishment of debt of $10.9 and $19.6 million for the three and six months ended June 30, 2023, respectively.</w:t>
      </w:r>
    </w:p>
    <w:p>
      <w:pPr>
        <w:spacing w:after="0" w:line="200" w:lineRule="exact"/>
        <w:rPr>
          <w:sz w:val="20"/>
          <w:szCs w:val="20"/>
          <w:color w:val="auto"/>
        </w:rPr>
      </w:pPr>
    </w:p>
    <w:p>
      <w:pPr>
        <w:ind w:right="180" w:firstLine="764"/>
        <w:spacing w:after="0" w:line="247" w:lineRule="auto"/>
        <w:rPr>
          <w:sz w:val="20"/>
          <w:szCs w:val="20"/>
          <w:color w:val="auto"/>
        </w:rPr>
      </w:pPr>
      <w:r>
        <w:rPr>
          <w:rFonts w:ascii="Arial" w:cs="Arial" w:eastAsia="Arial" w:hAnsi="Arial"/>
          <w:sz w:val="18"/>
          <w:szCs w:val="18"/>
          <w:color w:val="auto"/>
        </w:rPr>
        <w:t>The Company accounts for the Notes as a single liability-classified instrument measured at amortized cost. As of June 30, 2023, the unamortized debt discount and debt issuance costs was $ 5.1 million and the net carrying value was $ 327.4 million. As of December 31, 2022, the unamortized debt discount and debt issuance costs was $6.5 million and the net carrying value was $359.3 million.</w:t>
      </w:r>
    </w:p>
    <w:p>
      <w:pPr>
        <w:spacing w:after="0" w:line="171" w:lineRule="exact"/>
        <w:rPr>
          <w:sz w:val="20"/>
          <w:szCs w:val="20"/>
          <w:color w:val="auto"/>
        </w:rPr>
      </w:pPr>
    </w:p>
    <w:p>
      <w:pPr>
        <w:ind w:right="140" w:firstLine="764"/>
        <w:spacing w:after="0" w:line="243" w:lineRule="auto"/>
        <w:rPr>
          <w:sz w:val="20"/>
          <w:szCs w:val="20"/>
          <w:color w:val="auto"/>
        </w:rPr>
      </w:pPr>
      <w:r>
        <w:rPr>
          <w:rFonts w:ascii="Arial" w:cs="Arial" w:eastAsia="Arial" w:hAnsi="Arial"/>
          <w:sz w:val="18"/>
          <w:szCs w:val="18"/>
          <w:color w:val="auto"/>
        </w:rPr>
        <w:t>The Notes were issued at par value and fees associated with the issuance of these Notes are amortized to interest expense using the effective interest method over the contractual term of the Notes. The interest expense was $1.1 million and $2.0 million for the three months ended June 30, 2023 and 2022, respectively, and $2.2 million and $4.0 million for the six months ended June 30, 2023 and 2022, respectively. The effective interest rate of the Notes is 1.3%.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Debt of Consolidated VIEs</w:t>
      </w:r>
    </w:p>
    <w:p>
      <w:pPr>
        <w:spacing w:after="0" w:line="208" w:lineRule="exact"/>
        <w:rPr>
          <w:sz w:val="20"/>
          <w:szCs w:val="20"/>
          <w:color w:val="auto"/>
        </w:rPr>
      </w:pPr>
    </w:p>
    <w:p>
      <w:pPr>
        <w:ind w:firstLine="764"/>
        <w:spacing w:after="0" w:line="241" w:lineRule="auto"/>
        <w:rPr>
          <w:sz w:val="20"/>
          <w:szCs w:val="20"/>
          <w:color w:val="auto"/>
        </w:rPr>
      </w:pPr>
      <w:r>
        <w:rPr>
          <w:rFonts w:ascii="Arial" w:cs="Arial" w:eastAsia="Arial" w:hAnsi="Arial"/>
          <w:sz w:val="18"/>
          <w:szCs w:val="18"/>
          <w:color w:val="auto"/>
        </w:rPr>
        <w:t>The securitization debt was issued under UACC's securitization program. The Company elected to account for the securitization debt under the fair value option using the measurement alternative. Fair value adjustments are recorded in "Other loss, net" in the condensed consolidated statements of operations. Refer to Note 16 – Financial Instruments and Fair Value Measurements. For the 2021-1, 2022-2, and 2023-1 securitization transactions, the Company consolidated the VIEs and accounted for these transactions as secured borrowings. Refer to Note 4 – Variable Interest Entities and Securitizations for further discussion.</w:t>
      </w:r>
    </w:p>
    <w:p>
      <w:pPr>
        <w:spacing w:after="0" w:line="176" w:lineRule="exact"/>
        <w:rPr>
          <w:sz w:val="20"/>
          <w:szCs w:val="20"/>
          <w:color w:val="auto"/>
        </w:rPr>
      </w:pPr>
    </w:p>
    <w:p>
      <w:pPr>
        <w:ind w:right="260" w:firstLine="764"/>
        <w:spacing w:after="0" w:line="239" w:lineRule="auto"/>
        <w:rPr>
          <w:sz w:val="20"/>
          <w:szCs w:val="20"/>
          <w:color w:val="auto"/>
        </w:rPr>
      </w:pPr>
      <w:r>
        <w:rPr>
          <w:rFonts w:ascii="Arial" w:cs="Arial" w:eastAsia="Arial" w:hAnsi="Arial"/>
          <w:sz w:val="18"/>
          <w:szCs w:val="18"/>
          <w:color w:val="auto"/>
        </w:rPr>
        <w:t>Upon the issuance of the securitization debt for the 2021-1 and 2023-1 securitization transactions, UACC retained the residual interests. UACC also retains the servicing rights for all finance receivables that were securitized; therefore, it is responsible for the administration and collection of the amounts owed under the contracts. In Q1 2023, UACC waived its servicing fees related to the 2022-2 securitization and subsequently consolidated the 2022-2 trust. The securitization agreements also require certain funds to be held in restricted cash accounts to provide additional collateral for the borrowings or to be applied to make payments on the securitization debt. Restricted cash under the various agreements totaled approximately $34.8 million and $9.0 million as of June 30, 2023 and December 31, 2022, respectively.</w:t>
      </w:r>
    </w:p>
    <w:p>
      <w:pPr>
        <w:spacing w:after="0" w:line="177" w:lineRule="exact"/>
        <w:rPr>
          <w:sz w:val="20"/>
          <w:szCs w:val="20"/>
          <w:color w:val="auto"/>
        </w:rPr>
      </w:pPr>
    </w:p>
    <w:p>
      <w:pPr>
        <w:ind w:right="220" w:firstLine="764"/>
        <w:spacing w:after="0" w:line="243" w:lineRule="auto"/>
        <w:rPr>
          <w:sz w:val="20"/>
          <w:szCs w:val="20"/>
          <w:color w:val="auto"/>
        </w:rPr>
      </w:pPr>
      <w:r>
        <w:rPr>
          <w:rFonts w:ascii="Arial" w:cs="Arial" w:eastAsia="Arial" w:hAnsi="Arial"/>
          <w:sz w:val="18"/>
          <w:szCs w:val="18"/>
          <w:color w:val="auto"/>
        </w:rPr>
        <w:t>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right="20" w:firstLine="764"/>
        <w:spacing w:after="0" w:line="247" w:lineRule="auto"/>
        <w:rPr>
          <w:sz w:val="20"/>
          <w:szCs w:val="20"/>
          <w:color w:val="auto"/>
        </w:rPr>
      </w:pPr>
      <w:r>
        <w:rPr>
          <w:rFonts w:ascii="Arial" w:cs="Arial" w:eastAsia="Arial" w:hAnsi="Arial"/>
          <w:sz w:val="18"/>
          <w:szCs w:val="18"/>
          <w:color w:val="auto"/>
        </w:rPr>
        <w:t>The securitization debt issued is included in “Current portion of securitization debt of consolidated VIEs at fair value” and "Long term debt, net of current portion" on the condensed consolidated balance sheet. The securitization debt of consolidated VIEs consisted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As of June 30, 2023</w:t>
            </w:r>
          </w:p>
        </w:tc>
        <w:tc>
          <w:tcPr>
            <w:tcW w:w="240" w:type="dxa"/>
            <w:vAlign w:val="bottom"/>
          </w:tcPr>
          <w:p>
            <w:pPr>
              <w:spacing w:after="0"/>
              <w:rPr>
                <w:sz w:val="17"/>
                <w:szCs w:val="17"/>
                <w:color w:val="auto"/>
              </w:rPr>
            </w:pPr>
          </w:p>
        </w:tc>
        <w:tc>
          <w:tcPr>
            <w:tcW w:w="1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rPr>
              <w:t>Outstanding</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Series</w:t>
            </w:r>
          </w:p>
        </w:tc>
        <w:tc>
          <w:tcPr>
            <w:tcW w:w="240" w:type="dxa"/>
            <w:vAlign w:val="bottom"/>
          </w:tcPr>
          <w:p>
            <w:pPr>
              <w:spacing w:after="0"/>
              <w:rPr>
                <w:sz w:val="16"/>
                <w:szCs w:val="16"/>
                <w:color w:val="auto"/>
              </w:rPr>
            </w:pPr>
          </w:p>
        </w:tc>
        <w:tc>
          <w:tcPr>
            <w:tcW w:w="15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Payment Date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Initial Principal</w:t>
            </w:r>
          </w:p>
        </w:tc>
        <w:tc>
          <w:tcPr>
            <w:tcW w:w="360" w:type="dxa"/>
            <w:vAlign w:val="bottom"/>
          </w:tcPr>
          <w:p>
            <w:pPr>
              <w:spacing w:after="0"/>
              <w:rPr>
                <w:sz w:val="16"/>
                <w:szCs w:val="16"/>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Interest Rate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Principal</w:t>
            </w: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2021-1-D</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June 10, 2026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29,380</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21,686</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United Auto Credit 2021-1-E</w:t>
            </w:r>
          </w:p>
        </w:tc>
        <w:tc>
          <w:tcPr>
            <w:tcW w:w="240" w:type="dxa"/>
            <w:vAlign w:val="bottom"/>
          </w:tcPr>
          <w:p>
            <w:pPr>
              <w:spacing w:after="0"/>
              <w:rPr>
                <w:sz w:val="19"/>
                <w:szCs w:val="19"/>
                <w:color w:val="auto"/>
              </w:rPr>
            </w:pPr>
          </w:p>
        </w:tc>
        <w:tc>
          <w:tcPr>
            <w:tcW w:w="1520" w:type="dxa"/>
            <w:vAlign w:val="bottom"/>
          </w:tcPr>
          <w:p>
            <w:pPr>
              <w:ind w:left="20"/>
              <w:spacing w:after="0"/>
              <w:rPr>
                <w:sz w:val="20"/>
                <w:szCs w:val="20"/>
                <w:color w:val="auto"/>
              </w:rPr>
            </w:pPr>
            <w:r>
              <w:rPr>
                <w:rFonts w:ascii="Arial" w:cs="Arial" w:eastAsia="Arial" w:hAnsi="Arial"/>
                <w:sz w:val="18"/>
                <w:szCs w:val="18"/>
                <w:color w:val="auto"/>
              </w:rPr>
              <w:t>June 10, 2026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20,800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United Auto Credit 2021-1-F</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September 10,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13,910</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13,910</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United Auto Credit 2022-2-A</w:t>
            </w:r>
          </w:p>
        </w:tc>
        <w:tc>
          <w:tcPr>
            <w:tcW w:w="240" w:type="dxa"/>
            <w:vAlign w:val="bottom"/>
          </w:tcPr>
          <w:p>
            <w:pPr>
              <w:spacing w:after="0"/>
              <w:rPr>
                <w:sz w:val="19"/>
                <w:szCs w:val="19"/>
                <w:color w:val="auto"/>
              </w:rPr>
            </w:pPr>
          </w:p>
        </w:tc>
        <w:tc>
          <w:tcPr>
            <w:tcW w:w="1520" w:type="dxa"/>
            <w:vAlign w:val="bottom"/>
          </w:tcPr>
          <w:p>
            <w:pPr>
              <w:ind w:left="20"/>
              <w:spacing w:after="0"/>
              <w:rPr>
                <w:sz w:val="20"/>
                <w:szCs w:val="20"/>
                <w:color w:val="auto"/>
              </w:rPr>
            </w:pPr>
            <w:r>
              <w:rPr>
                <w:rFonts w:ascii="Arial" w:cs="Arial" w:eastAsia="Arial" w:hAnsi="Arial"/>
                <w:sz w:val="18"/>
                <w:szCs w:val="18"/>
                <w:color w:val="auto"/>
              </w:rPr>
              <w:t>April 10, 2025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119,139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2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31,173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United Auto Credit 2022-2-B</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December 10,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30,324</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30,324</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United Auto Credit 2022-2-C</w:t>
            </w:r>
          </w:p>
        </w:tc>
        <w:tc>
          <w:tcPr>
            <w:tcW w:w="240" w:type="dxa"/>
            <w:vAlign w:val="bottom"/>
          </w:tcPr>
          <w:p>
            <w:pPr>
              <w:spacing w:after="0"/>
              <w:rPr>
                <w:sz w:val="19"/>
                <w:szCs w:val="19"/>
                <w:color w:val="auto"/>
              </w:rPr>
            </w:pPr>
          </w:p>
        </w:tc>
        <w:tc>
          <w:tcPr>
            <w:tcW w:w="1520" w:type="dxa"/>
            <w:vAlign w:val="bottom"/>
          </w:tcPr>
          <w:p>
            <w:pPr>
              <w:ind w:left="20"/>
              <w:spacing w:after="0"/>
              <w:rPr>
                <w:sz w:val="20"/>
                <w:szCs w:val="20"/>
                <w:color w:val="auto"/>
              </w:rPr>
            </w:pPr>
            <w:r>
              <w:rPr>
                <w:rFonts w:ascii="Arial" w:cs="Arial" w:eastAsia="Arial" w:hAnsi="Arial"/>
                <w:sz w:val="18"/>
                <w:szCs w:val="18"/>
                <w:color w:val="auto"/>
              </w:rPr>
              <w:t>May 10, 2027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26,533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26,533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2022-2-D</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January 10, 2028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32,889</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32,889</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United Auto Credit 2022-2-E</w:t>
            </w:r>
          </w:p>
        </w:tc>
        <w:tc>
          <w:tcPr>
            <w:tcW w:w="240" w:type="dxa"/>
            <w:vAlign w:val="bottom"/>
          </w:tcPr>
          <w:p>
            <w:pPr>
              <w:spacing w:after="0"/>
              <w:rPr>
                <w:sz w:val="19"/>
                <w:szCs w:val="19"/>
                <w:color w:val="auto"/>
              </w:rPr>
            </w:pPr>
          </w:p>
        </w:tc>
        <w:tc>
          <w:tcPr>
            <w:tcW w:w="1520" w:type="dxa"/>
            <w:vAlign w:val="bottom"/>
          </w:tcPr>
          <w:p>
            <w:pPr>
              <w:ind w:left="20"/>
              <w:spacing w:after="0"/>
              <w:rPr>
                <w:sz w:val="20"/>
                <w:szCs w:val="20"/>
                <w:color w:val="auto"/>
              </w:rPr>
            </w:pPr>
            <w:r>
              <w:rPr>
                <w:rFonts w:ascii="Arial" w:cs="Arial" w:eastAsia="Arial" w:hAnsi="Arial"/>
                <w:sz w:val="18"/>
                <w:szCs w:val="18"/>
                <w:color w:val="auto"/>
              </w:rPr>
              <w:t>April 10, 2029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33,440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33,440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2023-1-A</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10, 2025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118,598</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68,433</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68,296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United Auto Credit 2023-1-B</w:t>
            </w:r>
          </w:p>
        </w:tc>
        <w:tc>
          <w:tcPr>
            <w:tcW w:w="240" w:type="dxa"/>
            <w:vAlign w:val="bottom"/>
          </w:tcPr>
          <w:p>
            <w:pPr>
              <w:spacing w:after="0"/>
              <w:rPr>
                <w:sz w:val="19"/>
                <w:szCs w:val="19"/>
                <w:color w:val="auto"/>
              </w:rPr>
            </w:pPr>
          </w:p>
        </w:tc>
        <w:tc>
          <w:tcPr>
            <w:tcW w:w="1520" w:type="dxa"/>
            <w:vAlign w:val="bottom"/>
          </w:tcPr>
          <w:p>
            <w:pPr>
              <w:ind w:left="20"/>
              <w:spacing w:after="0"/>
              <w:rPr>
                <w:sz w:val="20"/>
                <w:szCs w:val="20"/>
                <w:color w:val="auto"/>
              </w:rPr>
            </w:pPr>
            <w:r>
              <w:rPr>
                <w:rFonts w:ascii="Arial" w:cs="Arial" w:eastAsia="Arial" w:hAnsi="Arial"/>
                <w:sz w:val="18"/>
                <w:szCs w:val="18"/>
                <w:color w:val="auto"/>
              </w:rPr>
              <w:t>July 10, 2028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51,157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2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51,157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2023-1-C</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10, 2028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33,326</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United Auto Credit 2023-1-D</w:t>
            </w:r>
          </w:p>
        </w:tc>
        <w:tc>
          <w:tcPr>
            <w:tcW w:w="240" w:type="dxa"/>
            <w:vAlign w:val="bottom"/>
          </w:tcPr>
          <w:p>
            <w:pPr>
              <w:spacing w:after="0"/>
              <w:rPr>
                <w:sz w:val="19"/>
                <w:szCs w:val="19"/>
                <w:color w:val="auto"/>
              </w:rPr>
            </w:pPr>
          </w:p>
        </w:tc>
        <w:tc>
          <w:tcPr>
            <w:tcW w:w="1520" w:type="dxa"/>
            <w:vAlign w:val="bottom"/>
          </w:tcPr>
          <w:p>
            <w:pPr>
              <w:ind w:left="20"/>
              <w:spacing w:after="0"/>
              <w:rPr>
                <w:sz w:val="20"/>
                <w:szCs w:val="20"/>
                <w:color w:val="auto"/>
              </w:rPr>
            </w:pPr>
            <w:r>
              <w:rPr>
                <w:rFonts w:ascii="Arial" w:cs="Arial" w:eastAsia="Arial" w:hAnsi="Arial"/>
                <w:sz w:val="18"/>
                <w:szCs w:val="18"/>
                <w:color w:val="auto"/>
              </w:rPr>
              <w:t>July 10, 2028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35,653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35,653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United Auto Credit 2023-1-E</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September 10,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23,256</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23,256</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23,465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920" w:type="dxa"/>
            <w:vAlign w:val="bottom"/>
            <w:tcBorders>
              <w:bottom w:val="single" w:sz="8" w:color="CFF0FC"/>
            </w:tcBorders>
            <w:shd w:val="clear" w:color="auto" w:fill="CFF0FC"/>
          </w:tcPr>
          <w:p>
            <w:pPr>
              <w:spacing w:after="0"/>
              <w:rPr>
                <w:sz w:val="18"/>
                <w:szCs w:val="18"/>
                <w:color w:val="auto"/>
              </w:rPr>
            </w:pPr>
          </w:p>
        </w:tc>
        <w:tc>
          <w:tcPr>
            <w:tcW w:w="17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2029</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17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2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Arial" w:cs="Arial" w:eastAsia="Arial" w:hAnsi="Arial"/>
                <w:sz w:val="18"/>
                <w:szCs w:val="18"/>
                <w:color w:val="auto"/>
              </w:rPr>
              <w:t>Total rated notes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568,405</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422,580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416,660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Auto Credit 2022-2-R</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Arial" w:cs="Arial" w:eastAsia="Arial" w:hAnsi="Arial"/>
                <w:sz w:val="18"/>
                <w:szCs w:val="18"/>
                <w:color w:val="auto"/>
              </w:rPr>
              <w:t>Total rated notes and residual</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568,405</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422,580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416,975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2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rPr>
              <w:t>Outstanding</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Series</w:t>
            </w:r>
          </w:p>
        </w:tc>
        <w:tc>
          <w:tcPr>
            <w:tcW w:w="240" w:type="dxa"/>
            <w:vAlign w:val="bottom"/>
          </w:tcPr>
          <w:p>
            <w:pPr>
              <w:spacing w:after="0"/>
              <w:rPr>
                <w:sz w:val="16"/>
                <w:szCs w:val="16"/>
                <w:color w:val="auto"/>
              </w:rPr>
            </w:pPr>
          </w:p>
        </w:tc>
        <w:tc>
          <w:tcPr>
            <w:tcW w:w="15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Payment Date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Initial Principal</w:t>
            </w:r>
          </w:p>
        </w:tc>
        <w:tc>
          <w:tcPr>
            <w:tcW w:w="360" w:type="dxa"/>
            <w:vAlign w:val="bottom"/>
          </w:tcPr>
          <w:p>
            <w:pPr>
              <w:spacing w:after="0"/>
              <w:rPr>
                <w:sz w:val="16"/>
                <w:szCs w:val="16"/>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Interest Rate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Principal</w:t>
            </w: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2021-1-C</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June 10, 2026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29,640</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18,466</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United Auto Credit 2021-1-D</w:t>
            </w:r>
          </w:p>
        </w:tc>
        <w:tc>
          <w:tcPr>
            <w:tcW w:w="240" w:type="dxa"/>
            <w:vAlign w:val="bottom"/>
          </w:tcPr>
          <w:p>
            <w:pPr>
              <w:spacing w:after="0"/>
              <w:rPr>
                <w:sz w:val="19"/>
                <w:szCs w:val="19"/>
                <w:color w:val="auto"/>
              </w:rPr>
            </w:pPr>
          </w:p>
        </w:tc>
        <w:tc>
          <w:tcPr>
            <w:tcW w:w="1520" w:type="dxa"/>
            <w:vAlign w:val="bottom"/>
          </w:tcPr>
          <w:p>
            <w:pPr>
              <w:ind w:left="20"/>
              <w:spacing w:after="0"/>
              <w:rPr>
                <w:sz w:val="20"/>
                <w:szCs w:val="20"/>
                <w:color w:val="auto"/>
              </w:rPr>
            </w:pPr>
            <w:r>
              <w:rPr>
                <w:rFonts w:ascii="Arial" w:cs="Arial" w:eastAsia="Arial" w:hAnsi="Arial"/>
                <w:sz w:val="18"/>
                <w:szCs w:val="18"/>
                <w:color w:val="auto"/>
              </w:rPr>
              <w:t>June 10, 2026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29,380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29,380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2021-1-E</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June 10, 2026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20,800</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20,800</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line="203" w:lineRule="exact"/>
              <w:rPr>
                <w:sz w:val="20"/>
                <w:szCs w:val="20"/>
                <w:color w:val="auto"/>
              </w:rPr>
            </w:pPr>
            <w:r>
              <w:rPr>
                <w:rFonts w:ascii="Arial" w:cs="Arial" w:eastAsia="Arial" w:hAnsi="Arial"/>
                <w:sz w:val="18"/>
                <w:szCs w:val="18"/>
                <w:color w:val="auto"/>
              </w:rPr>
              <w:t>United Auto Credit 2021-1-F</w:t>
            </w:r>
          </w:p>
        </w:tc>
        <w:tc>
          <w:tcPr>
            <w:tcW w:w="240" w:type="dxa"/>
            <w:vAlign w:val="bottom"/>
          </w:tcPr>
          <w:p>
            <w:pPr>
              <w:spacing w:after="0"/>
              <w:rPr>
                <w:sz w:val="17"/>
                <w:szCs w:val="17"/>
                <w:color w:val="auto"/>
              </w:rPr>
            </w:pPr>
          </w:p>
        </w:tc>
        <w:tc>
          <w:tcPr>
            <w:tcW w:w="1520" w:type="dxa"/>
            <w:vAlign w:val="bottom"/>
          </w:tcPr>
          <w:p>
            <w:pPr>
              <w:ind w:left="20"/>
              <w:spacing w:after="0" w:line="203" w:lineRule="exact"/>
              <w:rPr>
                <w:sz w:val="20"/>
                <w:szCs w:val="20"/>
                <w:color w:val="auto"/>
              </w:rPr>
            </w:pPr>
            <w:r>
              <w:rPr>
                <w:rFonts w:ascii="Arial" w:cs="Arial" w:eastAsia="Arial" w:hAnsi="Arial"/>
                <w:sz w:val="18"/>
                <w:szCs w:val="18"/>
                <w:color w:val="auto"/>
              </w:rPr>
              <w:t>September 10,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13,910</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13,910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13,341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1760" w:type="dxa"/>
            <w:vAlign w:val="bottom"/>
            <w:gridSpan w:val="2"/>
          </w:tcPr>
          <w:p>
            <w:pPr>
              <w:ind w:left="26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93,730</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82,556</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79,829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-2142490</wp:posOffset>
            </wp:positionV>
            <wp:extent cx="77470" cy="180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-2142490</wp:posOffset>
            </wp:positionV>
            <wp:extent cx="85725"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-2142490</wp:posOffset>
            </wp:positionV>
            <wp:extent cx="85725" cy="1803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-1816735</wp:posOffset>
            </wp:positionV>
            <wp:extent cx="7747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-1816735</wp:posOffset>
            </wp:positionV>
            <wp:extent cx="85725"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-1816735</wp:posOffset>
            </wp:positionV>
            <wp:extent cx="85725"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70" w:lineRule="exact"/>
        <w:rPr>
          <w:sz w:val="20"/>
          <w:szCs w:val="20"/>
          <w:color w:val="auto"/>
        </w:rPr>
      </w:pPr>
    </w:p>
    <w:p>
      <w:pPr>
        <w:ind w:right="40" w:firstLine="764"/>
        <w:spacing w:after="0" w:line="243" w:lineRule="auto"/>
        <w:rPr>
          <w:sz w:val="20"/>
          <w:szCs w:val="20"/>
          <w:color w:val="auto"/>
        </w:rPr>
      </w:pPr>
      <w:r>
        <w:rPr>
          <w:rFonts w:ascii="Arial" w:cs="Arial" w:eastAsia="Arial" w:hAnsi="Arial"/>
          <w:sz w:val="18"/>
          <w:szCs w:val="18"/>
          <w:color w:val="auto"/>
        </w:rPr>
        <w:t>The final scheduled payment date represents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$106.7 million in 2023, $160.9 million in 2024, $91.3 million in 2025, $42.6 million in 2026 and $21.1 million in 2027.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right="40" w:firstLine="764"/>
        <w:spacing w:after="0" w:line="260" w:lineRule="auto"/>
        <w:rPr>
          <w:sz w:val="20"/>
          <w:szCs w:val="20"/>
          <w:color w:val="auto"/>
        </w:rPr>
      </w:pPr>
      <w:r>
        <w:rPr>
          <w:rFonts w:ascii="Arial" w:cs="Arial" w:eastAsia="Arial" w:hAnsi="Arial"/>
          <w:sz w:val="18"/>
          <w:szCs w:val="18"/>
          <w:color w:val="auto"/>
        </w:rPr>
        <w:t>The aggregate principal balance and the fair value of finance receivables pledged to the securitization debt consists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left="716"/>
              <w:spacing w:after="0"/>
              <w:rPr>
                <w:sz w:val="20"/>
                <w:szCs w:val="20"/>
                <w:color w:val="auto"/>
              </w:rPr>
            </w:pPr>
            <w:r>
              <w:rPr>
                <w:rFonts w:ascii="Arial" w:cs="Arial" w:eastAsia="Arial" w:hAnsi="Arial"/>
                <w:sz w:val="14"/>
                <w:szCs w:val="14"/>
                <w:b w:val="1"/>
                <w:bCs w:val="1"/>
                <w:color w:val="auto"/>
              </w:rPr>
              <w:t>As of June 30,</w:t>
            </w:r>
          </w:p>
        </w:tc>
        <w:tc>
          <w:tcPr>
            <w:tcW w:w="10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center"/>
              <w:ind w:right="114"/>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8"/>
                <w:szCs w:val="18"/>
                <w:color w:val="auto"/>
              </w:rPr>
            </w:pPr>
          </w:p>
        </w:tc>
      </w:tr>
      <w:tr>
        <w:trPr>
          <w:trHeight w:val="250"/>
        </w:trPr>
        <w:tc>
          <w:tcPr>
            <w:tcW w:w="4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162"/>
        </w:trPr>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56"/>
              <w:spacing w:after="0"/>
              <w:rPr>
                <w:sz w:val="20"/>
                <w:szCs w:val="20"/>
                <w:color w:val="auto"/>
              </w:rPr>
            </w:pPr>
            <w:r>
              <w:rPr>
                <w:rFonts w:ascii="Arial" w:cs="Arial" w:eastAsia="Arial" w:hAnsi="Arial"/>
                <w:sz w:val="14"/>
                <w:szCs w:val="14"/>
                <w:b w:val="1"/>
                <w:bCs w:val="1"/>
                <w:color w:val="auto"/>
              </w:rPr>
              <w:t>Aggregate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b w:val="1"/>
                <w:bCs w:val="1"/>
                <w:color w:val="auto"/>
              </w:rPr>
              <w:t>Aggregate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9"/>
        </w:trPr>
        <w:tc>
          <w:tcPr>
            <w:tcW w:w="468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Principal Balance</w:t>
            </w: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Fair Value</w:t>
            </w:r>
          </w:p>
        </w:tc>
        <w:tc>
          <w:tcPr>
            <w:tcW w:w="340" w:type="dxa"/>
            <w:vAlign w:val="bottom"/>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Principal Balance</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r>
      <w:tr>
        <w:trPr>
          <w:trHeight w:val="22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57,829</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54,464</w:t>
            </w:r>
          </w:p>
        </w:tc>
        <w:tc>
          <w:tcPr>
            <w:tcW w:w="5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84,477</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77,904</w:t>
            </w:r>
          </w:p>
        </w:tc>
        <w:tc>
          <w:tcPr>
            <w:tcW w:w="140" w:type="dxa"/>
            <w:vAlign w:val="bottom"/>
            <w:shd w:val="clear" w:color="auto" w:fill="CFF0FC"/>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United Auto Credit 2022-2</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170,368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143,263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0"/>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Auto Credit 2023-1</w:t>
            </w: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262,299</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232,295</w:t>
            </w: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finance receivables of CFEs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490,496</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430,022</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84,477</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77,904</w:t>
            </w:r>
          </w:p>
        </w:tc>
        <w:tc>
          <w:tcPr>
            <w:tcW w:w="14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-179070</wp:posOffset>
            </wp:positionV>
            <wp:extent cx="85725"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-179070</wp:posOffset>
            </wp:positionV>
            <wp:extent cx="85725"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-179070</wp:posOffset>
            </wp:positionV>
            <wp:extent cx="85725"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of Beneficial Interests in Securitizations</w:t>
      </w:r>
    </w:p>
    <w:p>
      <w:pPr>
        <w:spacing w:after="0" w:line="208"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On May 3, 2023, UACC entered into a Risk Retention Financing Facility enabling it to finance asset-backed securities issued in its securitization transactions and held by UACC pursuant to applicable risk retention rules. Under this facility, UACC sells such retained interests and agrees to repurchase them on a future date. In its initial transaction under this facility, UACC pledged $24.5 million of its retained beneficial interests as collateral, and received proceeds of $ 24.1 million, with expected repurchase dates ranging from March 2025 to September 2029. The securitization trusts will distribute payments related to UACC's pledged beneficial interests in securitizations directly to the lender, which will reduce the beneficial interests in securitizations and the related debt balance. Pledged collateral levels are monitored and are generally maintained at an agreed-upon percentage of the fair value of the amounts borrowed during the life of the transactions. In the event of a decline in the fair value of the pledged collateral, UACC may be required to transfer cash or additional securities as pledged under this facility. At the termination of this agreement, UACC is obligated to return the amounts borrowed.</w:t>
      </w:r>
    </w:p>
    <w:p>
      <w:pPr>
        <w:spacing w:after="0" w:line="178" w:lineRule="exact"/>
        <w:rPr>
          <w:sz w:val="20"/>
          <w:szCs w:val="20"/>
          <w:color w:val="auto"/>
        </w:rPr>
      </w:pPr>
    </w:p>
    <w:p>
      <w:pPr>
        <w:jc w:val="both"/>
        <w:ind w:right="140" w:firstLine="749"/>
        <w:spacing w:after="0" w:line="247" w:lineRule="auto"/>
        <w:rPr>
          <w:sz w:val="20"/>
          <w:szCs w:val="20"/>
          <w:color w:val="auto"/>
        </w:rPr>
      </w:pPr>
      <w:r>
        <w:rPr>
          <w:rFonts w:ascii="Arial" w:cs="Arial" w:eastAsia="Arial" w:hAnsi="Arial"/>
          <w:sz w:val="18"/>
          <w:szCs w:val="18"/>
          <w:color w:val="auto"/>
        </w:rPr>
        <w:t>The outstanding balance of this facility, net of unamortized debt issuance costs, was $21.7 million as of June 30, 2023, with $12.1 million included in "Current portion of long-term debt" and $9.6 million included in "Long-term debt, net of current portion" on the condensed consolidated balance sheet. As of June 30, 2023, the fair value of the collateral pledged under this facility was $22.0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208" w:lineRule="exact"/>
        <w:rPr>
          <w:sz w:val="20"/>
          <w:szCs w:val="20"/>
          <w:color w:val="auto"/>
        </w:rPr>
      </w:pPr>
    </w:p>
    <w:p>
      <w:pPr>
        <w:ind w:right="160" w:firstLine="764"/>
        <w:spacing w:after="0" w:line="243" w:lineRule="auto"/>
        <w:rPr>
          <w:sz w:val="20"/>
          <w:szCs w:val="20"/>
          <w:color w:val="auto"/>
        </w:rPr>
      </w:pPr>
      <w:r>
        <w:rPr>
          <w:rFonts w:ascii="Arial" w:cs="Arial" w:eastAsia="Arial" w:hAnsi="Arial"/>
          <w:sz w:val="18"/>
          <w:szCs w:val="18"/>
          <w:color w:val="auto"/>
        </w:rPr>
        <w:t>On July 31, 2003, UACC issued junior subordinated debentures (trust preferred securities) of $ 10.0 million through a subsidiary, UPFC Trust I. The trust issuer is a 100 percent owned finance subsidiary and the securities are fully and unconditionally guaranteed by Vroom Automotive Finance Corporation. The interest is paid quarterly at a variable rate, equal to SOFR + 3.05%. The final maturity of these securities is on October 7, 2033; however, they can be called at par any time at the Company’s discretion.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08"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18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86" w:lineRule="exact"/>
        <w:rPr>
          <w:sz w:val="20"/>
          <w:szCs w:val="20"/>
          <w:color w:val="auto"/>
        </w:rPr>
      </w:pPr>
    </w:p>
    <w:p>
      <w:pPr>
        <w:ind w:right="40" w:firstLine="761"/>
        <w:spacing w:after="0" w:line="255" w:lineRule="auto"/>
        <w:rPr>
          <w:sz w:val="20"/>
          <w:szCs w:val="20"/>
          <w:color w:val="auto"/>
        </w:rPr>
      </w:pPr>
      <w:r>
        <w:rPr>
          <w:rFonts w:ascii="Arial" w:cs="Arial" w:eastAsia="Arial" w:hAnsi="Arial"/>
          <w:sz w:val="17"/>
          <w:szCs w:val="17"/>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66" w:lineRule="exact"/>
        <w:rPr>
          <w:sz w:val="20"/>
          <w:szCs w:val="20"/>
          <w:color w:val="auto"/>
        </w:rPr>
      </w:pPr>
    </w:p>
    <w:p>
      <w:pPr>
        <w:ind w:right="60" w:firstLine="600"/>
        <w:spacing w:after="0" w:line="239"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and the court has approved the parties’ stipulation that the case would remain stayed pending final resolution of In re: Vroom, Inc. Securities Litigation. This lawsuit remains in preliminary stages and there have been no substantive developments.</w:t>
      </w:r>
    </w:p>
    <w:p>
      <w:pPr>
        <w:spacing w:after="0" w:line="181" w:lineRule="exact"/>
        <w:rPr>
          <w:sz w:val="20"/>
          <w:szCs w:val="20"/>
          <w:color w:val="auto"/>
        </w:rPr>
      </w:pPr>
    </w:p>
    <w:p>
      <w:pPr>
        <w:ind w:right="400" w:firstLine="749"/>
        <w:spacing w:after="0" w:line="247"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Vroom continues to work cooperatively with the office of the Attorney General of the State of Texas towards a resolution. Because the case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78" w:lineRule="exact"/>
        <w:rPr>
          <w:sz w:val="20"/>
          <w:szCs w:val="20"/>
          <w:color w:val="auto"/>
        </w:rPr>
      </w:pPr>
    </w:p>
    <w:p>
      <w:pPr>
        <w:ind w:right="20" w:firstLine="749"/>
        <w:spacing w:after="0" w:line="259" w:lineRule="auto"/>
        <w:rPr>
          <w:sz w:val="20"/>
          <w:szCs w:val="20"/>
          <w:color w:val="auto"/>
        </w:rPr>
      </w:pPr>
      <w:r>
        <w:rPr>
          <w:rFonts w:ascii="Arial" w:cs="Arial" w:eastAsia="Arial" w:hAnsi="Arial"/>
          <w:sz w:val="17"/>
          <w:szCs w:val="17"/>
          <w:color w:val="auto"/>
        </w:rPr>
        <w:t>In July 2022 and August 2022, respectively, certain plaintiffs filed two putative class action lawsuits in the District Court of Cleveland County, Oklahoma and the New York State Supreme Court, respectively, against Vroom, Inc., and Vroom Automotive LLC as defendants, alleging, among other things, deficiencies in Vroom’s titling and registration of sold vehicles: Blake Sonne, individually and on behalf of all</w:t>
      </w:r>
    </w:p>
    <w:p>
      <w:pPr>
        <w:spacing w:after="0" w:line="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others similar situated, v. Vroom Automotive, LLC and Vroom, Inc., No. CJ-2022-822 and Emely Reyes Martinez, on behalf of all others similarly situated, v. Vroom Automotive, LLC and Vroom Inc </w:t>
      </w:r>
      <w:r>
        <w:rPr>
          <w:rFonts w:ascii="Arial" w:cs="Arial" w:eastAsia="Arial" w:hAnsi="Arial"/>
          <w:sz w:val="18"/>
          <w:szCs w:val="18"/>
          <w:i w:val="1"/>
          <w:iCs w:val="1"/>
          <w:color w:val="auto"/>
        </w:rPr>
        <w:t>.</w:t>
      </w:r>
      <w:r>
        <w:rPr>
          <w:rFonts w:ascii="Arial" w:cs="Arial" w:eastAsia="Arial" w:hAnsi="Arial"/>
          <w:sz w:val="18"/>
          <w:szCs w:val="18"/>
          <w:color w:val="auto"/>
        </w:rPr>
        <w:t>, No. 652684/2022. The Company removed the cases to the U.S. District Court for the Western District of Oklahoma (Case No. 22-cv-761) and the U.S. District Court for the Southern District of New York (Case No. 22-cv-7631), respectively, and has filed motions to compel arbitration of all claims in both cases. Because these cases are at early stages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77" w:lineRule="exact"/>
        <w:rPr>
          <w:sz w:val="20"/>
          <w:szCs w:val="20"/>
          <w:color w:val="auto"/>
        </w:rPr>
      </w:pPr>
    </w:p>
    <w:p>
      <w:pPr>
        <w:ind w:right="80" w:firstLine="749"/>
        <w:spacing w:after="0" w:line="239" w:lineRule="auto"/>
        <w:rPr>
          <w:sz w:val="20"/>
          <w:szCs w:val="20"/>
          <w:color w:val="auto"/>
        </w:rPr>
      </w:pPr>
      <w:r>
        <w:rPr>
          <w:rFonts w:ascii="Arial" w:cs="Arial" w:eastAsia="Arial" w:hAnsi="Arial"/>
          <w:sz w:val="18"/>
          <w:szCs w:val="18"/>
          <w:color w:val="auto"/>
        </w:rPr>
        <w:t>As previously disclosed, the Company has been subject to audits, requests for information, investigations and other inquiries from its regulators relating to increased customer complaints concerning the same or similar matters alleged in the State of Texas petition.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Notice</w:t>
      </w:r>
    </w:p>
    <w:p>
      <w:pPr>
        <w:spacing w:after="0" w:line="208" w:lineRule="exact"/>
        <w:rPr>
          <w:sz w:val="20"/>
          <w:szCs w:val="20"/>
          <w:color w:val="auto"/>
        </w:rPr>
      </w:pPr>
    </w:p>
    <w:p>
      <w:pPr>
        <w:ind w:right="300" w:firstLine="749"/>
        <w:spacing w:after="0" w:line="247" w:lineRule="auto"/>
        <w:rPr>
          <w:sz w:val="20"/>
          <w:szCs w:val="20"/>
          <w:color w:val="auto"/>
        </w:rPr>
      </w:pPr>
      <w:r>
        <w:rPr>
          <w:rFonts w:ascii="Arial" w:cs="Arial" w:eastAsia="Arial" w:hAnsi="Arial"/>
          <w:sz w:val="18"/>
          <w:szCs w:val="18"/>
          <w:color w:val="auto"/>
        </w:rPr>
        <w:t>On June 23, 2023, the Company received written notice from The Nasdaq Stock Market LLC (“Nasdaq”) informing the Company that it has regained compliance with Nasdaq Listing Rule 5450(a)(1), which requires that companies listed on the Nasdaq Global Select Market maintain a minimum bid price of $1.00 per share.</w:t>
      </w:r>
    </w:p>
    <w:p>
      <w:pPr>
        <w:spacing w:after="0" w:line="171"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As previously reported, on April 14, 2023, the Company received a letter from Nasdaq indicating that, for the preceding 30 consecutive business days, the bid price for the Company’s common stock had closed below the $1.00 per share minimum bid price requirement for continued inclusion on the Nasdaq Global Select Market pursuant to Nasdaq Listing Rule 5450(a)(1) (the “Minimum Bid Price Requirement”). In accordance with Nasdaq Listing Rule 5810(c)(3)(C), the Company had been provided an initial period of 180 calendar days from the Nasdaq notification, or until October 11, 2023, to regain compliance. To regain compliance, the Company was required to maintain the Minimum Bid Price Requirement for a minimum of ten consecutive business days.</w:t>
      </w:r>
    </w:p>
    <w:p>
      <w:pPr>
        <w:spacing w:after="0" w:line="181" w:lineRule="exact"/>
        <w:rPr>
          <w:sz w:val="20"/>
          <w:szCs w:val="20"/>
          <w:color w:val="auto"/>
        </w:rPr>
      </w:pPr>
    </w:p>
    <w:p>
      <w:pPr>
        <w:ind w:right="60" w:firstLine="749"/>
        <w:spacing w:after="0" w:line="247" w:lineRule="auto"/>
        <w:rPr>
          <w:sz w:val="20"/>
          <w:szCs w:val="20"/>
          <w:color w:val="auto"/>
        </w:rPr>
      </w:pPr>
      <w:r>
        <w:rPr>
          <w:rFonts w:ascii="Arial" w:cs="Arial" w:eastAsia="Arial" w:hAnsi="Arial"/>
          <w:sz w:val="18"/>
          <w:szCs w:val="18"/>
          <w:color w:val="auto"/>
        </w:rPr>
        <w:t>In its June 23, 2023 notice, Nasdaq notified the Company that the closing bid price of its common stock had been at $1.00 per share or greater for 11 consecutive business days, from June 8, 2023 to June 22, 2023. Accordingly, the Company regained compliance with the Minimum Bid Price Requirement and the matter was closed.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08" w:lineRule="exact"/>
        <w:rPr>
          <w:sz w:val="20"/>
          <w:szCs w:val="20"/>
          <w:color w:val="auto"/>
        </w:rPr>
      </w:pPr>
    </w:p>
    <w:p>
      <w:pPr>
        <w:ind w:right="740" w:firstLine="761"/>
        <w:spacing w:after="0" w:line="260"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limited by the terms of the applicable agreement. Historically, the Company has not incurred material costs to defend lawsuits or settle claims related to indemnification provisions.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Preferred Stock and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08" w:lineRule="exact"/>
        <w:rPr>
          <w:sz w:val="20"/>
          <w:szCs w:val="20"/>
          <w:color w:val="auto"/>
        </w:rPr>
      </w:pPr>
    </w:p>
    <w:p>
      <w:pPr>
        <w:ind w:right="420" w:firstLine="636"/>
        <w:spacing w:after="0" w:line="260" w:lineRule="auto"/>
        <w:rPr>
          <w:sz w:val="20"/>
          <w:szCs w:val="20"/>
          <w:color w:val="auto"/>
        </w:rPr>
      </w:pPr>
      <w:r>
        <w:rPr>
          <w:rFonts w:ascii="Arial" w:cs="Arial" w:eastAsia="Arial" w:hAnsi="Arial"/>
          <w:sz w:val="18"/>
          <w:szCs w:val="18"/>
          <w:color w:val="auto"/>
        </w:rPr>
        <w:t>On June 11, 2020, the Company amended its certificate of incorporation to authorize the issuance of up to 10,000,000 shares of Preferred Stock. As of June 30, 2023, there was no preferred stock issued or outstanding.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08" w:lineRule="exact"/>
        <w:rPr>
          <w:sz w:val="20"/>
          <w:szCs w:val="20"/>
          <w:color w:val="auto"/>
        </w:rPr>
      </w:pPr>
    </w:p>
    <w:p>
      <w:pPr>
        <w:ind w:right="360" w:firstLine="636"/>
        <w:spacing w:after="0" w:line="243" w:lineRule="auto"/>
        <w:rPr>
          <w:sz w:val="20"/>
          <w:szCs w:val="20"/>
          <w:color w:val="auto"/>
        </w:rPr>
      </w:pPr>
      <w:r>
        <w:rPr>
          <w:rFonts w:ascii="Arial" w:cs="Arial" w:eastAsia="Arial" w:hAnsi="Arial"/>
          <w:sz w:val="18"/>
          <w:szCs w:val="18"/>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208" w:lineRule="exact"/>
        <w:rPr>
          <w:sz w:val="20"/>
          <w:szCs w:val="20"/>
          <w:color w:val="auto"/>
        </w:rPr>
      </w:pPr>
    </w:p>
    <w:p>
      <w:pPr>
        <w:ind w:right="80" w:firstLine="761"/>
        <w:spacing w:after="0" w:line="242" w:lineRule="auto"/>
        <w:rPr>
          <w:sz w:val="20"/>
          <w:szCs w:val="20"/>
          <w:color w:val="auto"/>
        </w:rPr>
      </w:pPr>
      <w:r>
        <w:rPr>
          <w:rFonts w:ascii="Arial" w:cs="Arial" w:eastAsia="Arial" w:hAnsi="Arial"/>
          <w:sz w:val="18"/>
          <w:szCs w:val="18"/>
          <w:color w:val="auto"/>
        </w:rPr>
        <w:t>On May 28, 2020, the Company adopted the 2020 Incentive Award Plan (“the 2020 Plan”), which authorized the issuance of (i) up to 3,019,108 shares of the Company’s common stock, (ii) an annual increase on the first day of each year beginning on January 1, 2022 and ending on January 1, 2030 of up to 4% of the shares of common stock outstanding on an as-converted basis on the last day of the immediately preceding fiscal year, and (iii) any shares of the Company’s common stock subject to awards under the 2014 Plan which are</w:t>
      </w:r>
    </w:p>
    <w:p>
      <w:pPr>
        <w:spacing w:after="0" w:line="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forfeited or lapse unexercised and which following the effective date are not issued under the 2014 Plan. Awards may be issued in the form of restricted stock units, restricted stock, stock appreciation rights, and stock options. As of June 30, 2023, the Company has registered an additional 11,011,780 shares of the Company's common stock to be issued pursuant to the 2020 Plan. As of June 30, 2023, there were 1,212,450 shares available for future issuance under the 2020 Plan.</w:t>
      </w:r>
    </w:p>
    <w:p>
      <w:pPr>
        <w:spacing w:after="0" w:line="170"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3,000,000 shares of the Company’s common stock are reserved for issuance under the Inducement Award Plan. As of June 30, 2023, there were 2,542,963 shares available for future issuance under the Inducement Award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08" w:lineRule="exact"/>
        <w:rPr>
          <w:sz w:val="20"/>
          <w:szCs w:val="20"/>
          <w:color w:val="auto"/>
        </w:rPr>
      </w:pPr>
    </w:p>
    <w:p>
      <w:pPr>
        <w:ind w:right="40" w:firstLine="761"/>
        <w:spacing w:after="0" w:line="243" w:lineRule="auto"/>
        <w:rPr>
          <w:sz w:val="20"/>
          <w:szCs w:val="20"/>
          <w:color w:val="auto"/>
        </w:rPr>
      </w:pPr>
      <w:r>
        <w:rPr>
          <w:rFonts w:ascii="Arial" w:cs="Arial" w:eastAsia="Arial" w:hAnsi="Arial"/>
          <w:sz w:val="18"/>
          <w:szCs w:val="18"/>
          <w:color w:val="auto"/>
        </w:rPr>
        <w:t>The Company recognized $2.1 million and $1.4 million of stock-based compensation expense related to RSUs for the three months ended June 30, 2023 and 2022, respectively, and $3.9 million and $4.6 million for the six months ended June 30, 2023 and 2022, respectively. As of June 30, 2023 and December 31, 2022, the Company had $17.7 million and $18.2 million, respectively, of unrecognized stock-based compensation expense that is expected to be recognized over a weighted-average period of 1.9 and 1.9 years, respectively.</w:t>
      </w:r>
    </w:p>
    <w:p>
      <w:pPr>
        <w:spacing w:after="0" w:line="174"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On May 9, 2022, 1,200,000 RSUs having a grant date fair value of $1.08 per share were granted to the CEO and on May, 20, 2022, an aggregate of 3,190,000 RSUs having a grant date fair value of $1.45 per share were granted to certain members of the management team. On July 25, 2022, 140,000 RSUs having a grant date fair value of $1.64 per share were granted to a member of the management team. The RSUs were issued under the 2020 Plan and will vest on the third anniversary of the grant date, subject to continued employment through that date. The vesting of the RSUs will accelerate in one-third increments if the Company's common stock achieves a closing price at or above $7.50 per share for twenty consecutive trading days during the three-year vesting period; a closing price at or above $15.00 per share for twenty consecutive trading days in the second or third years of the vesting period; and a closing price at or above $21.00 per share for twenty consecutive trading days during the third year of the vesting period. As of June 30, 2023, the accelerated vesting conditions were not met.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8" w:lineRule="exact"/>
        <w:rPr>
          <w:sz w:val="20"/>
          <w:szCs w:val="20"/>
          <w:color w:val="auto"/>
        </w:rPr>
      </w:pPr>
    </w:p>
    <w:p>
      <w:pPr>
        <w:ind w:right="180" w:firstLine="761"/>
        <w:spacing w:after="0" w:line="260" w:lineRule="auto"/>
        <w:rPr>
          <w:sz w:val="20"/>
          <w:szCs w:val="20"/>
          <w:color w:val="auto"/>
        </w:rPr>
      </w:pPr>
      <w:r>
        <w:rPr>
          <w:rFonts w:ascii="Arial" w:cs="Arial" w:eastAsia="Arial" w:hAnsi="Arial"/>
          <w:sz w:val="18"/>
          <w:szCs w:val="18"/>
          <w:color w:val="auto"/>
        </w:rPr>
        <w:t>Certain of the Company’s RSU grants are subject to acceleration upon a change of control and termination within 12 months, and upon death, disability, retirement and certain “good leaver” circumstances.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 and Fair Value Measurements</w:t>
      </w:r>
    </w:p>
    <w:p>
      <w:pPr>
        <w:spacing w:after="0" w:line="208"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jc w:val="both"/>
        <w:ind w:left="760" w:right="120"/>
        <w:spacing w:after="0" w:line="247" w:lineRule="auto"/>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76" w:lineRule="exact"/>
        <w:rPr>
          <w:sz w:val="20"/>
          <w:szCs w:val="20"/>
          <w:color w:val="auto"/>
        </w:rPr>
      </w:pPr>
    </w:p>
    <w:p>
      <w:pPr>
        <w:ind w:left="760" w:right="60"/>
        <w:spacing w:after="0" w:line="260"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208" w:lineRule="exact"/>
        <w:rPr>
          <w:sz w:val="20"/>
          <w:szCs w:val="20"/>
          <w:color w:val="auto"/>
        </w:rPr>
      </w:pPr>
    </w:p>
    <w:p>
      <w:pPr>
        <w:ind w:right="140" w:firstLine="761"/>
        <w:spacing w:after="0" w:line="239" w:lineRule="auto"/>
        <w:rPr>
          <w:sz w:val="20"/>
          <w:szCs w:val="20"/>
          <w:color w:val="auto"/>
        </w:rPr>
      </w:pPr>
      <w:r>
        <w:rPr>
          <w:rFonts w:ascii="Arial" w:cs="Arial" w:eastAsia="Arial" w:hAnsi="Arial"/>
          <w:sz w:val="18"/>
          <w:szCs w:val="18"/>
          <w:color w:val="auto"/>
        </w:rPr>
        <w:t>The Company holds certain financial assets that are required to be measured at fair value on a recurring basis. Additionally, the Company elected the fair value option for the financial assets and liabilities of UACC’s consolidated CFEs, beneficial interests in the 2022-1 securitization transaction, certain of UACC’s finance receivables that are ineligible to be sold as of the Acquisition Date, and certain other finance receivables.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8" w:lineRule="exact"/>
        <w:rPr>
          <w:sz w:val="20"/>
          <w:szCs w:val="20"/>
          <w:color w:val="auto"/>
        </w:rPr>
      </w:pPr>
    </w:p>
    <w:p>
      <w:pPr>
        <w:ind w:right="920" w:firstLine="761"/>
        <w:spacing w:after="0" w:line="260" w:lineRule="auto"/>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As of June 30, 2023</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5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2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123,238</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123,238</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CFE assets: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430,022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430,022</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20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37,675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37,675</w:t>
            </w:r>
          </w:p>
        </w:tc>
      </w:tr>
      <w:tr>
        <w:trPr>
          <w:trHeight w:val="23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Beneficial interests in securitizations</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6,553</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6,553</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123,238</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6,553</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467,697</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597,488</w:t>
            </w:r>
          </w:p>
        </w:tc>
      </w:tr>
      <w:tr>
        <w:trPr>
          <w:trHeight w:val="20"/>
        </w:trPr>
        <w:tc>
          <w:tcPr>
            <w:tcW w:w="5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CFE 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Securitization debt of consolidated VIEs</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416,975</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416,975</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416,975</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416,975</w:t>
            </w: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99"/>
        </w:trPr>
        <w:tc>
          <w:tcPr>
            <w:tcW w:w="5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As of December 31, 2022</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83"/>
        </w:trPr>
        <w:tc>
          <w:tcPr>
            <w:tcW w:w="5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2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182,687</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182,687</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CFE assets: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77,904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77,904</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20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75,270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75,270</w:t>
            </w:r>
          </w:p>
        </w:tc>
      </w:tr>
      <w:tr>
        <w:trPr>
          <w:trHeight w:val="23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Beneficial interests in securitizations</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20,592</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20,592</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182,687</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20,592</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153,174</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356,453</w:t>
            </w:r>
          </w:p>
        </w:tc>
      </w:tr>
      <w:tr>
        <w:trPr>
          <w:trHeight w:val="20"/>
        </w:trPr>
        <w:tc>
          <w:tcPr>
            <w:tcW w:w="5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CFE 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Securitization debt of consolidated VIEs</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79,829</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79,829</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79,829</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79,829</w:t>
            </w:r>
          </w:p>
        </w:tc>
      </w:tr>
      <w:tr>
        <w:trPr>
          <w:trHeight w:val="20"/>
        </w:trPr>
        <w:tc>
          <w:tcPr>
            <w:tcW w:w="5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-3016885</wp:posOffset>
            </wp:positionV>
            <wp:extent cx="9398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-3016885</wp:posOffset>
            </wp:positionV>
            <wp:extent cx="10287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-3016885</wp:posOffset>
            </wp:positionV>
            <wp:extent cx="10287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-2399665</wp:posOffset>
            </wp:positionV>
            <wp:extent cx="93980" cy="3257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3257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-2399665</wp:posOffset>
            </wp:positionV>
            <wp:extent cx="102870" cy="3257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-2399665</wp:posOffset>
            </wp:positionV>
            <wp:extent cx="102870" cy="3257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-796290</wp:posOffset>
            </wp:positionV>
            <wp:extent cx="9398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-796290</wp:posOffset>
            </wp:positionV>
            <wp:extent cx="10287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-796290</wp:posOffset>
            </wp:positionV>
            <wp:extent cx="10287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-179705</wp:posOffset>
            </wp:positionV>
            <wp:extent cx="93980"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18034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-179705</wp:posOffset>
            </wp:positionV>
            <wp:extent cx="102870"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-179705</wp:posOffset>
            </wp:positionV>
            <wp:extent cx="102870" cy="180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18034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of Financial Instruments Measured at Fair Value on a Recurring Basis</w:t>
      </w:r>
    </w:p>
    <w:p>
      <w:pPr>
        <w:spacing w:after="0" w:line="208" w:lineRule="exact"/>
        <w:rPr>
          <w:sz w:val="20"/>
          <w:szCs w:val="20"/>
          <w:color w:val="auto"/>
        </w:rPr>
      </w:pPr>
    </w:p>
    <w:p>
      <w:pPr>
        <w:ind w:right="420" w:firstLine="749"/>
        <w:spacing w:after="0" w:line="247" w:lineRule="auto"/>
        <w:rPr>
          <w:sz w:val="20"/>
          <w:szCs w:val="20"/>
          <w:color w:val="auto"/>
        </w:rPr>
      </w:pPr>
      <w:r>
        <w:rPr>
          <w:rFonts w:ascii="Arial" w:cs="Arial" w:eastAsia="Arial" w:hAnsi="Arial"/>
          <w:sz w:val="18"/>
          <w:szCs w:val="18"/>
          <w:color w:val="auto"/>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spacing w:after="0" w:line="165" w:lineRule="exact"/>
        <w:rPr>
          <w:sz w:val="20"/>
          <w:szCs w:val="20"/>
          <w:color w:val="auto"/>
        </w:rPr>
      </w:pPr>
    </w:p>
    <w:p>
      <w:pPr>
        <w:ind w:right="20" w:firstLine="749"/>
        <w:spacing w:after="0" w:line="250"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Money market funds primarily consist of investments in highly liquid U.S. treasury securities,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and are classified as Level 1. The Company determines the fair value of cash equivalents based on quoted prices in active markets.</w:t>
      </w:r>
    </w:p>
    <w:p>
      <w:pPr>
        <w:spacing w:after="0" w:line="163" w:lineRule="exact"/>
        <w:rPr>
          <w:sz w:val="20"/>
          <w:szCs w:val="20"/>
          <w:color w:val="auto"/>
        </w:rPr>
      </w:pPr>
    </w:p>
    <w:p>
      <w:pPr>
        <w:ind w:right="240" w:firstLine="749"/>
        <w:spacing w:after="0" w:line="267" w:lineRule="auto"/>
        <w:rPr>
          <w:sz w:val="20"/>
          <w:szCs w:val="20"/>
          <w:color w:val="auto"/>
        </w:rPr>
      </w:pPr>
      <w:r>
        <w:rPr>
          <w:rFonts w:ascii="Arial" w:cs="Arial" w:eastAsia="Arial" w:hAnsi="Arial"/>
          <w:sz w:val="18"/>
          <w:szCs w:val="18"/>
          <w:i w:val="1"/>
          <w:iCs w:val="1"/>
          <w:color w:val="auto"/>
        </w:rPr>
        <w:t xml:space="preserve">Financial assets and liabilities of CFEs: </w:t>
      </w:r>
      <w:r>
        <w:rPr>
          <w:rFonts w:ascii="Arial" w:cs="Arial" w:eastAsia="Arial" w:hAnsi="Arial"/>
          <w:sz w:val="18"/>
          <w:szCs w:val="18"/>
          <w:color w:val="auto"/>
        </w:rPr>
        <w:t>The Company elected the fair value option for the assets and liabilities of its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VIEs related to securitization transactions that were deemed to be CFEs.</w:t>
      </w:r>
    </w:p>
    <w:p>
      <w:pPr>
        <w:spacing w:after="0" w:line="153"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In accordance with ASC 825, the Company has elected the fair value option, for the eligible financial assets and liabilities of the 2021-1, 2022-2, and 2023-1 consolidated CFEs in order to mitigate potential accounting mismatches between the carrying value of the financial assets and liabilities. To eliminate potential measurement differences, the Company elected the measurement alternative included in ASU 2014-13, allowing the Company to measure both the financial assets and liabilities of a qualifying CFE using the fair value of either the CFE’s financial assets or liabilities, whichever is more observable. Under the measurement alternative prescribed by ASU 2014-13, the Company recognizes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right="760"/>
        <w:spacing w:after="0" w:line="260" w:lineRule="auto"/>
        <w:rPr>
          <w:sz w:val="20"/>
          <w:szCs w:val="20"/>
          <w:color w:val="auto"/>
        </w:rPr>
      </w:pPr>
      <w:r>
        <w:rPr>
          <w:rFonts w:ascii="Arial" w:cs="Arial" w:eastAsia="Arial" w:hAnsi="Arial"/>
          <w:sz w:val="18"/>
          <w:szCs w:val="18"/>
          <w:color w:val="auto"/>
        </w:rPr>
        <w:t>changes in the CFE’s net assets, including changes in fair value adjustments and net interest earned, in its condensed consolidated statements of operations.</w:t>
      </w:r>
    </w:p>
    <w:p>
      <w:pPr>
        <w:spacing w:after="0" w:line="159" w:lineRule="exact"/>
        <w:rPr>
          <w:sz w:val="20"/>
          <w:szCs w:val="20"/>
          <w:color w:val="auto"/>
        </w:rPr>
      </w:pPr>
    </w:p>
    <w:p>
      <w:pPr>
        <w:ind w:right="100" w:firstLine="749"/>
        <w:spacing w:after="0" w:line="239" w:lineRule="auto"/>
        <w:rPr>
          <w:sz w:val="20"/>
          <w:szCs w:val="20"/>
          <w:color w:val="auto"/>
        </w:rPr>
      </w:pPr>
      <w:r>
        <w:rPr>
          <w:rFonts w:ascii="Arial" w:cs="Arial" w:eastAsia="Arial" w:hAnsi="Arial"/>
          <w:sz w:val="18"/>
          <w:szCs w:val="18"/>
          <w:color w:val="auto"/>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spacing w:after="0" w:line="181"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classified the securitization debt as Level 3 of the fair value hierarchy.</w:t>
      </w:r>
    </w:p>
    <w:p>
      <w:pPr>
        <w:spacing w:after="0" w:line="180" w:lineRule="exact"/>
        <w:rPr>
          <w:sz w:val="20"/>
          <w:szCs w:val="20"/>
          <w:color w:val="auto"/>
        </w:rPr>
      </w:pPr>
    </w:p>
    <w:p>
      <w:pPr>
        <w:ind w:right="660" w:firstLine="749"/>
        <w:spacing w:after="0" w:line="291" w:lineRule="auto"/>
        <w:rPr>
          <w:sz w:val="20"/>
          <w:szCs w:val="20"/>
          <w:color w:val="auto"/>
        </w:rPr>
      </w:pPr>
      <w:r>
        <w:rPr>
          <w:rFonts w:ascii="Arial" w:cs="Arial" w:eastAsia="Arial" w:hAnsi="Arial"/>
          <w:sz w:val="18"/>
          <w:szCs w:val="18"/>
          <w:color w:val="auto"/>
        </w:rPr>
        <w:t>The financial assets of the consolidated CFEs are an aggregate value derived from the fair value of the CFEs liabilities. The Company determined that CFEs finance receivables in their entirety should be classified as Level 3 of the fair value hierarchy.</w:t>
      </w:r>
    </w:p>
    <w:p>
      <w:pPr>
        <w:spacing w:after="0" w:line="140"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i w:val="1"/>
          <w:iCs w:val="1"/>
          <w:color w:val="auto"/>
        </w:rPr>
        <w:t xml:space="preserve">Finance receivables at fair value: </w:t>
      </w:r>
      <w:r>
        <w:rPr>
          <w:rFonts w:ascii="Arial" w:cs="Arial" w:eastAsia="Arial" w:hAnsi="Arial"/>
          <w:sz w:val="18"/>
          <w:szCs w:val="18"/>
          <w:color w:val="auto"/>
        </w:rPr>
        <w:t>Finance receivables at fair value represent finance receivables for which the Company elected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option in accordance with ASC 825. These receivables primarily relate to finance receivables that the Company does not intend to sell in the immediate future due to various factors such as: delinquencies, bankruptcy, etc. The Company estimates the fair value of these receivables using a discounted cash flow model and incorporates key inputs that include performance rate, default rate, recovery rate, and weighted average coupon rates, as well as certain macroeconomics events the Company believes market participants would consider relevant.</w:t>
      </w:r>
    </w:p>
    <w:p>
      <w:pPr>
        <w:spacing w:after="0" w:line="170" w:lineRule="exact"/>
        <w:rPr>
          <w:sz w:val="20"/>
          <w:szCs w:val="20"/>
          <w:color w:val="auto"/>
        </w:rPr>
      </w:pPr>
    </w:p>
    <w:p>
      <w:pPr>
        <w:ind w:right="240" w:firstLine="749"/>
        <w:spacing w:after="0" w:line="245" w:lineRule="auto"/>
        <w:rPr>
          <w:sz w:val="20"/>
          <w:szCs w:val="20"/>
          <w:color w:val="auto"/>
        </w:rPr>
      </w:pPr>
      <w:r>
        <w:rPr>
          <w:rFonts w:ascii="Arial" w:cs="Arial" w:eastAsia="Arial" w:hAnsi="Arial"/>
          <w:sz w:val="18"/>
          <w:szCs w:val="18"/>
          <w:i w:val="1"/>
          <w:iCs w:val="1"/>
          <w:color w:val="auto"/>
        </w:rPr>
        <w:t xml:space="preserve">Beneficial interests in securitization: </w:t>
      </w:r>
      <w:r>
        <w:rPr>
          <w:rFonts w:ascii="Arial" w:cs="Arial" w:eastAsia="Arial" w:hAnsi="Arial"/>
          <w:sz w:val="18"/>
          <w:szCs w:val="18"/>
          <w:color w:val="auto"/>
        </w:rPr>
        <w:t>Beneficial interests in securitization relate to the 2022-1 securitization completed in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2022 and include rated notes as well as certificates. The beneficial interests in the 2022-2 securitization completed in July 2022 were eliminated upon consolidation of the VIE in March 2023. Refer to Note 4 – Variable Interest Entities and Securitizations. The Company elected the fair value option on its beneficial interests in securitization.</w:t>
      </w:r>
    </w:p>
    <w:p>
      <w:pPr>
        <w:spacing w:after="0" w:line="173"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weighted average coupons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 Company has multiple quotes that are not within a consensus range of each other, the Company deems these securities to be classified as Level 3 of the fair value hierarchy.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 reconciliation of the financial assets, which were measured at fair value on a recurring basis using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Finance Receivables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Finance Receivables at Fair</w:t>
            </w:r>
          </w:p>
        </w:tc>
      </w:tr>
      <w:tr>
        <w:trPr>
          <w:trHeight w:val="189"/>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Consolidated CFEs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r>
      <w:tr>
        <w:trPr>
          <w:trHeight w:val="22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as of January 1, 2023</w:t>
            </w: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76"/>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77,904</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75,270</w:t>
            </w:r>
          </w:p>
        </w:tc>
        <w:tc>
          <w:tcPr>
            <w:tcW w:w="140" w:type="dxa"/>
            <w:vAlign w:val="bottom"/>
            <w:shd w:val="clear" w:color="auto" w:fill="CFF0FC"/>
          </w:tcPr>
          <w:p>
            <w:pPr>
              <w:spacing w:after="0"/>
              <w:rPr>
                <w:sz w:val="19"/>
                <w:szCs w:val="19"/>
                <w:color w:val="auto"/>
              </w:rPr>
            </w:pPr>
          </w:p>
        </w:tc>
      </w:tr>
      <w:tr>
        <w:trPr>
          <w:trHeight w:val="203"/>
        </w:trPr>
        <w:tc>
          <w:tcPr>
            <w:tcW w:w="7260" w:type="dxa"/>
            <w:vAlign w:val="bottom"/>
            <w:gridSpan w:val="5"/>
          </w:tcPr>
          <w:p>
            <w:pPr>
              <w:ind w:left="20"/>
              <w:spacing w:after="0" w:line="203" w:lineRule="exact"/>
              <w:rPr>
                <w:sz w:val="20"/>
                <w:szCs w:val="20"/>
                <w:color w:val="auto"/>
              </w:rPr>
            </w:pPr>
            <w:r>
              <w:rPr>
                <w:rFonts w:ascii="Arial" w:cs="Arial" w:eastAsia="Arial" w:hAnsi="Arial"/>
                <w:sz w:val="18"/>
                <w:szCs w:val="18"/>
                <w:color w:val="auto"/>
              </w:rPr>
              <w:t>Reclassification of finance receivables held for sale to finance receivables at</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fair value, net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248,081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Transfer within Level 3 categories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(25,718 )</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Consolidation of VIEs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180,706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Losses included in other income</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(37,890 )</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(1,396 )</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Issuances, net of discount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3,392</w:t>
            </w:r>
          </w:p>
        </w:tc>
        <w:tc>
          <w:tcPr>
            <w:tcW w:w="140" w:type="dxa"/>
            <w:vAlign w:val="bottom"/>
          </w:tcPr>
          <w:p>
            <w:pPr>
              <w:spacing w:after="0"/>
              <w:rPr>
                <w:sz w:val="19"/>
                <w:szCs w:val="19"/>
                <w:color w:val="auto"/>
              </w:rPr>
            </w:pP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Paydowns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(77,007 )</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(14,883 )</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9"/>
                <w:szCs w:val="19"/>
                <w:color w:val="auto"/>
              </w:rPr>
            </w:pPr>
          </w:p>
        </w:tc>
      </w:tr>
      <w:tr>
        <w:trPr>
          <w:trHeight w:val="263"/>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Fair value as of June 30, 2023</w:t>
            </w:r>
          </w:p>
        </w:tc>
        <w:tc>
          <w:tcPr>
            <w:tcW w:w="16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37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430,022</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37,675</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372"/>
        </w:trPr>
        <w:tc>
          <w:tcPr>
            <w:tcW w:w="5180" w:type="dxa"/>
            <w:vAlign w:val="bottom"/>
          </w:tcPr>
          <w:p>
            <w:pPr>
              <w:spacing w:after="0"/>
              <w:rPr>
                <w:sz w:val="24"/>
                <w:szCs w:val="24"/>
                <w:color w:val="auto"/>
              </w:rPr>
            </w:pPr>
          </w:p>
        </w:tc>
        <w:tc>
          <w:tcPr>
            <w:tcW w:w="20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Finance Receivables of</w:t>
            </w:r>
          </w:p>
        </w:tc>
        <w:tc>
          <w:tcPr>
            <w:tcW w:w="2080" w:type="dxa"/>
            <w:vAlign w:val="bottom"/>
            <w:gridSpan w:val="6"/>
          </w:tcPr>
          <w:p>
            <w:pPr>
              <w:jc w:val="right"/>
              <w:ind w:right="348"/>
              <w:spacing w:after="0"/>
              <w:rPr>
                <w:sz w:val="20"/>
                <w:szCs w:val="20"/>
                <w:color w:val="auto"/>
              </w:rPr>
            </w:pPr>
            <w:r>
              <w:rPr>
                <w:rFonts w:ascii="Arial" w:cs="Arial" w:eastAsia="Arial" w:hAnsi="Arial"/>
                <w:sz w:val="14"/>
                <w:szCs w:val="14"/>
                <w:b w:val="1"/>
                <w:bCs w:val="1"/>
                <w:color w:val="auto"/>
              </w:rPr>
              <w:t>Finance Receivables at</w:t>
            </w:r>
          </w:p>
        </w:tc>
        <w:tc>
          <w:tcPr>
            <w:tcW w:w="120" w:type="dxa"/>
            <w:vAlign w:val="bottom"/>
          </w:tcPr>
          <w:p>
            <w:pPr>
              <w:spacing w:after="0"/>
              <w:rPr>
                <w:sz w:val="24"/>
                <w:szCs w:val="24"/>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Securitization Debt of</w:t>
            </w:r>
          </w:p>
        </w:tc>
      </w:tr>
      <w:tr>
        <w:trPr>
          <w:trHeight w:val="189"/>
        </w:trPr>
        <w:tc>
          <w:tcPr>
            <w:tcW w:w="5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4"/>
                <w:szCs w:val="14"/>
                <w:b w:val="1"/>
                <w:bCs w:val="1"/>
                <w:color w:val="auto"/>
              </w:rPr>
              <w:t>Consolidated CFEs</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Consolidated CFEs</w:t>
            </w:r>
          </w:p>
        </w:tc>
        <w:tc>
          <w:tcPr>
            <w:tcW w:w="140" w:type="dxa"/>
            <w:vAlign w:val="bottom"/>
          </w:tcPr>
          <w:p>
            <w:pPr>
              <w:spacing w:after="0"/>
              <w:rPr>
                <w:sz w:val="16"/>
                <w:szCs w:val="16"/>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Fair value as of January 1,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3"/>
          </w:tcPr>
          <w:p>
            <w:pPr>
              <w:jc w:val="right"/>
              <w:ind w:right="248"/>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in business combination</w:t>
            </w: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262,644</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34,283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275,394</w:t>
            </w:r>
          </w:p>
        </w:tc>
        <w:tc>
          <w:tcPr>
            <w:tcW w:w="140" w:type="dxa"/>
            <w:vAlign w:val="bottom"/>
            <w:shd w:val="clear" w:color="auto" w:fill="CFF0FC"/>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Transfer out of Level 3</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3"/>
          </w:tcPr>
          <w:p>
            <w:pPr>
              <w:jc w:val="right"/>
              <w:ind w:right="2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(275,394 )</w:t>
            </w: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Transfer within Level 3 categories</w:t>
            </w:r>
          </w:p>
        </w:tc>
        <w:tc>
          <w:tcPr>
            <w:tcW w:w="160" w:type="dxa"/>
            <w:vAlign w:val="bottom"/>
            <w:shd w:val="clear" w:color="auto" w:fill="CFF0FC"/>
          </w:tcPr>
          <w:p>
            <w:pPr>
              <w:spacing w:after="0"/>
              <w:rPr>
                <w:sz w:val="19"/>
                <w:szCs w:val="19"/>
                <w:color w:val="auto"/>
              </w:rPr>
            </w:pPr>
          </w:p>
        </w:tc>
        <w:tc>
          <w:tcPr>
            <w:tcW w:w="19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(10,904 )</w:t>
            </w:r>
          </w:p>
        </w:tc>
        <w:tc>
          <w:tcPr>
            <w:tcW w:w="32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10,904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Losses included in other income</w:t>
            </w:r>
          </w:p>
        </w:tc>
        <w:tc>
          <w:tcPr>
            <w:tcW w:w="160" w:type="dxa"/>
            <w:vAlign w:val="bottom"/>
          </w:tcPr>
          <w:p>
            <w:pPr>
              <w:spacing w:after="0"/>
              <w:rPr>
                <w:sz w:val="19"/>
                <w:szCs w:val="19"/>
                <w:color w:val="auto"/>
              </w:rPr>
            </w:pP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(18,279 )</w:t>
            </w:r>
          </w:p>
        </w:tc>
        <w:tc>
          <w:tcPr>
            <w:tcW w:w="320" w:type="dxa"/>
            <w:vAlign w:val="bottom"/>
          </w:tcPr>
          <w:p>
            <w:pPr>
              <w:spacing w:after="0"/>
              <w:rPr>
                <w:sz w:val="19"/>
                <w:szCs w:val="19"/>
                <w:color w:val="auto"/>
              </w:rPr>
            </w:pPr>
          </w:p>
        </w:tc>
        <w:tc>
          <w:tcPr>
            <w:tcW w:w="1760" w:type="dxa"/>
            <w:vAlign w:val="bottom"/>
            <w:gridSpan w:val="5"/>
          </w:tcPr>
          <w:p>
            <w:pPr>
              <w:jc w:val="right"/>
              <w:ind w:right="168"/>
              <w:spacing w:after="0"/>
              <w:rPr>
                <w:sz w:val="20"/>
                <w:szCs w:val="20"/>
                <w:color w:val="auto"/>
              </w:rPr>
            </w:pPr>
            <w:r>
              <w:rPr>
                <w:rFonts w:ascii="Arial" w:cs="Arial" w:eastAsia="Arial" w:hAnsi="Arial"/>
                <w:sz w:val="18"/>
                <w:szCs w:val="18"/>
                <w:color w:val="auto"/>
              </w:rPr>
              <w:t>(10,163 )</w:t>
            </w:r>
          </w:p>
        </w:tc>
        <w:tc>
          <w:tcPr>
            <w:tcW w:w="120" w:type="dxa"/>
            <w:vAlign w:val="bottom"/>
          </w:tcPr>
          <w:p>
            <w:pPr>
              <w:spacing w:after="0"/>
              <w:rPr>
                <w:sz w:val="19"/>
                <w:szCs w:val="19"/>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Issuances, net of discount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49,475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19"/>
                <w:szCs w:val="19"/>
                <w:color w:val="auto"/>
              </w:rPr>
            </w:pP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(24,312 )</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3"/>
          </w:tcPr>
          <w:p>
            <w:pPr>
              <w:jc w:val="right"/>
              <w:ind w:right="2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Paydowns</w:t>
            </w:r>
          </w:p>
        </w:tc>
        <w:tc>
          <w:tcPr>
            <w:tcW w:w="160" w:type="dxa"/>
            <w:vAlign w:val="bottom"/>
            <w:shd w:val="clear" w:color="auto" w:fill="CFF0FC"/>
          </w:tcPr>
          <w:p>
            <w:pPr>
              <w:spacing w:after="0"/>
              <w:rPr>
                <w:sz w:val="19"/>
                <w:szCs w:val="19"/>
                <w:color w:val="auto"/>
              </w:rPr>
            </w:pPr>
          </w:p>
        </w:tc>
        <w:tc>
          <w:tcPr>
            <w:tcW w:w="19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(56,749 )</w:t>
            </w:r>
          </w:p>
        </w:tc>
        <w:tc>
          <w:tcPr>
            <w:tcW w:w="320" w:type="dxa"/>
            <w:vAlign w:val="bottom"/>
            <w:shd w:val="clear" w:color="auto" w:fill="CFF0FC"/>
          </w:tcPr>
          <w:p>
            <w:pPr>
              <w:spacing w:after="0"/>
              <w:rPr>
                <w:sz w:val="19"/>
                <w:szCs w:val="19"/>
                <w:color w:val="auto"/>
              </w:rPr>
            </w:pPr>
          </w:p>
        </w:tc>
        <w:tc>
          <w:tcPr>
            <w:tcW w:w="1760" w:type="dxa"/>
            <w:vAlign w:val="bottom"/>
            <w:gridSpan w:val="5"/>
            <w:shd w:val="clear" w:color="auto" w:fill="CFF0FC"/>
          </w:tcPr>
          <w:p>
            <w:pPr>
              <w:jc w:val="right"/>
              <w:ind w:right="168"/>
              <w:spacing w:after="0"/>
              <w:rPr>
                <w:sz w:val="20"/>
                <w:szCs w:val="20"/>
                <w:color w:val="auto"/>
              </w:rPr>
            </w:pPr>
            <w:r>
              <w:rPr>
                <w:rFonts w:ascii="Arial" w:cs="Arial" w:eastAsia="Arial" w:hAnsi="Arial"/>
                <w:sz w:val="18"/>
                <w:szCs w:val="18"/>
                <w:color w:val="auto"/>
              </w:rPr>
              <w:t>(17,941 )</w:t>
            </w:r>
          </w:p>
        </w:tc>
        <w:tc>
          <w:tcPr>
            <w:tcW w:w="1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6,977</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1,849</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63"/>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Fair value as of June 30, 2022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159,377</w:t>
            </w:r>
          </w:p>
        </w:tc>
        <w:tc>
          <w:tcPr>
            <w:tcW w:w="3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68,407</w:t>
            </w:r>
          </w:p>
        </w:tc>
        <w:tc>
          <w:tcPr>
            <w:tcW w:w="3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-1894205</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-1876425</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-1894205</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-1876425</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0" w:lineRule="exact"/>
        <w:rPr>
          <w:sz w:val="20"/>
          <w:szCs w:val="20"/>
          <w:color w:val="auto"/>
        </w:rPr>
      </w:pPr>
    </w:p>
    <w:p>
      <w:pPr>
        <w:ind w:right="240" w:firstLine="764"/>
        <w:spacing w:after="0" w:line="247" w:lineRule="auto"/>
        <w:rPr>
          <w:sz w:val="20"/>
          <w:szCs w:val="20"/>
          <w:color w:val="auto"/>
        </w:rPr>
      </w:pPr>
      <w:r>
        <w:rPr>
          <w:rFonts w:ascii="Arial" w:cs="Arial" w:eastAsia="Arial" w:hAnsi="Arial"/>
          <w:sz w:val="18"/>
          <w:szCs w:val="18"/>
          <w:color w:val="auto"/>
        </w:rPr>
        <w:t>During the six months ended June 30, 2023, $ 180.7 million of finance receivables related to the 2022-2 securitization transaction were consolidated and classified as Level 3 and $248.1 million of finance receivables held for sale related to the 2023-1 securitization transaction were reclassified to Level 3 finance receivables of consolidated CFEs.</w:t>
      </w:r>
    </w:p>
    <w:p>
      <w:pPr>
        <w:spacing w:after="0" w:line="171" w:lineRule="exact"/>
        <w:rPr>
          <w:sz w:val="20"/>
          <w:szCs w:val="20"/>
          <w:color w:val="auto"/>
        </w:rPr>
      </w:pPr>
    </w:p>
    <w:p>
      <w:pPr>
        <w:ind w:right="80" w:firstLine="764"/>
        <w:spacing w:after="0" w:line="260" w:lineRule="auto"/>
        <w:rPr>
          <w:sz w:val="20"/>
          <w:szCs w:val="20"/>
          <w:color w:val="auto"/>
        </w:rPr>
      </w:pPr>
      <w:r>
        <w:rPr>
          <w:rFonts w:ascii="Arial" w:cs="Arial" w:eastAsia="Arial" w:hAnsi="Arial"/>
          <w:sz w:val="18"/>
          <w:szCs w:val="18"/>
          <w:color w:val="auto"/>
        </w:rPr>
        <w:t>The Company's transfers between levels of the fair value hierarchy are assumed to have occurred at the beginning of the reporting period on a quarterly basis, except for assets and liabilities acquired during the prior period as described below.</w:t>
      </w:r>
    </w:p>
    <w:p>
      <w:pPr>
        <w:spacing w:after="0" w:line="159" w:lineRule="exact"/>
        <w:rPr>
          <w:sz w:val="20"/>
          <w:szCs w:val="20"/>
          <w:color w:val="auto"/>
        </w:rPr>
      </w:pPr>
    </w:p>
    <w:p>
      <w:pPr>
        <w:ind w:right="60" w:firstLine="764"/>
        <w:spacing w:after="0" w:line="241" w:lineRule="auto"/>
        <w:rPr>
          <w:sz w:val="20"/>
          <w:szCs w:val="20"/>
          <w:color w:val="auto"/>
        </w:rPr>
      </w:pPr>
      <w:r>
        <w:rPr>
          <w:rFonts w:ascii="Arial" w:cs="Arial" w:eastAsia="Arial" w:hAnsi="Arial"/>
          <w:sz w:val="18"/>
          <w:szCs w:val="18"/>
          <w:color w:val="auto"/>
        </w:rPr>
        <w:t>During the six months ended June 30, 2022, transfers out of Level 3 liabilities related to securitization debt of consolidated CFEs. The transfer out of Level 3 was the result of achieving consensus pricing from third-party broker dealers who utilize market observable inputs to price the liabilities. Upon acquisition, the Company utilized unobservable pricing information and an internal discounted cash flows model to value the CFEs liabilities. The Company obtained consensus broker dealers quotes as of June 30, 2022. For the CFEs liabilities acquired during the period, the transfer was presumed to occur immediately after the Acquisition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Relevant Data for Financial Assets and Liabilities for which FVO Was Elected</w:t>
      </w:r>
    </w:p>
    <w:p>
      <w:pPr>
        <w:spacing w:after="0" w:line="208" w:lineRule="exact"/>
        <w:rPr>
          <w:sz w:val="20"/>
          <w:szCs w:val="20"/>
          <w:color w:val="auto"/>
        </w:rPr>
      </w:pPr>
    </w:p>
    <w:p>
      <w:pPr>
        <w:ind w:right="780" w:firstLine="749"/>
        <w:spacing w:after="0" w:line="260" w:lineRule="auto"/>
        <w:rPr>
          <w:sz w:val="20"/>
          <w:szCs w:val="20"/>
          <w:color w:val="auto"/>
        </w:rPr>
      </w:pPr>
      <w:r>
        <w:rPr>
          <w:rFonts w:ascii="Arial" w:cs="Arial" w:eastAsia="Arial" w:hAnsi="Arial"/>
          <w:sz w:val="18"/>
          <w:szCs w:val="18"/>
          <w:color w:val="auto"/>
        </w:rPr>
        <w:t>The following table presents the gains or losses recorded in "Other loss, net" in the condensed consolidated statements of operations related to the eligible financial instruments for which the fair value option was elected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5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r>
      <w:tr>
        <w:trPr>
          <w:trHeight w:val="208"/>
        </w:trPr>
        <w:tc>
          <w:tcPr>
            <w:tcW w:w="5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8"/>
                <w:szCs w:val="18"/>
                <w:color w:val="auto"/>
              </w:rPr>
            </w:pPr>
          </w:p>
        </w:tc>
      </w:tr>
      <w:tr>
        <w:trPr>
          <w:trHeight w:val="224"/>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5380" w:type="dxa"/>
            <w:vAlign w:val="bottom"/>
          </w:tcPr>
          <w:p>
            <w:pPr>
              <w:ind w:left="280"/>
              <w:spacing w:after="0"/>
              <w:rPr>
                <w:sz w:val="20"/>
                <w:szCs w:val="20"/>
                <w:color w:val="auto"/>
              </w:rPr>
            </w:pPr>
            <w:r>
              <w:rPr>
                <w:rFonts w:ascii="Arial" w:cs="Arial" w:eastAsia="Arial" w:hAnsi="Arial"/>
                <w:sz w:val="18"/>
                <w:szCs w:val="18"/>
                <w:color w:val="auto"/>
              </w:rPr>
              <w:t>Finance receivables of CFEs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21,988</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924</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31,885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15,295</w:t>
            </w:r>
          </w:p>
        </w:tc>
        <w:tc>
          <w:tcPr>
            <w:tcW w:w="140" w:type="dxa"/>
            <w:vAlign w:val="bottom"/>
          </w:tcPr>
          <w:p>
            <w:pPr>
              <w:spacing w:after="0"/>
              <w:rPr>
                <w:sz w:val="19"/>
                <w:szCs w:val="19"/>
                <w:color w:val="auto"/>
              </w:rPr>
            </w:pPr>
          </w:p>
        </w:tc>
      </w:tr>
      <w:tr>
        <w:trPr>
          <w:trHeight w:val="230"/>
        </w:trPr>
        <w:tc>
          <w:tcPr>
            <w:tcW w:w="5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 at fair value</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(10 )</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280" w:type="dxa"/>
            <w:vAlign w:val="bottom"/>
            <w:shd w:val="clear" w:color="auto" w:fill="CCEEFF"/>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(1,422 )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40" w:type="dxa"/>
            <w:vAlign w:val="bottom"/>
            <w:shd w:val="clear" w:color="auto" w:fill="CCEEFF"/>
          </w:tcPr>
          <w:p>
            <w:pPr>
              <w:spacing w:after="0"/>
              <w:rPr>
                <w:sz w:val="19"/>
                <w:szCs w:val="19"/>
                <w:color w:val="auto"/>
              </w:rPr>
            </w:pPr>
          </w:p>
        </w:tc>
      </w:tr>
      <w:tr>
        <w:trPr>
          <w:trHeight w:val="229"/>
        </w:trPr>
        <w:tc>
          <w:tcPr>
            <w:tcW w:w="5380" w:type="dxa"/>
            <w:vAlign w:val="bottom"/>
          </w:tcPr>
          <w:p>
            <w:pPr>
              <w:ind w:left="280"/>
              <w:spacing w:after="0"/>
              <w:rPr>
                <w:sz w:val="20"/>
                <w:szCs w:val="20"/>
                <w:color w:val="auto"/>
              </w:rPr>
            </w:pPr>
            <w:r>
              <w:rPr>
                <w:rFonts w:ascii="Arial" w:cs="Arial" w:eastAsia="Arial" w:hAnsi="Arial"/>
                <w:sz w:val="18"/>
                <w:szCs w:val="18"/>
                <w:color w:val="auto"/>
              </w:rPr>
              <w:t>Beneficial interests in securitizations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r>
      <w:tr>
        <w:trPr>
          <w:trHeight w:val="22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Liabilities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Debt of securitized VIEs</w:t>
            </w:r>
          </w:p>
        </w:tc>
        <w:tc>
          <w:tcPr>
            <w:tcW w:w="2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(6,029 )</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(352 )</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(7,251 )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(2,716 )</w:t>
            </w:r>
          </w:p>
        </w:tc>
      </w:tr>
      <w:tr>
        <w:trPr>
          <w:trHeight w:val="263"/>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loss included in other income</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16,210</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9,602</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24,134</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21,152</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-25400</wp:posOffset>
            </wp:positionV>
            <wp:extent cx="77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857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857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other relevant data related to the finance receivables carried at fair value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Finance Receivables of CFEs</w:t>
            </w:r>
          </w:p>
        </w:tc>
        <w:tc>
          <w:tcPr>
            <w:tcW w:w="4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Finance Receivables at</w:t>
            </w:r>
          </w:p>
        </w:tc>
        <w:tc>
          <w:tcPr>
            <w:tcW w:w="140" w:type="dxa"/>
            <w:vAlign w:val="bottom"/>
          </w:tcPr>
          <w:p>
            <w:pPr>
              <w:spacing w:after="0"/>
              <w:rPr>
                <w:sz w:val="14"/>
                <w:szCs w:val="14"/>
                <w:color w:val="auto"/>
              </w:rPr>
            </w:pP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As of June 30, 2023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at Fair Value</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center"/>
              <w:ind w:right="274"/>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r>
      <w:tr>
        <w:trPr>
          <w:trHeight w:val="197"/>
        </w:trPr>
        <w:tc>
          <w:tcPr>
            <w:tcW w:w="6740" w:type="dxa"/>
            <w:vAlign w:val="bottom"/>
            <w:tcBorders>
              <w:top w:val="single" w:sz="8" w:color="auto"/>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Aggregate unpaid principal balance included within finance receivables that are</w:t>
            </w:r>
          </w:p>
        </w:tc>
        <w:tc>
          <w:tcPr>
            <w:tcW w:w="16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at fair value</w:t>
            </w:r>
          </w:p>
        </w:tc>
        <w:tc>
          <w:tcPr>
            <w:tcW w:w="5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490,496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44,898</w:t>
            </w:r>
          </w:p>
        </w:tc>
        <w:tc>
          <w:tcPr>
            <w:tcW w:w="14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Aggregate fair value of finance receivables that are reported at fair value</w:t>
            </w:r>
          </w:p>
        </w:tc>
        <w:tc>
          <w:tcPr>
            <w:tcW w:w="5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430,022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37,675</w:t>
            </w:r>
          </w:p>
        </w:tc>
        <w:tc>
          <w:tcPr>
            <w:tcW w:w="140" w:type="dxa"/>
            <w:vAlign w:val="bottom"/>
          </w:tcPr>
          <w:p>
            <w:pPr>
              <w:spacing w:after="0"/>
              <w:rPr>
                <w:sz w:val="19"/>
                <w:szCs w:val="19"/>
                <w:color w:val="auto"/>
              </w:rPr>
            </w:pPr>
          </w:p>
        </w:tc>
      </w:tr>
      <w:tr>
        <w:trPr>
          <w:trHeight w:val="203"/>
        </w:trPr>
        <w:tc>
          <w:tcPr>
            <w:tcW w:w="67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Unpaid principal balance of receivables within finance receivables that are reported</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fair value and are on nonaccrual status (90 days or more past due)</w:t>
            </w:r>
          </w:p>
        </w:tc>
        <w:tc>
          <w:tcPr>
            <w:tcW w:w="5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19"/>
                <w:szCs w:val="19"/>
                <w:color w:val="auto"/>
              </w:rPr>
            </w:pPr>
          </w:p>
        </w:tc>
      </w:tr>
      <w:tr>
        <w:trPr>
          <w:trHeight w:val="203"/>
        </w:trPr>
        <w:tc>
          <w:tcPr>
            <w:tcW w:w="6740" w:type="dxa"/>
            <w:vAlign w:val="bottom"/>
          </w:tcPr>
          <w:p>
            <w:pPr>
              <w:ind w:left="20"/>
              <w:spacing w:after="0" w:line="203" w:lineRule="exact"/>
              <w:rPr>
                <w:sz w:val="20"/>
                <w:szCs w:val="20"/>
                <w:color w:val="auto"/>
              </w:rPr>
            </w:pPr>
            <w:r>
              <w:rPr>
                <w:rFonts w:ascii="Arial" w:cs="Arial" w:eastAsia="Arial" w:hAnsi="Arial"/>
                <w:sz w:val="18"/>
                <w:szCs w:val="18"/>
                <w:color w:val="auto"/>
              </w:rPr>
              <w:t>Aggregate fair value of receivables carried at fair value that are on nonaccrual</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status (90 days or more past due)</w:t>
            </w:r>
          </w:p>
        </w:tc>
        <w:tc>
          <w:tcPr>
            <w:tcW w:w="5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5,535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r>
      <w:tr>
        <w:trPr>
          <w:trHeight w:val="392"/>
        </w:trPr>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Finance Receivables of CFEs</w:t>
            </w:r>
          </w:p>
        </w:tc>
        <w:tc>
          <w:tcPr>
            <w:tcW w:w="40" w:type="dxa"/>
            <w:vAlign w:val="bottom"/>
          </w:tcPr>
          <w:p>
            <w:pPr>
              <w:spacing w:after="0"/>
              <w:rPr>
                <w:sz w:val="24"/>
                <w:szCs w:val="2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Finance Receivables at</w:t>
            </w:r>
          </w:p>
        </w:tc>
        <w:tc>
          <w:tcPr>
            <w:tcW w:w="140" w:type="dxa"/>
            <w:vAlign w:val="bottom"/>
          </w:tcPr>
          <w:p>
            <w:pPr>
              <w:spacing w:after="0"/>
              <w:rPr>
                <w:sz w:val="24"/>
                <w:szCs w:val="24"/>
                <w:color w:val="auto"/>
              </w:rPr>
            </w:pP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3"/>
          </w:tcPr>
          <w:p>
            <w:pPr>
              <w:ind w:left="260"/>
              <w:spacing w:after="0"/>
              <w:rPr>
                <w:sz w:val="20"/>
                <w:szCs w:val="20"/>
                <w:color w:val="auto"/>
              </w:rPr>
            </w:pPr>
            <w:r>
              <w:rPr>
                <w:rFonts w:ascii="Arial" w:cs="Arial" w:eastAsia="Arial" w:hAnsi="Arial"/>
                <w:sz w:val="14"/>
                <w:szCs w:val="14"/>
                <w:b w:val="1"/>
                <w:bCs w:val="1"/>
                <w:color w:val="auto"/>
              </w:rPr>
              <w:t>at Fair Value</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474"/>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r>
      <w:tr>
        <w:trPr>
          <w:trHeight w:val="197"/>
        </w:trPr>
        <w:tc>
          <w:tcPr>
            <w:tcW w:w="6740" w:type="dxa"/>
            <w:vAlign w:val="bottom"/>
            <w:tcBorders>
              <w:top w:val="single" w:sz="8" w:color="auto"/>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Aggregate unpaid principal balance included within finance receivables that are</w:t>
            </w:r>
          </w:p>
        </w:tc>
        <w:tc>
          <w:tcPr>
            <w:tcW w:w="16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at fair value</w:t>
            </w:r>
          </w:p>
        </w:tc>
        <w:tc>
          <w:tcPr>
            <w:tcW w:w="5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84,477</w:t>
            </w:r>
          </w:p>
        </w:tc>
        <w:tc>
          <w:tcPr>
            <w:tcW w:w="2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89,068</w:t>
            </w:r>
          </w:p>
        </w:tc>
        <w:tc>
          <w:tcPr>
            <w:tcW w:w="14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Aggregate fair value of finance receivables that are reported at fair value</w:t>
            </w:r>
          </w:p>
        </w:tc>
        <w:tc>
          <w:tcPr>
            <w:tcW w:w="5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77,904</w:t>
            </w:r>
          </w:p>
        </w:tc>
        <w:tc>
          <w:tcPr>
            <w:tcW w:w="240" w:type="dxa"/>
            <w:vAlign w:val="bottom"/>
          </w:tcPr>
          <w:p>
            <w:pPr>
              <w:spacing w:after="0"/>
              <w:rPr>
                <w:sz w:val="19"/>
                <w:szCs w:val="19"/>
                <w:color w:val="auto"/>
              </w:rPr>
            </w:pPr>
          </w:p>
        </w:tc>
        <w:tc>
          <w:tcPr>
            <w:tcW w:w="3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75,270</w:t>
            </w:r>
          </w:p>
        </w:tc>
        <w:tc>
          <w:tcPr>
            <w:tcW w:w="140" w:type="dxa"/>
            <w:vAlign w:val="bottom"/>
          </w:tcPr>
          <w:p>
            <w:pPr>
              <w:spacing w:after="0"/>
              <w:rPr>
                <w:sz w:val="19"/>
                <w:szCs w:val="19"/>
                <w:color w:val="auto"/>
              </w:rPr>
            </w:pPr>
          </w:p>
        </w:tc>
      </w:tr>
      <w:tr>
        <w:trPr>
          <w:trHeight w:val="203"/>
        </w:trPr>
        <w:tc>
          <w:tcPr>
            <w:tcW w:w="67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Unpaid principal balance of receivables within finance receivables that are reported</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fair value and are on nonaccrual status (90 days or more past due)</w:t>
            </w:r>
          </w:p>
        </w:tc>
        <w:tc>
          <w:tcPr>
            <w:tcW w:w="5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1,097</w:t>
            </w:r>
          </w:p>
        </w:tc>
        <w:tc>
          <w:tcPr>
            <w:tcW w:w="2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40" w:type="dxa"/>
            <w:vAlign w:val="bottom"/>
            <w:shd w:val="clear" w:color="auto" w:fill="CCEEFF"/>
          </w:tcPr>
          <w:p>
            <w:pPr>
              <w:spacing w:after="0"/>
              <w:rPr>
                <w:sz w:val="19"/>
                <w:szCs w:val="19"/>
                <w:color w:val="auto"/>
              </w:rPr>
            </w:pPr>
          </w:p>
        </w:tc>
      </w:tr>
      <w:tr>
        <w:trPr>
          <w:trHeight w:val="203"/>
        </w:trPr>
        <w:tc>
          <w:tcPr>
            <w:tcW w:w="6740" w:type="dxa"/>
            <w:vAlign w:val="bottom"/>
          </w:tcPr>
          <w:p>
            <w:pPr>
              <w:ind w:left="20"/>
              <w:spacing w:after="0" w:line="203" w:lineRule="exact"/>
              <w:rPr>
                <w:sz w:val="20"/>
                <w:szCs w:val="20"/>
                <w:color w:val="auto"/>
              </w:rPr>
            </w:pPr>
            <w:r>
              <w:rPr>
                <w:rFonts w:ascii="Arial" w:cs="Arial" w:eastAsia="Arial" w:hAnsi="Arial"/>
                <w:sz w:val="18"/>
                <w:szCs w:val="18"/>
                <w:color w:val="auto"/>
              </w:rPr>
              <w:t>Aggregate fair value of receivables carried at fair value that are on nonaccrual</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status (90 days or more past due)</w:t>
            </w:r>
          </w:p>
        </w:tc>
        <w:tc>
          <w:tcPr>
            <w:tcW w:w="5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240" w:type="dxa"/>
            <w:vAlign w:val="bottom"/>
          </w:tcPr>
          <w:p>
            <w:pPr>
              <w:spacing w:after="0"/>
              <w:rPr>
                <w:sz w:val="19"/>
                <w:szCs w:val="19"/>
                <w:color w:val="auto"/>
              </w:rPr>
            </w:pPr>
          </w:p>
        </w:tc>
        <w:tc>
          <w:tcPr>
            <w:tcW w:w="3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1,311</w:t>
            </w:r>
          </w:p>
        </w:tc>
        <w:tc>
          <w:tcPr>
            <w:tcW w:w="140" w:type="dxa"/>
            <w:vAlign w:val="bottom"/>
          </w:tcPr>
          <w:p>
            <w:pPr>
              <w:spacing w:after="0"/>
              <w:rPr>
                <w:sz w:val="19"/>
                <w:szCs w:val="19"/>
                <w:color w:val="auto"/>
              </w:rPr>
            </w:pPr>
          </w:p>
        </w:tc>
      </w:tr>
      <w:tr>
        <w:trPr>
          <w:trHeight w:val="635"/>
        </w:trPr>
        <w:tc>
          <w:tcPr>
            <w:tcW w:w="6740" w:type="dxa"/>
            <w:vAlign w:val="bottom"/>
          </w:tcPr>
          <w:p>
            <w:pPr>
              <w:ind w:left="55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8"/>
        </w:trPr>
        <w:tc>
          <w:tcPr>
            <w:tcW w:w="67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finance receivables of CFEs are pledged to the CFEs trusts.</w:t>
      </w:r>
    </w:p>
    <w:p>
      <w:pPr>
        <w:spacing w:after="0" w:line="198" w:lineRule="exact"/>
        <w:rPr>
          <w:sz w:val="20"/>
          <w:szCs w:val="20"/>
          <w:color w:val="auto"/>
        </w:rPr>
      </w:pPr>
    </w:p>
    <w:p>
      <w:pPr>
        <w:ind w:right="880" w:firstLine="749"/>
        <w:spacing w:after="0" w:line="260" w:lineRule="auto"/>
        <w:rPr>
          <w:sz w:val="20"/>
          <w:szCs w:val="20"/>
          <w:color w:val="auto"/>
        </w:rPr>
      </w:pPr>
      <w:r>
        <w:rPr>
          <w:rFonts w:ascii="Arial" w:cs="Arial" w:eastAsia="Arial" w:hAnsi="Arial"/>
          <w:sz w:val="18"/>
          <w:szCs w:val="18"/>
          <w:color w:val="auto"/>
        </w:rPr>
        <w:t>The following table presents other relevant data related to securitization debt of consolidated VIEs carried at fair value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Securitization debt of consolidated</w:t>
            </w:r>
          </w:p>
        </w:tc>
        <w:tc>
          <w:tcPr>
            <w:tcW w:w="140" w:type="dxa"/>
            <w:vAlign w:val="bottom"/>
          </w:tcPr>
          <w:p>
            <w:pPr>
              <w:spacing w:after="0"/>
              <w:rPr>
                <w:sz w:val="14"/>
                <w:szCs w:val="14"/>
                <w:color w:val="auto"/>
              </w:rPr>
            </w:pPr>
          </w:p>
        </w:tc>
      </w:tr>
      <w:tr>
        <w:trPr>
          <w:trHeight w:val="189"/>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June 30, 2023</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VIEs at Fair Value</w:t>
            </w:r>
          </w:p>
        </w:tc>
        <w:tc>
          <w:tcPr>
            <w:tcW w:w="140" w:type="dxa"/>
            <w:vAlign w:val="bottom"/>
          </w:tcPr>
          <w:p>
            <w:pPr>
              <w:spacing w:after="0"/>
              <w:rPr>
                <w:sz w:val="16"/>
                <w:szCs w:val="16"/>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unpaid principal balance of rated notes of securitized VIEs</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422,580</w:t>
            </w:r>
          </w:p>
        </w:tc>
        <w:tc>
          <w:tcPr>
            <w:tcW w:w="140" w:type="dxa"/>
            <w:vAlign w:val="bottom"/>
            <w:shd w:val="clear" w:color="auto" w:fill="CCEEFF"/>
          </w:tcPr>
          <w:p>
            <w:pPr>
              <w:spacing w:after="0"/>
              <w:rPr>
                <w:sz w:val="19"/>
                <w:szCs w:val="19"/>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Aggregate fair value of rated notes of securitized VIEs</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416,660</w:t>
            </w:r>
          </w:p>
        </w:tc>
        <w:tc>
          <w:tcPr>
            <w:tcW w:w="140" w:type="dxa"/>
            <w:vAlign w:val="bottom"/>
          </w:tcPr>
          <w:p>
            <w:pPr>
              <w:spacing w:after="0"/>
              <w:rPr>
                <w:sz w:val="19"/>
                <w:szCs w:val="19"/>
                <w:color w:val="auto"/>
              </w:rPr>
            </w:pPr>
          </w:p>
        </w:tc>
      </w:tr>
      <w:tr>
        <w:trPr>
          <w:trHeight w:val="229"/>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Aggregate fair value of residual of securitized VIEs</w:t>
            </w:r>
          </w:p>
        </w:tc>
        <w:tc>
          <w:tcPr>
            <w:tcW w:w="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FF0FC"/>
          </w:tcPr>
          <w:p>
            <w:pPr>
              <w:spacing w:after="0"/>
              <w:rPr>
                <w:sz w:val="19"/>
                <w:szCs w:val="19"/>
                <w:color w:val="auto"/>
              </w:rPr>
            </w:pPr>
          </w:p>
        </w:tc>
      </w:tr>
      <w:tr>
        <w:trPr>
          <w:trHeight w:val="392"/>
        </w:trPr>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Securitization debt of consolidated</w:t>
            </w:r>
          </w:p>
        </w:tc>
        <w:tc>
          <w:tcPr>
            <w:tcW w:w="140" w:type="dxa"/>
            <w:vAlign w:val="bottom"/>
          </w:tcPr>
          <w:p>
            <w:pPr>
              <w:spacing w:after="0"/>
              <w:rPr>
                <w:sz w:val="24"/>
                <w:szCs w:val="24"/>
                <w:color w:val="auto"/>
              </w:rPr>
            </w:pPr>
          </w:p>
        </w:tc>
      </w:tr>
      <w:tr>
        <w:trPr>
          <w:trHeight w:val="189"/>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VIEs at Fair Value</w:t>
            </w:r>
          </w:p>
        </w:tc>
        <w:tc>
          <w:tcPr>
            <w:tcW w:w="140" w:type="dxa"/>
            <w:vAlign w:val="bottom"/>
          </w:tcPr>
          <w:p>
            <w:pPr>
              <w:spacing w:after="0"/>
              <w:rPr>
                <w:sz w:val="16"/>
                <w:szCs w:val="16"/>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unpaid principal balance of rated notes of securitized VIEs</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82,556</w:t>
            </w:r>
          </w:p>
        </w:tc>
        <w:tc>
          <w:tcPr>
            <w:tcW w:w="140" w:type="dxa"/>
            <w:vAlign w:val="bottom"/>
            <w:shd w:val="clear" w:color="auto" w:fill="CCEEFF"/>
          </w:tcPr>
          <w:p>
            <w:pPr>
              <w:spacing w:after="0"/>
              <w:rPr>
                <w:sz w:val="19"/>
                <w:szCs w:val="19"/>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Aggregate fair value of rated notes of securitized VIEs</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79,829</w:t>
            </w:r>
          </w:p>
        </w:tc>
        <w:tc>
          <w:tcPr>
            <w:tcW w:w="140" w:type="dxa"/>
            <w:vAlign w:val="bottom"/>
          </w:tcPr>
          <w:p>
            <w:pPr>
              <w:spacing w:after="0"/>
              <w:rPr>
                <w:sz w:val="19"/>
                <w:szCs w:val="19"/>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Not Carried at Fair Value</w:t>
      </w:r>
    </w:p>
    <w:p>
      <w:pPr>
        <w:spacing w:after="0" w:line="208"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2022 Vehicle Floorplan Facility and the Warehouse Credit Facilities was determined to approximate fair value due to its short-term duration and variable interest rate that approximates prevailing interest rates as of each reporting period.</w:t>
      </w:r>
    </w:p>
    <w:p>
      <w:pPr>
        <w:spacing w:after="0" w:line="168" w:lineRule="exact"/>
        <w:rPr>
          <w:sz w:val="20"/>
          <w:szCs w:val="20"/>
          <w:color w:val="auto"/>
        </w:rPr>
      </w:pPr>
    </w:p>
    <w:p>
      <w:pPr>
        <w:ind w:right="80" w:firstLine="749"/>
        <w:spacing w:after="0" w:line="245" w:lineRule="auto"/>
        <w:rPr>
          <w:sz w:val="20"/>
          <w:szCs w:val="20"/>
          <w:color w:val="auto"/>
        </w:rPr>
      </w:pPr>
      <w:r>
        <w:rPr>
          <w:rFonts w:ascii="Arial" w:cs="Arial" w:eastAsia="Arial" w:hAnsi="Arial"/>
          <w:sz w:val="18"/>
          <w:szCs w:val="18"/>
          <w:i w:val="1"/>
          <w:iCs w:val="1"/>
          <w:color w:val="auto"/>
        </w:rPr>
        <w:t xml:space="preserve">Finance receivables held for sale, net: </w:t>
      </w:r>
      <w:r>
        <w:rPr>
          <w:rFonts w:ascii="Arial" w:cs="Arial" w:eastAsia="Arial" w:hAnsi="Arial"/>
          <w:sz w:val="18"/>
          <w:szCs w:val="18"/>
          <w:color w:val="auto"/>
        </w:rPr>
        <w:t>For finance receivables eligible to be sold, the Company determines the fair value of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utilizing sales prices based on estimated securitization transactions, adjusted for transformation costs, risk and a normal profit margin associated with securitization transactions. Such fair value measurement of finance receivables held for sale, net is considered Level 3 of the fair value hierarchy. The carrying value and fair value of the finance receivables held for sale, net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r>
      <w:tr>
        <w:trPr>
          <w:trHeight w:val="183"/>
        </w:trPr>
        <w:tc>
          <w:tcPr>
            <w:tcW w:w="6060" w:type="dxa"/>
            <w:vAlign w:val="bottom"/>
          </w:tcPr>
          <w:p>
            <w:pPr>
              <w:spacing w:after="0"/>
              <w:rPr>
                <w:sz w:val="15"/>
                <w:szCs w:val="15"/>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22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value</w:t>
            </w:r>
          </w:p>
        </w:tc>
        <w:tc>
          <w:tcPr>
            <w:tcW w:w="1520" w:type="dxa"/>
            <w:vAlign w:val="bottom"/>
            <w:shd w:val="clear" w:color="auto" w:fill="CFF0FC"/>
          </w:tcPr>
          <w:p>
            <w:pPr>
              <w:jc w:val="right"/>
              <w:ind w:right="131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273,817</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299,235</w:t>
            </w:r>
          </w:p>
        </w:tc>
        <w:tc>
          <w:tcPr>
            <w:tcW w:w="140" w:type="dxa"/>
            <w:vAlign w:val="bottom"/>
            <w:shd w:val="clear" w:color="auto" w:fill="CFF0FC"/>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1520" w:type="dxa"/>
            <w:vAlign w:val="bottom"/>
          </w:tcPr>
          <w:p>
            <w:pPr>
              <w:jc w:val="right"/>
              <w:ind w:right="131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275,755</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299,925</w:t>
            </w:r>
          </w:p>
        </w:tc>
        <w:tc>
          <w:tcPr>
            <w:tcW w:w="140" w:type="dxa"/>
            <w:vAlign w:val="bottom"/>
          </w:tcPr>
          <w:p>
            <w:pPr>
              <w:spacing w:after="0"/>
              <w:rPr>
                <w:sz w:val="19"/>
                <w:szCs w:val="19"/>
                <w:color w:val="auto"/>
              </w:rPr>
            </w:pPr>
          </w:p>
        </w:tc>
      </w:tr>
    </w:tbl>
    <w:p>
      <w:pPr>
        <w:spacing w:after="0" w:line="190"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From time to time the Company may mark certain receivables classified as held for sale to fair value and classified as financial instruments recorded at fair value on a non-recurring basis. As of June 30, 2023 and December 31, 2022, there were $16.2 million and $22.4 million of finance receivables that were marked to fair value on a non-recurring basis, respectively. These are finance receivables that became delinquent and no longer meet the expected sales criteria. The Company uses a discounted cash flow model to estimate the present value of future recoveries for finance receivables. Such fair value measurement of finance receivables held for sale, net is considered Level 3 of the fair value hierarchy.</w:t>
      </w:r>
    </w:p>
    <w:p>
      <w:pPr>
        <w:spacing w:after="0" w:line="175" w:lineRule="exact"/>
        <w:rPr>
          <w:sz w:val="20"/>
          <w:szCs w:val="20"/>
          <w:color w:val="auto"/>
        </w:rPr>
      </w:pPr>
    </w:p>
    <w:p>
      <w:pPr>
        <w:ind w:right="700" w:firstLine="749"/>
        <w:spacing w:after="0" w:line="250" w:lineRule="auto"/>
        <w:rPr>
          <w:sz w:val="20"/>
          <w:szCs w:val="20"/>
          <w:color w:val="auto"/>
        </w:rPr>
      </w:pP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The fair value of the Notes, which are not carried at fair value on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was determined utilizing actual bids and offer prices of the Notes in markets that are not active and are classified within Level 2 of the fair value hierarchy.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r>
      <w:tr>
        <w:trPr>
          <w:trHeight w:val="183"/>
        </w:trPr>
        <w:tc>
          <w:tcPr>
            <w:tcW w:w="6060" w:type="dxa"/>
            <w:vAlign w:val="bottom"/>
          </w:tcPr>
          <w:p>
            <w:pPr>
              <w:spacing w:after="0"/>
              <w:rPr>
                <w:sz w:val="15"/>
                <w:szCs w:val="15"/>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22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value</w:t>
            </w:r>
          </w:p>
        </w:tc>
        <w:tc>
          <w:tcPr>
            <w:tcW w:w="1520" w:type="dxa"/>
            <w:vAlign w:val="bottom"/>
            <w:shd w:val="clear" w:color="auto" w:fill="CFF0FC"/>
          </w:tcPr>
          <w:p>
            <w:pPr>
              <w:jc w:val="right"/>
              <w:ind w:right="131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327,408</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359,254</w:t>
            </w:r>
          </w:p>
        </w:tc>
        <w:tc>
          <w:tcPr>
            <w:tcW w:w="140" w:type="dxa"/>
            <w:vAlign w:val="bottom"/>
            <w:shd w:val="clear" w:color="auto" w:fill="CFF0FC"/>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1520" w:type="dxa"/>
            <w:vAlign w:val="bottom"/>
          </w:tcPr>
          <w:p>
            <w:pPr>
              <w:jc w:val="right"/>
              <w:ind w:right="131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131,333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128,026</w:t>
            </w:r>
          </w:p>
        </w:tc>
        <w:tc>
          <w:tcPr>
            <w:tcW w:w="140" w:type="dxa"/>
            <w:vAlign w:val="bottom"/>
          </w:tcPr>
          <w:p>
            <w:pPr>
              <w:spacing w:after="0"/>
              <w:rPr>
                <w:sz w:val="19"/>
                <w:szCs w:val="19"/>
                <w:color w:val="auto"/>
              </w:rPr>
            </w:pPr>
          </w:p>
        </w:tc>
      </w:tr>
    </w:tbl>
    <w:p>
      <w:pPr>
        <w:spacing w:after="0" w:line="184" w:lineRule="exact"/>
        <w:rPr>
          <w:sz w:val="20"/>
          <w:szCs w:val="20"/>
          <w:color w:val="auto"/>
        </w:rPr>
      </w:pPr>
    </w:p>
    <w:p>
      <w:pPr>
        <w:ind w:right="140" w:firstLine="749"/>
        <w:spacing w:after="0" w:line="250" w:lineRule="auto"/>
        <w:rPr>
          <w:sz w:val="20"/>
          <w:szCs w:val="20"/>
          <w:color w:val="auto"/>
        </w:rPr>
      </w:pPr>
      <w:r>
        <w:rPr>
          <w:rFonts w:ascii="Arial" w:cs="Arial" w:eastAsia="Arial" w:hAnsi="Arial"/>
          <w:sz w:val="18"/>
          <w:szCs w:val="18"/>
          <w:i w:val="1"/>
          <w:iCs w:val="1"/>
          <w:color w:val="auto"/>
        </w:rPr>
        <w:t xml:space="preserve">Financing of beneficial interests in securitizations: </w:t>
      </w:r>
      <w:r>
        <w:rPr>
          <w:rFonts w:ascii="Arial" w:cs="Arial" w:eastAsia="Arial" w:hAnsi="Arial"/>
          <w:sz w:val="18"/>
          <w:szCs w:val="18"/>
          <w:color w:val="auto"/>
        </w:rPr>
        <w:t>The fair value of the financing of beneficial interests in securitizations,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carried at fair value on the accompanying condensed consolidated balance sheets, approximated their carrying value as of June 30, 2023 and are classified within Level 3 of the fair value hierarchy.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ind w:firstLine="749"/>
        <w:spacing w:after="0" w:line="250" w:lineRule="auto"/>
        <w:rPr>
          <w:sz w:val="20"/>
          <w:szCs w:val="20"/>
          <w:color w:val="auto"/>
        </w:rPr>
      </w:pPr>
      <w:r>
        <w:rPr>
          <w:rFonts w:ascii="Arial" w:cs="Arial" w:eastAsia="Arial" w:hAnsi="Arial"/>
          <w:sz w:val="18"/>
          <w:szCs w:val="18"/>
          <w:i w:val="1"/>
          <w:iCs w:val="1"/>
          <w:color w:val="auto"/>
        </w:rPr>
        <w:t xml:space="preserve">Junior Subordinated Debentures: </w:t>
      </w:r>
      <w:r>
        <w:rPr>
          <w:rFonts w:ascii="Arial" w:cs="Arial" w:eastAsia="Arial" w:hAnsi="Arial"/>
          <w:sz w:val="18"/>
          <w:szCs w:val="18"/>
          <w:color w:val="auto"/>
        </w:rPr>
        <w:t>The fair value of the junior subordinated debentures, which are not carried at fair value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condensed consolidated balance sheets, approximated their carrying value as of June 30, 2023 and December 31, 2022 and are classified within Level 3 of the fair value hierarchy.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on a Nonrecurring Basis</w:t>
      </w:r>
    </w:p>
    <w:p>
      <w:pPr>
        <w:spacing w:after="0" w:line="208" w:lineRule="exact"/>
        <w:rPr>
          <w:sz w:val="20"/>
          <w:szCs w:val="20"/>
          <w:color w:val="auto"/>
        </w:rPr>
      </w:pPr>
    </w:p>
    <w:p>
      <w:pPr>
        <w:jc w:val="both"/>
        <w:ind w:right="20" w:firstLine="749"/>
        <w:spacing w:after="0" w:line="247" w:lineRule="auto"/>
        <w:rPr>
          <w:sz w:val="20"/>
          <w:szCs w:val="20"/>
          <w:color w:val="auto"/>
        </w:rPr>
      </w:pPr>
      <w:r>
        <w:rPr>
          <w:rFonts w:ascii="Arial" w:cs="Arial" w:eastAsia="Arial" w:hAnsi="Arial"/>
          <w:sz w:val="18"/>
          <w:szCs w:val="18"/>
          <w:color w:val="auto"/>
        </w:rPr>
        <w:t>Assets and liabilities acquired as part of a business combination and goodwill attributable to each of the Company's reporting units are recorded at fair value on a nonrecurring basis. Refer to Note 5 – Acquisitions and Note 8 – Goodwill and Intangible Assets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 Activities</w:t>
      </w:r>
    </w:p>
    <w:p>
      <w:pPr>
        <w:spacing w:after="0" w:line="208" w:lineRule="exact"/>
        <w:rPr>
          <w:sz w:val="20"/>
          <w:szCs w:val="20"/>
          <w:color w:val="auto"/>
        </w:rPr>
      </w:pPr>
    </w:p>
    <w:p>
      <w:pPr>
        <w:ind w:right="580" w:firstLine="761"/>
        <w:spacing w:after="0" w:line="260" w:lineRule="auto"/>
        <w:rPr>
          <w:sz w:val="20"/>
          <w:szCs w:val="20"/>
          <w:color w:val="auto"/>
        </w:rPr>
      </w:pPr>
      <w:r>
        <w:rPr>
          <w:rFonts w:ascii="Arial" w:cs="Arial" w:eastAsia="Arial" w:hAnsi="Arial"/>
          <w:sz w:val="18"/>
          <w:szCs w:val="18"/>
          <w:color w:val="auto"/>
        </w:rPr>
        <w:t>On May 5, 2022, the Company approved the Realignment Plan, which was designed to position the Company for long-term profitable growth by prioritizing unit economics, reducing operating expenses and maximizing liquidity.</w:t>
      </w:r>
    </w:p>
    <w:p>
      <w:pPr>
        <w:spacing w:after="0" w:line="159" w:lineRule="exact"/>
        <w:rPr>
          <w:sz w:val="20"/>
          <w:szCs w:val="20"/>
          <w:color w:val="auto"/>
        </w:rPr>
      </w:pPr>
    </w:p>
    <w:p>
      <w:pPr>
        <w:ind w:right="100" w:firstLine="761"/>
        <w:spacing w:after="0" w:line="241" w:lineRule="auto"/>
        <w:rPr>
          <w:sz w:val="20"/>
          <w:szCs w:val="20"/>
          <w:color w:val="auto"/>
        </w:rPr>
      </w:pPr>
      <w:r>
        <w:rPr>
          <w:rFonts w:ascii="Arial" w:cs="Arial" w:eastAsia="Arial" w:hAnsi="Arial"/>
          <w:sz w:val="18"/>
          <w:szCs w:val="18"/>
          <w:color w:val="auto"/>
        </w:rPr>
        <w:t>In connection with the Realignment Plan, the Company reduced headcount across the organization and closed its New York City, Detroit, and one of its Houston office locations as well as several Sell Us Your Car® center facilities. Additionally, the Company streamlined TDA's operations and closed its service center. The service center was repurposed to replace the reconditioning facility in Stafford, Texas, which was also closed. The Company also restructured its network of logistics hubs in order to align with reduced unit volume and its regional operating model.</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restructuring activities associated with the Realignment Plan were substantially completed during 2022.</w:t>
      </w:r>
    </w:p>
    <w:p>
      <w:pPr>
        <w:spacing w:after="0" w:line="198" w:lineRule="exact"/>
        <w:rPr>
          <w:sz w:val="20"/>
          <w:szCs w:val="20"/>
          <w:color w:val="auto"/>
        </w:rPr>
      </w:pPr>
    </w:p>
    <w:p>
      <w:pPr>
        <w:ind w:right="200" w:firstLine="761"/>
        <w:spacing w:after="0" w:line="243" w:lineRule="auto"/>
        <w:rPr>
          <w:sz w:val="20"/>
          <w:szCs w:val="20"/>
          <w:color w:val="auto"/>
        </w:rPr>
      </w:pPr>
      <w:r>
        <w:rPr>
          <w:rFonts w:ascii="Arial" w:cs="Arial" w:eastAsia="Arial" w:hAnsi="Arial"/>
          <w:sz w:val="18"/>
          <w:szCs w:val="18"/>
          <w:color w:val="auto"/>
        </w:rPr>
        <w:t>On January 18, 2023, the Company executed a reduction in force as part of the continued focus on reducing variable and fixed costs. The Company reduced Vroom’s headcount by approximately 275 employees based on the assessment of the Company's business needs, key initiatives, and long-term success and profitable growth. For the six months ended June 30, 2023, the Company incurred expenses of approximately $4.1 million, primarily consisting of severance.</w:t>
      </w:r>
    </w:p>
    <w:p>
      <w:pPr>
        <w:spacing w:after="0" w:line="174"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On April 26, 2023, as part of the Company’s ongoing reexamination of all facets of the business, the Company implemented an organizational restructuring that included a reduction in force. The Company reduced Vroom’s headcount by approximately 120 employees and incurred total expenses of approximately $2.3 million for the three and six months ended June 30, 2023, primarily consisting of severance costs, as a result of this reduction in force.</w:t>
      </w: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components of the restructuring and related charges: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216"/>
              <w:spacing w:after="0"/>
              <w:rPr>
                <w:sz w:val="20"/>
                <w:szCs w:val="20"/>
                <w:color w:val="auto"/>
              </w:rPr>
            </w:pPr>
            <w:r>
              <w:rPr>
                <w:rFonts w:ascii="Arial" w:cs="Arial" w:eastAsia="Arial" w:hAnsi="Arial"/>
                <w:sz w:val="14"/>
                <w:szCs w:val="14"/>
                <w:b w:val="1"/>
                <w:bCs w:val="1"/>
                <w:color w:val="auto"/>
              </w:rPr>
              <w:t>Total Charges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Incurred to Date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Charges by activity:</w:t>
            </w:r>
          </w:p>
        </w:tc>
        <w:tc>
          <w:tcPr>
            <w:tcW w:w="10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940" w:type="dxa"/>
            <w:vAlign w:val="bottom"/>
          </w:tcPr>
          <w:p>
            <w:pPr>
              <w:ind w:left="180"/>
              <w:spacing w:after="0" w:line="180" w:lineRule="exact"/>
              <w:rPr>
                <w:sz w:val="20"/>
                <w:szCs w:val="20"/>
                <w:color w:val="auto"/>
              </w:rPr>
            </w:pPr>
            <w:r>
              <w:rPr>
                <w:rFonts w:ascii="Arial" w:cs="Arial" w:eastAsia="Arial" w:hAnsi="Arial"/>
                <w:sz w:val="18"/>
                <w:szCs w:val="18"/>
                <w:color w:val="auto"/>
              </w:rPr>
              <w:t>Severance and termination</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940" w:type="dxa"/>
            <w:vAlign w:val="bottom"/>
          </w:tcPr>
          <w:p>
            <w:pPr>
              <w:ind w:left="20"/>
              <w:spacing w:after="0" w:line="252" w:lineRule="exact"/>
              <w:rPr>
                <w:sz w:val="20"/>
                <w:szCs w:val="20"/>
                <w:color w:val="auto"/>
              </w:rPr>
            </w:pPr>
            <w:r>
              <w:rPr>
                <w:rFonts w:ascii="Arial" w:cs="Arial" w:eastAsia="Arial" w:hAnsi="Arial"/>
                <w:sz w:val="18"/>
                <w:szCs w:val="18"/>
                <w:color w:val="auto"/>
              </w:rPr>
              <w:t xml:space="preserve">benefits </w:t>
            </w:r>
            <w:r>
              <w:rPr>
                <w:rFonts w:ascii="Arial" w:cs="Arial" w:eastAsia="Arial" w:hAnsi="Arial"/>
                <w:sz w:val="24"/>
                <w:szCs w:val="24"/>
                <w:color w:val="auto"/>
                <w:vertAlign w:val="superscript"/>
              </w:rPr>
              <w:t>(1)</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2,277</w:t>
            </w:r>
          </w:p>
        </w:tc>
        <w:tc>
          <w:tcPr>
            <w:tcW w:w="11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4,946</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6,381</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4,946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13,739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940" w:type="dxa"/>
            <w:vAlign w:val="bottom"/>
            <w:shd w:val="clear" w:color="auto" w:fill="CFF0FC"/>
          </w:tcPr>
          <w:p>
            <w:pPr>
              <w:ind w:left="180"/>
              <w:spacing w:after="0" w:line="180" w:lineRule="exact"/>
              <w:rPr>
                <w:sz w:val="20"/>
                <w:szCs w:val="20"/>
                <w:color w:val="auto"/>
              </w:rPr>
            </w:pPr>
            <w:r>
              <w:rPr>
                <w:rFonts w:ascii="Arial" w:cs="Arial" w:eastAsia="Arial" w:hAnsi="Arial"/>
                <w:sz w:val="18"/>
                <w:szCs w:val="18"/>
                <w:color w:val="auto"/>
              </w:rPr>
              <w:t>Impairment of operating lease</w:t>
            </w:r>
          </w:p>
        </w:tc>
        <w:tc>
          <w:tcPr>
            <w:tcW w:w="10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940" w:type="dxa"/>
            <w:vAlign w:val="bottom"/>
            <w:shd w:val="clear" w:color="auto" w:fill="CFF0FC"/>
          </w:tcPr>
          <w:p>
            <w:pPr>
              <w:ind w:left="20"/>
              <w:spacing w:after="0" w:line="252" w:lineRule="exact"/>
              <w:rPr>
                <w:sz w:val="20"/>
                <w:szCs w:val="20"/>
                <w:color w:val="auto"/>
              </w:rPr>
            </w:pPr>
            <w:r>
              <w:rPr>
                <w:rFonts w:ascii="Arial" w:cs="Arial" w:eastAsia="Arial" w:hAnsi="Arial"/>
                <w:sz w:val="18"/>
                <w:szCs w:val="18"/>
                <w:color w:val="auto"/>
              </w:rPr>
              <w:t xml:space="preserve">right-of-use assets </w:t>
            </w:r>
            <w:r>
              <w:rPr>
                <w:rFonts w:ascii="Arial" w:cs="Arial" w:eastAsia="Arial" w:hAnsi="Arial"/>
                <w:sz w:val="24"/>
                <w:szCs w:val="24"/>
                <w:color w:val="auto"/>
                <w:vertAlign w:val="superscript"/>
              </w:rPr>
              <w:t>(2)</w:t>
            </w:r>
          </w:p>
        </w:tc>
        <w:tc>
          <w:tcPr>
            <w:tcW w:w="10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Other costs </w:t>
            </w:r>
            <w:r>
              <w:rPr>
                <w:rFonts w:ascii="Arial" w:cs="Arial" w:eastAsia="Arial" w:hAnsi="Arial"/>
                <w:sz w:val="24"/>
                <w:szCs w:val="24"/>
                <w:color w:val="auto"/>
                <w:vertAlign w:val="superscript"/>
              </w:rPr>
              <w:t>(3)</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9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Total restructuring and related</w:t>
            </w:r>
          </w:p>
        </w:tc>
        <w:tc>
          <w:tcPr>
            <w:tcW w:w="1000" w:type="dxa"/>
            <w:vAlign w:val="bottom"/>
            <w:vMerge w:val="restart"/>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2,277</w:t>
            </w:r>
          </w:p>
        </w:tc>
        <w:tc>
          <w:tcPr>
            <w:tcW w:w="260" w:type="dxa"/>
            <w:vAlign w:val="bottom"/>
            <w:vMerge w:val="restart"/>
            <w:shd w:val="clear" w:color="auto" w:fill="CFF0FC"/>
          </w:tcPr>
          <w:p>
            <w:pPr>
              <w:spacing w:after="0"/>
              <w:rPr>
                <w:sz w:val="17"/>
                <w:szCs w:val="17"/>
                <w:color w:val="auto"/>
              </w:rPr>
            </w:pPr>
          </w:p>
        </w:tc>
        <w:tc>
          <w:tcPr>
            <w:tcW w:w="900" w:type="dxa"/>
            <w:vAlign w:val="bottom"/>
            <w:vMerge w:val="restart"/>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9,529</w:t>
            </w:r>
          </w:p>
        </w:tc>
        <w:tc>
          <w:tcPr>
            <w:tcW w:w="260" w:type="dxa"/>
            <w:vAlign w:val="bottom"/>
            <w:vMerge w:val="restart"/>
            <w:shd w:val="clear" w:color="auto" w:fill="CFF0FC"/>
          </w:tcPr>
          <w:p>
            <w:pPr>
              <w:spacing w:after="0"/>
              <w:rPr>
                <w:sz w:val="17"/>
                <w:szCs w:val="17"/>
                <w:color w:val="auto"/>
              </w:rPr>
            </w:pPr>
          </w:p>
        </w:tc>
        <w:tc>
          <w:tcPr>
            <w:tcW w:w="34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6,381</w:t>
            </w:r>
          </w:p>
        </w:tc>
        <w:tc>
          <w:tcPr>
            <w:tcW w:w="240" w:type="dxa"/>
            <w:vAlign w:val="bottom"/>
            <w:vMerge w:val="restart"/>
            <w:shd w:val="clear" w:color="auto" w:fill="CFF0FC"/>
          </w:tcPr>
          <w:p>
            <w:pPr>
              <w:spacing w:after="0"/>
              <w:rPr>
                <w:sz w:val="17"/>
                <w:szCs w:val="17"/>
                <w:color w:val="auto"/>
              </w:rPr>
            </w:pP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9,529</w:t>
            </w:r>
          </w:p>
        </w:tc>
        <w:tc>
          <w:tcPr>
            <w:tcW w:w="280" w:type="dxa"/>
            <w:vAlign w:val="bottom"/>
            <w:vMerge w:val="restart"/>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21,406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40" w:type="dxa"/>
            <w:vAlign w:val="bottom"/>
            <w:tcBorders>
              <w:bottom w:val="single" w:sz="8" w:color="CFF0FC"/>
            </w:tcBorders>
            <w:shd w:val="clear" w:color="auto" w:fill="CFF0FC"/>
          </w:tcPr>
          <w:p>
            <w:pPr>
              <w:ind w:left="20"/>
              <w:spacing w:after="0" w:line="189" w:lineRule="exact"/>
              <w:rPr>
                <w:sz w:val="20"/>
                <w:szCs w:val="20"/>
                <w:color w:val="auto"/>
              </w:rPr>
            </w:pPr>
            <w:r>
              <w:rPr>
                <w:rFonts w:ascii="Arial" w:cs="Arial" w:eastAsia="Arial" w:hAnsi="Arial"/>
                <w:sz w:val="18"/>
                <w:szCs w:val="18"/>
                <w:color w:val="auto"/>
              </w:rPr>
              <w:t>charges</w:t>
            </w: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54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vMerge w:val="continue"/>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50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vMerge w:val="continue"/>
            <w:shd w:val="clear" w:color="auto" w:fill="CFF0FC"/>
          </w:tcPr>
          <w:p>
            <w:pPr>
              <w:spacing w:after="0"/>
              <w:rPr>
                <w:sz w:val="19"/>
                <w:szCs w:val="19"/>
                <w:color w:val="auto"/>
              </w:rPr>
            </w:pPr>
          </w:p>
        </w:tc>
        <w:tc>
          <w:tcPr>
            <w:tcW w:w="340" w:type="dxa"/>
            <w:vAlign w:val="bottom"/>
            <w:tcBorders>
              <w:bottom w:val="single" w:sz="8" w:color="auto"/>
            </w:tcBorders>
            <w:vMerge w:val="continue"/>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vMerge w:val="continue"/>
            <w:shd w:val="clear" w:color="auto" w:fill="CFF0FC"/>
          </w:tcPr>
          <w:p>
            <w:pPr>
              <w:spacing w:after="0"/>
              <w:rPr>
                <w:sz w:val="19"/>
                <w:szCs w:val="19"/>
                <w:color w:val="auto"/>
              </w:rPr>
            </w:pPr>
          </w:p>
        </w:tc>
        <w:tc>
          <w:tcPr>
            <w:tcW w:w="13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-24765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6" w:lineRule="exact"/>
        <w:rPr>
          <w:sz w:val="20"/>
          <w:szCs w:val="20"/>
          <w:color w:val="auto"/>
        </w:rPr>
      </w:pPr>
    </w:p>
    <w:p>
      <w:pPr>
        <w:ind w:left="940" w:hanging="171"/>
        <w:spacing w:after="0"/>
        <w:tabs>
          <w:tab w:leader="none" w:pos="940" w:val="left"/>
        </w:tabs>
        <w:numPr>
          <w:ilvl w:val="0"/>
          <w:numId w:val="7"/>
        </w:numPr>
        <w:rPr>
          <w:rFonts w:ascii="Arial" w:cs="Arial" w:eastAsia="Arial" w:hAnsi="Arial"/>
          <w:sz w:val="12"/>
          <w:szCs w:val="12"/>
          <w:color w:val="auto"/>
        </w:rPr>
      </w:pPr>
      <w:r>
        <w:rPr>
          <w:rFonts w:ascii="Arial" w:cs="Arial" w:eastAsia="Arial" w:hAnsi="Arial"/>
          <w:sz w:val="12"/>
          <w:szCs w:val="12"/>
          <w:color w:val="auto"/>
        </w:rPr>
        <w:t>Severance and termination costs consist of severance costs provided to employees who have been terminated as well outplacement costs and COBRA benefits.</w:t>
      </w:r>
    </w:p>
    <w:p>
      <w:pPr>
        <w:spacing w:after="0" w:line="5" w:lineRule="exact"/>
        <w:rPr>
          <w:rFonts w:ascii="Arial" w:cs="Arial" w:eastAsia="Arial" w:hAnsi="Arial"/>
          <w:sz w:val="12"/>
          <w:szCs w:val="12"/>
          <w:color w:val="auto"/>
        </w:rPr>
      </w:pPr>
    </w:p>
    <w:p>
      <w:pPr>
        <w:ind w:right="360" w:firstLine="769"/>
        <w:spacing w:after="0" w:line="234" w:lineRule="auto"/>
        <w:tabs>
          <w:tab w:leader="none" w:pos="941" w:val="left"/>
        </w:tabs>
        <w:numPr>
          <w:ilvl w:val="0"/>
          <w:numId w:val="7"/>
        </w:numPr>
        <w:rPr>
          <w:rFonts w:ascii="Arial" w:cs="Arial" w:eastAsia="Arial" w:hAnsi="Arial"/>
          <w:sz w:val="12"/>
          <w:szCs w:val="12"/>
          <w:color w:val="auto"/>
        </w:rPr>
      </w:pPr>
      <w:r>
        <w:rPr>
          <w:rFonts w:ascii="Arial" w:cs="Arial" w:eastAsia="Arial" w:hAnsi="Arial"/>
          <w:sz w:val="12"/>
          <w:szCs w:val="12"/>
          <w:color w:val="auto"/>
        </w:rPr>
        <w:t>Impairment of operating lease right-of-use assets consist of costs associated with planned facility closures that will continue to be incurred under the contract for its remaining term without economic benefit to the Company.</w:t>
      </w:r>
    </w:p>
    <w:p>
      <w:pPr>
        <w:ind w:left="940" w:hanging="171"/>
        <w:spacing w:after="0" w:line="234" w:lineRule="auto"/>
        <w:tabs>
          <w:tab w:leader="none" w:pos="940" w:val="left"/>
        </w:tabs>
        <w:numPr>
          <w:ilvl w:val="0"/>
          <w:numId w:val="7"/>
        </w:numPr>
        <w:rPr>
          <w:rFonts w:ascii="Arial" w:cs="Arial" w:eastAsia="Arial" w:hAnsi="Arial"/>
          <w:sz w:val="12"/>
          <w:szCs w:val="12"/>
          <w:color w:val="auto"/>
        </w:rPr>
      </w:pPr>
      <w:r>
        <w:rPr>
          <w:rFonts w:ascii="Arial" w:cs="Arial" w:eastAsia="Arial" w:hAnsi="Arial"/>
          <w:sz w:val="12"/>
          <w:szCs w:val="12"/>
          <w:color w:val="auto"/>
        </w:rPr>
        <w:t>Other costs incurred to date consist of legal expenses incurred in connection with the Realignment Plan and acceleration of depreciation of property and equipment related to the planned facility</w:t>
      </w:r>
    </w:p>
    <w:p>
      <w:pPr>
        <w:spacing w:after="0"/>
        <w:rPr>
          <w:rFonts w:ascii="Arial" w:cs="Arial" w:eastAsia="Arial" w:hAnsi="Arial"/>
          <w:sz w:val="12"/>
          <w:szCs w:val="12"/>
          <w:color w:val="auto"/>
        </w:rPr>
      </w:pPr>
      <w:r>
        <w:rPr>
          <w:rFonts w:ascii="Arial" w:cs="Arial" w:eastAsia="Arial" w:hAnsi="Arial"/>
          <w:sz w:val="12"/>
          <w:szCs w:val="12"/>
          <w:color w:val="auto"/>
        </w:rPr>
        <w:t>closures.</w:t>
      </w:r>
    </w:p>
    <w:p>
      <w:pPr>
        <w:spacing w:after="0" w:line="188" w:lineRule="exact"/>
        <w:rPr>
          <w:sz w:val="20"/>
          <w:szCs w:val="20"/>
          <w:color w:val="auto"/>
        </w:rPr>
      </w:pPr>
    </w:p>
    <w:p>
      <w:pPr>
        <w:ind w:right="860" w:firstLine="761"/>
        <w:spacing w:after="0" w:line="260" w:lineRule="auto"/>
        <w:rPr>
          <w:sz w:val="20"/>
          <w:szCs w:val="20"/>
          <w:color w:val="auto"/>
        </w:rPr>
      </w:pPr>
      <w:r>
        <w:rPr>
          <w:rFonts w:ascii="Arial" w:cs="Arial" w:eastAsia="Arial" w:hAnsi="Arial"/>
          <w:sz w:val="18"/>
          <w:szCs w:val="18"/>
          <w:color w:val="auto"/>
        </w:rPr>
        <w:t>Severance and termination benefits and other costs are included in "Selling, general, and administrative expenses" in the condensed consolidated statements of operations for the three and six months ended June 30, 2023 and 2022.</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is a reconciliation of the beginning and ending restructuring liability for the six months ended June 30, 2023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1640" w:type="dxa"/>
            <w:vAlign w:val="bottom"/>
            <w:shd w:val="clear" w:color="auto" w:fill="CFF0FC"/>
          </w:tcPr>
          <w:p>
            <w:pPr>
              <w:jc w:val="right"/>
              <w:ind w:right="145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FF0FC"/>
          </w:tcPr>
          <w:p>
            <w:pPr>
              <w:spacing w:after="0"/>
              <w:rPr>
                <w:sz w:val="19"/>
                <w:szCs w:val="19"/>
                <w:color w:val="auto"/>
              </w:rPr>
            </w:pPr>
          </w:p>
        </w:tc>
      </w:tr>
      <w:tr>
        <w:trPr>
          <w:trHeight w:val="230"/>
        </w:trPr>
        <w:tc>
          <w:tcPr>
            <w:tcW w:w="7400" w:type="dxa"/>
            <w:vAlign w:val="bottom"/>
          </w:tcPr>
          <w:p>
            <w:pPr>
              <w:ind w:left="180"/>
              <w:spacing w:after="0"/>
              <w:rPr>
                <w:sz w:val="20"/>
                <w:szCs w:val="20"/>
                <w:color w:val="auto"/>
              </w:rPr>
            </w:pPr>
            <w:r>
              <w:rPr>
                <w:rFonts w:ascii="Arial" w:cs="Arial" w:eastAsia="Arial" w:hAnsi="Arial"/>
                <w:sz w:val="18"/>
                <w:szCs w:val="18"/>
                <w:color w:val="auto"/>
              </w:rPr>
              <w:t>Accrual and accrual adjustments</w:t>
            </w:r>
          </w:p>
        </w:tc>
        <w:tc>
          <w:tcPr>
            <w:tcW w:w="16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6,381</w:t>
            </w:r>
          </w:p>
        </w:tc>
        <w:tc>
          <w:tcPr>
            <w:tcW w:w="140" w:type="dxa"/>
            <w:vAlign w:val="bottom"/>
          </w:tcPr>
          <w:p>
            <w:pPr>
              <w:spacing w:after="0"/>
              <w:rPr>
                <w:sz w:val="19"/>
                <w:szCs w:val="19"/>
                <w:color w:val="auto"/>
              </w:rPr>
            </w:pPr>
          </w:p>
        </w:tc>
      </w:tr>
      <w:tr>
        <w:trPr>
          <w:trHeight w:val="230"/>
        </w:trPr>
        <w:tc>
          <w:tcPr>
            <w:tcW w:w="7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payments</w:t>
            </w:r>
          </w:p>
        </w:tc>
        <w:tc>
          <w:tcPr>
            <w:tcW w:w="164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(6,237 )</w:t>
            </w:r>
          </w:p>
        </w:tc>
      </w:tr>
      <w:tr>
        <w:trPr>
          <w:trHeight w:val="223"/>
        </w:trPr>
        <w:tc>
          <w:tcPr>
            <w:tcW w:w="74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June 30, 2023</w:t>
            </w:r>
          </w:p>
        </w:tc>
        <w:tc>
          <w:tcPr>
            <w:tcW w:w="1640" w:type="dxa"/>
            <w:vAlign w:val="bottom"/>
            <w:tcBorders>
              <w:top w:val="single" w:sz="8" w:color="auto"/>
              <w:bottom w:val="single" w:sz="8" w:color="auto"/>
            </w:tcBorders>
          </w:tcPr>
          <w:p>
            <w:pPr>
              <w:jc w:val="right"/>
              <w:ind w:right="145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40" w:type="dxa"/>
            <w:vAlign w:val="bottom"/>
            <w:tcBorders>
              <w:top w:val="single" w:sz="8" w:color="CFF0FC"/>
            </w:tcBorders>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r>
      <w:tr>
        <w:trPr>
          <w:trHeight w:val="230"/>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1640" w:type="dxa"/>
            <w:vAlign w:val="bottom"/>
            <w:shd w:val="clear" w:color="auto" w:fill="CFF0FC"/>
          </w:tcPr>
          <w:p>
            <w:pPr>
              <w:jc w:val="right"/>
              <w:ind w:right="1450"/>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tcPr>
          <w:p>
            <w:pPr>
              <w:ind w:left="180"/>
              <w:spacing w:after="0"/>
              <w:rPr>
                <w:sz w:val="20"/>
                <w:szCs w:val="20"/>
                <w:color w:val="auto"/>
              </w:rPr>
            </w:pPr>
            <w:r>
              <w:rPr>
                <w:rFonts w:ascii="Arial" w:cs="Arial" w:eastAsia="Arial" w:hAnsi="Arial"/>
                <w:sz w:val="18"/>
                <w:szCs w:val="18"/>
                <w:color w:val="auto"/>
              </w:rPr>
              <w:t>Accrual and accrual adjustments</w:t>
            </w:r>
          </w:p>
        </w:tc>
        <w:tc>
          <w:tcPr>
            <w:tcW w:w="16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5,529</w:t>
            </w:r>
          </w:p>
        </w:tc>
        <w:tc>
          <w:tcPr>
            <w:tcW w:w="140" w:type="dxa"/>
            <w:vAlign w:val="bottom"/>
          </w:tcPr>
          <w:p>
            <w:pPr>
              <w:spacing w:after="0"/>
              <w:rPr>
                <w:sz w:val="19"/>
                <w:szCs w:val="19"/>
                <w:color w:val="auto"/>
              </w:rPr>
            </w:pPr>
          </w:p>
        </w:tc>
      </w:tr>
      <w:tr>
        <w:trPr>
          <w:trHeight w:val="230"/>
        </w:trPr>
        <w:tc>
          <w:tcPr>
            <w:tcW w:w="7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payments</w:t>
            </w:r>
          </w:p>
        </w:tc>
        <w:tc>
          <w:tcPr>
            <w:tcW w:w="164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(2,435 )</w:t>
            </w:r>
          </w:p>
        </w:tc>
      </w:tr>
      <w:tr>
        <w:trPr>
          <w:trHeight w:val="223"/>
        </w:trPr>
        <w:tc>
          <w:tcPr>
            <w:tcW w:w="74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June 30, 2022</w:t>
            </w:r>
          </w:p>
        </w:tc>
        <w:tc>
          <w:tcPr>
            <w:tcW w:w="1640" w:type="dxa"/>
            <w:vAlign w:val="bottom"/>
            <w:tcBorders>
              <w:top w:val="single" w:sz="8" w:color="auto"/>
              <w:bottom w:val="single" w:sz="8" w:color="auto"/>
            </w:tcBorders>
          </w:tcPr>
          <w:p>
            <w:pPr>
              <w:jc w:val="right"/>
              <w:ind w:right="145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3,094</w:t>
            </w:r>
          </w:p>
        </w:tc>
        <w:tc>
          <w:tcPr>
            <w:tcW w:w="140" w:type="dxa"/>
            <w:vAlign w:val="bottom"/>
            <w:tcBorders>
              <w:top w:val="single" w:sz="8" w:color="CFF0FC"/>
            </w:tcBorders>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-942340</wp:posOffset>
            </wp:positionV>
            <wp:extent cx="85725" cy="179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70" w:lineRule="exact"/>
        <w:rPr>
          <w:sz w:val="20"/>
          <w:szCs w:val="20"/>
          <w:color w:val="auto"/>
        </w:rPr>
      </w:pPr>
    </w:p>
    <w:p>
      <w:pPr>
        <w:ind w:right="140" w:firstLine="761"/>
        <w:spacing w:after="0" w:line="260" w:lineRule="auto"/>
        <w:rPr>
          <w:sz w:val="20"/>
          <w:szCs w:val="20"/>
          <w:color w:val="auto"/>
        </w:rPr>
      </w:pPr>
      <w:r>
        <w:rPr>
          <w:rFonts w:ascii="Arial" w:cs="Arial" w:eastAsia="Arial" w:hAnsi="Arial"/>
          <w:sz w:val="18"/>
          <w:szCs w:val="18"/>
          <w:color w:val="auto"/>
        </w:rPr>
        <w:t>The restructuring liability for severance and termination benefits is reflected in "Accrued Expenses" in the condensed consolidated balance sheet as of June 30, 2023 and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208" w:lineRule="exact"/>
        <w:rPr>
          <w:sz w:val="20"/>
          <w:szCs w:val="20"/>
          <w:color w:val="auto"/>
        </w:rPr>
      </w:pPr>
    </w:p>
    <w:p>
      <w:pPr>
        <w:ind w:right="260" w:firstLine="761"/>
        <w:spacing w:after="0" w:line="260" w:lineRule="auto"/>
        <w:rPr>
          <w:sz w:val="20"/>
          <w:szCs w:val="20"/>
          <w:color w:val="auto"/>
        </w:rPr>
      </w:pPr>
      <w:r>
        <w:rPr>
          <w:rFonts w:ascii="Arial" w:cs="Arial" w:eastAsia="Arial" w:hAnsi="Arial"/>
          <w:sz w:val="18"/>
          <w:szCs w:val="18"/>
          <w:color w:val="auto"/>
        </w:rPr>
        <w:t>The Company has three reportable segments: Ecommerce, Wholesale, and Retail Financing. No operating segments have been aggregated to form the reportable segments.</w:t>
      </w:r>
    </w:p>
    <w:p>
      <w:pPr>
        <w:spacing w:after="0" w:line="159" w:lineRule="exact"/>
        <w:rPr>
          <w:sz w:val="20"/>
          <w:szCs w:val="20"/>
          <w:color w:val="auto"/>
        </w:rPr>
      </w:pPr>
    </w:p>
    <w:p>
      <w:pPr>
        <w:ind w:right="180" w:firstLine="761"/>
        <w:spacing w:after="0" w:line="239" w:lineRule="auto"/>
        <w:rPr>
          <w:sz w:val="20"/>
          <w:szCs w:val="20"/>
          <w:color w:val="auto"/>
        </w:rPr>
      </w:pPr>
      <w:r>
        <w:rPr>
          <w:rFonts w:ascii="Arial" w:cs="Arial" w:eastAsia="Arial" w:hAnsi="Arial"/>
          <w:sz w:val="18"/>
          <w:szCs w:val="18"/>
          <w:color w:val="auto"/>
        </w:rPr>
        <w:t>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enterprise-wide group basis. Accordingly, the Company does not report segment asset information. As of June 30, 2023 and December 31, 2022, long-lived assets were predominantly located in the United States.</w:t>
      </w:r>
    </w:p>
    <w:p>
      <w:pPr>
        <w:spacing w:after="0" w:line="181" w:lineRule="exact"/>
        <w:rPr>
          <w:sz w:val="20"/>
          <w:szCs w:val="20"/>
          <w:color w:val="auto"/>
        </w:rPr>
      </w:pPr>
    </w:p>
    <w:p>
      <w:pPr>
        <w:ind w:right="60" w:firstLine="761"/>
        <w:spacing w:after="0" w:line="247"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revenue earned on vehicle financing originated by UACC or the Company's third-party financing sources and sales of value-added products associated with those vehicles sales. The Wholesale reportable segment represents sales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of used vehicles through wholesale channels. The Retail Financing reportable segment represents UACC’s operations with its network of third-party dealership customers, including the purchases and servicing of vehicle installment contracts. Revenues within the "All Other" category consist of retail sales of used vehicles from TDA and fees earned on sales of value-added products associated with those vehicles sales and the CarStory business.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reportable segments are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76"/>
              <w:spacing w:after="0"/>
              <w:rPr>
                <w:sz w:val="20"/>
                <w:szCs w:val="20"/>
                <w:color w:val="auto"/>
              </w:rPr>
            </w:pPr>
            <w:r>
              <w:rPr>
                <w:rFonts w:ascii="Arial" w:cs="Arial" w:eastAsia="Arial" w:hAnsi="Arial"/>
                <w:sz w:val="14"/>
                <w:szCs w:val="14"/>
                <w:b w:val="1"/>
                <w:bCs w:val="1"/>
                <w:color w:val="auto"/>
              </w:rPr>
              <w:t>Three Months Ended June 30, 2023</w:t>
            </w: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56"/>
        </w:trPr>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9"/>
              <w:spacing w:after="0" w:line="156" w:lineRule="exact"/>
              <w:rPr>
                <w:sz w:val="20"/>
                <w:szCs w:val="20"/>
                <w:color w:val="auto"/>
              </w:rPr>
            </w:pPr>
            <w:r>
              <w:rPr>
                <w:rFonts w:ascii="Arial" w:cs="Arial" w:eastAsia="Arial" w:hAnsi="Arial"/>
                <w:sz w:val="14"/>
                <w:szCs w:val="14"/>
                <w:b w:val="1"/>
                <w:bCs w:val="1"/>
                <w:color w:val="auto"/>
              </w:rPr>
              <w:t>Retail</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9"/>
        </w:trPr>
        <w:tc>
          <w:tcPr>
            <w:tcW w:w="4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Ecommerce</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Wholesale</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Financing</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138,225</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42,128</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14,025</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225,178</w:t>
            </w:r>
          </w:p>
        </w:tc>
        <w:tc>
          <w:tcPr>
            <w:tcW w:w="140" w:type="dxa"/>
            <w:vAlign w:val="bottom"/>
            <w:shd w:val="clear" w:color="auto" w:fill="CFF0FC"/>
          </w:tcPr>
          <w:p>
            <w:pPr>
              <w:spacing w:after="0"/>
              <w:rPr>
                <w:sz w:val="19"/>
                <w:szCs w:val="19"/>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12,189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(3,993 )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34,068</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3,737</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46,001</w:t>
            </w:r>
          </w:p>
        </w:tc>
        <w:tc>
          <w:tcPr>
            <w:tcW w:w="140" w:type="dxa"/>
            <w:vAlign w:val="bottom"/>
          </w:tcPr>
          <w:p>
            <w:pPr>
              <w:spacing w:after="0"/>
              <w:rPr>
                <w:sz w:val="19"/>
                <w:szCs w:val="19"/>
                <w:color w:val="auto"/>
              </w:rPr>
            </w:pPr>
          </w:p>
        </w:tc>
      </w:tr>
      <w:tr>
        <w:trPr>
          <w:trHeight w:val="418"/>
        </w:trPr>
        <w:tc>
          <w:tcPr>
            <w:tcW w:w="4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center"/>
              <w:ind w:right="76"/>
              <w:spacing w:after="0"/>
              <w:rPr>
                <w:sz w:val="20"/>
                <w:szCs w:val="20"/>
                <w:color w:val="auto"/>
              </w:rPr>
            </w:pPr>
            <w:r>
              <w:rPr>
                <w:rFonts w:ascii="Arial" w:cs="Arial" w:eastAsia="Arial" w:hAnsi="Arial"/>
                <w:sz w:val="14"/>
                <w:szCs w:val="14"/>
                <w:b w:val="1"/>
                <w:bCs w:val="1"/>
                <w:color w:val="auto"/>
              </w:rPr>
              <w:t>Three Months Ended June 30, 2022</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56"/>
        </w:trPr>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9"/>
              <w:spacing w:after="0" w:line="156" w:lineRule="exact"/>
              <w:rPr>
                <w:sz w:val="20"/>
                <w:szCs w:val="20"/>
                <w:color w:val="auto"/>
              </w:rPr>
            </w:pPr>
            <w:r>
              <w:rPr>
                <w:rFonts w:ascii="Arial" w:cs="Arial" w:eastAsia="Arial" w:hAnsi="Arial"/>
                <w:sz w:val="14"/>
                <w:szCs w:val="14"/>
                <w:b w:val="1"/>
                <w:bCs w:val="1"/>
                <w:color w:val="auto"/>
              </w:rPr>
              <w:t>Retail</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9"/>
        </w:trPr>
        <w:tc>
          <w:tcPr>
            <w:tcW w:w="4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Ecommerce</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Wholesale</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Financing</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321,632</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82,901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32,121</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38,783</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475,437</w:t>
            </w:r>
          </w:p>
        </w:tc>
        <w:tc>
          <w:tcPr>
            <w:tcW w:w="140" w:type="dxa"/>
            <w:vAlign w:val="bottom"/>
            <w:shd w:val="clear" w:color="auto" w:fill="CFF0FC"/>
          </w:tcPr>
          <w:p>
            <w:pPr>
              <w:spacing w:after="0"/>
              <w:rPr>
                <w:sz w:val="19"/>
                <w:szCs w:val="19"/>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33,509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(1,934 )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28,720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6,062</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66,357</w:t>
            </w:r>
          </w:p>
        </w:tc>
        <w:tc>
          <w:tcPr>
            <w:tcW w:w="140" w:type="dxa"/>
            <w:vAlign w:val="bottom"/>
          </w:tcPr>
          <w:p>
            <w:pPr>
              <w:spacing w:after="0"/>
              <w:rPr>
                <w:sz w:val="19"/>
                <w:szCs w:val="19"/>
                <w:color w:val="auto"/>
              </w:rPr>
            </w:pPr>
          </w:p>
        </w:tc>
      </w:tr>
      <w:tr>
        <w:trPr>
          <w:trHeight w:val="459"/>
        </w:trPr>
        <w:tc>
          <w:tcPr>
            <w:tcW w:w="4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center"/>
              <w:ind w:right="76"/>
              <w:spacing w:after="0"/>
              <w:rPr>
                <w:sz w:val="20"/>
                <w:szCs w:val="20"/>
                <w:color w:val="auto"/>
              </w:rPr>
            </w:pPr>
            <w:r>
              <w:rPr>
                <w:rFonts w:ascii="Arial" w:cs="Arial" w:eastAsia="Arial" w:hAnsi="Arial"/>
                <w:sz w:val="14"/>
                <w:szCs w:val="14"/>
                <w:b w:val="1"/>
                <w:bCs w:val="1"/>
                <w:color w:val="auto"/>
              </w:rPr>
              <w:t>Six Months Ended June 30, 2023</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56"/>
        </w:trPr>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9"/>
              <w:spacing w:after="0" w:line="156" w:lineRule="exact"/>
              <w:rPr>
                <w:sz w:val="20"/>
                <w:szCs w:val="20"/>
                <w:color w:val="auto"/>
              </w:rPr>
            </w:pPr>
            <w:r>
              <w:rPr>
                <w:rFonts w:ascii="Arial" w:cs="Arial" w:eastAsia="Arial" w:hAnsi="Arial"/>
                <w:sz w:val="14"/>
                <w:szCs w:val="14"/>
                <w:b w:val="1"/>
                <w:bCs w:val="1"/>
                <w:color w:val="auto"/>
              </w:rPr>
              <w:t>Retail</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9"/>
        </w:trPr>
        <w:tc>
          <w:tcPr>
            <w:tcW w:w="4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Ecommerce</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Wholesale</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Financing</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273,858</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74,116</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28,976</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421,645</w:t>
            </w:r>
          </w:p>
        </w:tc>
        <w:tc>
          <w:tcPr>
            <w:tcW w:w="140" w:type="dxa"/>
            <w:vAlign w:val="bottom"/>
            <w:shd w:val="clear" w:color="auto" w:fill="CFF0FC"/>
          </w:tcPr>
          <w:p>
            <w:pPr>
              <w:spacing w:after="0"/>
              <w:rPr>
                <w:sz w:val="19"/>
                <w:szCs w:val="19"/>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22,223</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(3,931 )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59,842</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6,672</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84,806</w:t>
            </w:r>
          </w:p>
        </w:tc>
        <w:tc>
          <w:tcPr>
            <w:tcW w:w="140" w:type="dxa"/>
            <w:vAlign w:val="bottom"/>
          </w:tcPr>
          <w:p>
            <w:pPr>
              <w:spacing w:after="0"/>
              <w:rPr>
                <w:sz w:val="19"/>
                <w:szCs w:val="19"/>
                <w:color w:val="auto"/>
              </w:rPr>
            </w:pPr>
          </w:p>
        </w:tc>
      </w:tr>
      <w:tr>
        <w:trPr>
          <w:trHeight w:val="459"/>
        </w:trPr>
        <w:tc>
          <w:tcPr>
            <w:tcW w:w="4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center"/>
              <w:ind w:right="76"/>
              <w:spacing w:after="0"/>
              <w:rPr>
                <w:sz w:val="20"/>
                <w:szCs w:val="20"/>
                <w:color w:val="auto"/>
              </w:rPr>
            </w:pPr>
            <w:r>
              <w:rPr>
                <w:rFonts w:ascii="Arial" w:cs="Arial" w:eastAsia="Arial" w:hAnsi="Arial"/>
                <w:sz w:val="14"/>
                <w:szCs w:val="14"/>
                <w:b w:val="1"/>
                <w:bCs w:val="1"/>
                <w:color w:val="auto"/>
              </w:rPr>
              <w:t>Six Months Ended June 30, 2022</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56"/>
        </w:trPr>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9"/>
              <w:spacing w:after="0" w:line="156" w:lineRule="exact"/>
              <w:rPr>
                <w:sz w:val="20"/>
                <w:szCs w:val="20"/>
                <w:color w:val="auto"/>
              </w:rPr>
            </w:pPr>
            <w:r>
              <w:rPr>
                <w:rFonts w:ascii="Arial" w:cs="Arial" w:eastAsia="Arial" w:hAnsi="Arial"/>
                <w:sz w:val="14"/>
                <w:szCs w:val="14"/>
                <w:b w:val="1"/>
                <w:bCs w:val="1"/>
                <w:color w:val="auto"/>
              </w:rPr>
              <w:t>Retail</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9"/>
        </w:trPr>
        <w:tc>
          <w:tcPr>
            <w:tcW w:w="4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Ecommerce</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Wholesale</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Financing</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996,995</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222,885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79,808</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99,524</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1,399,212</w:t>
            </w:r>
          </w:p>
        </w:tc>
        <w:tc>
          <w:tcPr>
            <w:tcW w:w="140" w:type="dxa"/>
            <w:vAlign w:val="bottom"/>
            <w:shd w:val="clear" w:color="auto" w:fill="CFF0FC"/>
          </w:tcPr>
          <w:p>
            <w:pPr>
              <w:spacing w:after="0"/>
              <w:rPr>
                <w:sz w:val="19"/>
                <w:szCs w:val="19"/>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67,828</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(4,686 )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73,682</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11,173</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147,997</w:t>
            </w:r>
          </w:p>
        </w:tc>
        <w:tc>
          <w:tcPr>
            <w:tcW w:w="140" w:type="dxa"/>
            <w:vAlign w:val="bottom"/>
          </w:tcPr>
          <w:p>
            <w:pPr>
              <w:spacing w:after="0"/>
              <w:rPr>
                <w:sz w:val="19"/>
                <w:szCs w:val="19"/>
                <w:color w:val="auto"/>
              </w:rPr>
            </w:pPr>
          </w:p>
        </w:tc>
      </w:tr>
    </w:tbl>
    <w:p>
      <w:pPr>
        <w:spacing w:after="0" w:line="203" w:lineRule="exact"/>
        <w:rPr>
          <w:sz w:val="20"/>
          <w:szCs w:val="20"/>
          <w:color w:val="auto"/>
        </w:rPr>
      </w:pPr>
    </w:p>
    <w:p>
      <w:pPr>
        <w:ind w:right="320" w:firstLine="764"/>
        <w:spacing w:after="0" w:line="260" w:lineRule="auto"/>
        <w:rPr>
          <w:sz w:val="20"/>
          <w:szCs w:val="20"/>
          <w:color w:val="auto"/>
        </w:rPr>
      </w:pPr>
      <w:r>
        <w:rPr>
          <w:rFonts w:ascii="Arial" w:cs="Arial" w:eastAsia="Arial" w:hAnsi="Arial"/>
          <w:sz w:val="18"/>
          <w:szCs w:val="18"/>
          <w:color w:val="auto"/>
        </w:rPr>
        <w:t>The reconciliation between reportable segment gross profit to consolidated loss before provision (benefit) for income taxes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to consolidated total revenue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Total reportable segment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211,153</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436,654</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392,669</w:t>
            </w:r>
          </w:p>
        </w:tc>
        <w:tc>
          <w:tcPr>
            <w:tcW w:w="3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1,299,688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 revenues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14,025</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38,783</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28,976</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99,524</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Consolidated 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225,178</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475,437</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421,645</w:t>
            </w:r>
          </w:p>
        </w:tc>
        <w:tc>
          <w:tcPr>
            <w:tcW w:w="3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1,399,212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shd w:val="clear" w:color="auto" w:fill="CFF0FC"/>
          </w:tcPr>
          <w:p>
            <w:pPr>
              <w:ind w:left="20"/>
              <w:spacing w:after="0" w:line="174" w:lineRule="exact"/>
              <w:rPr>
                <w:sz w:val="20"/>
                <w:szCs w:val="20"/>
                <w:color w:val="auto"/>
              </w:rPr>
            </w:pPr>
            <w:r>
              <w:rPr>
                <w:rFonts w:ascii="Arial" w:cs="Arial" w:eastAsia="Arial" w:hAnsi="Arial"/>
                <w:sz w:val="18"/>
                <w:szCs w:val="18"/>
                <w:b w:val="1"/>
                <w:bCs w:val="1"/>
                <w:color w:val="auto"/>
              </w:rPr>
              <w:t>Reconciliation to consolidated loss before (benefit)</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Total reportable segment gross profit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42,264</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60,295</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78,134</w:t>
            </w:r>
          </w:p>
        </w:tc>
        <w:tc>
          <w:tcPr>
            <w:tcW w:w="3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136,824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 Other gross profit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86,955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152,990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183,492</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340,984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20,835</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1,353</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205,110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debt extinguishment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(10,931 )</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(19,640 )</w:t>
            </w:r>
          </w:p>
        </w:tc>
        <w:tc>
          <w:tcPr>
            <w:tcW w:w="4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8,938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18,857</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(4,921 )</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(3,935 )</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(10,863 )</w:t>
            </w:r>
          </w:p>
        </w:tc>
        <w:tc>
          <w:tcPr>
            <w:tcW w:w="4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(7,887 )</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Other loss,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20,236</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9,156</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31,476</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Consolidated loss before provision (benefit) for income</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(65,933 )</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(114,833 )</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(140,704 )</w:t>
            </w:r>
          </w:p>
        </w:tc>
        <w:tc>
          <w:tcPr>
            <w:tcW w:w="480" w:type="dxa"/>
            <w:vAlign w:val="bottom"/>
            <w:vMerge w:val="restart"/>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(448,532 )</w:t>
            </w:r>
          </w:p>
        </w:tc>
        <w:tc>
          <w:tcPr>
            <w:tcW w:w="0" w:type="dxa"/>
            <w:vAlign w:val="bottom"/>
          </w:tcPr>
          <w:p>
            <w:pPr>
              <w:spacing w:after="0"/>
              <w:rPr>
                <w:sz w:val="1"/>
                <w:szCs w:val="1"/>
                <w:color w:val="auto"/>
              </w:rPr>
            </w:pPr>
          </w:p>
        </w:tc>
      </w:tr>
      <w:tr>
        <w:trPr>
          <w:trHeight w:val="208"/>
        </w:trPr>
        <w:tc>
          <w:tcPr>
            <w:tcW w:w="498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taxes</w:t>
            </w:r>
          </w:p>
        </w:tc>
        <w:tc>
          <w:tcPr>
            <w:tcW w:w="300" w:type="dxa"/>
            <w:vAlign w:val="bottom"/>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480" w:type="dxa"/>
            <w:vAlign w:val="bottom"/>
            <w:vMerge w:val="continue"/>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-2047875</wp:posOffset>
            </wp:positionV>
            <wp:extent cx="85725"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-2047875</wp:posOffset>
            </wp:positionV>
            <wp:extent cx="85725" cy="179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-2047875</wp:posOffset>
            </wp:positionV>
            <wp:extent cx="85725"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-2047875</wp:posOffset>
            </wp:positionV>
            <wp:extent cx="85725"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-25400</wp:posOffset>
            </wp:positionV>
            <wp:extent cx="857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857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857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857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857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857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08" w:lineRule="exact"/>
        <w:rPr>
          <w:sz w:val="20"/>
          <w:szCs w:val="20"/>
          <w:color w:val="auto"/>
        </w:rPr>
      </w:pPr>
    </w:p>
    <w:p>
      <w:pPr>
        <w:ind w:firstLine="761"/>
        <w:spacing w:after="0" w:line="255" w:lineRule="auto"/>
        <w:rPr>
          <w:sz w:val="20"/>
          <w:szCs w:val="20"/>
          <w:color w:val="auto"/>
        </w:rPr>
      </w:pPr>
      <w:r>
        <w:rPr>
          <w:rFonts w:ascii="Arial" w:cs="Arial" w:eastAsia="Arial" w:hAnsi="Arial"/>
          <w:sz w:val="17"/>
          <w:szCs w:val="17"/>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it is more likely than not that these assets will not be fully realized based on a current evaluation of expected future taxable income and the Company being in a cumulative 3-year loss position.</w:t>
      </w:r>
    </w:p>
    <w:p>
      <w:pPr>
        <w:spacing w:after="0" w:line="166"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The Company’s effective tax rate for the three months ended June 30, 2023 and 2022 was (0.58)% and (0.22)%, respectively. The Company’s effective tax rate for the six months ended June 30, 2023 and 2022 was (0.47)% and 5.12%, respectively. The effective tax rate for the six months ended June 30, 2022 was primarily driven by a deferred tax benefit recorded for the decrease of Valuation Allowance resulting from the acquisition of Unitas Holdings Corp. (now known as Vroom Finance Corporation) that occurred during the six months ended June 30, 2022 of $23.9 million.</w:t>
      </w:r>
    </w:p>
    <w:p>
      <w:pPr>
        <w:spacing w:after="0" w:line="176" w:lineRule="exact"/>
        <w:rPr>
          <w:sz w:val="20"/>
          <w:szCs w:val="20"/>
          <w:color w:val="auto"/>
        </w:rPr>
      </w:pPr>
    </w:p>
    <w:p>
      <w:pPr>
        <w:ind w:firstLine="761"/>
        <w:spacing w:after="0" w:line="247"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2016 and prior. The company is not currently under audit for any US federal or state income tax audits.</w:t>
      </w:r>
    </w:p>
    <w:p>
      <w:pPr>
        <w:spacing w:after="0" w:line="171" w:lineRule="exact"/>
        <w:rPr>
          <w:sz w:val="20"/>
          <w:szCs w:val="20"/>
          <w:color w:val="auto"/>
        </w:rPr>
      </w:pPr>
    </w:p>
    <w:p>
      <w:pPr>
        <w:ind w:right="140" w:firstLine="761"/>
        <w:spacing w:after="0" w:line="241"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four ownership changes the most recent of which was April 2021. These changes will substantially limit the use of the net operating losses generated before the change in control.</w:t>
      </w:r>
    </w:p>
    <w:p>
      <w:pPr>
        <w:spacing w:after="0" w:line="176" w:lineRule="exact"/>
        <w:rPr>
          <w:sz w:val="20"/>
          <w:szCs w:val="20"/>
          <w:color w:val="auto"/>
        </w:rPr>
      </w:pPr>
    </w:p>
    <w:p>
      <w:pPr>
        <w:ind w:right="20" w:firstLine="761"/>
        <w:spacing w:after="0" w:line="247" w:lineRule="auto"/>
        <w:rPr>
          <w:sz w:val="20"/>
          <w:szCs w:val="20"/>
          <w:color w:val="auto"/>
        </w:rPr>
      </w:pPr>
      <w:r>
        <w:rPr>
          <w:rFonts w:ascii="Arial" w:cs="Arial" w:eastAsia="Arial" w:hAnsi="Arial"/>
          <w:sz w:val="18"/>
          <w:szCs w:val="18"/>
          <w:color w:val="auto"/>
        </w:rPr>
        <w:t>The Company acquired Unitas Holdings Corp. (now known as Vroom Finance Corporation) on February 1, 2022 in a stock acquisition, refer to Note 5 – Acquisitions for additional information. The NOLs and other tax attributes acquired will be subject to Section 382 limitations. The Company is in the process of determining the amount of attributes that will be available for use.</w:t>
      </w:r>
    </w:p>
    <w:p>
      <w:pPr>
        <w:spacing w:after="0" w:line="184" w:lineRule="exact"/>
        <w:rPr>
          <w:sz w:val="20"/>
          <w:szCs w:val="20"/>
          <w:color w:val="auto"/>
        </w:rPr>
      </w:pPr>
    </w:p>
    <w:p>
      <w:pPr>
        <w:ind w:right="100" w:firstLine="761"/>
        <w:spacing w:after="0" w:line="247" w:lineRule="auto"/>
        <w:rPr>
          <w:sz w:val="20"/>
          <w:szCs w:val="20"/>
          <w:color w:val="auto"/>
        </w:rPr>
      </w:pPr>
      <w:r>
        <w:rPr>
          <w:rFonts w:ascii="Arial" w:cs="Arial" w:eastAsia="Arial" w:hAnsi="Arial"/>
          <w:sz w:val="18"/>
          <w:szCs w:val="18"/>
          <w:color w:val="auto"/>
        </w:rPr>
        <w:t>The Company has not identified any uncertain tax positions as of June 30, 2023 or December 31, 2022. Any interest and penalties related to uncertain tax positions shall be recorded as a component of income tax expense. To date, no interest or penalties have been accrued in relation to uncertain tax positions.</w:t>
      </w:r>
    </w:p>
    <w:p>
      <w:pPr>
        <w:spacing w:after="0" w:line="171"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On August 16, 2022, the Inflation Reduction Act of 2022 ("IRA") was signed into law. The IRA includes implementation of a new alternative minimum tax, an excise tax on stock buybacks, and significant tax incentives for energy and climate initiatives, among other provisions. The Company is evaluating the provisions included under the IRA and does not expect the provisions to have a material impact to the Company's condensed consolidated financial statements.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Net Loss Per Share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8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(66,318 )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(115,089 )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(141,362 )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(425,548 )</w:t>
            </w:r>
          </w:p>
        </w:tc>
        <w:tc>
          <w:tcPr>
            <w:tcW w:w="0" w:type="dxa"/>
            <w:vAlign w:val="bottom"/>
          </w:tcPr>
          <w:p>
            <w:pPr>
              <w:spacing w:after="0"/>
              <w:rPr>
                <w:sz w:val="1"/>
                <w:szCs w:val="1"/>
                <w:color w:val="auto"/>
              </w:rPr>
            </w:pPr>
          </w:p>
        </w:tc>
      </w:tr>
      <w:tr>
        <w:trPr>
          <w:trHeight w:val="197"/>
        </w:trPr>
        <w:tc>
          <w:tcPr>
            <w:tcW w:w="4980" w:type="dxa"/>
            <w:vAlign w:val="bottom"/>
            <w:tcBorders>
              <w:top w:val="single" w:sz="8" w:color="CFF0FC"/>
            </w:tcBorders>
          </w:tcPr>
          <w:p>
            <w:pPr>
              <w:ind w:left="20"/>
              <w:spacing w:after="0" w:line="197" w:lineRule="exact"/>
              <w:rPr>
                <w:sz w:val="20"/>
                <w:szCs w:val="20"/>
                <w:color w:val="auto"/>
              </w:rPr>
            </w:pPr>
            <w:r>
              <w:rPr>
                <w:rFonts w:ascii="Arial" w:cs="Arial" w:eastAsia="Arial" w:hAnsi="Arial"/>
                <w:sz w:val="18"/>
                <w:szCs w:val="18"/>
                <w:color w:val="auto"/>
              </w:rPr>
              <w:t>Weighted-average number of shares outstanding used to</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compute net loss per share attributable to common</w:t>
            </w: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139,146,848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138,075,210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138,838,866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137,667,419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8"/>
                <w:szCs w:val="18"/>
                <w:color w:val="auto"/>
              </w:rPr>
              <w:t>stockholders, basic and diluted</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(0.48 )</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(0.83 )</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(1.02 )</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08"/>
        </w:trPr>
        <w:tc>
          <w:tcPr>
            <w:tcW w:w="498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basic and diluted</w:t>
            </w:r>
          </w:p>
        </w:tc>
        <w:tc>
          <w:tcPr>
            <w:tcW w:w="200" w:type="dxa"/>
            <w:vAlign w:val="bottom"/>
            <w:vMerge w:val="continue"/>
            <w:shd w:val="clear" w:color="auto" w:fill="CFF0FC"/>
          </w:tcPr>
          <w:p>
            <w:pPr>
              <w:spacing w:after="0"/>
              <w:rPr>
                <w:sz w:val="18"/>
                <w:szCs w:val="18"/>
                <w:color w:val="auto"/>
              </w:rPr>
            </w:pPr>
          </w:p>
        </w:tc>
        <w:tc>
          <w:tcPr>
            <w:tcW w:w="1400" w:type="dxa"/>
            <w:vAlign w:val="bottom"/>
            <w:gridSpan w:val="2"/>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400" w:type="dxa"/>
            <w:vAlign w:val="bottom"/>
            <w:gridSpan w:val="2"/>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-685165</wp:posOffset>
            </wp:positionV>
            <wp:extent cx="77470" cy="4114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41148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-685165</wp:posOffset>
            </wp:positionV>
            <wp:extent cx="85725" cy="4114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41148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-685165</wp:posOffset>
            </wp:positionV>
            <wp:extent cx="85725" cy="4114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41148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-685165</wp:posOffset>
            </wp:positionV>
            <wp:extent cx="85725" cy="4114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41148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-25400</wp:posOffset>
            </wp:positionV>
            <wp:extent cx="774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857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857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857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85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0" w:lineRule="exact"/>
        <w:rPr>
          <w:sz w:val="20"/>
          <w:szCs w:val="20"/>
          <w:color w:val="auto"/>
        </w:rPr>
      </w:pPr>
    </w:p>
    <w:p>
      <w:pPr>
        <w:ind w:right="100" w:firstLine="761"/>
        <w:spacing w:after="0" w:line="260"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820" w:type="dxa"/>
            <w:vAlign w:val="bottom"/>
            <w:tcBorders>
              <w:bottom w:val="single" w:sz="8" w:color="auto"/>
            </w:tcBorders>
            <w:gridSpan w:val="3"/>
          </w:tcPr>
          <w:p>
            <w:pPr>
              <w:ind w:left="1600"/>
              <w:spacing w:after="0"/>
              <w:rPr>
                <w:sz w:val="20"/>
                <w:szCs w:val="20"/>
                <w:color w:val="auto"/>
              </w:rPr>
            </w:pPr>
            <w:r>
              <w:rPr>
                <w:rFonts w:ascii="Arial" w:cs="Arial" w:eastAsia="Arial" w:hAnsi="Arial"/>
                <w:sz w:val="14"/>
                <w:szCs w:val="14"/>
                <w:b w:val="1"/>
                <w:bCs w:val="1"/>
                <w:color w:val="auto"/>
              </w:rPr>
              <w:t>As of June 30,</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8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w:t>
            </w:r>
          </w:p>
        </w:tc>
        <w:tc>
          <w:tcPr>
            <w:tcW w:w="526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5,936,226</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11,158,722</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5260" w:type="dxa"/>
            <w:vAlign w:val="bottom"/>
            <w:gridSpan w:val="2"/>
          </w:tcPr>
          <w:p>
            <w:pPr>
              <w:jc w:val="right"/>
              <w:ind w:right="82"/>
              <w:spacing w:after="0"/>
              <w:rPr>
                <w:sz w:val="20"/>
                <w:szCs w:val="20"/>
                <w:color w:val="auto"/>
              </w:rPr>
            </w:pPr>
            <w:r>
              <w:rPr>
                <w:rFonts w:ascii="Arial" w:cs="Arial" w:eastAsia="Arial" w:hAnsi="Arial"/>
                <w:sz w:val="18"/>
                <w:szCs w:val="18"/>
                <w:color w:val="auto"/>
              </w:rPr>
              <w:t>2,563,207</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4,920,028</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3180" w:type="dxa"/>
            <w:vAlign w:val="bottom"/>
            <w:tcBorders>
              <w:bottom w:val="single" w:sz="8" w:color="CFF0FC"/>
            </w:tcBorders>
            <w:shd w:val="clear" w:color="auto" w:fill="CFF0FC"/>
          </w:tcPr>
          <w:p>
            <w:pPr>
              <w:spacing w:after="0"/>
              <w:rPr>
                <w:sz w:val="19"/>
                <w:szCs w:val="19"/>
                <w:color w:val="auto"/>
              </w:rPr>
            </w:pPr>
          </w:p>
        </w:tc>
        <w:tc>
          <w:tcPr>
            <w:tcW w:w="208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8"/>
                <w:szCs w:val="18"/>
                <w:color w:val="auto"/>
              </w:rPr>
              <w:t>14,251,567</w:t>
            </w:r>
          </w:p>
        </w:tc>
        <w:tc>
          <w:tcPr>
            <w:tcW w:w="1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9,145,799</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Total</w:t>
            </w:r>
          </w:p>
        </w:tc>
        <w:tc>
          <w:tcPr>
            <w:tcW w:w="5260" w:type="dxa"/>
            <w:vAlign w:val="bottom"/>
            <w:gridSpan w:val="2"/>
          </w:tcPr>
          <w:p>
            <w:pPr>
              <w:jc w:val="right"/>
              <w:ind w:right="82"/>
              <w:spacing w:after="0"/>
              <w:rPr>
                <w:sz w:val="20"/>
                <w:szCs w:val="20"/>
                <w:color w:val="auto"/>
              </w:rPr>
            </w:pPr>
            <w:r>
              <w:rPr>
                <w:rFonts w:ascii="Arial" w:cs="Arial" w:eastAsia="Arial" w:hAnsi="Arial"/>
                <w:sz w:val="18"/>
                <w:szCs w:val="18"/>
                <w:color w:val="auto"/>
              </w:rPr>
              <w:t>22,751,000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25,224,549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180" w:type="dxa"/>
            <w:vAlign w:val="bottom"/>
            <w:vMerge w:val="restart"/>
          </w:tcPr>
          <w:p>
            <w:pPr>
              <w:jc w:val="right"/>
              <w:ind w:right="1110"/>
              <w:spacing w:after="0"/>
              <w:rPr>
                <w:sz w:val="20"/>
                <w:szCs w:val="20"/>
                <w:color w:val="auto"/>
              </w:rPr>
            </w:pPr>
            <w:r>
              <w:rPr>
                <w:rFonts w:ascii="Arial" w:cs="Arial" w:eastAsia="Arial" w:hAnsi="Arial"/>
                <w:sz w:val="18"/>
                <w:szCs w:val="18"/>
                <w:color w:val="auto"/>
              </w:rPr>
              <w:t>45</w:t>
            </w: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7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4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-659765</wp:posOffset>
            </wp:positionV>
            <wp:extent cx="102870" cy="1797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2022 (the “Annual Report”), as updated by the section titled "Risk Factors" in Part II, Item 1A of this Quarterly Report on Form 10-Q. Additionally, our historical results are not necessarily indicative of the results that may be expected for any period in the future.</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Overview</w:t>
      </w:r>
    </w:p>
    <w:p>
      <w:pPr>
        <w:spacing w:after="0" w:line="208" w:lineRule="exact"/>
        <w:rPr>
          <w:sz w:val="20"/>
          <w:szCs w:val="20"/>
          <w:color w:val="auto"/>
        </w:rPr>
      </w:pPr>
    </w:p>
    <w:p>
      <w:pPr>
        <w:jc w:val="both"/>
        <w:ind w:right="240" w:firstLine="761"/>
        <w:spacing w:after="0" w:line="243"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Our scalable, data-driven technology brings all phases of the car buying and selling process to consumers wherever they are, and offers an extensive selection of used vehicles, transparent pricing, competitive financing, and at-home pick-up and delivery. We are deeply committed to creating an exceptional experience for our customers.</w:t>
      </w:r>
    </w:p>
    <w:p>
      <w:pPr>
        <w:spacing w:after="0" w:line="174" w:lineRule="exact"/>
        <w:rPr>
          <w:sz w:val="20"/>
          <w:szCs w:val="20"/>
          <w:color w:val="auto"/>
        </w:rPr>
      </w:pPr>
    </w:p>
    <w:p>
      <w:pPr>
        <w:ind w:firstLine="761"/>
        <w:spacing w:after="0" w:line="247" w:lineRule="auto"/>
        <w:rPr>
          <w:sz w:val="20"/>
          <w:szCs w:val="20"/>
          <w:color w:val="auto"/>
        </w:rPr>
      </w:pPr>
      <w:r>
        <w:rPr>
          <w:rFonts w:ascii="Arial" w:cs="Arial" w:eastAsia="Arial" w:hAnsi="Arial"/>
          <w:sz w:val="18"/>
          <w:szCs w:val="18"/>
          <w:color w:val="auto"/>
        </w:rPr>
        <w:t>We take a vertically integrated, hybrid approach and leverage the benefits of national scale and local efficiency. We are driving enduring change in the industry by reinventing all phases of the vehicle buying and selling process, from discovery to delivery and everything in between. Our platform encompasses:</w:t>
      </w:r>
    </w:p>
    <w:p>
      <w:pPr>
        <w:spacing w:after="0" w:line="161" w:lineRule="exact"/>
        <w:rPr>
          <w:sz w:val="20"/>
          <w:szCs w:val="20"/>
          <w:color w:val="auto"/>
        </w:rPr>
      </w:pPr>
    </w:p>
    <w:p>
      <w:pPr>
        <w:ind w:left="1020" w:right="60" w:hanging="249"/>
        <w:spacing w:after="0" w:line="24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provide consumers with a personalized and intuitive ecommerce interface to research and select from</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 of fully reconditioned vehicles, with specific sorting, searching and filtering functionality. Our platform is accessible at any time on any device and provides transparent haggle-free pricing, detailed vehicle information,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162" w:lineRule="exact"/>
        <w:rPr>
          <w:rFonts w:ascii="Arial" w:cs="Arial" w:eastAsia="Arial" w:hAnsi="Arial"/>
          <w:sz w:val="18"/>
          <w:szCs w:val="18"/>
          <w:color w:val="auto"/>
        </w:rPr>
      </w:pPr>
    </w:p>
    <w:p>
      <w:pPr>
        <w:ind w:left="1020" w:right="100" w:hanging="249"/>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consumers, auctions, rental car companies, OEMs, and dealers. We improve our ability to acquire high-demand vehicles through enhanced supply science across all our sourcing channels and utilize national marketing efforts to drive consumer sourcing. In our reconditioning and logistics operations, we deploy a hybrid strategy that optimizes a combination of ownership and operation of assets by us with strategic third-party partnerships. We continue to leverage our last mile hub logistics operations and geographically dispersed network of reconditioning centers to further develop our regional operating model designed to improve our operating leverage, drive stronger unit economics and enhance our customer experience.</w:t>
      </w:r>
    </w:p>
    <w:p>
      <w:pPr>
        <w:spacing w:after="0" w:line="171" w:lineRule="exact"/>
        <w:rPr>
          <w:rFonts w:ascii="Arial" w:cs="Arial" w:eastAsia="Arial" w:hAnsi="Arial"/>
          <w:sz w:val="18"/>
          <w:szCs w:val="18"/>
          <w:color w:val="auto"/>
        </w:rPr>
      </w:pPr>
    </w:p>
    <w:p>
      <w:pPr>
        <w:ind w:left="1020" w:right="60" w:hanging="249"/>
        <w:spacing w:after="0" w:line="24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our customer experience, analyze market dynamics at scale, calibrate our vehicle pricing and optimize our overall inventory sales velocity. In our vehicle operations, data science and experimentation enables us to fine tune our supply, sourcing and logistics models and to streamline our reconditioning processes.</w:t>
      </w:r>
    </w:p>
    <w:p>
      <w:pPr>
        <w:spacing w:after="0" w:line="165" w:lineRule="exact"/>
        <w:rPr>
          <w:rFonts w:ascii="Arial" w:cs="Arial" w:eastAsia="Arial" w:hAnsi="Arial"/>
          <w:sz w:val="18"/>
          <w:szCs w:val="18"/>
          <w:color w:val="auto"/>
        </w:rPr>
      </w:pPr>
    </w:p>
    <w:p>
      <w:pPr>
        <w:ind w:left="1020" w:right="60" w:hanging="249"/>
        <w:spacing w:after="0" w:line="24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Vehicle Financing: </w:t>
      </w:r>
      <w:r>
        <w:rPr>
          <w:rFonts w:ascii="Arial" w:cs="Arial" w:eastAsia="Arial" w:hAnsi="Arial"/>
          <w:sz w:val="18"/>
          <w:szCs w:val="18"/>
          <w:color w:val="auto"/>
        </w:rPr>
        <w:t>A critical component of our value proposition is offering vehicle financing to our customers as a seamless</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of the transaction process. We currently offer integrated, real-time, individualized financing solutions through strategic partnerships with trusted lenders in automotive finance and through our subsidiary, UACC, which we acquired on February 1, 2022. The acquisition of UACC accelerated Vroom’s strategy to develop a captive financing arm and brought with it UACC’s financing expertise and extensive application processing, underwriting, securitization, and servicing capabilities.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79" w:lineRule="exact"/>
        <w:rPr>
          <w:sz w:val="20"/>
          <w:szCs w:val="20"/>
          <w:color w:val="auto"/>
        </w:rPr>
      </w:pPr>
    </w:p>
    <w:p>
      <w:pPr>
        <w:ind w:firstLine="764"/>
        <w:spacing w:after="0" w:line="239" w:lineRule="auto"/>
        <w:rPr>
          <w:sz w:val="20"/>
          <w:szCs w:val="20"/>
          <w:color w:val="auto"/>
        </w:rPr>
      </w:pPr>
      <w:r>
        <w:rPr>
          <w:rFonts w:ascii="Arial" w:cs="Arial" w:eastAsia="Arial" w:hAnsi="Arial"/>
          <w:sz w:val="18"/>
          <w:szCs w:val="18"/>
          <w:color w:val="auto"/>
        </w:rPr>
        <w:t>Based on data from Cox Automotive, there were an estimated 36.2 million used vehicle transactions in 2022. According to a 2022 NADA Auto Retailing market summary, the U.S. automotive industry generated approximately $1.2 trillion in sales in 2021. The U.S. used automotive market is highly fragmented and ripe for disruption as an industry that is notorious for consumer dissatisfaction and has one of the lowest levels of ecommerce penetration.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offer consumers what we offer.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Roadmap</w:t>
      </w:r>
    </w:p>
    <w:p>
      <w:pPr>
        <w:spacing w:after="0" w:line="208" w:lineRule="exact"/>
        <w:rPr>
          <w:sz w:val="20"/>
          <w:szCs w:val="20"/>
          <w:color w:val="auto"/>
        </w:rPr>
      </w:pPr>
    </w:p>
    <w:p>
      <w:pPr>
        <w:jc w:val="both"/>
        <w:ind w:right="340" w:firstLine="761"/>
        <w:spacing w:after="0" w:line="247" w:lineRule="auto"/>
        <w:rPr>
          <w:sz w:val="20"/>
          <w:szCs w:val="20"/>
          <w:color w:val="auto"/>
        </w:rPr>
      </w:pPr>
      <w:r>
        <w:rPr>
          <w:rFonts w:ascii="Arial" w:cs="Arial" w:eastAsia="Arial" w:hAnsi="Arial"/>
          <w:sz w:val="18"/>
          <w:szCs w:val="18"/>
          <w:color w:val="auto"/>
        </w:rPr>
        <w:t xml:space="preserve">In 2022, we developed a long-term road map designed to achieve three key objectives: prioritizing unit economics over growth, significantly reducing operating expenses, and maximizing liquidity. In 2023, we have refined these three key objectives to prioritize unit economics </w:t>
      </w:r>
      <w:r>
        <w:rPr>
          <w:rFonts w:ascii="Arial" w:cs="Arial" w:eastAsia="Arial" w:hAnsi="Arial"/>
          <w:sz w:val="18"/>
          <w:szCs w:val="18"/>
          <w:i w:val="1"/>
          <w:iCs w:val="1"/>
          <w:color w:val="auto"/>
        </w:rPr>
        <w:t>and growth</w:t>
      </w:r>
      <w:r>
        <w:rPr>
          <w:rFonts w:ascii="Arial" w:cs="Arial" w:eastAsia="Arial" w:hAnsi="Arial"/>
          <w:sz w:val="18"/>
          <w:szCs w:val="18"/>
          <w:color w:val="auto"/>
        </w:rPr>
        <w:t xml:space="preserve">, improve costs </w:t>
      </w:r>
      <w:r>
        <w:rPr>
          <w:rFonts w:ascii="Arial" w:cs="Arial" w:eastAsia="Arial" w:hAnsi="Arial"/>
          <w:sz w:val="18"/>
          <w:szCs w:val="18"/>
          <w:i w:val="1"/>
          <w:iCs w:val="1"/>
          <w:color w:val="auto"/>
        </w:rPr>
        <w:t>per unit</w:t>
      </w:r>
      <w:r>
        <w:rPr>
          <w:rFonts w:ascii="Arial" w:cs="Arial" w:eastAsia="Arial" w:hAnsi="Arial"/>
          <w:sz w:val="18"/>
          <w:szCs w:val="18"/>
          <w:color w:val="auto"/>
        </w:rPr>
        <w:t xml:space="preserve"> and maximize liquidity.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order to achieve these objectives, we are focused on four strategic initiatives:</w:t>
      </w:r>
    </w:p>
    <w:p>
      <w:pPr>
        <w:spacing w:after="0" w:line="188" w:lineRule="exact"/>
        <w:rPr>
          <w:sz w:val="20"/>
          <w:szCs w:val="20"/>
          <w:color w:val="auto"/>
        </w:rPr>
      </w:pPr>
    </w:p>
    <w:p>
      <w:pPr>
        <w:ind w:left="1020" w:right="140" w:hanging="249"/>
        <w:spacing w:after="0" w:line="275"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Building a well-oiled transaction machine: </w:t>
      </w:r>
      <w:r>
        <w:rPr>
          <w:rFonts w:ascii="Arial" w:cs="Arial" w:eastAsia="Arial" w:hAnsi="Arial"/>
          <w:sz w:val="17"/>
          <w:szCs w:val="17"/>
          <w:color w:val="auto"/>
        </w:rPr>
        <w:t>Optimize our sales channels using internal and outsourced resources and</w:t>
      </w:r>
      <w:r>
        <w:rPr>
          <w:rFonts w:ascii="Arial" w:cs="Arial" w:eastAsia="Arial" w:hAnsi="Arial"/>
          <w:sz w:val="17"/>
          <w:szCs w:val="17"/>
          <w:b w:val="1"/>
          <w:bCs w:val="1"/>
          <w:color w:val="auto"/>
        </w:rPr>
        <w:t xml:space="preserve"> </w:t>
      </w:r>
      <w:r>
        <w:rPr>
          <w:rFonts w:ascii="Arial" w:cs="Arial" w:eastAsia="Arial" w:hAnsi="Arial"/>
          <w:sz w:val="17"/>
          <w:szCs w:val="17"/>
          <w:color w:val="auto"/>
        </w:rPr>
        <w:t>digitization; streamline and digitize the title and registration process; and optimize our marketing strategies by building brand awareness, growing organic search traffic and fine-tuning paid media campaigns to improve direct traffic and drive conversion.</w:t>
      </w:r>
    </w:p>
    <w:p>
      <w:pPr>
        <w:spacing w:after="0" w:line="138" w:lineRule="exact"/>
        <w:rPr>
          <w:rFonts w:ascii="Arial" w:cs="Arial" w:eastAsia="Arial" w:hAnsi="Arial"/>
          <w:sz w:val="17"/>
          <w:szCs w:val="17"/>
          <w:color w:val="auto"/>
        </w:rPr>
      </w:pPr>
    </w:p>
    <w:p>
      <w:pPr>
        <w:ind w:left="1020" w:right="220" w:hanging="249"/>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Building a well-oiled metal machine: </w:t>
      </w:r>
      <w:r>
        <w:rPr>
          <w:rFonts w:ascii="Arial" w:cs="Arial" w:eastAsia="Arial" w:hAnsi="Arial"/>
          <w:sz w:val="18"/>
          <w:szCs w:val="18"/>
          <w:color w:val="auto"/>
        </w:rPr>
        <w:t>Optimize pricing and assortment of vehicles through predictive data and analytics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regionalization, as well as synchronize end-to-end supply chain to increase velocity and improve flow.</w:t>
      </w:r>
    </w:p>
    <w:p>
      <w:pPr>
        <w:spacing w:after="0" w:line="140" w:lineRule="exact"/>
        <w:rPr>
          <w:rFonts w:ascii="Arial" w:cs="Arial" w:eastAsia="Arial" w:hAnsi="Arial"/>
          <w:sz w:val="18"/>
          <w:szCs w:val="18"/>
          <w:color w:val="auto"/>
        </w:rPr>
      </w:pPr>
    </w:p>
    <w:p>
      <w:pPr>
        <w:ind w:left="1020" w:right="420" w:hanging="249"/>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Building a regional operating model: </w:t>
      </w:r>
      <w:r>
        <w:rPr>
          <w:rFonts w:ascii="Arial" w:cs="Arial" w:eastAsia="Arial" w:hAnsi="Arial"/>
          <w:sz w:val="18"/>
          <w:szCs w:val="18"/>
          <w:color w:val="auto"/>
        </w:rPr>
        <w:t>Build a regional operating model to improve the customer experience; increase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speed of the supply chain; lower logistics costs; and reduce markdowns.</w:t>
      </w:r>
    </w:p>
    <w:p>
      <w:pPr>
        <w:spacing w:after="0" w:line="140" w:lineRule="exact"/>
        <w:rPr>
          <w:rFonts w:ascii="Arial" w:cs="Arial" w:eastAsia="Arial" w:hAnsi="Arial"/>
          <w:sz w:val="18"/>
          <w:szCs w:val="18"/>
          <w:color w:val="auto"/>
        </w:rPr>
      </w:pPr>
    </w:p>
    <w:p>
      <w:pPr>
        <w:ind w:left="1020" w:right="440" w:hanging="249"/>
        <w:spacing w:after="0" w:line="25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Building a captive finance offering: </w:t>
      </w:r>
      <w:r>
        <w:rPr>
          <w:rFonts w:ascii="Arial" w:cs="Arial" w:eastAsia="Arial" w:hAnsi="Arial"/>
          <w:sz w:val="18"/>
          <w:szCs w:val="18"/>
          <w:color w:val="auto"/>
        </w:rPr>
        <w:t>Accelerate the development of UACC as a captive financing operation, giving us the</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better serve our customers across the credit spectrum, drive enhanced unit economics and improve our overall customer experience.</w:t>
      </w:r>
    </w:p>
    <w:p>
      <w:pPr>
        <w:spacing w:after="0" w:line="165" w:lineRule="exact"/>
        <w:rPr>
          <w:sz w:val="20"/>
          <w:szCs w:val="20"/>
          <w:color w:val="auto"/>
        </w:rPr>
      </w:pPr>
    </w:p>
    <w:p>
      <w:pPr>
        <w:ind w:right="300" w:firstLine="764"/>
        <w:spacing w:after="0" w:line="260" w:lineRule="auto"/>
        <w:rPr>
          <w:sz w:val="20"/>
          <w:szCs w:val="20"/>
          <w:color w:val="auto"/>
        </w:rPr>
      </w:pPr>
      <w:r>
        <w:rPr>
          <w:rFonts w:ascii="Arial" w:cs="Arial" w:eastAsia="Arial" w:hAnsi="Arial"/>
          <w:sz w:val="18"/>
          <w:szCs w:val="18"/>
          <w:color w:val="auto"/>
        </w:rPr>
        <w:t>These four initiatives are designed to further our progress in building a profitable business model, enable us to build a well-oiled machine across our operations and position us to resume growth.</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Notice</w:t>
      </w:r>
    </w:p>
    <w:p>
      <w:pPr>
        <w:spacing w:after="0" w:line="208" w:lineRule="exact"/>
        <w:rPr>
          <w:sz w:val="20"/>
          <w:szCs w:val="20"/>
          <w:color w:val="auto"/>
        </w:rPr>
      </w:pPr>
    </w:p>
    <w:p>
      <w:pPr>
        <w:ind w:right="160" w:firstLine="749"/>
        <w:spacing w:after="0" w:line="247" w:lineRule="auto"/>
        <w:rPr>
          <w:sz w:val="20"/>
          <w:szCs w:val="20"/>
          <w:color w:val="auto"/>
        </w:rPr>
      </w:pPr>
      <w:r>
        <w:rPr>
          <w:rFonts w:ascii="Arial" w:cs="Arial" w:eastAsia="Arial" w:hAnsi="Arial"/>
          <w:sz w:val="18"/>
          <w:szCs w:val="18"/>
          <w:color w:val="auto"/>
        </w:rPr>
        <w:t>On June 23, 2023, we received written notice from The Nasdaq Stock Market LLC (“Nasdaq”) informing us that we have regained compliance with Nasdaq Listing Rule 5450(a)(1), which requires that companies listed on the Nasdaq Global Select Market maintain a minimum bid price of $1.00 per share.</w:t>
      </w:r>
    </w:p>
    <w:p>
      <w:pPr>
        <w:spacing w:after="0" w:line="171" w:lineRule="exact"/>
        <w:rPr>
          <w:sz w:val="20"/>
          <w:szCs w:val="20"/>
          <w:color w:val="auto"/>
        </w:rPr>
      </w:pPr>
    </w:p>
    <w:p>
      <w:pPr>
        <w:ind w:right="440" w:firstLine="749"/>
        <w:spacing w:after="0" w:line="239" w:lineRule="auto"/>
        <w:rPr>
          <w:sz w:val="20"/>
          <w:szCs w:val="20"/>
          <w:color w:val="auto"/>
        </w:rPr>
      </w:pPr>
      <w:r>
        <w:rPr>
          <w:rFonts w:ascii="Arial" w:cs="Arial" w:eastAsia="Arial" w:hAnsi="Arial"/>
          <w:sz w:val="18"/>
          <w:szCs w:val="18"/>
          <w:color w:val="auto"/>
        </w:rPr>
        <w:t>As previously reported, on April 14, 2023, we received a letter from Nasdaq indicating that, for the preceding 30 consecutive business days, the bid price for our common stock had closed below the $1.00 per share minimum bid price requirement for continued inclusion on the Nasdaq Global Select Market pursuant to Nasdaq Listing Rule 5450(a)(1) (the “Minimum Bid Price Requirement”). In accordance with Nasdaq Listing Rule 5810(c)(3)(C), we had been provided an initial period of 180 calendar days from the Nasdaq notification, or until October 11, 2023, to regain compliance. To regain compliance, we were required to maintain the Minimum Bid Price Requirement for a minimum of ten consecutive business days.</w:t>
      </w:r>
    </w:p>
    <w:p>
      <w:pPr>
        <w:spacing w:after="0" w:line="181" w:lineRule="exact"/>
        <w:rPr>
          <w:sz w:val="20"/>
          <w:szCs w:val="20"/>
          <w:color w:val="auto"/>
        </w:rPr>
      </w:pPr>
    </w:p>
    <w:p>
      <w:pPr>
        <w:ind w:right="180" w:firstLine="749"/>
        <w:spacing w:after="0" w:line="247" w:lineRule="auto"/>
        <w:rPr>
          <w:sz w:val="20"/>
          <w:szCs w:val="20"/>
          <w:color w:val="auto"/>
        </w:rPr>
      </w:pPr>
      <w:r>
        <w:rPr>
          <w:rFonts w:ascii="Arial" w:cs="Arial" w:eastAsia="Arial" w:hAnsi="Arial"/>
          <w:sz w:val="18"/>
          <w:szCs w:val="18"/>
          <w:color w:val="auto"/>
        </w:rPr>
        <w:t>In its June 23, 2023 notice, Nasdaq notified us that the closing bid price of our common stock had been at $1.00 per share or greater for 11 consecutive business days, from June 8, 2023 to June 22, 2023. Accordingly, we regained compliance with the Minimum Bid Price Requirement and the matter was closed.</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Repurchases</w:t>
      </w:r>
    </w:p>
    <w:p>
      <w:pPr>
        <w:spacing w:after="0" w:line="222" w:lineRule="exact"/>
        <w:rPr>
          <w:sz w:val="20"/>
          <w:szCs w:val="20"/>
          <w:color w:val="auto"/>
        </w:rPr>
      </w:pPr>
    </w:p>
    <w:p>
      <w:pPr>
        <w:ind w:right="100" w:firstLine="761"/>
        <w:spacing w:after="0" w:line="241" w:lineRule="auto"/>
        <w:rPr>
          <w:sz w:val="20"/>
          <w:szCs w:val="20"/>
          <w:color w:val="auto"/>
        </w:rPr>
      </w:pPr>
      <w:r>
        <w:rPr>
          <w:rFonts w:ascii="Arial" w:cs="Arial" w:eastAsia="Arial" w:hAnsi="Arial"/>
          <w:sz w:val="18"/>
          <w:szCs w:val="18"/>
          <w:color w:val="auto"/>
        </w:rPr>
        <w:t>In March 2023, we repurchased $14.6 million in aggregate principal amount of our outstanding 0.75% unsecured Convertible Senior Notes due 2026 (the "Notes") in open market transactions for $5.9 million. In June 2023, we repurchased approximately $18.2 million in aggregate principal amount of the Notes, net of deferred issuance costs, in open market transactions for $7.3 million. Subject to market conditions and availability, we may continue to opportunistically repurchase Notes from time to time to reduce our outstanding indebtedness at a discount.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2023 Reduction in Force</w:t>
      </w:r>
    </w:p>
    <w:p>
      <w:pPr>
        <w:spacing w:after="0" w:line="208"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On January 18, 2023, we executed a reduction in force as part of our continued focus on reducing variable and fixed costs as we pursue our long-term roadmap. We reduced Vroom’s headcount by approximately 275 employees based on our assessment of business needs, the efficiencies obtained by our key initiatives, and our pursuit of long-term success and profitable growth. In 2022, we significantly improved our operations, specifically in our titling, registration and transaction processes, allowing us to now run these processes more cost effectively. We incurred expenses of approximately $4.1 million for the three months ended March 31, 2023, primarily consisting of severance, as a result of this reduction in force. We expect to achieve approximately $27.0 million of annualized cost reductions as a result of the reduction in force in January.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2023 Reduction in Force</w:t>
      </w:r>
    </w:p>
    <w:p>
      <w:pPr>
        <w:spacing w:after="0" w:line="208"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On April 26, 2023, as part of our ongoing reexamination of all facets of the business, we implemented an organizational restructuring that included a reduction in force. We reduced Vroom’s headcount by approximately 120 employees, or approximately 11% of Vroom employees, excluding UACC, or approximately 7% measured across the combined Company. We incurred total expenses of approximately $2.3 million in the second quarter of 2023, primarily consisting of severance costs, and expect to achieve approximately $15.0 million of annualized cost savings as a result of the reduction in force in April. Combined with prior reductions, this reflects an approximately 55% reduction of our employees and contractors (excluding UACC) since January 2022.</w:t>
      </w:r>
    </w:p>
    <w:p>
      <w:pPr>
        <w:spacing w:after="0" w:line="181"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color w:val="auto"/>
        </w:rPr>
        <w:t>The foregoing estimates regarding our anticipated annualized cost savings as a result of the reductions in force in January and April are in each case based upon current assumptions and expectations but are subject to known and unknown risks and uncertainties. Accordingly, we may not be able to fully realize the cost savings and benefits initially anticipated.</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Our Model</w:t>
      </w:r>
    </w:p>
    <w:p>
      <w:pPr>
        <w:spacing w:after="0" w:line="208" w:lineRule="exact"/>
        <w:rPr>
          <w:sz w:val="20"/>
          <w:szCs w:val="20"/>
          <w:color w:val="auto"/>
        </w:rPr>
      </w:pPr>
    </w:p>
    <w:p>
      <w:pPr>
        <w:ind w:right="300" w:firstLine="761"/>
        <w:spacing w:after="0" w:line="260" w:lineRule="auto"/>
        <w:rPr>
          <w:sz w:val="20"/>
          <w:szCs w:val="20"/>
          <w:color w:val="auto"/>
        </w:rPr>
      </w:pPr>
      <w:r>
        <w:rPr>
          <w:rFonts w:ascii="Arial" w:cs="Arial" w:eastAsia="Arial" w:hAnsi="Arial"/>
          <w:sz w:val="18"/>
          <w:szCs w:val="18"/>
          <w:color w:val="auto"/>
        </w:rPr>
        <w:t>We generate revenue through the sale of used vehicles, vehicle financing and value-added products. We sell vehicles directly to consumers primarily through our Ecommerce segment as a licensed dealer.</w:t>
      </w:r>
    </w:p>
    <w:p>
      <w:pPr>
        <w:spacing w:after="0" w:line="159"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As a result of the UACC Acquisition on February 1, 2022, we are developing a captive financing operation for Vroom customers, which will enable us to provide our customers with expanded financing solutions across the credit spectrum and an enhanced customer experience, while generating improved unit economics. We also expect to continue to generate ecommerce product revenue through interest income on UACC's finance receivables generated by loans provided to Vroom customers and UACC’s sale of such finance receivables in securitization transactions or forward flow arrangements. Additionally, we expect UACC to continue to purchase and service finance receivables originated by its network of third-party dealership customers and generate finance revenue, including interest income earned on finance receivables before the loans are sold, interest income on finance receivables held in consolidated VIEs, and, when applicable, gains on sale of securitized finance receivables. Over time, we intend to grow the third-party dealership network and business.</w:t>
      </w:r>
    </w:p>
    <w:p>
      <w:pPr>
        <w:spacing w:after="0" w:line="180" w:lineRule="exact"/>
        <w:rPr>
          <w:sz w:val="20"/>
          <w:szCs w:val="20"/>
          <w:color w:val="auto"/>
        </w:rPr>
      </w:pPr>
    </w:p>
    <w:p>
      <w:pPr>
        <w:ind w:right="240" w:firstLine="761"/>
        <w:spacing w:after="0" w:line="260" w:lineRule="auto"/>
        <w:rPr>
          <w:sz w:val="20"/>
          <w:szCs w:val="20"/>
          <w:color w:val="auto"/>
        </w:rPr>
      </w:pPr>
      <w:r>
        <w:rPr>
          <w:rFonts w:ascii="Arial" w:cs="Arial" w:eastAsia="Arial" w:hAnsi="Arial"/>
          <w:sz w:val="18"/>
          <w:szCs w:val="18"/>
          <w:color w:val="auto"/>
        </w:rPr>
        <w:t>We also sell vehicles through wholesale channels, which provide a revenue source for vehicles that do not meet our Vroom retail sales criteria.</w:t>
      </w:r>
    </w:p>
    <w:p>
      <w:pPr>
        <w:spacing w:after="0" w:line="159" w:lineRule="exact"/>
        <w:rPr>
          <w:sz w:val="20"/>
          <w:szCs w:val="20"/>
          <w:color w:val="auto"/>
        </w:rPr>
      </w:pPr>
    </w:p>
    <w:p>
      <w:pPr>
        <w:jc w:val="both"/>
        <w:ind w:right="560" w:firstLine="761"/>
        <w:spacing w:after="0" w:line="247" w:lineRule="auto"/>
        <w:rPr>
          <w:sz w:val="20"/>
          <w:szCs w:val="20"/>
          <w:color w:val="auto"/>
        </w:rPr>
      </w:pPr>
      <w:r>
        <w:rPr>
          <w:rFonts w:ascii="Arial" w:cs="Arial" w:eastAsia="Arial" w:hAnsi="Arial"/>
          <w:sz w:val="18"/>
          <w:szCs w:val="18"/>
          <w:color w:val="auto"/>
        </w:rPr>
        <w:t>For the three months ended June 30, 2023, our Ecommerce, Wholesale, and Retail Financing segments represented 61.4%, 13.7%, and 18.7% of our total revenue, respectively. For the six months ended June 30, 2023 our Ecommerce, Wholesale, and Retail Financing segments represented 64.9%, 10.6%, and 17.6% of our total revenue,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79"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vehicle financing originated by our third-party financing sources and any third-party value-added products sold as part of a vehicle sale. Because we are paid fees on the third-party financing and other value-added products we sell, our gross profit on such products is equal to the revenue we generate. Starting in 2022, Product Gross Profit also includes (i) interest income earned on finance receivables from Vroom customers that we originate through UACC before the loans are sold, (ii) interest income on finance receivables held in consolidated variable interest entities ("VIEs") less the interest expense incurred on securitization debt, and when applicable (iii) gain on sales of securitized finance receivables. See “—Key Operating and Financial Metrics.”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133985</wp:posOffset>
            </wp:positionV>
            <wp:extent cx="5692140" cy="23749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692140"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Our profitability depends primarily on improving unit economics and achieving operating leverage. We deploy a hybrid strategy that optimizes a combination of ownership and operation of assets by us with strategic third-party partnerships. Our hybrid approach also applies to the third-party value-added products we sell to customers. Historically, we generated additional revenue streams without directly underwriting vehicle financing or protection products; however, the UACC Acquisition enables us to underwrite vehicle financing for our customers. As we resume growth, we expect to benefit from efficiencies and operating leverage across our business, including our marketing and technology investments, and our inventory procurement, logistics, reconditioning and sales processes.</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Our Segments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88" w:lineRule="exact"/>
        <w:rPr>
          <w:sz w:val="20"/>
          <w:szCs w:val="20"/>
          <w:color w:val="auto"/>
        </w:rPr>
      </w:pPr>
    </w:p>
    <w:p>
      <w:pPr>
        <w:ind w:left="1020" w:right="100" w:hanging="249"/>
        <w:spacing w:after="0" w:line="275"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Ecommerce </w:t>
      </w:r>
      <w:r>
        <w:rPr>
          <w:rFonts w:ascii="Arial" w:cs="Arial" w:eastAsia="Arial" w:hAnsi="Arial"/>
          <w:sz w:val="17"/>
          <w:szCs w:val="17"/>
          <w:color w:val="auto"/>
        </w:rPr>
        <w:t>(61.4% and 64.9% of total revenue for the three and six months ended June 30, 2023): The Ecommerce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represents retail sales of used vehicles through our ecommerce platform, revenue earned on vehicle financing originated by UACC or our third-party financing sources and sales of value-added products associated with those vehicles sales.</w:t>
      </w:r>
    </w:p>
    <w:p>
      <w:pPr>
        <w:spacing w:after="0" w:line="138" w:lineRule="exact"/>
        <w:rPr>
          <w:rFonts w:ascii="Arial" w:cs="Arial" w:eastAsia="Arial" w:hAnsi="Arial"/>
          <w:sz w:val="17"/>
          <w:szCs w:val="17"/>
          <w:color w:val="auto"/>
        </w:rPr>
      </w:pPr>
    </w:p>
    <w:p>
      <w:pPr>
        <w:ind w:left="1020" w:right="340" w:hanging="249"/>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(13.7% and 10.6% of total revenue for the three and six months ended June 30, 2023): The Wholesale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sales of used vehicles through wholesale channels.</w:t>
      </w:r>
    </w:p>
    <w:p>
      <w:pPr>
        <w:spacing w:after="0" w:line="140" w:lineRule="exact"/>
        <w:rPr>
          <w:rFonts w:ascii="Arial" w:cs="Arial" w:eastAsia="Arial" w:hAnsi="Arial"/>
          <w:sz w:val="18"/>
          <w:szCs w:val="18"/>
          <w:color w:val="auto"/>
        </w:rPr>
      </w:pPr>
    </w:p>
    <w:p>
      <w:pPr>
        <w:ind w:left="1020" w:right="140" w:hanging="249"/>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(18.7% and 17.6% of total revenue for the three and six months ended June 30, 2023): The Retail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UACC’s operations with its network of third-party dealership customers.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79" w:lineRule="exact"/>
        <w:rPr>
          <w:sz w:val="20"/>
          <w:szCs w:val="20"/>
          <w:color w:val="auto"/>
        </w:rPr>
      </w:pPr>
    </w:p>
    <w:p>
      <w:pPr>
        <w:ind w:right="420" w:firstLine="764"/>
        <w:spacing w:after="0" w:line="260"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segment revenue and segment gross profit for the three and six months ended June 30, 2023 and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7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5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183"/>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3"/>
          </w:tcPr>
          <w:p>
            <w:pPr>
              <w:jc w:val="center"/>
              <w:ind w:left="415"/>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Ecommerce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138,225</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321,632</w:t>
            </w:r>
          </w:p>
        </w:tc>
        <w:tc>
          <w:tcPr>
            <w:tcW w:w="2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273,858</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996,995</w:t>
            </w:r>
          </w:p>
        </w:tc>
        <w:tc>
          <w:tcPr>
            <w:tcW w:w="140" w:type="dxa"/>
            <w:vAlign w:val="bottom"/>
          </w:tcPr>
          <w:p>
            <w:pPr>
              <w:spacing w:after="0"/>
              <w:rPr>
                <w:sz w:val="19"/>
                <w:szCs w:val="19"/>
                <w:color w:val="auto"/>
              </w:rPr>
            </w:pPr>
          </w:p>
        </w:tc>
      </w:tr>
      <w:tr>
        <w:trPr>
          <w:trHeight w:val="23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82,901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222,885</w:t>
            </w:r>
          </w:p>
        </w:tc>
        <w:tc>
          <w:tcPr>
            <w:tcW w:w="140" w:type="dxa"/>
            <w:vAlign w:val="bottom"/>
            <w:shd w:val="clear" w:color="auto" w:fill="CFF0FC"/>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Retail Financing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42,128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32,121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74,116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79,808</w:t>
            </w:r>
          </w:p>
        </w:tc>
        <w:tc>
          <w:tcPr>
            <w:tcW w:w="140" w:type="dxa"/>
            <w:vAlign w:val="bottom"/>
          </w:tcPr>
          <w:p>
            <w:pPr>
              <w:spacing w:after="0"/>
              <w:rPr>
                <w:sz w:val="19"/>
                <w:szCs w:val="19"/>
                <w:color w:val="auto"/>
              </w:rPr>
            </w:pPr>
          </w:p>
        </w:tc>
      </w:tr>
      <w:tr>
        <w:trPr>
          <w:trHeight w:val="23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14,025</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38,783</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28,976</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99,524</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225,178</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475,437</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421,645</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1,399,212</w:t>
            </w:r>
          </w:p>
        </w:tc>
        <w:tc>
          <w:tcPr>
            <w:tcW w:w="14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 (loss):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Ecommerce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12,189</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33,509</w:t>
            </w:r>
          </w:p>
        </w:tc>
        <w:tc>
          <w:tcPr>
            <w:tcW w:w="2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22,223</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67,828</w:t>
            </w:r>
          </w:p>
        </w:tc>
        <w:tc>
          <w:tcPr>
            <w:tcW w:w="140" w:type="dxa"/>
            <w:vAlign w:val="bottom"/>
          </w:tcPr>
          <w:p>
            <w:pPr>
              <w:spacing w:after="0"/>
              <w:rPr>
                <w:sz w:val="19"/>
                <w:szCs w:val="19"/>
                <w:color w:val="auto"/>
              </w:rPr>
            </w:pPr>
          </w:p>
        </w:tc>
      </w:tr>
      <w:tr>
        <w:trPr>
          <w:trHeight w:val="22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(3,993 )</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(1,934 )</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(3,931 )</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(4,686 )</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Retail Financing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34,068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28,720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59,842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73,682</w:t>
            </w:r>
          </w:p>
        </w:tc>
        <w:tc>
          <w:tcPr>
            <w:tcW w:w="140" w:type="dxa"/>
            <w:vAlign w:val="bottom"/>
          </w:tcPr>
          <w:p>
            <w:pPr>
              <w:spacing w:after="0"/>
              <w:rPr>
                <w:sz w:val="19"/>
                <w:szCs w:val="19"/>
                <w:color w:val="auto"/>
              </w:rPr>
            </w:pPr>
          </w:p>
        </w:tc>
      </w:tr>
      <w:tr>
        <w:trPr>
          <w:trHeight w:val="23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6,062</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11,173</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46,001</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66,357</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84,806</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147,997</w:t>
            </w:r>
          </w:p>
        </w:tc>
        <w:tc>
          <w:tcPr>
            <w:tcW w:w="14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-1087755</wp:posOffset>
            </wp:positionV>
            <wp:extent cx="85725" cy="1797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-1087755</wp:posOffset>
            </wp:positionV>
            <wp:extent cx="7747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-1087755</wp:posOffset>
            </wp:positionV>
            <wp:extent cx="85725" cy="179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-1087755</wp:posOffset>
            </wp:positionV>
            <wp:extent cx="85725"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-179070</wp:posOffset>
            </wp:positionV>
            <wp:extent cx="85725" cy="179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-179070</wp:posOffset>
            </wp:positionV>
            <wp:extent cx="77470" cy="1797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-179070</wp:posOffset>
            </wp:positionV>
            <wp:extent cx="85725"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08" w:lineRule="exact"/>
        <w:rPr>
          <w:sz w:val="20"/>
          <w:szCs w:val="20"/>
          <w:color w:val="auto"/>
        </w:rPr>
      </w:pPr>
    </w:p>
    <w:p>
      <w:pPr>
        <w:ind w:right="260" w:firstLine="761"/>
        <w:spacing w:after="0" w:line="239" w:lineRule="auto"/>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 with our condensed consolidated financial statements and related notes included elsewhere in this Quarterly Report on Form 10-Q. We focus heavily on metrics related to unit economics as improved gross profit per unit is a key element of our growth and profitability strategies.</w:t>
      </w:r>
    </w:p>
    <w:p>
      <w:pPr>
        <w:spacing w:after="0" w:line="177"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4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83"/>
        </w:trPr>
        <w:tc>
          <w:tcPr>
            <w:tcW w:w="4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3"/>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Ecommerce units sold</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4,127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9,233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8,060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28,706</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290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2,166</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75</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1,100</w:t>
            </w:r>
          </w:p>
        </w:tc>
      </w:tr>
      <w:tr>
        <w:trPr>
          <w:trHeight w:val="230"/>
        </w:trPr>
        <w:tc>
          <w:tcPr>
            <w:tcW w:w="4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1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2,664</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1,463</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2,683</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1,263</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Total gross profit per ecommerce unit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2,954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3,629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2,758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2,363</w:t>
            </w:r>
          </w:p>
        </w:tc>
      </w:tr>
      <w:tr>
        <w:trPr>
          <w:trHeight w:val="20"/>
        </w:trPr>
        <w:tc>
          <w:tcPr>
            <w:tcW w:w="4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monthly unique visitors</w:t>
            </w: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2,387,715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1,734,535</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2,345,755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2,160,983</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Ecommerce average days to sale</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110</w:t>
            </w:r>
          </w:p>
        </w:tc>
      </w:tr>
      <w:tr>
        <w:trPr>
          <w:trHeight w:val="230"/>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 turnover</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3.72</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Inventory days to supply</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97</w:t>
            </w:r>
          </w:p>
        </w:tc>
      </w:tr>
      <w:tr>
        <w:trPr>
          <w:trHeight w:val="634"/>
        </w:trPr>
        <w:tc>
          <w:tcPr>
            <w:tcW w:w="438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1"/>
        </w:trPr>
        <w:tc>
          <w:tcPr>
            <w:tcW w:w="43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-1242060</wp:posOffset>
            </wp:positionV>
            <wp:extent cx="93980" cy="179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-1242060</wp:posOffset>
            </wp:positionV>
            <wp:extent cx="102870" cy="1797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-1242060</wp:posOffset>
            </wp:positionV>
            <wp:extent cx="102870" cy="179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208" w:lineRule="exact"/>
        <w:rPr>
          <w:sz w:val="20"/>
          <w:szCs w:val="20"/>
          <w:color w:val="auto"/>
        </w:rPr>
      </w:pPr>
    </w:p>
    <w:p>
      <w:pPr>
        <w:jc w:val="both"/>
        <w:ind w:right="60" w:firstLine="761"/>
        <w:spacing w:after="0" w:line="241"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Program. Ecommerce units sold exclude on-site sales of vehicles at TDA and through the Wholesale segment. Each vehicle sale through our ecommerce platform also creates the opportunity to leverage such sale to provide vehicle financing, sell value-added products and acquire trade-in vehicles from our customers, which we can either recondition and add to our inventory or sell through wholesale channels.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208"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We believe Vehicle GPPU is a key driver of our long-term profitability.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208" w:lineRule="exact"/>
        <w:rPr>
          <w:sz w:val="20"/>
          <w:szCs w:val="20"/>
          <w:color w:val="auto"/>
        </w:rPr>
      </w:pPr>
    </w:p>
    <w:p>
      <w:pPr>
        <w:ind w:right="80" w:firstLine="761"/>
        <w:spacing w:after="0" w:line="255" w:lineRule="auto"/>
        <w:rPr>
          <w:sz w:val="20"/>
          <w:szCs w:val="20"/>
          <w:color w:val="auto"/>
        </w:rPr>
      </w:pPr>
      <w:r>
        <w:rPr>
          <w:rFonts w:ascii="Arial" w:cs="Arial" w:eastAsia="Arial" w:hAnsi="Arial"/>
          <w:sz w:val="17"/>
          <w:szCs w:val="17"/>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vehicle financing and value-added products we sell, our gross profit is equal to the revenue we generate from the sale of such products. Starting in 2022, Product Gross Profit also includes (i) interest income earned on finance receivables from Vroom customers to finance vehicle sales that we originate through UACC before the loans are sold, (ii) interest income on finance receivables held in consolidated VIEs less the interest expense incurred on securitization debt, and when applicable (iii) gain on sales of securitized finance receivables, divided by the number of ecommerce units sold in that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208" w:lineRule="exact"/>
        <w:rPr>
          <w:sz w:val="20"/>
          <w:szCs w:val="20"/>
          <w:color w:val="auto"/>
        </w:rPr>
      </w:pPr>
    </w:p>
    <w:p>
      <w:pPr>
        <w:ind w:right="460" w:firstLine="761"/>
        <w:spacing w:after="0" w:line="260"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208" w:lineRule="exact"/>
        <w:rPr>
          <w:sz w:val="20"/>
          <w:szCs w:val="20"/>
          <w:color w:val="auto"/>
        </w:rPr>
      </w:pPr>
    </w:p>
    <w:p>
      <w:pPr>
        <w:ind w:right="180" w:firstLine="761"/>
        <w:spacing w:after="0" w:line="241"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176"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208" w:lineRule="exact"/>
        <w:rPr>
          <w:sz w:val="20"/>
          <w:szCs w:val="20"/>
          <w:color w:val="auto"/>
        </w:rPr>
      </w:pPr>
    </w:p>
    <w:p>
      <w:pPr>
        <w:ind w:right="40" w:firstLine="761"/>
        <w:spacing w:after="0" w:line="239"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on-site at TDA and through the Wholesale segment. Ecommerce average days to sale is an important metric because a reduction in the number of days between the acquisition of a vehicle and the delivery of such vehicle typically results in a higher gross profit per unit.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turnover</w:t>
      </w:r>
    </w:p>
    <w:p>
      <w:pPr>
        <w:spacing w:after="0" w:line="208" w:lineRule="exact"/>
        <w:rPr>
          <w:sz w:val="20"/>
          <w:szCs w:val="20"/>
          <w:color w:val="auto"/>
        </w:rPr>
      </w:pPr>
    </w:p>
    <w:p>
      <w:pPr>
        <w:ind w:right="160" w:firstLine="749"/>
        <w:spacing w:after="0" w:line="243" w:lineRule="auto"/>
        <w:rPr>
          <w:sz w:val="20"/>
          <w:szCs w:val="20"/>
          <w:color w:val="auto"/>
        </w:rPr>
      </w:pPr>
      <w:r>
        <w:rPr>
          <w:rFonts w:ascii="Arial" w:cs="Arial" w:eastAsia="Arial" w:hAnsi="Arial"/>
          <w:sz w:val="18"/>
          <w:szCs w:val="18"/>
          <w:color w:val="auto"/>
        </w:rPr>
        <w:t>Inventory turnover is a measure of how well we are optimizing our inventory. We calculate inventory turnover for a given period as total retail and wholesale cost of sales for the respective period annualized and divided by average inventory (computed using the current and immediately preceding quarter-end balances). Our inventory turnover ratio is an important metric as a higher turnover ratio reflects a more efficient use of our capital and typically results in a higher gross profit per unit.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days to supply</w:t>
      </w:r>
    </w:p>
    <w:p>
      <w:pPr>
        <w:spacing w:after="0" w:line="208"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We calculate inventory days to supply for a given period by dividing average inventory by total retail and wholesale cost of sales per day for the respective period. Inventory days to supply is an important metric because a reduction in the inventory days to supply typically results in a higher gross profit per unit.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Non-GAAP Financial Measures</w:t>
      </w:r>
    </w:p>
    <w:p>
      <w:pPr>
        <w:spacing w:after="0" w:line="208" w:lineRule="exact"/>
        <w:rPr>
          <w:sz w:val="20"/>
          <w:szCs w:val="20"/>
          <w:color w:val="auto"/>
        </w:rPr>
      </w:pPr>
    </w:p>
    <w:p>
      <w:pPr>
        <w:ind w:right="120" w:firstLine="764"/>
        <w:spacing w:after="0" w:line="238" w:lineRule="auto"/>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Adjusted EBITDA, and Adjusted EBITDA excluding securitization gain.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180" w:lineRule="exact"/>
        <w:rPr>
          <w:sz w:val="20"/>
          <w:szCs w:val="20"/>
          <w:color w:val="auto"/>
        </w:rPr>
      </w:pPr>
    </w:p>
    <w:p>
      <w:pPr>
        <w:ind w:right="180" w:firstLine="764"/>
        <w:spacing w:after="0" w:line="243" w:lineRule="auto"/>
        <w:rPr>
          <w:sz w:val="20"/>
          <w:szCs w:val="20"/>
          <w:color w:val="auto"/>
        </w:rPr>
      </w:pPr>
      <w:r>
        <w:rPr>
          <w:rFonts w:ascii="Arial" w:cs="Arial" w:eastAsia="Arial" w:hAnsi="Arial"/>
          <w:sz w:val="18"/>
          <w:szCs w:val="18"/>
          <w:color w:val="auto"/>
        </w:rPr>
        <w:t>EBITDA, Adjusted EBITDA, and Adjusted EBITDA excluding securitization gain are supplemental performance measures that our management uses to assess our operating performance and the operating leverage in our business. Because EBITDA, Adjusted EBITDA, and Adjusted EBITDA excluding securitization gain facilitate internal comparisons of our historical operating performance on a more consistent basis, we use these measures for business planning purposes.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Adjusted EBITDA excluding securitization gain</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186" w:lineRule="exact"/>
        <w:rPr>
          <w:sz w:val="20"/>
          <w:szCs w:val="20"/>
          <w:color w:val="auto"/>
        </w:rPr>
      </w:pPr>
    </w:p>
    <w:p>
      <w:pPr>
        <w:ind w:right="100" w:firstLine="764"/>
        <w:spacing w:after="0" w:line="237" w:lineRule="auto"/>
        <w:rPr>
          <w:sz w:val="20"/>
          <w:szCs w:val="20"/>
          <w:color w:val="auto"/>
        </w:rPr>
      </w:pPr>
      <w:r>
        <w:rPr>
          <w:rFonts w:ascii="Arial" w:cs="Arial" w:eastAsia="Arial" w:hAnsi="Arial"/>
          <w:sz w:val="18"/>
          <w:szCs w:val="18"/>
          <w:color w:val="auto"/>
        </w:rPr>
        <w:t>We calculate Adjusted EBITDA as EBITDA adjusted to exclude severance costs, gain on debt extinguishment, severe weather-related costs, goodwill impairment charge, realignment costs, acquisition related costs, and other costs related to lease impairment charges associated with closing one of our physical office locations. Changes in fair value of financial instruments can fluctuate significantly from period to period and previously related primarily to historical loans and debt which have been securitized, and acquired on February 1, 2022 from UACC. Our ongoing business model is to originate or purchase finance receivables with the intent to sell which we recognize at the lower of cost or fair value. As a result of current market conditions, the financial instruments related to the 2022-2 and 2023-1 securitization transactions are recognized on balance-sheet and accounted for under the fair value option. See Note 16 — Financial Instruments and Fair Value Measurements to our condensed consolidated financial statements included elsewhere in this Quarterly Report on Form 10-Q. As a result, the majority of our finance receivables are now carried at fair value and a significant portion of the risk of loss associated with these finance receivables have been retained by UACC. We therefore have determined we will no longer make any adjustments for such fluctuations in fair value to our Adjusted EBITDA results. We have recast the prior periods presented to conform to current period presentation. We may account for future securitizations as on balance sheet transactions depending on market conditions.</w:t>
      </w:r>
    </w:p>
    <w:p>
      <w:pPr>
        <w:spacing w:after="0" w:line="180" w:lineRule="exact"/>
        <w:rPr>
          <w:sz w:val="20"/>
          <w:szCs w:val="20"/>
          <w:color w:val="auto"/>
        </w:rPr>
      </w:pPr>
    </w:p>
    <w:p>
      <w:pPr>
        <w:ind w:right="60" w:firstLine="764"/>
        <w:spacing w:after="0" w:line="247" w:lineRule="auto"/>
        <w:rPr>
          <w:sz w:val="20"/>
          <w:szCs w:val="20"/>
          <w:color w:val="auto"/>
        </w:rPr>
      </w:pPr>
      <w:r>
        <w:rPr>
          <w:rFonts w:ascii="Arial" w:cs="Arial" w:eastAsia="Arial" w:hAnsi="Arial"/>
          <w:sz w:val="18"/>
          <w:szCs w:val="18"/>
          <w:color w:val="auto"/>
        </w:rPr>
        <w:t>We calculate Adjusted EBITDA excluding securitization gain as Adjusted EBITDA adjusted to exclude the securitization gain from the sale of UACC's finance receivables as it provides a useful perspective on the underlying operating results and trends as well as a means to compare our period-over-period results.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82" w:lineRule="exact"/>
        <w:rPr>
          <w:sz w:val="20"/>
          <w:szCs w:val="20"/>
          <w:color w:val="auto"/>
        </w:rPr>
      </w:pPr>
    </w:p>
    <w:p>
      <w:pPr>
        <w:ind w:right="260" w:firstLine="764"/>
        <w:spacing w:after="0" w:line="260" w:lineRule="auto"/>
        <w:rPr>
          <w:sz w:val="20"/>
          <w:szCs w:val="20"/>
          <w:color w:val="auto"/>
        </w:rPr>
      </w:pPr>
      <w:r>
        <w:rPr>
          <w:rFonts w:ascii="Arial" w:cs="Arial" w:eastAsia="Arial" w:hAnsi="Arial"/>
          <w:sz w:val="18"/>
          <w:szCs w:val="18"/>
          <w:color w:val="auto"/>
        </w:rPr>
        <w:t>The following table presents a reconciliation of EBITDA, Adjusted EBITDA, and Adjusted EBITDA excluding securitization gain to net loss, which is the most directly comparable U.S. GAAP measure: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6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9"/>
              </w:rPr>
              <w:t>June 30,</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5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183"/>
        </w:trPr>
        <w:tc>
          <w:tcPr>
            <w:tcW w:w="5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(66,318 )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(115,089 )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(141,362 )</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(425,548 )</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8,938</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18,913</w:t>
            </w:r>
          </w:p>
        </w:tc>
        <w:tc>
          <w:tcPr>
            <w:tcW w:w="140" w:type="dxa"/>
            <w:vAlign w:val="bottom"/>
            <w:shd w:val="clear" w:color="auto" w:fill="CFF0FC"/>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(4,921 )</w:t>
            </w:r>
          </w:p>
        </w:tc>
        <w:tc>
          <w:tcPr>
            <w:tcW w:w="3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(3,935 )</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(10,863 )</w:t>
            </w:r>
          </w:p>
        </w:tc>
        <w:tc>
          <w:tcPr>
            <w:tcW w:w="4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(7,887 )</w:t>
            </w:r>
          </w:p>
        </w:tc>
      </w:tr>
      <w:tr>
        <w:trPr>
          <w:trHeight w:val="230"/>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(22,984 )</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10,536</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10,115</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21,173</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18,010</w:t>
            </w:r>
          </w:p>
        </w:tc>
        <w:tc>
          <w:tcPr>
            <w:tcW w:w="140" w:type="dxa"/>
            <w:vAlign w:val="bottom"/>
          </w:tcPr>
          <w:p>
            <w:pPr>
              <w:spacing w:after="0"/>
              <w:rPr>
                <w:sz w:val="19"/>
                <w:szCs w:val="19"/>
                <w:color w:val="auto"/>
              </w:rPr>
            </w:pPr>
          </w:p>
        </w:tc>
      </w:tr>
      <w:tr>
        <w:trPr>
          <w:trHeight w:val="26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(51,380 )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(99,120 )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(111,537 )</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(419,496 )</w:t>
            </w:r>
          </w:p>
        </w:tc>
      </w:tr>
      <w:tr>
        <w:trPr>
          <w:trHeight w:val="210"/>
        </w:trPr>
        <w:tc>
          <w:tcPr>
            <w:tcW w:w="55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Severance costs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6,381</w:t>
            </w:r>
          </w:p>
        </w:tc>
        <w:tc>
          <w:tcPr>
            <w:tcW w:w="28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tcPr>
          <w:p>
            <w:pPr>
              <w:spacing w:after="0"/>
              <w:rPr>
                <w:sz w:val="18"/>
                <w:szCs w:val="18"/>
                <w:color w:val="auto"/>
              </w:rPr>
            </w:pPr>
          </w:p>
        </w:tc>
      </w:tr>
      <w:tr>
        <w:trPr>
          <w:trHeight w:val="22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debt extinguishment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(10,931 )</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(19,640 )</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Hail storm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2,353</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 charge</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201,703</w:t>
            </w:r>
          </w:p>
        </w:tc>
        <w:tc>
          <w:tcPr>
            <w:tcW w:w="140" w:type="dxa"/>
            <w:vAlign w:val="bottom"/>
            <w:shd w:val="clear" w:color="auto" w:fill="CFF0FC"/>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Realignment costs</w:t>
            </w:r>
          </w:p>
        </w:tc>
        <w:tc>
          <w:tcPr>
            <w:tcW w:w="2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9,529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9,529</w:t>
            </w:r>
          </w:p>
        </w:tc>
        <w:tc>
          <w:tcPr>
            <w:tcW w:w="140" w:type="dxa"/>
            <w:vAlign w:val="bottom"/>
          </w:tcPr>
          <w:p>
            <w:pPr>
              <w:spacing w:after="0"/>
              <w:rPr>
                <w:sz w:val="19"/>
                <w:szCs w:val="19"/>
                <w:color w:val="auto"/>
              </w:rPr>
            </w:pPr>
          </w:p>
        </w:tc>
      </w:tr>
      <w:tr>
        <w:trPr>
          <w:trHeight w:val="230"/>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related costs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5,653</w:t>
            </w:r>
          </w:p>
        </w:tc>
        <w:tc>
          <w:tcPr>
            <w:tcW w:w="140" w:type="dxa"/>
            <w:vAlign w:val="bottom"/>
            <w:shd w:val="clear" w:color="auto" w:fill="CFF0FC"/>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40" w:type="dxa"/>
            <w:vAlign w:val="bottom"/>
          </w:tcPr>
          <w:p>
            <w:pPr>
              <w:spacing w:after="0"/>
              <w:rPr>
                <w:sz w:val="19"/>
                <w:szCs w:val="19"/>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(56,329 )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(87,464 )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(121,091 )</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(200,484 )</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8"/>
                <w:szCs w:val="18"/>
                <w:color w:val="auto"/>
              </w:rPr>
              <w:t>Securitization gain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(29,617 )</w:t>
            </w:r>
          </w:p>
        </w:tc>
      </w:tr>
      <w:tr>
        <w:trPr>
          <w:trHeight w:val="20"/>
        </w:trPr>
        <w:tc>
          <w:tcPr>
            <w:tcW w:w="5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 excluding securitization gain</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(56,329 )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(87,464 )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(121,091 )</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(230,101 )</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-1550670</wp:posOffset>
            </wp:positionV>
            <wp:extent cx="2931795" cy="1714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931795" cy="17145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-350520</wp:posOffset>
            </wp:positionV>
            <wp:extent cx="2931795" cy="179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931795" cy="1797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857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857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857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857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857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857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08" w:lineRule="exact"/>
        <w:rPr>
          <w:sz w:val="20"/>
          <w:szCs w:val="20"/>
          <w:color w:val="auto"/>
        </w:rPr>
      </w:pPr>
    </w:p>
    <w:p>
      <w:pPr>
        <w:ind w:right="380" w:firstLine="761"/>
        <w:spacing w:after="0" w:line="260"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 and source vehicles from consumers</w:t>
      </w:r>
    </w:p>
    <w:p>
      <w:pPr>
        <w:spacing w:after="0" w:line="208" w:lineRule="exact"/>
        <w:rPr>
          <w:sz w:val="20"/>
          <w:szCs w:val="20"/>
          <w:color w:val="auto"/>
        </w:rPr>
      </w:pPr>
    </w:p>
    <w:p>
      <w:pPr>
        <w:ind w:right="260" w:firstLine="761"/>
        <w:spacing w:after="0" w:line="243" w:lineRule="auto"/>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as well as our ability to acquire vehicles directly from consumers. Our ability to drive higher customer conversion and increased consumer sourcing depends on our ability to make our platform a compelling choice for consumers based on our functionalities and consumer offerings.</w:t>
      </w:r>
    </w:p>
    <w:p>
      <w:pPr>
        <w:spacing w:after="0" w:line="174" w:lineRule="exact"/>
        <w:rPr>
          <w:sz w:val="20"/>
          <w:szCs w:val="20"/>
          <w:color w:val="auto"/>
        </w:rPr>
      </w:pPr>
    </w:p>
    <w:p>
      <w:pPr>
        <w:ind w:right="100" w:firstLine="761"/>
        <w:spacing w:after="0" w:line="239" w:lineRule="auto"/>
        <w:rPr>
          <w:sz w:val="20"/>
          <w:szCs w:val="20"/>
          <w:color w:val="auto"/>
        </w:rPr>
      </w:pPr>
      <w:r>
        <w:rPr>
          <w:rFonts w:ascii="Arial" w:cs="Arial" w:eastAsia="Arial" w:hAnsi="Arial"/>
          <w:sz w:val="18"/>
          <w:szCs w:val="18"/>
          <w:color w:val="auto"/>
        </w:rPr>
        <w:t>Data science and testing drive decision making across all of our conversion and sourcing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 for consumers looking to purchase vehicles. Similarly, for consumers looking to sell vehicles to us, we use a vast set of data and data science to provide an automated pricing platform that delivers real time, market-driven appraisals, and continually test and optimize in order to further refine our approach to enhance the customer experience and drive increased vehicle purchases.</w:t>
      </w:r>
    </w:p>
    <w:p>
      <w:pPr>
        <w:spacing w:after="0" w:line="181"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Increased conversion and consumer sourcing also depends on our ability to provide the necessary customer support and sales support. Our ongoing investment in our customer experience operations includes investments in processes, technology, and data science. We are continuing to invest in our processes, including optimizing our sales channels using internal and outsourced resources, in order to remove friction and increase transaction flow, and in technology and data science to automate and improve our customer experience, reduce costs per transaction and to drive conversion and consumer sourcing</w:t>
      </w:r>
      <w:r>
        <w:rPr>
          <w:rFonts w:ascii="Arial" w:cs="Arial" w:eastAsia="Arial" w:hAnsi="Arial"/>
          <w:sz w:val="18"/>
          <w:szCs w:val="18"/>
          <w:i w:val="1"/>
          <w:iCs w:val="1"/>
          <w:color w:val="auto"/>
        </w:rPr>
        <w:t>.</w:t>
      </w:r>
    </w:p>
    <w:p>
      <w:pPr>
        <w:spacing w:after="0" w:line="176" w:lineRule="exact"/>
        <w:rPr>
          <w:sz w:val="20"/>
          <w:szCs w:val="20"/>
          <w:color w:val="auto"/>
        </w:rPr>
      </w:pPr>
    </w:p>
    <w:p>
      <w:pPr>
        <w:ind w:right="100" w:firstLine="761"/>
        <w:spacing w:after="0" w:line="241" w:lineRule="auto"/>
        <w:rPr>
          <w:sz w:val="20"/>
          <w:szCs w:val="20"/>
          <w:color w:val="auto"/>
        </w:rPr>
      </w:pPr>
      <w:r>
        <w:rPr>
          <w:rFonts w:ascii="Arial" w:cs="Arial" w:eastAsia="Arial" w:hAnsi="Arial"/>
          <w:sz w:val="18"/>
          <w:szCs w:val="18"/>
          <w:color w:val="auto"/>
        </w:rPr>
        <w:t>As part of our long-term roadmap and in response to a significant staff reduction by our primary third-party telephone sales support provider, we have been building our in-house sales team, have ceased using such third-party telephone sales provider and have meaningfully increased the level of sales supported internally, which we believe will improve our customer experience, and lower our selling costs. However, these reductions negatively impacted our sales volume in the first half of 2023 as we transitioned away from the third-party provider. Nevertheless, we do not expect this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7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transition to have a long-term impact on our sales volume, or financial condition and results of operations as we reduce costs by expanding our internal sales force and leveraging our existing relationships with other sales partners, consistent with our long-term strategy to optimize our cost structure. By the third quarter of 2023, we expect our sales operations to be fully in-house as we wind down our existing relationships with other third-party sales support providers. The ability to successfully grow an effective internal sales team will be critical to our ability to achieve profitable growth.</w:t>
      </w:r>
    </w:p>
    <w:p>
      <w:pPr>
        <w:spacing w:after="0" w:line="176"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In order to address the operational challenges created by our prior rapid growth from 2020 through the first quarter of 2022, including delays in titling and registering vehicles purchased by our customers, we have undertaken various initiatives to improve our transaction processing, enhance our customer experience, and reduce our regulatory risk. These initiatives include increased digitization and electronic transmission of transaction documents and implementation of our digital title vault to ensure that titles are quality checked and vaulted in Vroom's name prior to listing of vehicles on our website. As we improve the customer experience and drive efficiency in transaction processing, we expect that we will attract more visitors, improve conversion, drive greater sales and continue to source vehicles from consumers. If we cannot manage our growth effectively to maintain the quality and efficiency of our customers’ experience, our business, financial condition and results of operations could be materially and adversely affected. See “Risks Related to Our Growth and Strategy—Our prior rapid growth is not indicative of our short-term strategy under our long-term roadmap and, if and when we return to rapid growth, we may not be able to manage our growth effectively" in our Annual Report.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to drive increased gross profit and improvements to our unit economics</w:t>
      </w:r>
    </w:p>
    <w:p>
      <w:pPr>
        <w:spacing w:after="0" w:line="208"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Improving unit economics and driving increased gross profit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as well as lower-price-point vehicles to take advantage of the expanded sales opportunities to customers across the credit spectrum enabled by the UACC Acquisition. The ability to source the optimal mix of quality inventory will continue to be a key driver of improved unit economics and increased gross profit. This ability is enabled by our data science capabilities that leverage the growing amount of data at our disposal and generate predictive data analytics that fine-tune our supply and sourcing models. As we continue to invest in our operational efficiency and data science, we expect that we will improve our unit economics and in turn drive increased gross profit.</w:t>
      </w:r>
    </w:p>
    <w:p>
      <w:pPr>
        <w:spacing w:after="0" w:line="178"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We strategically source inventory from consumers, auctions, rental car companies, OEMs and dealers. For the three and six months ended June 30, 2023, vehicles sourced from consumers represent the substantial majority of our retail inventory sold. Because the quality of vehicles and associated gross margin profile vary across each channel, the mix of inventory sources has an impact on our profitability. We continually evaluate the optimal mix of sourcing channels and strive to source vehicles in a way that generates the highest sales margins and shortest inventory turns in order to maximize our average gross profit per unit and improve our unit economics. For example, purchasing vehicles at third-party auctions is competitive and, consequently, vehicle prices at third-party auctions tend to be higher than vehicle prices for vehicles sourced directly from consumers. Accordingly, as part of our sourcing strategy, we have strategically increased the percentage of vehicle sales that we source from consumers.</w:t>
      </w:r>
    </w:p>
    <w:p>
      <w:pPr>
        <w:spacing w:after="0" w:line="180"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As we continue to make progress on our initiatives to address the operational challenges created by our prior rapid growth from 2020 through the first quarter of 2022, a higher portion of our unit sales in the first half of 2023 was from aged inventory as we obtained titles for vehicles not previously listed for sale, which negatively impacted our GPPU. While we sold through the majority of our aged inventory in the first half of 2023, we expect our aged inventory mix to continue to negatively impact GPPU through the remainder of 2023, but to a lesser extent.</w:t>
      </w:r>
    </w:p>
    <w:p>
      <w:pPr>
        <w:spacing w:after="0" w:line="176" w:lineRule="exact"/>
        <w:rPr>
          <w:sz w:val="20"/>
          <w:szCs w:val="20"/>
          <w:color w:val="auto"/>
        </w:rPr>
      </w:pPr>
    </w:p>
    <w:p>
      <w:pPr>
        <w:jc w:val="both"/>
        <w:ind w:right="180" w:firstLine="761"/>
        <w:spacing w:after="0" w:line="247" w:lineRule="auto"/>
        <w:rPr>
          <w:sz w:val="20"/>
          <w:szCs w:val="20"/>
          <w:color w:val="auto"/>
        </w:rPr>
      </w:pPr>
      <w:r>
        <w:rPr>
          <w:rFonts w:ascii="Arial" w:cs="Arial" w:eastAsia="Arial" w:hAnsi="Arial"/>
          <w:sz w:val="18"/>
          <w:szCs w:val="18"/>
          <w:color w:val="auto"/>
        </w:rPr>
        <w:t>In the latter half of 2022, we began inspecting consumer sourced vehicles and making real time adjustments to acquisition pricing as a result of our scaling proprietary logistics operation, which we expect will provide improvements to our overall gross profit per unit over time.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our reconditioning operations</w:t>
      </w:r>
    </w:p>
    <w:p>
      <w:pPr>
        <w:spacing w:after="0" w:line="208" w:lineRule="exact"/>
        <w:rPr>
          <w:sz w:val="20"/>
          <w:szCs w:val="20"/>
          <w:color w:val="auto"/>
        </w:rPr>
      </w:pPr>
    </w:p>
    <w:p>
      <w:pPr>
        <w:ind w:right="80" w:firstLine="761"/>
        <w:spacing w:after="0" w:line="241" w:lineRule="auto"/>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grow profitably. Our ability to recondition purchased vehicles to our quality standards is a critical component of our business. Historically, we have successfully increased our reconditioning capacity as our business has grown, and our future success will depend on our ability to continue to optimize our reconditioning capacity to satisfy customer demand, maximize profitability, and enhance the customer experience.</w:t>
      </w:r>
    </w:p>
    <w:p>
      <w:pPr>
        <w:spacing w:after="0" w:line="176"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We employ a hybrid approach that combines the use of our proprietary vehicle reconditioning center ("VRC") and VRCs primarily operated by a single third-party provider to best meet our reconditioning needs. We intend to optimize reconditioning capacity and operational efficiency through distributed third-party VRC locations and additional proprietary VRCs. Our use of third-party VRCs to recondition vehicles allows us to avoid additional capital expenditures, quickly adjust capacity, maintain greater operational flexibility and broaden our geographic footprint to drive lower logistics costs. Proprietary VRCs will enable us to have increased control over our reconditioning operations, ensure adequate capacity, optimize our end-to-end supply chain and support our regional operating model. We have integrated regional management of our distributed reconditioning and logistics operations as part of our ongoing efforts to optimize our operations and enhance our customer experience.</w:t>
      </w:r>
    </w:p>
    <w:p>
      <w:pPr>
        <w:spacing w:after="0" w:line="180" w:lineRule="exact"/>
        <w:rPr>
          <w:sz w:val="20"/>
          <w:szCs w:val="20"/>
          <w:color w:val="auto"/>
        </w:rPr>
      </w:pPr>
    </w:p>
    <w:p>
      <w:pPr>
        <w:ind w:right="140" w:firstLine="761"/>
        <w:spacing w:after="0" w:line="241" w:lineRule="auto"/>
        <w:rPr>
          <w:sz w:val="20"/>
          <w:szCs w:val="20"/>
          <w:color w:val="auto"/>
        </w:rPr>
      </w:pPr>
      <w:r>
        <w:rPr>
          <w:rFonts w:ascii="Arial" w:cs="Arial" w:eastAsia="Arial" w:hAnsi="Arial"/>
          <w:sz w:val="18"/>
          <w:szCs w:val="18"/>
          <w:color w:val="auto"/>
        </w:rPr>
        <w:t>Our existing facilities in the Atlanta area provide us with the space and opportunity to develop a secondary proprietary VRC in the future, depending on our future reconditioning needs. Going forward, we will continue to seek to optimize the combination of strategic and geographically dispersed proprietary and third-party VRCs. We will continue to leverage our data science and deep industry experience to strategically select VRC locations where we believe there is the highest supply and demand for our vehicles and enable us to leverage a regional operating model.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our logistics network</w:t>
      </w:r>
    </w:p>
    <w:p>
      <w:pPr>
        <w:spacing w:after="0" w:line="208"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As we scaled our business, we not only added proprietary line-haul capability, but also built our third-party logistics network nationwide through the development of strategic carrier arrangements with national haulers and the consolidation of our carrier base into a smaller number of carriers in dedicated operating regions. We expect that these enhanced logistics operations, combined with the expansion of strategically located VRCs, will drive efficiency in our logistics operations. We have been accelerating our strategy to optimize our hybrid approach by focusing on improving the quality and reliability of our logistics operations. We previously prioritized investment in our last mile hub delivery operations, where we had the greatest impact on the customer experience, including by investing in short-haul vehicles to make regional deliveries from our last mile hubs, and line-haul vehicles for hub-to-hub shipments on high-volume routes and to shorten delivery routes for third-party carriers. We have started to focus on leveraging our proprietary logistics network for inbound transportation related to acquisitions, including driveway inspections for consumer sourced vehicles. We are also continuing to invest in our processes and technology to remove inefficiencies and increase automation. Consistent with our long-term roadmap and the continued development of our regional operating model, we intend to continue to strategically combine the operation of our proprietary fleet with the use of third-party carriers, as well as synchronize our end-to-end supply chain to increase sales velocity and optimize flow of our inventory. We plan to reduce the number of miles our vehicles travel and lower our inbound and outbound transportation costs using our regional operating model. We believe these initiatives will enable us to reduce logistics costs per mile, improve our inventory turnover and provide the highest level of customer service. We expect that optimizing our logistics network through this hybrid approach will result in improved unit economics, increased profitability and an enhanced customer experience.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leverage a regional operating model</w:t>
      </w:r>
    </w:p>
    <w:p>
      <w:pPr>
        <w:spacing w:after="0" w:line="208" w:lineRule="exact"/>
        <w:rPr>
          <w:sz w:val="20"/>
          <w:szCs w:val="20"/>
          <w:color w:val="auto"/>
        </w:rPr>
      </w:pPr>
    </w:p>
    <w:p>
      <w:pPr>
        <w:ind w:right="140" w:firstLine="761"/>
        <w:spacing w:after="0" w:line="239" w:lineRule="auto"/>
        <w:rPr>
          <w:sz w:val="20"/>
          <w:szCs w:val="20"/>
          <w:color w:val="auto"/>
        </w:rPr>
      </w:pPr>
      <w:r>
        <w:rPr>
          <w:rFonts w:ascii="Arial" w:cs="Arial" w:eastAsia="Arial" w:hAnsi="Arial"/>
          <w:sz w:val="18"/>
          <w:szCs w:val="18"/>
          <w:color w:val="auto"/>
        </w:rPr>
        <w:t>As we scaled our business, we achieved a national presence and brand that provides a significant competitive advantage versus local and regional dealers, and has enabled us to take advantage of efficiencies and lower costs of national brand advertising. Our national vehicle operations enable us to leverage a regional operating model, which is designed to reduce our operating expenses, increase our operating leverage and improve our unit economics, while also enhancing our customer experience. The regional operating model will increasingly enhance our approach to each component of our vehicle operations. We believe the efficiencies and cost savings expected to be achieved through the regional operating model will be important components of our path to profitability.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develop and manage our financing capabilities</w:t>
      </w:r>
    </w:p>
    <w:p>
      <w:pPr>
        <w:spacing w:after="0" w:line="208"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Revenue earned on vehicle financing, both through our continued partnerships with third-party lenders and the development of our captive financing capabilities, present an opportunity to grow our business and drive profitability. Strategic partnerships with lenders such as Chase and Ally Financial provide enhanced revenue streams for us, as well as offering convenience, assurance and efficiency for our customers and have contributed to improvements in Product GPPU. In addition, the acquisition of UACC in February 2022 has enabled us to expand our offerings across the credit spectrum and accelerate the development of our captive financing operation, which is one of the key strategic initiatives under our long-term roadmap. We expect to develop UACC into a full captive financing arm with disciplined lending expertise, which would enable us to increase our ecommerce unit sales, expand our penetration into sales to customers across the credit spectrum and improve our unit economics.</w:t>
      </w:r>
    </w:p>
    <w:p>
      <w:pPr>
        <w:spacing w:after="0" w:line="180"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While credit losses are inherent in the automotive finance receivables business, several variables have affected UACC’s recent loss and delinquency rates, including rising interest rates, the current inflationary environment and vehicle depreciation. UACC is currently experiencing higher loss severity and higher losses on its finance receivables, which has negatively impacted the fair value of our finance receivables and the losses recognized during the first half of 2023. Higher than anticipated credit losses may continue to negatively impact our business throughout the remainder of 2023, especially because UACC primarily operates in the sub-prime sector of the market which is expected to have more volatility. Furthermore, advance rates available to UACC on borrowings from the Warehouse Credit Facilities may decrease as a result of the increasing credit losses in UACC's portfolio and overall rising interest rates, which may in turn have adverse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impact on our liquidity.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securitize UACC's loan portfolio</w:t>
      </w:r>
    </w:p>
    <w:p>
      <w:pPr>
        <w:spacing w:after="0" w:line="208"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The success of UACC's business is highly dependent on the ability to securitize and sell the automotive finance receivables that it underwrites. As a result of increasing interest rates, the current inflationary environment and vehicle depreciation in the used automotive industry, UACC is experiencing higher loss severity in a soft securitization market. As a result, UACC may not be able to securitize its loan portfolio on favorable terms, or may not be able to sell the subordinate notes or residual certificates issued in its securitizations at a favorable price or at all.</w:t>
      </w:r>
    </w:p>
    <w:p>
      <w:pPr>
        <w:spacing w:after="0" w:line="176"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We intend to structure UACC's securitization transactions to achieve off-balance sheet accounting treatment and recognize a gain on sale of the securitized finance receivables. However, if UACC fails to sell the subordinate notes or the residual interests, it will preclude us from recognizing the sale and result in the securitization trust being consolidated and therefore remaining on balance sheet. In January 2023, UACC completed the 2023-1 securitization transaction, selling the investment grade rated asset-backed securities, and in April 2023, UACC sold the non-investment grade rated securities. As a result of current market conditions, which led to unfavorable pricing, UACC retained the residual interests and we accounted for the 2023-1 securitization transaction as secured borrowings. The related finance receivables and securitization debt remain on balance sheet. In the future, we may account for UACC securitizations as on balance sheet transactions depending on the market conditions.</w:t>
      </w:r>
    </w:p>
    <w:p>
      <w:pPr>
        <w:spacing w:after="0" w:line="180" w:lineRule="exact"/>
        <w:rPr>
          <w:sz w:val="20"/>
          <w:szCs w:val="20"/>
          <w:color w:val="auto"/>
        </w:rPr>
      </w:pPr>
    </w:p>
    <w:p>
      <w:pPr>
        <w:ind w:right="300" w:firstLine="761"/>
        <w:spacing w:after="0" w:line="243" w:lineRule="auto"/>
        <w:rPr>
          <w:sz w:val="20"/>
          <w:szCs w:val="20"/>
          <w:color w:val="auto"/>
        </w:rPr>
      </w:pPr>
      <w:r>
        <w:rPr>
          <w:rFonts w:ascii="Arial" w:cs="Arial" w:eastAsia="Arial" w:hAnsi="Arial"/>
          <w:sz w:val="18"/>
          <w:szCs w:val="18"/>
          <w:color w:val="auto"/>
        </w:rPr>
        <w:t>In addition, due to the increased loss severity,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resulted in reduced servicing income.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value-added products</w:t>
      </w:r>
    </w:p>
    <w:p>
      <w:pPr>
        <w:spacing w:after="0" w:line="208" w:lineRule="exact"/>
        <w:rPr>
          <w:sz w:val="20"/>
          <w:szCs w:val="20"/>
          <w:color w:val="auto"/>
        </w:rPr>
      </w:pPr>
    </w:p>
    <w:p>
      <w:pPr>
        <w:ind w:right="40" w:firstLine="761"/>
        <w:spacing w:after="0" w:line="239"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other third-party value-added product offerings consist of protection products, such as vehicle service contracts, GAP protection and tire and wheel coverage. Our offering of value-added products in addition to vehicle financing is an integral part of providing a seamless vehicle-buying experience to our customers. We sell our protection products through our strategic relationships with third parties who bear the incremental risks associated with the underwriting of such protection products. Because we are paid fees on value-added products we sell, our gross profit is equal to the revenue we generate on such sales. As a result, such sales help drive total gross profit per unit.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08"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typically depreciate at a faster rate in the last two quarters of each year and a slower rate in the first two quarters of each year. However, the past few years have not followed typical depreciation trends and there remains continued uncertainty surrounding market trends. See “Risk Factors—Risks Related to Our Financial Condition and Results of Operations—We may experience seasonal and other fluctuations in our quarterly results of operations, which may not fully reflect the underlying performance of our business” in our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Factors</w:t>
      </w:r>
    </w:p>
    <w:p>
      <w:pPr>
        <w:spacing w:after="0" w:line="208"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Both the United States and global economies are experiencing a sustained inflationary environment and the Federal Reserve’s efforts to tame inflation have led to, and may continue to lead to, increased interest rates, which affects automotive finance rates, reducing discretionary spending and making vehicle financing more costly and less accessible to many consumers. In addition, economists believe the global economy may experience a recessionary environment in 2023. On March 10 and March 12, 2023, the Federal Deposit Insurance Corporation ("FDIC") took control and was appointed receiver of Silicon Valley Bank and Signature Bank, respectively. Other regional banks also closed or faced risk of closure, which created additional economic uncertainty. Moreover, Russia’s invasion of Ukraine and resulting sanctions by the United States, European Union and other countries has increased global economic and political uncertainty, which has caused dramatic fluctuations in global financial markets and uncertainty about world-wide oil supply and demand, which in turn has increased the volatility of oil and natural gas prices. A significant escalation or expansion of economic disruption could continue to impact consumer spending, disrupt our supply chain, broaden inflationary costs, and could have a material adverse effect on our results of operations. We will continue to actively monitor and develop responses to these disruptions, but depending on duration and severity, these trends could continue to negatively impact our business throughout 2023.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204" w:lineRule="exact"/>
        <w:rPr>
          <w:sz w:val="20"/>
          <w:szCs w:val="20"/>
          <w:color w:val="auto"/>
        </w:rPr>
      </w:pPr>
    </w:p>
    <w:p>
      <w:pPr>
        <w:jc w:val="both"/>
        <w:ind w:right="20" w:firstLine="761"/>
        <w:spacing w:after="0" w:line="247" w:lineRule="auto"/>
        <w:rPr>
          <w:sz w:val="20"/>
          <w:szCs w:val="20"/>
          <w:color w:val="auto"/>
        </w:rPr>
      </w:pPr>
      <w:r>
        <w:rPr>
          <w:rFonts w:ascii="Arial" w:cs="Arial" w:eastAsia="Arial" w:hAnsi="Arial"/>
          <w:sz w:val="18"/>
          <w:szCs w:val="18"/>
          <w:color w:val="auto"/>
        </w:rPr>
        <w:t>We sell retail vehicles through both our ecommerce platform and TDA. Revenue from vehicle sales, including any delivery charges, is recognized when vehicles are delivered to the customers or picked up at our TDA retail location, net of a reserve for estimated returns. The number of units sold and the average selling price (“ASP”) per unit are the primary factors impacting our retail revenue stream.</w:t>
      </w:r>
    </w:p>
    <w:p>
      <w:pPr>
        <w:spacing w:after="0" w:line="171" w:lineRule="exact"/>
        <w:rPr>
          <w:sz w:val="20"/>
          <w:szCs w:val="20"/>
          <w:color w:val="auto"/>
        </w:rPr>
      </w:pPr>
    </w:p>
    <w:p>
      <w:pPr>
        <w:ind w:right="200" w:firstLine="761"/>
        <w:spacing w:after="0" w:line="247" w:lineRule="auto"/>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our ability to expand our reconditioning operations and logistics network, and our ability to provide adequate sales and sales support to service our demand.</w:t>
      </w:r>
    </w:p>
    <w:p>
      <w:pPr>
        <w:spacing w:after="0" w:line="171" w:lineRule="exact"/>
        <w:rPr>
          <w:sz w:val="20"/>
          <w:szCs w:val="20"/>
          <w:color w:val="auto"/>
        </w:rPr>
      </w:pPr>
    </w:p>
    <w:p>
      <w:pPr>
        <w:ind w:right="420" w:firstLine="761"/>
        <w:spacing w:after="0" w:line="260" w:lineRule="auto"/>
        <w:rPr>
          <w:sz w:val="20"/>
          <w:szCs w:val="20"/>
          <w:color w:val="auto"/>
        </w:rPr>
      </w:pPr>
      <w:r>
        <w:rPr>
          <w:rFonts w:ascii="Arial" w:cs="Arial" w:eastAsia="Arial" w:hAnsi="Arial"/>
          <w:sz w:val="18"/>
          <w:szCs w:val="18"/>
          <w:color w:val="auto"/>
        </w:rPr>
        <w:t>ASP depends primarily on our acquisition and pricing strategies (which in turn depend in part on demand predicted by our data analytics), retail used vehicle market prices, our average days to sale and our reconditioning and logistics costs.</w:t>
      </w:r>
    </w:p>
    <w:p>
      <w:pPr>
        <w:spacing w:after="0" w:line="159" w:lineRule="exact"/>
        <w:rPr>
          <w:sz w:val="20"/>
          <w:szCs w:val="20"/>
          <w:color w:val="auto"/>
        </w:rPr>
      </w:pPr>
    </w:p>
    <w:p>
      <w:pPr>
        <w:ind w:right="180" w:firstLine="761"/>
        <w:spacing w:after="0" w:line="260" w:lineRule="auto"/>
        <w:rPr>
          <w:sz w:val="20"/>
          <w:szCs w:val="20"/>
          <w:color w:val="auto"/>
        </w:rPr>
      </w:pPr>
      <w:r>
        <w:rPr>
          <w:rFonts w:ascii="Arial" w:cs="Arial" w:eastAsia="Arial" w:hAnsi="Arial"/>
          <w:sz w:val="18"/>
          <w:szCs w:val="18"/>
          <w:color w:val="auto"/>
        </w:rPr>
        <w:t>As a data-driven company, we acquire inventory based upon demand predicted by our data analytics. We expect ASP to continue to fluctuate as a result of market conditions and based upon demand predicted by our data analytics.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204" w:lineRule="exact"/>
        <w:rPr>
          <w:sz w:val="20"/>
          <w:szCs w:val="20"/>
          <w:color w:val="auto"/>
        </w:rPr>
      </w:pPr>
    </w:p>
    <w:p>
      <w:pPr>
        <w:ind w:right="80" w:firstLine="761"/>
        <w:spacing w:after="0" w:line="243" w:lineRule="auto"/>
        <w:rPr>
          <w:sz w:val="20"/>
          <w:szCs w:val="20"/>
          <w:color w:val="auto"/>
        </w:rPr>
      </w:pPr>
      <w:r>
        <w:rPr>
          <w:rFonts w:ascii="Arial" w:cs="Arial" w:eastAsia="Arial" w:hAnsi="Arial"/>
          <w:sz w:val="18"/>
          <w:szCs w:val="18"/>
          <w:color w:val="auto"/>
        </w:rPr>
        <w:t>We sell vehicles that do not meet our Vroom retail sales criteria through wholesale channels. Vehicles sold through wholesale channels are acquired from customers who trade-in their vehicles when making a purchase from us, from customers who sell their vehicle to us in direct-buy transactions, and from liquidation of vehicles previously listed for retail sale. The number of wholesale vehicles sold and the ASP per unit are the primary drivers of wholesale revenue.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79" w:lineRule="exact"/>
        <w:rPr>
          <w:sz w:val="20"/>
          <w:szCs w:val="20"/>
          <w:color w:val="auto"/>
        </w:rPr>
      </w:pPr>
    </w:p>
    <w:p>
      <w:pPr>
        <w:ind w:right="880"/>
        <w:spacing w:after="0" w:line="469" w:lineRule="auto"/>
        <w:rPr>
          <w:sz w:val="20"/>
          <w:szCs w:val="20"/>
          <w:color w:val="auto"/>
        </w:rPr>
      </w:pPr>
      <w:r>
        <w:rPr>
          <w:rFonts w:ascii="Arial" w:cs="Arial" w:eastAsia="Arial" w:hAnsi="Arial"/>
          <w:sz w:val="18"/>
          <w:szCs w:val="18"/>
          <w:color w:val="auto"/>
        </w:rPr>
        <w:t xml:space="preserve">ASP per unit is affected by the mix of the vehicles we acquire and general supply and demand conditions in the wholesale market. </w:t>
      </w:r>
      <w:r>
        <w:rPr>
          <w:rFonts w:ascii="Arial" w:cs="Arial" w:eastAsia="Arial" w:hAnsi="Arial"/>
          <w:sz w:val="18"/>
          <w:szCs w:val="18"/>
          <w:i w:val="1"/>
          <w:iCs w:val="1"/>
          <w:color w:val="auto"/>
        </w:rPr>
        <w:t>Product revenue</w:t>
      </w:r>
    </w:p>
    <w:p>
      <w:pPr>
        <w:spacing w:after="0" w:line="1" w:lineRule="exact"/>
        <w:rPr>
          <w:sz w:val="20"/>
          <w:szCs w:val="20"/>
          <w:color w:val="auto"/>
        </w:rPr>
      </w:pPr>
    </w:p>
    <w:p>
      <w:pPr>
        <w:ind w:right="160" w:firstLine="761"/>
        <w:spacing w:after="0" w:line="247" w:lineRule="auto"/>
        <w:rPr>
          <w:sz w:val="20"/>
          <w:szCs w:val="20"/>
          <w:color w:val="auto"/>
        </w:rPr>
      </w:pPr>
      <w:r>
        <w:rPr>
          <w:rFonts w:ascii="Arial" w:cs="Arial" w:eastAsia="Arial" w:hAnsi="Arial"/>
          <w:sz w:val="18"/>
          <w:szCs w:val="18"/>
          <w:color w:val="auto"/>
        </w:rPr>
        <w:t>We generate revenue by financing vehicle sales through UACC, earning fees on sales of third-party financing, and sales of value-added products to our customers in connection with vehicle sales, such as vehicle service contracts, GAP protection and tire and wheel coverage.</w:t>
      </w:r>
    </w:p>
    <w:p>
      <w:pPr>
        <w:spacing w:after="0" w:line="171"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 xml:space="preserve">As a result of the UACC Acquisition, we generate ecommerce product revenue from receivables generated by financing provided to Vroom customers through our captive financing operation. We earn interest income on such finance receivables before the loans are sold, interest income on finance receivables held in consolidated VIEs, and, when applicable, gain on the sales of these securitized finance receivables. We account for sales of these finance receivables in accordance with ASC Topic 860, </w:t>
      </w:r>
      <w:r>
        <w:rPr>
          <w:rFonts w:ascii="Arial" w:cs="Arial" w:eastAsia="Arial" w:hAnsi="Arial"/>
          <w:sz w:val="18"/>
          <w:szCs w:val="18"/>
          <w:i w:val="1"/>
          <w:iCs w:val="1"/>
          <w:color w:val="auto"/>
        </w:rPr>
        <w:t>Transfers and Servicing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("ASC 860")</w:t>
      </w:r>
      <w:r>
        <w:rPr>
          <w:rFonts w:ascii="Arial" w:cs="Arial" w:eastAsia="Arial" w:hAnsi="Arial"/>
          <w:sz w:val="18"/>
          <w:szCs w:val="18"/>
          <w:color w:val="auto"/>
        </w:rPr>
        <w:t>. In order for transfers of the finance receivables to qualify as sales, the finance receivables being transferred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legally isolated, may not be constrained by restrictions from further transfer, and must be deemed to be beyond our control. Although our long-term plan is to structure future securitization transactions to qualify for sale accounting, similar to the 2022-1 securitization transaction, for which the gain on sale was recorded in “Finance revenue”, as discussed below, current market conditions may impact our ability to achieve sales accounting treatment.</w:t>
      </w:r>
    </w:p>
    <w:p>
      <w:pPr>
        <w:spacing w:after="0" w:line="178" w:lineRule="exact"/>
        <w:rPr>
          <w:sz w:val="20"/>
          <w:szCs w:val="20"/>
          <w:color w:val="auto"/>
        </w:rPr>
      </w:pPr>
    </w:p>
    <w:p>
      <w:pPr>
        <w:ind w:right="100" w:firstLine="761"/>
        <w:spacing w:after="0" w:line="247" w:lineRule="auto"/>
        <w:rPr>
          <w:sz w:val="20"/>
          <w:szCs w:val="20"/>
          <w:color w:val="auto"/>
        </w:rPr>
      </w:pPr>
      <w:r>
        <w:rPr>
          <w:rFonts w:ascii="Arial" w:cs="Arial" w:eastAsia="Arial" w:hAnsi="Arial"/>
          <w:sz w:val="18"/>
          <w:szCs w:val="18"/>
          <w:color w:val="auto"/>
        </w:rPr>
        <w:t>In January 2023, UACC completed the 2023-1 securitization transaction, retaining the residual interests, and we accounted for the 2023-1 securitization transaction as secured borrowings. During the first quarter of 2023, we also consolidated the 2022-2 securitization transaction and accounted for it as secured borrowings. Refer to "Finance revenue" below for further details.</w:t>
      </w:r>
    </w:p>
    <w:p>
      <w:pPr>
        <w:spacing w:after="0" w:line="171" w:lineRule="exact"/>
        <w:rPr>
          <w:sz w:val="20"/>
          <w:szCs w:val="20"/>
          <w:color w:val="auto"/>
        </w:rPr>
      </w:pPr>
    </w:p>
    <w:p>
      <w:pPr>
        <w:jc w:val="both"/>
        <w:ind w:right="160" w:firstLine="761"/>
        <w:spacing w:after="0" w:line="247" w:lineRule="auto"/>
        <w:rPr>
          <w:sz w:val="20"/>
          <w:szCs w:val="20"/>
          <w:color w:val="auto"/>
        </w:rPr>
      </w:pPr>
      <w:r>
        <w:rPr>
          <w:rFonts w:ascii="Arial" w:cs="Arial" w:eastAsia="Arial" w:hAnsi="Arial"/>
          <w:sz w:val="18"/>
          <w:szCs w:val="18"/>
          <w:color w:val="auto"/>
        </w:rPr>
        <w:t>The revenue we are able to generate from these sales will be dependent on the current market conditions, the number of finance receivables UACC originates with our customers, the average principal balance of the finance receivables, the credit quality of the portfolio, and the price at which they are sold in securitization transactions or through forward flow arrangements.</w:t>
      </w:r>
    </w:p>
    <w:p>
      <w:pPr>
        <w:spacing w:after="0" w:line="171"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We also earn fees on third-party financing and value-added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 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 A portion of the fees we receive is subject to chargeback in the event of early termination, default, or prepayment of the contracts by our customers. We recognize product revenue net of reserves for estimated chargebacks.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revenue</w:t>
      </w:r>
    </w:p>
    <w:p>
      <w:pPr>
        <w:spacing w:after="0" w:line="204" w:lineRule="exact"/>
        <w:rPr>
          <w:sz w:val="20"/>
          <w:szCs w:val="20"/>
          <w:color w:val="auto"/>
        </w:rPr>
      </w:pPr>
    </w:p>
    <w:p>
      <w:pPr>
        <w:jc w:val="both"/>
        <w:ind w:right="260" w:firstLine="764"/>
        <w:spacing w:after="0" w:line="247" w:lineRule="auto"/>
        <w:rPr>
          <w:sz w:val="20"/>
          <w:szCs w:val="20"/>
          <w:color w:val="auto"/>
        </w:rPr>
      </w:pPr>
      <w:r>
        <w:rPr>
          <w:rFonts w:ascii="Arial" w:cs="Arial" w:eastAsia="Arial" w:hAnsi="Arial"/>
          <w:sz w:val="18"/>
          <w:szCs w:val="18"/>
          <w:color w:val="auto"/>
        </w:rPr>
        <w:t>Our finance revenue is related to finance receivables originated by UACC for its network of third-party dealership customers and consists of interest income earned on finance receivables before the loans are sold, interest income earned on finance receivables held in consolidated VIEs, and, when applicable, gains on the sale of securitized finance receivables.</w:t>
      </w:r>
    </w:p>
    <w:p>
      <w:pPr>
        <w:spacing w:after="0" w:line="171" w:lineRule="exact"/>
        <w:rPr>
          <w:sz w:val="20"/>
          <w:szCs w:val="20"/>
          <w:color w:val="auto"/>
        </w:rPr>
      </w:pPr>
    </w:p>
    <w:p>
      <w:pPr>
        <w:ind w:right="520" w:firstLine="764"/>
        <w:spacing w:after="0" w:line="260" w:lineRule="auto"/>
        <w:rPr>
          <w:sz w:val="20"/>
          <w:szCs w:val="20"/>
          <w:color w:val="auto"/>
        </w:rPr>
      </w:pPr>
      <w:r>
        <w:rPr>
          <w:rFonts w:ascii="Arial" w:cs="Arial" w:eastAsia="Arial" w:hAnsi="Arial"/>
          <w:sz w:val="18"/>
          <w:szCs w:val="18"/>
          <w:color w:val="auto"/>
        </w:rPr>
        <w:t>UACC acquires and services finance receivables from its network of third-party dealership customers and generates revenue through the sales of these financing receivables. We account for sales of finance receivables in accordance with ASC 860.</w:t>
      </w:r>
    </w:p>
    <w:p>
      <w:pPr>
        <w:spacing w:after="0" w:line="159" w:lineRule="exact"/>
        <w:rPr>
          <w:sz w:val="20"/>
          <w:szCs w:val="20"/>
          <w:color w:val="auto"/>
        </w:rPr>
      </w:pPr>
    </w:p>
    <w:p>
      <w:pPr>
        <w:ind w:right="360" w:firstLine="764"/>
        <w:spacing w:after="0" w:line="260" w:lineRule="auto"/>
        <w:rPr>
          <w:sz w:val="20"/>
          <w:szCs w:val="20"/>
          <w:color w:val="auto"/>
        </w:rPr>
      </w:pPr>
      <w:r>
        <w:rPr>
          <w:rFonts w:ascii="Arial" w:cs="Arial" w:eastAsia="Arial" w:hAnsi="Arial"/>
          <w:sz w:val="18"/>
          <w:szCs w:val="18"/>
          <w:color w:val="auto"/>
        </w:rPr>
        <w:t>For any securitization transactions that are accounted for as secured borrowings, we recognize interest income, which includes finance charges and servicing fees in accordance with the terms of the related customer agreements.</w:t>
      </w:r>
    </w:p>
    <w:p>
      <w:pPr>
        <w:spacing w:after="0" w:line="159" w:lineRule="exact"/>
        <w:rPr>
          <w:sz w:val="20"/>
          <w:szCs w:val="20"/>
          <w:color w:val="auto"/>
        </w:rPr>
      </w:pPr>
    </w:p>
    <w:p>
      <w:pPr>
        <w:ind w:firstLine="764"/>
        <w:spacing w:after="0" w:line="243" w:lineRule="auto"/>
        <w:rPr>
          <w:sz w:val="20"/>
          <w:szCs w:val="20"/>
          <w:color w:val="auto"/>
        </w:rPr>
      </w:pPr>
      <w:r>
        <w:rPr>
          <w:rFonts w:ascii="Arial" w:cs="Arial" w:eastAsia="Arial" w:hAnsi="Arial"/>
          <w:sz w:val="18"/>
          <w:szCs w:val="18"/>
          <w:color w:val="auto"/>
        </w:rPr>
        <w:t>In February 2022, UACC completed the 2022-1 securitization transaction, which qualified as sales, therefore we recorded a gain on the sale of the finance receivables. The amount of the gain is equal to the fair value of the net proceeds received less the carrying amount of the finance receivables. Although our long-term plan is to structure future securitization transactions similar to the 2022-1 securitization transaction and account for them as sales, market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7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conditions may impact our ability to achieve sales accounting treatment. In January 2023, UACC completed the 2023-1 securitization transaction, selling the investment grade rated asset-backed securities, and in April 2023, UACC sold the non-investment grade rated securities. As a result of current market conditions, which led to unfavorable pricing, UACC retained the residual interests and we accounted for the 2023-1 securitization transaction as secured borrowings. The related finance receivables and securitization debt remained on balance sheet. We may account for future securitizations as on balance sheet transactions depending on the market conditions.</w:t>
      </w:r>
    </w:p>
    <w:p>
      <w:pPr>
        <w:spacing w:after="0" w:line="176" w:lineRule="exact"/>
        <w:rPr>
          <w:sz w:val="20"/>
          <w:szCs w:val="20"/>
          <w:color w:val="auto"/>
        </w:rPr>
      </w:pPr>
    </w:p>
    <w:p>
      <w:pPr>
        <w:ind w:right="20" w:firstLine="764"/>
        <w:spacing w:after="0" w:line="247" w:lineRule="auto"/>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for the 2022-1 securitization transaction and 3.25% for the 2022-2 and 2023-1 securitization transactions of the outstanding principal balance of the finance receivables serviced.</w:t>
      </w:r>
    </w:p>
    <w:p>
      <w:pPr>
        <w:spacing w:after="0" w:line="171" w:lineRule="exact"/>
        <w:rPr>
          <w:sz w:val="20"/>
          <w:szCs w:val="20"/>
          <w:color w:val="auto"/>
        </w:rPr>
      </w:pPr>
    </w:p>
    <w:p>
      <w:pPr>
        <w:ind w:right="20" w:firstLine="764"/>
        <w:spacing w:after="0" w:line="241" w:lineRule="auto"/>
        <w:rPr>
          <w:sz w:val="20"/>
          <w:szCs w:val="20"/>
          <w:color w:val="auto"/>
        </w:rPr>
      </w:pPr>
      <w:r>
        <w:rPr>
          <w:rFonts w:ascii="Arial" w:cs="Arial" w:eastAsia="Arial" w:hAnsi="Arial"/>
          <w:sz w:val="18"/>
          <w:szCs w:val="18"/>
          <w:color w:val="auto"/>
        </w:rPr>
        <w:t>As a result of increasing interest rates, the current inflationary environment and vehicle depreciation in the used automotive industry, UACC is experiencing higher loss severity in a soft securitization market. The increased loss severity could lead to reduced servicing income if UACC elects to waive monthly servicing fees going forward as it did in the first quarter of 2023. The waiver of servicing fees related to the 2022-2 securitization transaction resulted in consolidation of the related finance receivables and securitization debt on our financial statements.</w:t>
      </w:r>
    </w:p>
    <w:p>
      <w:pPr>
        <w:spacing w:after="0" w:line="176" w:lineRule="exact"/>
        <w:rPr>
          <w:sz w:val="20"/>
          <w:szCs w:val="20"/>
          <w:color w:val="auto"/>
        </w:rPr>
      </w:pPr>
    </w:p>
    <w:p>
      <w:pPr>
        <w:ind w:right="240" w:firstLine="761"/>
        <w:spacing w:after="0" w:line="260" w:lineRule="auto"/>
        <w:rPr>
          <w:sz w:val="20"/>
          <w:szCs w:val="20"/>
          <w:color w:val="auto"/>
        </w:rPr>
      </w:pPr>
      <w:r>
        <w:rPr>
          <w:rFonts w:ascii="Arial" w:cs="Arial" w:eastAsia="Arial" w:hAnsi="Arial"/>
          <w:sz w:val="18"/>
          <w:szCs w:val="18"/>
          <w:color w:val="auto"/>
        </w:rPr>
        <w:t>See “Note 3—Revenue Recognition” and "Note 4 – Variable Interest Entities and Securitizations" to our condensed consolidated financial statements included elsewhere in this Quarterly Report on Form 10-Q.</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cost of sales</w:t>
      </w:r>
    </w:p>
    <w:p>
      <w:pPr>
        <w:spacing w:after="0" w:line="204" w:lineRule="exact"/>
        <w:rPr>
          <w:sz w:val="20"/>
          <w:szCs w:val="20"/>
          <w:color w:val="auto"/>
        </w:rPr>
      </w:pPr>
    </w:p>
    <w:p>
      <w:pPr>
        <w:ind w:right="100" w:firstLine="761"/>
        <w:spacing w:after="0" w:line="239" w:lineRule="auto"/>
        <w:rPr>
          <w:sz w:val="20"/>
          <w:szCs w:val="20"/>
          <w:color w:val="auto"/>
        </w:rPr>
      </w:pPr>
      <w:r>
        <w:rPr>
          <w:rFonts w:ascii="Arial" w:cs="Arial" w:eastAsia="Arial" w:hAnsi="Arial"/>
          <w:sz w:val="18"/>
          <w:szCs w:val="18"/>
          <w:color w:val="auto"/>
        </w:rPr>
        <w:t>Retail 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cost of sales</w:t>
      </w:r>
    </w:p>
    <w:p>
      <w:pPr>
        <w:spacing w:after="0" w:line="204" w:lineRule="exact"/>
        <w:rPr>
          <w:sz w:val="20"/>
          <w:szCs w:val="20"/>
          <w:color w:val="auto"/>
        </w:rPr>
      </w:pPr>
    </w:p>
    <w:p>
      <w:pPr>
        <w:ind w:right="320" w:firstLine="761"/>
        <w:spacing w:after="0" w:line="260" w:lineRule="auto"/>
        <w:rPr>
          <w:sz w:val="20"/>
          <w:szCs w:val="20"/>
          <w:color w:val="auto"/>
        </w:rPr>
      </w:pPr>
      <w:r>
        <w:rPr>
          <w:rFonts w:ascii="Arial" w:cs="Arial" w:eastAsia="Arial" w:hAnsi="Arial"/>
          <w:sz w:val="18"/>
          <w:szCs w:val="18"/>
          <w:color w:val="auto"/>
        </w:rPr>
        <w:t>Wholesale cost of sales primarily includes costs to acquire vehicles sold through wholesale channels as well as any accounting adjustments to reflect vehicle inventory at the lower of cost or net realizable value.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cost of sales</w:t>
      </w:r>
    </w:p>
    <w:p>
      <w:pPr>
        <w:spacing w:after="0" w:line="204" w:lineRule="exact"/>
        <w:rPr>
          <w:sz w:val="20"/>
          <w:szCs w:val="20"/>
          <w:color w:val="auto"/>
        </w:rPr>
      </w:pPr>
    </w:p>
    <w:p>
      <w:pPr>
        <w:ind w:firstLine="761"/>
        <w:spacing w:after="0" w:line="260" w:lineRule="auto"/>
        <w:rPr>
          <w:sz w:val="20"/>
          <w:szCs w:val="20"/>
          <w:color w:val="auto"/>
        </w:rPr>
      </w:pPr>
      <w:r>
        <w:rPr>
          <w:rFonts w:ascii="Arial" w:cs="Arial" w:eastAsia="Arial" w:hAnsi="Arial"/>
          <w:sz w:val="18"/>
          <w:szCs w:val="18"/>
          <w:color w:val="auto"/>
        </w:rPr>
        <w:t>Product cost of sales consists of interest expense incurred on securitization debt related to finance receivables originated by UACC for Vroom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cost of sales</w:t>
      </w:r>
    </w:p>
    <w:p>
      <w:pPr>
        <w:spacing w:after="0" w:line="204" w:lineRule="exact"/>
        <w:rPr>
          <w:sz w:val="20"/>
          <w:szCs w:val="20"/>
          <w:color w:val="auto"/>
        </w:rPr>
      </w:pPr>
    </w:p>
    <w:p>
      <w:pPr>
        <w:ind w:right="160" w:firstLine="761"/>
        <w:spacing w:after="0" w:line="260" w:lineRule="auto"/>
        <w:rPr>
          <w:sz w:val="20"/>
          <w:szCs w:val="20"/>
          <w:color w:val="auto"/>
        </w:rPr>
      </w:pPr>
      <w:r>
        <w:rPr>
          <w:rFonts w:ascii="Arial" w:cs="Arial" w:eastAsia="Arial" w:hAnsi="Arial"/>
          <w:sz w:val="18"/>
          <w:szCs w:val="18"/>
          <w:color w:val="auto"/>
        </w:rPr>
        <w:t>Finance cost of sales consists of interest expense incurred on securitization debt originated by UACC for its network of third-party dealership customers and collection expenses related to servicing finance receivables.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8" w:lineRule="exact"/>
        <w:rPr>
          <w:sz w:val="20"/>
          <w:szCs w:val="20"/>
          <w:color w:val="auto"/>
        </w:rPr>
      </w:pPr>
    </w:p>
    <w:p>
      <w:pPr>
        <w:ind w:right="580" w:firstLine="761"/>
        <w:spacing w:after="0" w:line="247" w:lineRule="auto"/>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professional fees for accounting, auditing, tax, legal and consulting services and software and IT costs.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08" w:lineRule="exact"/>
        <w:rPr>
          <w:sz w:val="20"/>
          <w:szCs w:val="20"/>
          <w:color w:val="auto"/>
        </w:rPr>
      </w:pPr>
    </w:p>
    <w:p>
      <w:pPr>
        <w:ind w:right="320" w:firstLine="761"/>
        <w:spacing w:after="0" w:line="241" w:lineRule="auto"/>
        <w:rPr>
          <w:sz w:val="20"/>
          <w:szCs w:val="20"/>
          <w:color w:val="auto"/>
        </w:rPr>
      </w:pPr>
      <w:r>
        <w:rPr>
          <w:rFonts w:ascii="Arial" w:cs="Arial" w:eastAsia="Arial" w:hAnsi="Arial"/>
          <w:sz w:val="18"/>
          <w:szCs w:val="18"/>
          <w:color w:val="auto"/>
        </w:rPr>
        <w:t>Our depreciation and amortization expense primarily includes: depreciation related to our leasehold improvements and logistics fleet; amortization related to intangible assets in acquired businesses; and capitalized internal use software costs incurred in the development of our platform and website applications. Depreciation expense related to our Vroom VRC and the portion of depreciation expense for our proprietary logistics fleet related to inbound transportation is included in cost of sales in the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08" w:lineRule="exact"/>
        <w:rPr>
          <w:sz w:val="20"/>
          <w:szCs w:val="20"/>
          <w:color w:val="auto"/>
        </w:rPr>
      </w:pPr>
    </w:p>
    <w:p>
      <w:pPr>
        <w:ind w:right="780" w:firstLine="761"/>
        <w:spacing w:after="0" w:line="260" w:lineRule="auto"/>
        <w:rPr>
          <w:sz w:val="20"/>
          <w:szCs w:val="20"/>
          <w:color w:val="auto"/>
        </w:rPr>
      </w:pPr>
      <w:r>
        <w:rPr>
          <w:rFonts w:ascii="Arial" w:cs="Arial" w:eastAsia="Arial" w:hAnsi="Arial"/>
          <w:sz w:val="18"/>
          <w:szCs w:val="18"/>
          <w:color w:val="auto"/>
        </w:rPr>
        <w:t>Impairment charges represent an impairment charge to write down the carrying amount of goodwill to fair value and lease impairment charges related to closing physical office locations and Sell Us Your Car® centers.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208" w:lineRule="exact"/>
        <w:rPr>
          <w:sz w:val="20"/>
          <w:szCs w:val="20"/>
          <w:color w:val="auto"/>
        </w:rPr>
      </w:pPr>
    </w:p>
    <w:p>
      <w:pPr>
        <w:ind w:firstLine="749"/>
        <w:spacing w:after="0" w:line="260" w:lineRule="auto"/>
        <w:rPr>
          <w:sz w:val="20"/>
          <w:szCs w:val="20"/>
          <w:color w:val="auto"/>
        </w:rPr>
      </w:pPr>
      <w:r>
        <w:rPr>
          <w:rFonts w:ascii="Arial" w:cs="Arial" w:eastAsia="Arial" w:hAnsi="Arial"/>
          <w:sz w:val="18"/>
          <w:szCs w:val="18"/>
          <w:color w:val="auto"/>
        </w:rPr>
        <w:t>Gain on debt extinguishment represents the gain recognized from the repurchase of a portion of our outstanding Convertible Senior Notes due 2026 (the "Notes") in open-market transactions.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p>
      <w:pPr>
        <w:jc w:val="both"/>
        <w:ind w:right="20" w:firstLine="761"/>
        <w:spacing w:after="0" w:line="247" w:lineRule="auto"/>
        <w:rPr>
          <w:sz w:val="20"/>
          <w:szCs w:val="20"/>
          <w:color w:val="auto"/>
        </w:rPr>
      </w:pPr>
      <w:r>
        <w:rPr>
          <w:rFonts w:ascii="Arial" w:cs="Arial" w:eastAsia="Arial" w:hAnsi="Arial"/>
          <w:sz w:val="18"/>
          <w:szCs w:val="18"/>
          <w:color w:val="auto"/>
        </w:rPr>
        <w:t>Our interest expense primarily includes (i) interest expense related to our vehicle floorplan facility with Ally Bank and Ally Financial (the "2022 Vehicle Floorplan Facility"), as discussed below, which is used to finance our inventory, (ii) interest expense on our Notes, and (iii) interest expense on UACC's Warehouse Credit Facilities, which is used to fund our finance receivables.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8" w:lineRule="exact"/>
        <w:rPr>
          <w:sz w:val="20"/>
          <w:szCs w:val="20"/>
          <w:color w:val="auto"/>
        </w:rPr>
      </w:pPr>
    </w:p>
    <w:p>
      <w:pPr>
        <w:ind w:right="180" w:firstLine="761"/>
        <w:spacing w:after="0" w:line="260" w:lineRule="auto"/>
        <w:rPr>
          <w:sz w:val="20"/>
          <w:szCs w:val="20"/>
          <w:color w:val="auto"/>
        </w:rPr>
      </w:pPr>
      <w:r>
        <w:rPr>
          <w:rFonts w:ascii="Arial" w:cs="Arial" w:eastAsia="Arial" w:hAnsi="Arial"/>
          <w:sz w:val="18"/>
          <w:szCs w:val="18"/>
          <w:color w:val="auto"/>
        </w:rPr>
        <w:t>Interest income primarily represents interest credits earned on cash deposits maintained in relation to our 2022 Vehicle Floorplan Facility as well as interest earned on cash and cash equivalents.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net</w:t>
      </w:r>
    </w:p>
    <w:p>
      <w:pPr>
        <w:spacing w:after="0" w:line="208" w:lineRule="exact"/>
        <w:rPr>
          <w:sz w:val="20"/>
          <w:szCs w:val="20"/>
          <w:color w:val="auto"/>
        </w:rPr>
      </w:pPr>
    </w:p>
    <w:p>
      <w:pPr>
        <w:ind w:right="600" w:firstLine="761"/>
        <w:spacing w:after="0" w:line="260" w:lineRule="auto"/>
        <w:rPr>
          <w:sz w:val="20"/>
          <w:szCs w:val="20"/>
          <w:color w:val="auto"/>
        </w:rPr>
      </w:pPr>
      <w:r>
        <w:rPr>
          <w:rFonts w:ascii="Arial" w:cs="Arial" w:eastAsia="Arial" w:hAnsi="Arial"/>
          <w:sz w:val="18"/>
          <w:szCs w:val="18"/>
          <w:color w:val="auto"/>
        </w:rPr>
        <w:t>Other loss, net primarily represents realized and unrealized losses on finance receivables, securitization debt and beneficial interests in securitizations as well as recoveries from losses previously recognized on finance receivables.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Results of Operations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condensed consolidated results of operations for the periods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center"/>
              <w:ind w:right="5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center"/>
              <w:ind w:right="3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left="673"/>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left="713"/>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5"/>
          </w:tcPr>
          <w:p>
            <w:pPr>
              <w:jc w:val="center"/>
              <w:ind w:right="31"/>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5"/>
          </w:tcPr>
          <w:p>
            <w:pPr>
              <w:jc w:val="center"/>
              <w:ind w:right="31"/>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3" w:lineRule="exact"/>
              <w:rPr>
                <w:sz w:val="20"/>
                <w:szCs w:val="20"/>
                <w:color w:val="auto"/>
              </w:rPr>
            </w:pPr>
            <w:r>
              <w:rPr>
                <w:rFonts w:ascii="Arial" w:cs="Arial" w:eastAsia="Arial" w:hAnsi="Arial"/>
                <w:sz w:val="18"/>
                <w:szCs w:val="18"/>
                <w:color w:val="auto"/>
              </w:rPr>
              <w:t>Retail vehicle, net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71"/>
              <w:spacing w:after="0" w:line="203" w:lineRule="exact"/>
              <w:rPr>
                <w:sz w:val="20"/>
                <w:szCs w:val="20"/>
                <w:color w:val="auto"/>
              </w:rPr>
            </w:pPr>
            <w:r>
              <w:rPr>
                <w:rFonts w:ascii="Arial" w:cs="Arial" w:eastAsia="Arial" w:hAnsi="Arial"/>
                <w:sz w:val="18"/>
                <w:szCs w:val="18"/>
                <w:color w:val="auto"/>
              </w:rPr>
              <w:t>1,048,91</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136,568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341,724</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(60.0 )% $</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271,838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(74.1 )%</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Wholesale vehicle</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30,800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82,901</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(62.8 )%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44,695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222,885</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(79.9 )%</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Product, net</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11,924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14,324</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(16.8 )%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23,424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38,773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(39.6 )%</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42,128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32,121</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31.2 %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74,116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79,808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3,758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4,367</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(13.9 )%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7,572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8,836</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line="197" w:lineRule="exact"/>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71"/>
              <w:spacing w:after="0" w:line="197" w:lineRule="exact"/>
              <w:rPr>
                <w:sz w:val="20"/>
                <w:szCs w:val="20"/>
                <w:color w:val="auto"/>
              </w:rPr>
            </w:pPr>
            <w:r>
              <w:rPr>
                <w:rFonts w:ascii="Arial" w:cs="Arial" w:eastAsia="Arial" w:hAnsi="Arial"/>
                <w:sz w:val="18"/>
                <w:szCs w:val="18"/>
                <w:color w:val="auto"/>
              </w:rPr>
              <w:t>1,399,21</w:t>
            </w: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225,178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475,437</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(52.6 )%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421,645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(69.9 )%</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3" w:lineRule="exact"/>
              <w:rPr>
                <w:sz w:val="20"/>
                <w:szCs w:val="20"/>
                <w:color w:val="auto"/>
              </w:rPr>
            </w:pPr>
            <w:r>
              <w:rPr>
                <w:rFonts w:ascii="Arial" w:cs="Arial" w:eastAsia="Arial" w:hAnsi="Arial"/>
                <w:sz w:val="18"/>
                <w:szCs w:val="18"/>
                <w:color w:val="auto"/>
              </w:rPr>
              <w:t>Retail vehicle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71"/>
              <w:spacing w:after="0" w:line="203" w:lineRule="exact"/>
              <w:rPr>
                <w:sz w:val="20"/>
                <w:szCs w:val="20"/>
                <w:color w:val="auto"/>
              </w:rPr>
            </w:pPr>
            <w:r>
              <w:rPr>
                <w:rFonts w:ascii="Arial" w:cs="Arial" w:eastAsia="Arial" w:hAnsi="Arial"/>
                <w:sz w:val="18"/>
                <w:szCs w:val="18"/>
                <w:color w:val="auto"/>
              </w:rPr>
              <w:t>1,015,41</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134,539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319,903</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(57.9 )%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270,263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(73.4 )%</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Wholesale vehicle</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34,793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84,834</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(59.0 )%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48,626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227,571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(78.6 )%</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Product</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100.0 %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1,601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8,060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3,402</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136.9 %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14,274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6,126</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133.0 %</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1,081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941</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14.9 %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2,075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2,106</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line="197" w:lineRule="exact"/>
              <w:rPr>
                <w:sz w:val="20"/>
                <w:szCs w:val="20"/>
                <w:color w:val="auto"/>
              </w:rPr>
            </w:pPr>
            <w:r>
              <w:rPr>
                <w:rFonts w:ascii="Arial" w:cs="Arial" w:eastAsia="Arial" w:hAnsi="Arial"/>
                <w:sz w:val="18"/>
                <w:szCs w:val="18"/>
                <w:color w:val="auto"/>
              </w:rPr>
              <w:t>Total cost of sales</w:t>
            </w: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71"/>
              <w:spacing w:after="0" w:line="197" w:lineRule="exact"/>
              <w:rPr>
                <w:sz w:val="20"/>
                <w:szCs w:val="20"/>
                <w:color w:val="auto"/>
              </w:rPr>
            </w:pPr>
            <w:r>
              <w:rPr>
                <w:rFonts w:ascii="Arial" w:cs="Arial" w:eastAsia="Arial" w:hAnsi="Arial"/>
                <w:sz w:val="18"/>
                <w:szCs w:val="18"/>
                <w:color w:val="auto"/>
              </w:rPr>
              <w:t>1,251,21</w:t>
            </w: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179,177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409,080</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(56.2 )%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336,839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(73.1 )%</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46,001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66,357</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(30.7 )%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84,806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147,997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(42.7 )%</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3"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86,955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152,990</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(43.2 )%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183,492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340,984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(46.2 )%</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10,304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10,039</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2.6 %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20,835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17,895</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1,353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3,407</w:t>
            </w:r>
          </w:p>
        </w:tc>
        <w:tc>
          <w:tcPr>
            <w:tcW w:w="1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(60.3 )%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1,353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205,110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(99.3 )%</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(52,611 )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(100,079 )</w:t>
            </w: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47.4 %</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(120,874 )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(415,992 )</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70.9 %</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Gain on debt extinguishment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(10,931 )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(100.0 )%</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(19,640 )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8,938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9,533</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(6.2 )%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18,857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18,913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(4,921 )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(3,935 )</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25.1 %</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(10,863 )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(7,887 )</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37.7 %</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Other loss, net</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20,236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9,156</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121.0 %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31,476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21,514</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46.3 %</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line="197" w:lineRule="exact"/>
              <w:rPr>
                <w:sz w:val="20"/>
                <w:szCs w:val="20"/>
                <w:color w:val="auto"/>
              </w:rPr>
            </w:pPr>
            <w:r>
              <w:rPr>
                <w:rFonts w:ascii="Arial" w:cs="Arial" w:eastAsia="Arial" w:hAnsi="Arial"/>
                <w:sz w:val="18"/>
                <w:szCs w:val="18"/>
                <w:color w:val="auto"/>
              </w:rPr>
              <w:t>Loss before provision (benefit) for income</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taxes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(65,933 )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(114,833 )</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42.6 %</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(140,704 )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(448,532 )</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68.6 %</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50.4 %</w:t>
            </w:r>
          </w:p>
        </w:tc>
        <w:tc>
          <w:tcPr>
            <w:tcW w:w="1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(22,984 )</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102.9 %</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(66,318 )</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(115,089 )</w:t>
            </w:r>
          </w:p>
        </w:tc>
        <w:tc>
          <w:tcPr>
            <w:tcW w:w="140" w:type="dxa"/>
            <w:vAlign w:val="bottom"/>
          </w:tcPr>
          <w:p>
            <w:pPr>
              <w:spacing w:after="0"/>
              <w:rPr>
                <w:sz w:val="19"/>
                <w:szCs w:val="19"/>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42.4 % $</w:t>
            </w:r>
          </w:p>
        </w:tc>
        <w:tc>
          <w:tcPr>
            <w:tcW w:w="1060" w:type="dxa"/>
            <w:vAlign w:val="bottom"/>
          </w:tcPr>
          <w:p>
            <w:pPr>
              <w:jc w:val="right"/>
              <w:spacing w:after="0"/>
              <w:rPr>
                <w:sz w:val="20"/>
                <w:szCs w:val="20"/>
                <w:color w:val="auto"/>
              </w:rPr>
            </w:pPr>
            <w:r>
              <w:rPr>
                <w:rFonts w:ascii="Arial" w:cs="Arial" w:eastAsia="Arial" w:hAnsi="Arial"/>
                <w:sz w:val="18"/>
                <w:szCs w:val="18"/>
                <w:color w:val="auto"/>
              </w:rPr>
              <w:t>(141,362 )</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(425,548 )</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66.8 %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-4208145</wp:posOffset>
            </wp:positionV>
            <wp:extent cx="7132320" cy="1454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-3917315</wp:posOffset>
            </wp:positionV>
            <wp:extent cx="7132320" cy="146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-3616960</wp:posOffset>
            </wp:positionV>
            <wp:extent cx="7132320" cy="2743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-3196590</wp:posOffset>
            </wp:positionV>
            <wp:extent cx="7132320" cy="2743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-2776855</wp:posOffset>
            </wp:positionV>
            <wp:extent cx="7132320" cy="1454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5740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5740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46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46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454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7543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88" w:lineRule="exact"/>
        <w:rPr>
          <w:sz w:val="20"/>
          <w:szCs w:val="20"/>
          <w:color w:val="auto"/>
        </w:rPr>
      </w:pPr>
    </w:p>
    <w:p>
      <w:pPr>
        <w:ind w:left="1020" w:right="240" w:hanging="251"/>
        <w:spacing w:after="0" w:line="275"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Ecommerce </w:t>
      </w:r>
      <w:r>
        <w:rPr>
          <w:rFonts w:ascii="Arial" w:cs="Arial" w:eastAsia="Arial" w:hAnsi="Arial"/>
          <w:sz w:val="17"/>
          <w:szCs w:val="17"/>
          <w:color w:val="auto"/>
        </w:rPr>
        <w:t>(61.4% and 64.9% of total revenue for the three and six months ended June 30, 2023): The Ecommerce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represents retail sales of used vehicles through our ecommerce platform, revenue earned on vehicle financing originated by UACC or our third-party financing sources and sales of value-added products associated with those vehicles sales.</w:t>
      </w:r>
    </w:p>
    <w:p>
      <w:pPr>
        <w:spacing w:after="0" w:line="138" w:lineRule="exact"/>
        <w:rPr>
          <w:rFonts w:ascii="Arial" w:cs="Arial" w:eastAsia="Arial" w:hAnsi="Arial"/>
          <w:sz w:val="17"/>
          <w:szCs w:val="17"/>
          <w:color w:val="auto"/>
        </w:rPr>
      </w:pPr>
    </w:p>
    <w:p>
      <w:pPr>
        <w:ind w:left="1020" w:right="480" w:hanging="251"/>
        <w:spacing w:after="0" w:line="27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(13.7% and 10.6% of total revenue for the three and six months ended June 30, 2023): The Wholesale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sales of used vehicles through wholesale channels.</w:t>
      </w:r>
    </w:p>
    <w:p>
      <w:pPr>
        <w:spacing w:after="0" w:line="140" w:lineRule="exact"/>
        <w:rPr>
          <w:rFonts w:ascii="Arial" w:cs="Arial" w:eastAsia="Arial" w:hAnsi="Arial"/>
          <w:sz w:val="18"/>
          <w:szCs w:val="18"/>
          <w:color w:val="auto"/>
        </w:rPr>
      </w:pPr>
    </w:p>
    <w:p>
      <w:pPr>
        <w:ind w:left="1020" w:right="280" w:hanging="249"/>
        <w:spacing w:after="0" w:line="27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(18.7% and 17.6% of total revenue for the three and six months ended June 30, 2023): The Retail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UACC’s operations with its network of third-party dealership customers.</w:t>
      </w: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and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38" w:lineRule="exact"/>
        <w:rPr>
          <w:sz w:val="20"/>
          <w:szCs w:val="20"/>
          <w:color w:val="auto"/>
        </w:rPr>
      </w:pPr>
    </w:p>
    <w:p>
      <w:pPr>
        <w:jc w:val="center"/>
        <w:ind w:left="22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22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-5715</wp:posOffset>
            </wp:positionV>
            <wp:extent cx="3729355" cy="3727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729355" cy="3727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53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60" w:type="dxa"/>
            <w:vAlign w:val="bottom"/>
            <w:gridSpan w:val="4"/>
          </w:tcPr>
          <w:p>
            <w:pPr>
              <w:jc w:val="right"/>
              <w:ind w:right="411"/>
              <w:spacing w:after="0" w:line="156" w:lineRule="exact"/>
              <w:rPr>
                <w:sz w:val="20"/>
                <w:szCs w:val="20"/>
                <w:color w:val="auto"/>
              </w:rPr>
            </w:pPr>
            <w:r>
              <w:rPr>
                <w:rFonts w:ascii="Arial" w:cs="Arial" w:eastAsia="Arial" w:hAnsi="Arial"/>
                <w:sz w:val="14"/>
                <w:szCs w:val="14"/>
                <w:b w:val="1"/>
                <w:bCs w:val="1"/>
                <w:color w:val="auto"/>
              </w:rPr>
              <w:t>(in thousands, except unit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data and average days to sale)</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Ecommerce units sold</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(5,106 )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(55.3 )%</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Ecommerce revenue: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Vehicle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126,529</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308,123</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(181,594 )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(58.9 )%</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11,696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13,509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(1,813 )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Total ecommerce revenue</w:t>
            </w: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138,225</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321,632</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(183,407 )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(57.0 )%</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Ecommerce gross profit: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Vehicle 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1,196</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20,000</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(18,804 )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(94.0 )%</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Product gross profit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10,993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13,509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(2,516 )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Total ecommerce gross profit</w:t>
            </w: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12,189</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33,509</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(21,320 )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(63.6 )%</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Average vehicle selling price per ecommerce unit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30,659</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33,372</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(2,713 )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 per ecommerce unit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93.7 %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Gross profit per ecommerce unit: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290</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2,166</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(1,876 )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(86.6 )%</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1,201</w:t>
            </w:r>
          </w:p>
        </w:tc>
        <w:tc>
          <w:tcPr>
            <w:tcW w:w="28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82.1 %</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Total gross profit per ecommerce unit</w:t>
            </w: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2,954</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3,629</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(675 )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Ecommerce average days to sale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 xml:space="preserve">155.4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1454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1454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-1842770</wp:posOffset>
            </wp:positionV>
            <wp:extent cx="7132320" cy="4629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4629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132320" cy="3175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3175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08" w:lineRule="exact"/>
        <w:rPr>
          <w:sz w:val="20"/>
          <w:szCs w:val="20"/>
          <w:color w:val="auto"/>
        </w:rPr>
      </w:pPr>
    </w:p>
    <w:p>
      <w:pPr>
        <w:ind w:right="220" w:firstLine="761"/>
        <w:spacing w:after="0" w:line="243" w:lineRule="auto"/>
        <w:rPr>
          <w:sz w:val="20"/>
          <w:szCs w:val="20"/>
          <w:color w:val="auto"/>
        </w:rPr>
      </w:pPr>
      <w:r>
        <w:rPr>
          <w:rFonts w:ascii="Arial" w:cs="Arial" w:eastAsia="Arial" w:hAnsi="Arial"/>
          <w:sz w:val="18"/>
          <w:szCs w:val="18"/>
          <w:color w:val="auto"/>
        </w:rPr>
        <w:t>Ecommerce units sold decreased 5,106, or 55.3%, from 9,233 for the three months ended June 30, 2022 to 4,127 for the three months ended June 30, 2023. This decrease was driven by our strategic decision to prioritize unit economics over unit sales volume starting in the middle of the second quarter of 2022, pressure on servicing our demand as we scale our internal sales team, as well as macroeconomic factors.</w:t>
      </w:r>
    </w:p>
    <w:p>
      <w:pPr>
        <w:spacing w:after="0" w:line="174"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Ecommerce average days to sale increased from 128 days for the three months ended June 30, 2022 to 327 days for the three months ended June 30, 2023. We have undertaken various initiatives to address the operational challenges created by our prior rapid growth from 2020 through the first quarter of 2022, in particular with titling and registration processes. While these initiatives are designed to improve our transaction processing, enhance our customer experience, and reduce our regulatory risk, they resulted in delays in listing vehicles for sale and caused a higher portion of our unit sales in the second quarter of 2023 to be from aged inventory which increased the number of days between our acquisition of vehicles and the final delivery of such vehicles to customers. We expect ecommerce average days to sale to improve in the second half of 2023 as we continue to improve our processes and sell the remainder of our aged inventory through the end of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08" w:lineRule="exact"/>
        <w:rPr>
          <w:sz w:val="20"/>
          <w:szCs w:val="20"/>
          <w:color w:val="auto"/>
        </w:rPr>
      </w:pPr>
    </w:p>
    <w:p>
      <w:pPr>
        <w:ind w:right="200" w:firstLine="761"/>
        <w:spacing w:after="0" w:line="241" w:lineRule="auto"/>
        <w:rPr>
          <w:sz w:val="20"/>
          <w:szCs w:val="20"/>
          <w:color w:val="auto"/>
        </w:rPr>
      </w:pPr>
      <w:r>
        <w:rPr>
          <w:rFonts w:ascii="Arial" w:cs="Arial" w:eastAsia="Arial" w:hAnsi="Arial"/>
          <w:sz w:val="18"/>
          <w:szCs w:val="18"/>
          <w:color w:val="auto"/>
        </w:rPr>
        <w:t>Ecommerce vehicle revenue decreased $ 181.6 million, or 58.9%, from $308.1 million for the three months ended June 30, 2022 to $126.5 million for the three months ended June 30, 2023. The decrease in ecommerce vehicle revenue was primarily attributable to the 5,106 decrease in ecommerce units sold, which decreased vehicle revenue by $170.4 million, and a decrease in ASP per unit, which decreased from $33,372 for the three months ended June 30, 2022 to $30,659 for the three months ended June 30, 2023 and decreased vehicle revenue by $11.2 million.</w:t>
      </w:r>
    </w:p>
    <w:p>
      <w:pPr>
        <w:spacing w:after="0" w:line="176" w:lineRule="exact"/>
        <w:rPr>
          <w:sz w:val="20"/>
          <w:szCs w:val="20"/>
          <w:color w:val="auto"/>
        </w:rPr>
      </w:pPr>
    </w:p>
    <w:p>
      <w:pPr>
        <w:ind w:right="360" w:firstLine="761"/>
        <w:spacing w:after="0" w:line="260" w:lineRule="auto"/>
        <w:rPr>
          <w:sz w:val="20"/>
          <w:szCs w:val="20"/>
          <w:color w:val="auto"/>
        </w:rPr>
      </w:pPr>
      <w:r>
        <w:rPr>
          <w:rFonts w:ascii="Arial" w:cs="Arial" w:eastAsia="Arial" w:hAnsi="Arial"/>
          <w:sz w:val="18"/>
          <w:szCs w:val="18"/>
          <w:color w:val="auto"/>
        </w:rPr>
        <w:t>The decrease in ASP per unit was primarily due to market depreciation in the second half of 2022. We expect ASP to continue to fluctuate as a result of market conditions and adjustments to our inventory based upon demand predicted by our data analytics.</w:t>
      </w:r>
    </w:p>
    <w:p>
      <w:pPr>
        <w:spacing w:after="0" w:line="3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6"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Ecommerce product revenue decreased $1.8 million, or 13.4%, from $13.5 million for the three months ended June 30, 2022 to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$11.7 million for the three months ended June 30, 2023. The decrease in ecommerce product revenue was primarily attributable to the 5,106</w:t>
      </w:r>
    </w:p>
    <w:p>
      <w:pPr>
        <w:spacing w:after="0" w:line="234" w:lineRule="auto"/>
        <w:rPr>
          <w:sz w:val="20"/>
          <w:szCs w:val="20"/>
          <w:color w:val="auto"/>
        </w:rPr>
      </w:pPr>
      <w:r>
        <w:rPr>
          <w:rFonts w:ascii="Arial" w:cs="Arial" w:eastAsia="Arial" w:hAnsi="Arial"/>
          <w:sz w:val="18"/>
          <w:szCs w:val="18"/>
          <w:color w:val="auto"/>
        </w:rPr>
        <w:t>decrease in ecommerce units sold, which decreased product revenue by $7.5 million, partially offset by an increase in product revenue per</w:t>
      </w:r>
    </w:p>
    <w:p>
      <w:pPr>
        <w:spacing w:after="0" w:line="235" w:lineRule="auto"/>
        <w:rPr>
          <w:sz w:val="20"/>
          <w:szCs w:val="20"/>
          <w:color w:val="auto"/>
        </w:rPr>
      </w:pPr>
      <w:r>
        <w:rPr>
          <w:rFonts w:ascii="Arial" w:cs="Arial" w:eastAsia="Arial" w:hAnsi="Arial"/>
          <w:sz w:val="18"/>
          <w:szCs w:val="18"/>
          <w:color w:val="auto"/>
        </w:rPr>
        <w:t>unit, which increased from $1,463 for the three months ended June 30, 2022 to $2,834 for the three months ended June 30, 2023 and</w:t>
      </w:r>
    </w:p>
    <w:p>
      <w:pPr>
        <w:spacing w:after="0" w:line="235" w:lineRule="auto"/>
        <w:rPr>
          <w:sz w:val="20"/>
          <w:szCs w:val="20"/>
          <w:color w:val="auto"/>
        </w:rPr>
      </w:pPr>
      <w:r>
        <w:rPr>
          <w:rFonts w:ascii="Arial" w:cs="Arial" w:eastAsia="Arial" w:hAnsi="Arial"/>
          <w:sz w:val="18"/>
          <w:szCs w:val="18"/>
          <w:color w:val="auto"/>
        </w:rPr>
        <w:t>increased product revenue by $5.7 million. The increase in product revenue per unit is primarily due to an increase in interest income earned</w:t>
      </w:r>
    </w:p>
    <w:p>
      <w:pPr>
        <w:spacing w:after="0"/>
        <w:rPr>
          <w:sz w:val="20"/>
          <w:szCs w:val="20"/>
          <w:color w:val="auto"/>
        </w:rPr>
      </w:pPr>
      <w:r>
        <w:rPr>
          <w:rFonts w:ascii="Arial" w:cs="Arial" w:eastAsia="Arial" w:hAnsi="Arial"/>
          <w:sz w:val="18"/>
          <w:szCs w:val="18"/>
          <w:color w:val="auto"/>
        </w:rPr>
        <w:t>on finance receivables from Vroom customers originated or serviced by UACC as compared to the second quarter of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08"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Ecommerce vehicle gross profit decreased $18.8 million, or 94.0%, from $20.0 million for the three months ended June 30, 2022 to $1.2 million for the three months ended June 30, 2023. The decrease in vehicle gross profit was primarily attributable to the 5,106 decrease in ecommerce units sold, which decreased vehicle gross profit by $11.1 million. Additionally, vehicle gross profit per unit decreased $1,876 from $2,166 for the three months ended June 30, 2022 to $ 290 for three months ended June 30, 2023, which decreased vehicle gross profit by $ 7.7 million. The decrease was primarily driven by lower sales margin on aged inventory, and to a lesser extent due to lower shipping fees as a result of free shipping options for customers, and higher reconditioning costs per unit related to an increased mix of higher mileage and aged vehicles along with significant parts inflation. The decreases were partially offset by a lower inventory reserve as a result of a decrease in inventory levels as we continued to sell through our aged inventory.</w:t>
      </w:r>
    </w:p>
    <w:p>
      <w:pPr>
        <w:spacing w:after="0" w:line="180" w:lineRule="exact"/>
        <w:rPr>
          <w:sz w:val="20"/>
          <w:szCs w:val="20"/>
          <w:color w:val="auto"/>
        </w:rPr>
      </w:pPr>
    </w:p>
    <w:p>
      <w:pPr>
        <w:ind w:right="340" w:firstLine="761"/>
        <w:spacing w:after="0" w:line="241" w:lineRule="auto"/>
        <w:rPr>
          <w:sz w:val="20"/>
          <w:szCs w:val="20"/>
          <w:color w:val="auto"/>
        </w:rPr>
      </w:pPr>
      <w:r>
        <w:rPr>
          <w:rFonts w:ascii="Arial" w:cs="Arial" w:eastAsia="Arial" w:hAnsi="Arial"/>
          <w:sz w:val="18"/>
          <w:szCs w:val="18"/>
          <w:color w:val="auto"/>
        </w:rPr>
        <w:t>As we continue to make progress on our initiatives to address the operational challenges created by our prior rapid growth from 2020 through the first quarter of 2022, a higher portion of our unit sales in the second quarter of 2023 was from aged inventory as we obtained titles for vehicles not previously listed for sale, which negatively impacted our sales margin and GPPU. While we sold through the majority of our aged inventory in the first half of 2023, we expect our aged inventory mix to continue to negatively impact sales margin and GPPU through the remainder of 2023, but to a lesser extent.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08" w:lineRule="exact"/>
        <w:rPr>
          <w:sz w:val="20"/>
          <w:szCs w:val="20"/>
          <w:color w:val="auto"/>
        </w:rPr>
      </w:pPr>
    </w:p>
    <w:p>
      <w:pPr>
        <w:ind w:right="180" w:firstLine="761"/>
        <w:spacing w:after="0" w:line="239" w:lineRule="auto"/>
        <w:rPr>
          <w:sz w:val="20"/>
          <w:szCs w:val="20"/>
          <w:color w:val="auto"/>
        </w:rPr>
      </w:pPr>
      <w:r>
        <w:rPr>
          <w:rFonts w:ascii="Arial" w:cs="Arial" w:eastAsia="Arial" w:hAnsi="Arial"/>
          <w:sz w:val="18"/>
          <w:szCs w:val="18"/>
          <w:color w:val="auto"/>
        </w:rPr>
        <w:t>Ecommerce product gross profit decreased $2.5 million, or 18.6%, from $13.5 million for the three months ended June 30, 2022 to $11.0 million for the three months ended June 30, 2023. The decrease in ecommerce product gross profit was primarily attributable to the 5,106 decrease in ecommerce units sold, which decreased product gross profit by $7.5 million, partially offset by a $1,201 increase in product gross profit per unit, which increased product gross profit by $5.0 million. Product gross profit per unit increased from $1,463 for the three months ended June 30, 2022 to $2,664 for the three months ended June 30, 2023, primarily due to an increase in interest income earned, partially offset by interest expense on securitization debt related to finance receivables from Vroom customers originated or serviced by UACC, as compared to the second quarter of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40" w:type="dxa"/>
            <w:vAlign w:val="bottom"/>
            <w:gridSpan w:val="2"/>
          </w:tcPr>
          <w:p>
            <w:pPr>
              <w:spacing w:after="0"/>
              <w:rPr>
                <w:sz w:val="15"/>
                <w:szCs w:val="15"/>
                <w:color w:val="auto"/>
              </w:rPr>
            </w:pPr>
          </w:p>
        </w:tc>
      </w:tr>
      <w:tr>
        <w:trPr>
          <w:trHeight w:val="183"/>
        </w:trPr>
        <w:tc>
          <w:tcPr>
            <w:tcW w:w="5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(in thousands, except unit data)</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Wholesale units sold</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(4,033 )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(68.7 )%</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Wholesale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30,800</w:t>
            </w:r>
          </w:p>
        </w:tc>
        <w:tc>
          <w:tcPr>
            <w:tcW w:w="2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82,901</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(52,101 )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(62.8 )%</w:t>
            </w:r>
          </w:p>
        </w:tc>
      </w:tr>
      <w:tr>
        <w:trPr>
          <w:trHeight w:val="230"/>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gross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(3,993 )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(1,934 )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(2,059 )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106.5 %</w:t>
            </w:r>
          </w:p>
        </w:tc>
        <w:tc>
          <w:tcPr>
            <w:tcW w:w="100" w:type="dxa"/>
            <w:vAlign w:val="bottom"/>
          </w:tcPr>
          <w:p>
            <w:pPr>
              <w:spacing w:after="0"/>
              <w:rPr>
                <w:sz w:val="19"/>
                <w:szCs w:val="19"/>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Average selling price per unit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16,794</w:t>
            </w:r>
          </w:p>
        </w:tc>
        <w:tc>
          <w:tcPr>
            <w:tcW w:w="2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14,130</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2,664</w:t>
            </w:r>
          </w:p>
        </w:tc>
        <w:tc>
          <w:tcPr>
            <w:tcW w:w="28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18.9 %</w:t>
            </w:r>
          </w:p>
        </w:tc>
      </w:tr>
      <w:tr>
        <w:trPr>
          <w:trHeight w:val="230"/>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gross loss per unit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(2,177 )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(330 )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(1,847 )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559.7 %</w:t>
            </w:r>
          </w:p>
        </w:tc>
        <w:tc>
          <w:tcPr>
            <w:tcW w:w="100" w:type="dxa"/>
            <w:vAlign w:val="bottom"/>
          </w:tcPr>
          <w:p>
            <w:pPr>
              <w:spacing w:after="0"/>
              <w:rPr>
                <w:sz w:val="19"/>
                <w:szCs w:val="19"/>
                <w:color w:val="auto"/>
              </w:rPr>
            </w:pPr>
          </w:p>
        </w:tc>
      </w:tr>
      <w:tr>
        <w:trPr>
          <w:trHeight w:val="635"/>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837"/>
              <w:spacing w:after="0"/>
              <w:rPr>
                <w:sz w:val="20"/>
                <w:szCs w:val="20"/>
                <w:color w:val="auto"/>
              </w:rPr>
            </w:pPr>
            <w:r>
              <w:rPr>
                <w:rFonts w:ascii="Arial" w:cs="Arial" w:eastAsia="Arial" w:hAnsi="Arial"/>
                <w:sz w:val="18"/>
                <w:szCs w:val="18"/>
                <w:color w:val="auto"/>
                <w:w w:val="99"/>
              </w:rPr>
              <w:t>63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-1207770</wp:posOffset>
            </wp:positionV>
            <wp:extent cx="7132320" cy="146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126"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208" w:lineRule="exact"/>
        <w:rPr>
          <w:sz w:val="20"/>
          <w:szCs w:val="20"/>
          <w:color w:val="auto"/>
        </w:rPr>
      </w:pPr>
    </w:p>
    <w:p>
      <w:pPr>
        <w:ind w:right="240" w:firstLine="761"/>
        <w:spacing w:after="0" w:line="247" w:lineRule="auto"/>
        <w:rPr>
          <w:sz w:val="20"/>
          <w:szCs w:val="20"/>
          <w:color w:val="auto"/>
        </w:rPr>
      </w:pPr>
      <w:r>
        <w:rPr>
          <w:rFonts w:ascii="Arial" w:cs="Arial" w:eastAsia="Arial" w:hAnsi="Arial"/>
          <w:sz w:val="18"/>
          <w:szCs w:val="18"/>
          <w:color w:val="auto"/>
        </w:rPr>
        <w:t>Wholesale units sold decreased 4,033, or 68.7%, from 5,867 for the three months ended June 30, 2022 to 1,834 for the three months ended June 30, 2023, primarily driven by a decrease in wholesale units purchased from consumers and a lower number of trade-in vehicles associated with the decrease in the number of ecommerce units sold.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208" w:lineRule="exact"/>
        <w:rPr>
          <w:sz w:val="20"/>
          <w:szCs w:val="20"/>
          <w:color w:val="auto"/>
        </w:rPr>
      </w:pPr>
    </w:p>
    <w:p>
      <w:pPr>
        <w:ind w:right="80" w:firstLine="761"/>
        <w:spacing w:after="0" w:line="241" w:lineRule="auto"/>
        <w:rPr>
          <w:sz w:val="20"/>
          <w:szCs w:val="20"/>
          <w:color w:val="auto"/>
        </w:rPr>
      </w:pPr>
      <w:r>
        <w:rPr>
          <w:rFonts w:ascii="Arial" w:cs="Arial" w:eastAsia="Arial" w:hAnsi="Arial"/>
          <w:sz w:val="18"/>
          <w:szCs w:val="18"/>
          <w:color w:val="auto"/>
        </w:rPr>
        <w:t>Wholesale revenue decreased $52.1 million, or 62.8%, from $82.9 million for the three months ended June 30, 2022 to $30.8 million for the three months ended June 30, 2023. The decrease was primarily attributable to the 4,033 decrease in wholesale units sold, which decreased wholesale revenue by $57.0 million, partially offset by a higher ASP per wholesale unit, which increased wholesale revenue by $ 4.9 million. The increase in ASP per wholesale unit was primarily due to the shift in mix of vehicles sold through the wholesale channel as a result of the hail storm damage discussed below.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Loss</w:t>
      </w:r>
    </w:p>
    <w:p>
      <w:pPr>
        <w:spacing w:after="0" w:line="208" w:lineRule="exact"/>
        <w:rPr>
          <w:sz w:val="20"/>
          <w:szCs w:val="20"/>
          <w:color w:val="auto"/>
        </w:rPr>
      </w:pPr>
    </w:p>
    <w:p>
      <w:pPr>
        <w:ind w:right="60" w:firstLine="761"/>
        <w:spacing w:after="0" w:line="243" w:lineRule="auto"/>
        <w:rPr>
          <w:sz w:val="20"/>
          <w:szCs w:val="20"/>
          <w:color w:val="auto"/>
        </w:rPr>
      </w:pPr>
      <w:r>
        <w:rPr>
          <w:rFonts w:ascii="Arial" w:cs="Arial" w:eastAsia="Arial" w:hAnsi="Arial"/>
          <w:sz w:val="18"/>
          <w:szCs w:val="18"/>
          <w:color w:val="auto"/>
        </w:rPr>
        <w:t>Wholesale gross loss increased $2.1 million from $1.9 million for the three months ended June 30, 2022 to $4.0 million for the three months ended June 30, 2023. The increase was primarily attributable to a $1,847 increase in wholesale gross loss per unit from $330 for the three months ended June 30, 2022 to $2,177 for the three months ended June 30, 2023, which increased wholesale gross loss by $3.4 million. The increase was partially offset by the 4,033 decrease in wholesale units sold which decreased gross loss by $1.3 million.</w:t>
      </w:r>
    </w:p>
    <w:p>
      <w:pPr>
        <w:spacing w:after="0" w:line="174" w:lineRule="exact"/>
        <w:rPr>
          <w:sz w:val="20"/>
          <w:szCs w:val="20"/>
          <w:color w:val="auto"/>
        </w:rPr>
      </w:pPr>
    </w:p>
    <w:p>
      <w:pPr>
        <w:ind w:right="100" w:firstLine="761"/>
        <w:spacing w:after="0" w:line="243" w:lineRule="auto"/>
        <w:rPr>
          <w:sz w:val="20"/>
          <w:szCs w:val="20"/>
          <w:color w:val="auto"/>
        </w:rPr>
      </w:pPr>
      <w:r>
        <w:rPr>
          <w:rFonts w:ascii="Arial" w:cs="Arial" w:eastAsia="Arial" w:hAnsi="Arial"/>
          <w:sz w:val="18"/>
          <w:szCs w:val="18"/>
          <w:color w:val="auto"/>
        </w:rPr>
        <w:t>The increase in wholesale gross loss per unit was primarily driven by lower sales margins and was partially offset by a lower inventory reserve as a result of a decrease in inventory levels. During the three months ended June 30, 2023, certain of our vehicles located in our Orlando, Florida and Denver, Colorado locations were damaged by hail storms, which resulted in an aggregate loss of $2.4 million, net of insurance recoveries. The majority of hail damaged vehicles have been sold or are expected to be sold through the wholesale market.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Retail Financing segment results of operations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5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5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5"/>
                <w:szCs w:val="15"/>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80" w:type="dxa"/>
            <w:vAlign w:val="bottom"/>
            <w:gridSpan w:val="2"/>
          </w:tcPr>
          <w:p>
            <w:pPr>
              <w:spacing w:after="0"/>
              <w:rPr>
                <w:sz w:val="15"/>
                <w:szCs w:val="15"/>
                <w:color w:val="auto"/>
              </w:rPr>
            </w:pPr>
          </w:p>
        </w:tc>
      </w:tr>
      <w:tr>
        <w:trPr>
          <w:trHeight w:val="183"/>
        </w:trPr>
        <w:tc>
          <w:tcPr>
            <w:tcW w:w="5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Financing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42,128</w:t>
            </w: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32,121</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10,007</w:t>
            </w:r>
          </w:p>
        </w:tc>
        <w:tc>
          <w:tcPr>
            <w:tcW w:w="1540" w:type="dxa"/>
            <w:vAlign w:val="bottom"/>
            <w:gridSpan w:val="3"/>
            <w:shd w:val="clear" w:color="auto" w:fill="CFF0FC"/>
          </w:tcPr>
          <w:p>
            <w:pPr>
              <w:ind w:left="1040"/>
              <w:spacing w:after="0"/>
              <w:rPr>
                <w:sz w:val="20"/>
                <w:szCs w:val="20"/>
                <w:color w:val="auto"/>
              </w:rPr>
            </w:pPr>
            <w:r>
              <w:rPr>
                <w:rFonts w:ascii="Arial" w:cs="Arial" w:eastAsia="Arial" w:hAnsi="Arial"/>
                <w:sz w:val="18"/>
                <w:szCs w:val="18"/>
                <w:color w:val="auto"/>
                <w:w w:val="85"/>
              </w:rPr>
              <w:t>31.2 %</w:t>
            </w:r>
          </w:p>
        </w:tc>
        <w:tc>
          <w:tcPr>
            <w:tcW w:w="40" w:type="dxa"/>
            <w:vAlign w:val="bottom"/>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Retail Financing gross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34,068</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28,720</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5,348</w:t>
            </w:r>
          </w:p>
        </w:tc>
        <w:tc>
          <w:tcPr>
            <w:tcW w:w="1580" w:type="dxa"/>
            <w:vAlign w:val="bottom"/>
            <w:gridSpan w:val="4"/>
          </w:tcPr>
          <w:p>
            <w:pPr>
              <w:ind w:left="1040"/>
              <w:spacing w:after="0"/>
              <w:rPr>
                <w:sz w:val="20"/>
                <w:szCs w:val="20"/>
                <w:color w:val="auto"/>
              </w:rPr>
            </w:pPr>
            <w:r>
              <w:rPr>
                <w:rFonts w:ascii="Arial" w:cs="Arial" w:eastAsia="Arial" w:hAnsi="Arial"/>
                <w:sz w:val="18"/>
                <w:szCs w:val="18"/>
                <w:color w:val="auto"/>
                <w:w w:val="92"/>
              </w:rPr>
              <w:t>18.6 %</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Revenue</w:t>
      </w:r>
    </w:p>
    <w:p>
      <w:pPr>
        <w:spacing w:after="0" w:line="208" w:lineRule="exact"/>
        <w:rPr>
          <w:sz w:val="20"/>
          <w:szCs w:val="20"/>
          <w:color w:val="auto"/>
        </w:rPr>
      </w:pPr>
    </w:p>
    <w:p>
      <w:pPr>
        <w:ind w:right="180" w:firstLine="764"/>
        <w:spacing w:after="0" w:line="243" w:lineRule="auto"/>
        <w:rPr>
          <w:sz w:val="20"/>
          <w:szCs w:val="20"/>
          <w:color w:val="auto"/>
        </w:rPr>
      </w:pPr>
      <w:r>
        <w:rPr>
          <w:rFonts w:ascii="Arial" w:cs="Arial" w:eastAsia="Arial" w:hAnsi="Arial"/>
          <w:sz w:val="18"/>
          <w:szCs w:val="18"/>
          <w:color w:val="auto"/>
        </w:rPr>
        <w:t>Retail Financing revenue increased $10.0 million, or 31.2%, from $32.1 million for the three months ended June 30, 2022 to $42.1 million for the three months ended June 30, 2023. The increase was primarily driven by an increase in interest income earned on finance receivables with third-party dealership customers as a result of the consolidation of the 2022-2 and 2023-1 securitization transactions, partially offset by a decrease in servicing income.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Gross Profit</w:t>
      </w:r>
    </w:p>
    <w:p>
      <w:pPr>
        <w:spacing w:after="0" w:line="208" w:lineRule="exact"/>
        <w:rPr>
          <w:sz w:val="20"/>
          <w:szCs w:val="20"/>
          <w:color w:val="auto"/>
        </w:rPr>
      </w:pPr>
    </w:p>
    <w:p>
      <w:pPr>
        <w:ind w:right="40" w:firstLine="764"/>
        <w:spacing w:after="0" w:line="243" w:lineRule="auto"/>
        <w:rPr>
          <w:sz w:val="20"/>
          <w:szCs w:val="20"/>
          <w:color w:val="auto"/>
        </w:rPr>
      </w:pPr>
      <w:r>
        <w:rPr>
          <w:rFonts w:ascii="Arial" w:cs="Arial" w:eastAsia="Arial" w:hAnsi="Arial"/>
          <w:sz w:val="18"/>
          <w:szCs w:val="18"/>
          <w:color w:val="auto"/>
        </w:rPr>
        <w:t>Retail Financing gross profit increased $ 5.4 million, or 18.6%, from $28.7 million for the three months ended June 30, 2022 to $34.1 million for the three months ended June 30, 2023. The increase was primarily driven by an increase in interest income earned on finance receivables with third-party dealership customers as a result of the consolidation of the 2022-2 and 2023-1 securitization transactions. The increase was partially offset by an increase in</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6" w:right="29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79" w:lineRule="exact"/>
        <w:rPr>
          <w:sz w:val="20"/>
          <w:szCs w:val="20"/>
          <w:color w:val="auto"/>
        </w:rPr>
      </w:pPr>
    </w:p>
    <w:p>
      <w:pPr>
        <w:ind w:right="280"/>
        <w:spacing w:after="0" w:line="508" w:lineRule="auto"/>
        <w:rPr>
          <w:sz w:val="20"/>
          <w:szCs w:val="20"/>
          <w:color w:val="auto"/>
        </w:rPr>
      </w:pPr>
      <w:r>
        <w:rPr>
          <w:rFonts w:ascii="Arial" w:cs="Arial" w:eastAsia="Arial" w:hAnsi="Arial"/>
          <w:sz w:val="18"/>
          <w:szCs w:val="18"/>
          <w:color w:val="auto"/>
        </w:rPr>
        <w:t xml:space="preserve">collection expenses related to servicing finance receivables originated by UACC and an increase in interest expense on securitization debt. </w:t>
      </w:r>
      <w:r>
        <w:rPr>
          <w:rFonts w:ascii="Arial" w:cs="Arial" w:eastAsia="Arial" w:hAnsi="Arial"/>
          <w:sz w:val="18"/>
          <w:szCs w:val="18"/>
          <w:b w:val="1"/>
          <w:bCs w:val="1"/>
          <w:i w:val="1"/>
          <w:iCs w:val="1"/>
          <w:color w:val="auto"/>
        </w:rPr>
        <w:t>Selling, general and administrative expenses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Compensation &amp; benefits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41,957</w:t>
            </w:r>
          </w:p>
        </w:tc>
        <w:tc>
          <w:tcPr>
            <w:tcW w:w="7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68,891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(26,934 )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07"/>
        </w:trPr>
        <w:tc>
          <w:tcPr>
            <w:tcW w:w="5600" w:type="dxa"/>
            <w:vAlign w:val="bottom"/>
          </w:tcPr>
          <w:p>
            <w:pPr>
              <w:ind w:left="20"/>
              <w:spacing w:after="0"/>
              <w:rPr>
                <w:sz w:val="20"/>
                <w:szCs w:val="20"/>
                <w:color w:val="auto"/>
              </w:rPr>
            </w:pPr>
            <w:r>
              <w:rPr>
                <w:rFonts w:ascii="Arial" w:cs="Arial" w:eastAsia="Arial" w:hAnsi="Arial"/>
                <w:sz w:val="18"/>
                <w:szCs w:val="18"/>
                <w:color w:val="auto"/>
              </w:rPr>
              <w:t>Marketing expense</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14,970</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21,138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(6,168 )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252"/>
        </w:trPr>
        <w:tc>
          <w:tcPr>
            <w:tcW w:w="5600" w:type="dxa"/>
            <w:vAlign w:val="bottom"/>
          </w:tcPr>
          <w:p>
            <w:pPr>
              <w:ind w:left="20"/>
              <w:spacing w:after="0" w:line="252" w:lineRule="exact"/>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24"/>
                <w:szCs w:val="24"/>
                <w:color w:val="auto"/>
                <w:vertAlign w:val="superscript"/>
              </w:rPr>
              <w:t>(1)</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1,970</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8,232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(6,262 )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(76.1 )%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Occupancy and related costs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4,284</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5,721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(1,437 )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3,635</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(3,192 )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(46.8 )%</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Software and IT costs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8,987</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11,306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(2,319 )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11,152</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(19,723 )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(63.9 )%</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Total selling, general &amp; administrative expenses</w:t>
            </w: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86,955</w:t>
            </w:r>
          </w:p>
        </w:tc>
        <w:tc>
          <w:tcPr>
            <w:tcW w:w="26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152,990</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(66,035 )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6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6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257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45" w:lineRule="exact"/>
        <w:rPr>
          <w:sz w:val="20"/>
          <w:szCs w:val="20"/>
          <w:color w:val="auto"/>
        </w:rPr>
      </w:pPr>
    </w:p>
    <w:p>
      <w:pPr>
        <w:ind w:left="1020" w:right="160" w:hanging="503"/>
        <w:spacing w:after="0" w:line="257" w:lineRule="auto"/>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associated with vehicle deliveries. Inbound transportation costs, from the point of acquisition to the relevant reconditioning facility, are included in cost of sales.</w:t>
      </w:r>
    </w:p>
    <w:p>
      <w:pPr>
        <w:spacing w:after="0" w:line="164" w:lineRule="exact"/>
        <w:rPr>
          <w:sz w:val="20"/>
          <w:szCs w:val="20"/>
          <w:color w:val="auto"/>
        </w:rPr>
      </w:pPr>
    </w:p>
    <w:p>
      <w:pPr>
        <w:ind w:right="200" w:firstLine="764"/>
        <w:spacing w:after="0" w:line="260" w:lineRule="auto"/>
        <w:rPr>
          <w:sz w:val="20"/>
          <w:szCs w:val="20"/>
          <w:color w:val="auto"/>
        </w:rPr>
      </w:pPr>
      <w:r>
        <w:rPr>
          <w:rFonts w:ascii="Arial" w:cs="Arial" w:eastAsia="Arial" w:hAnsi="Arial"/>
          <w:sz w:val="18"/>
          <w:szCs w:val="18"/>
          <w:color w:val="auto"/>
        </w:rPr>
        <w:t>SG&amp;A expenses decreased $66.0 million, or 43.2%, from $153.0 million for the three months ended June 30, 2022 to $87.0 million for the three months ended June 30, 2023. The total decrease was primarily caused by:</w:t>
      </w:r>
    </w:p>
    <w:p>
      <w:pPr>
        <w:spacing w:after="0" w:line="159" w:lineRule="exact"/>
        <w:rPr>
          <w:sz w:val="20"/>
          <w:szCs w:val="20"/>
          <w:color w:val="auto"/>
        </w:rPr>
      </w:pPr>
    </w:p>
    <w:p>
      <w:pPr>
        <w:ind w:left="1140" w:hanging="37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$26.9 million decrease in compensation and benefits primarily as a result of workforce reductions;</w:t>
      </w:r>
    </w:p>
    <w:p>
      <w:pPr>
        <w:spacing w:after="0" w:line="211" w:lineRule="exact"/>
        <w:rPr>
          <w:rFonts w:ascii="Arial" w:cs="Arial" w:eastAsia="Arial" w:hAnsi="Arial"/>
          <w:sz w:val="18"/>
          <w:szCs w:val="18"/>
          <w:color w:val="auto"/>
        </w:rPr>
      </w:pPr>
    </w:p>
    <w:p>
      <w:pPr>
        <w:ind w:left="1140" w:right="200" w:hanging="371"/>
        <w:spacing w:after="0" w:line="26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$6.3 million decrease in outbound logistics costs attributable to the decrease in ecommerce units sold as well as a decrease in outbound logistics cost per ecommerce unit;</w:t>
      </w:r>
    </w:p>
    <w:p>
      <w:pPr>
        <w:spacing w:after="0" w:line="159" w:lineRule="exact"/>
        <w:rPr>
          <w:rFonts w:ascii="Arial" w:cs="Arial" w:eastAsia="Arial" w:hAnsi="Arial"/>
          <w:sz w:val="18"/>
          <w:szCs w:val="18"/>
          <w:color w:val="auto"/>
        </w:rPr>
      </w:pPr>
    </w:p>
    <w:p>
      <w:pPr>
        <w:ind w:left="1140" w:hanging="37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$6.2 million decrease in marketing expense contemplated by our long-term roadmap;</w:t>
      </w:r>
    </w:p>
    <w:p>
      <w:pPr>
        <w:spacing w:after="0" w:line="211" w:lineRule="exact"/>
        <w:rPr>
          <w:rFonts w:ascii="Arial" w:cs="Arial" w:eastAsia="Arial" w:hAnsi="Arial"/>
          <w:sz w:val="18"/>
          <w:szCs w:val="18"/>
          <w:color w:val="auto"/>
        </w:rPr>
      </w:pPr>
    </w:p>
    <w:p>
      <w:pPr>
        <w:ind w:left="1140" w:right="480" w:hanging="371"/>
        <w:spacing w:after="0" w:line="26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$3.2 million decrease in professional fees primarily related to decreased legal and other consulting fees compared to the second quarter of 2022;</w:t>
      </w:r>
    </w:p>
    <w:p>
      <w:pPr>
        <w:spacing w:after="0" w:line="159" w:lineRule="exact"/>
        <w:rPr>
          <w:rFonts w:ascii="Arial" w:cs="Arial" w:eastAsia="Arial" w:hAnsi="Arial"/>
          <w:sz w:val="18"/>
          <w:szCs w:val="18"/>
          <w:color w:val="auto"/>
        </w:rPr>
      </w:pPr>
    </w:p>
    <w:p>
      <w:pPr>
        <w:ind w:left="1140" w:hanging="37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$2.3 million decrease in software and IT costs primarily related to volume-based fees as a result of reduced headcount;</w:t>
      </w:r>
    </w:p>
    <w:p>
      <w:pPr>
        <w:spacing w:after="0" w:line="211" w:lineRule="exact"/>
        <w:rPr>
          <w:rFonts w:ascii="Arial" w:cs="Arial" w:eastAsia="Arial" w:hAnsi="Arial"/>
          <w:sz w:val="18"/>
          <w:szCs w:val="18"/>
          <w:color w:val="auto"/>
        </w:rPr>
      </w:pPr>
    </w:p>
    <w:p>
      <w:pPr>
        <w:ind w:left="1140" w:right="400" w:hanging="371"/>
        <w:spacing w:after="0" w:line="24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$19.7 million decrease in other SG&amp;A expenses primarily due to a decrease in our non-recurring costs, including legal settlements and rental car expenses, as we worked to address our operational challenges created by our rapid growth from 2020 through the first quarter of 2022 as well as reduced fixed and variable costs contemplated by our long-term roadmap.</w:t>
      </w:r>
    </w:p>
    <w:p>
      <w:pPr>
        <w:spacing w:after="0" w:line="171" w:lineRule="exact"/>
        <w:rPr>
          <w:sz w:val="20"/>
          <w:szCs w:val="20"/>
          <w:color w:val="auto"/>
        </w:rPr>
      </w:pPr>
    </w:p>
    <w:p>
      <w:pPr>
        <w:ind w:right="160" w:firstLine="761"/>
        <w:spacing w:after="0" w:line="247" w:lineRule="auto"/>
        <w:rPr>
          <w:sz w:val="20"/>
          <w:szCs w:val="20"/>
          <w:color w:val="auto"/>
        </w:rPr>
      </w:pPr>
      <w:r>
        <w:rPr>
          <w:rFonts w:ascii="Arial" w:cs="Arial" w:eastAsia="Arial" w:hAnsi="Arial"/>
          <w:sz w:val="18"/>
          <w:szCs w:val="18"/>
          <w:color w:val="auto"/>
        </w:rPr>
        <w:t>We expect SG&amp;A expenses to decrease in the future driven by further reductions in both fixed and variable cost components as we continue to optimize our operations. We may not be able to fully realize further cost savings and benefits initially anticipated from the long-term roadmap, and the future costs may be greater than expected.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08" w:lineRule="exact"/>
        <w:rPr>
          <w:sz w:val="20"/>
          <w:szCs w:val="20"/>
          <w:color w:val="auto"/>
        </w:rPr>
      </w:pPr>
    </w:p>
    <w:p>
      <w:pPr>
        <w:ind w:right="520" w:firstLine="761"/>
        <w:spacing w:after="0" w:line="260" w:lineRule="auto"/>
        <w:rPr>
          <w:sz w:val="20"/>
          <w:szCs w:val="20"/>
          <w:color w:val="auto"/>
        </w:rPr>
      </w:pPr>
      <w:r>
        <w:rPr>
          <w:rFonts w:ascii="Arial" w:cs="Arial" w:eastAsia="Arial" w:hAnsi="Arial"/>
          <w:sz w:val="18"/>
          <w:szCs w:val="18"/>
          <w:color w:val="auto"/>
        </w:rPr>
        <w:t>Depreciation and amortization expenses remained relatively consistent from $10.0 million for the three months ended June 30, 2022 to $10.3 million for the three months ended June 30,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08" w:lineRule="exact"/>
        <w:rPr>
          <w:sz w:val="20"/>
          <w:szCs w:val="20"/>
          <w:color w:val="auto"/>
        </w:rPr>
      </w:pPr>
    </w:p>
    <w:p>
      <w:pPr>
        <w:ind w:right="200" w:firstLine="749"/>
        <w:spacing w:after="0" w:line="260" w:lineRule="auto"/>
        <w:rPr>
          <w:sz w:val="20"/>
          <w:szCs w:val="20"/>
          <w:color w:val="auto"/>
        </w:rPr>
      </w:pPr>
      <w:r>
        <w:rPr>
          <w:rFonts w:ascii="Arial" w:cs="Arial" w:eastAsia="Arial" w:hAnsi="Arial"/>
          <w:sz w:val="18"/>
          <w:szCs w:val="18"/>
          <w:color w:val="auto"/>
        </w:rPr>
        <w:t>Impairment charges represent lease impairment charges of $1.4 million and $3.4 million for the three months ended June 30, 2023 and 2022, respectively, related to closing physical office locations and Sell Us Your Car® centers.</w:t>
      </w:r>
    </w:p>
    <w:p>
      <w:pPr>
        <w:spacing w:after="0" w:line="3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6"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208" w:lineRule="exact"/>
        <w:rPr>
          <w:sz w:val="20"/>
          <w:szCs w:val="20"/>
          <w:color w:val="auto"/>
        </w:rPr>
      </w:pPr>
    </w:p>
    <w:p>
      <w:pPr>
        <w:ind w:right="1040" w:firstLine="749"/>
        <w:spacing w:after="0" w:line="260" w:lineRule="auto"/>
        <w:rPr>
          <w:sz w:val="20"/>
          <w:szCs w:val="20"/>
          <w:color w:val="auto"/>
        </w:rPr>
      </w:pPr>
      <w:r>
        <w:rPr>
          <w:rFonts w:ascii="Arial" w:cs="Arial" w:eastAsia="Arial" w:hAnsi="Arial"/>
          <w:sz w:val="18"/>
          <w:szCs w:val="18"/>
          <w:color w:val="auto"/>
        </w:rPr>
        <w:t>Gain on debt extinguishment represents a gain of $ 10.9 million for the three months ended June 30, 2023, related to the repurchase of $18.2 million in aggregate principal balance of the Notes, net of deferred issuance costs, for $7.3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p>
      <w:pPr>
        <w:ind w:right="200" w:firstLine="761"/>
        <w:spacing w:after="0" w:line="241" w:lineRule="auto"/>
        <w:rPr>
          <w:sz w:val="20"/>
          <w:szCs w:val="20"/>
          <w:color w:val="auto"/>
        </w:rPr>
      </w:pPr>
      <w:r>
        <w:rPr>
          <w:rFonts w:ascii="Arial" w:cs="Arial" w:eastAsia="Arial" w:hAnsi="Arial"/>
          <w:sz w:val="18"/>
          <w:szCs w:val="18"/>
          <w:color w:val="auto"/>
        </w:rPr>
        <w:t>Interest expense decreased $0.6 million, or 6.2%, from $9.5 million for the three months ended June 30, 2023, to $8.9 million for the three months ended June 30, 2023. The decrease was primarily attributable to a decrease of $ 2.4 million in interest expense related to a lower outstanding balance on the 2022 Vehicle Floorplan Facility, as well as a decrease in interest expense on the Notes of $0.9 million due to the repurchase of the Notes during the second half of 2022 and first half of 2023. The decrease was partially offset by an increase in interest expense incurred on UACC's Warehouse Credit Facilities, which increased interest expense by $2.7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8" w:lineRule="exact"/>
        <w:rPr>
          <w:sz w:val="20"/>
          <w:szCs w:val="20"/>
          <w:color w:val="auto"/>
        </w:rPr>
      </w:pPr>
    </w:p>
    <w:p>
      <w:pPr>
        <w:ind w:right="180" w:firstLine="761"/>
        <w:spacing w:after="0" w:line="247" w:lineRule="auto"/>
        <w:rPr>
          <w:sz w:val="20"/>
          <w:szCs w:val="20"/>
          <w:color w:val="auto"/>
        </w:rPr>
      </w:pPr>
      <w:r>
        <w:rPr>
          <w:rFonts w:ascii="Arial" w:cs="Arial" w:eastAsia="Arial" w:hAnsi="Arial"/>
          <w:sz w:val="18"/>
          <w:szCs w:val="18"/>
          <w:color w:val="auto"/>
        </w:rPr>
        <w:t>Interest income increased $1.0 million, or 25.1%, from $3.9 million for the three months ended June 30, 2022 to $ 4.9 million for the three months ended June 30, 2023. The increase in interest income was primarily driven by higher interest rates earned on cash and cash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net</w:t>
      </w:r>
    </w:p>
    <w:p>
      <w:pPr>
        <w:spacing w:after="0" w:line="208" w:lineRule="exact"/>
        <w:rPr>
          <w:sz w:val="20"/>
          <w:szCs w:val="20"/>
          <w:color w:val="auto"/>
        </w:rPr>
      </w:pPr>
    </w:p>
    <w:p>
      <w:pPr>
        <w:jc w:val="both"/>
        <w:ind w:right="260" w:firstLine="764"/>
        <w:spacing w:after="0" w:line="243" w:lineRule="auto"/>
        <w:rPr>
          <w:sz w:val="20"/>
          <w:szCs w:val="20"/>
          <w:color w:val="auto"/>
        </w:rPr>
      </w:pPr>
      <w:r>
        <w:rPr>
          <w:rFonts w:ascii="Arial" w:cs="Arial" w:eastAsia="Arial" w:hAnsi="Arial"/>
          <w:sz w:val="18"/>
          <w:szCs w:val="18"/>
          <w:color w:val="auto"/>
        </w:rPr>
        <w:t>Other loss, net increased $11.0 million, or 121.0%, from $9.2 million for the three months ended June 30, 2022 to $20.2 million for the three months ended June 30, 2023. The increase in other loss was primarily driven by an increase in realized and unrealized losses on the fair value of finance receivables including the 2023-1 securitization transaction and the 2022-2 securitization transaction (resulting from consolidation).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and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79" w:lineRule="exact"/>
        <w:rPr>
          <w:sz w:val="20"/>
          <w:szCs w:val="20"/>
          <w:color w:val="auto"/>
        </w:rPr>
      </w:pPr>
    </w:p>
    <w:p>
      <w:pPr>
        <w:jc w:val="center"/>
        <w:ind w:left="226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left="226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4"/>
          </w:tcPr>
          <w:p>
            <w:pPr>
              <w:jc w:val="right"/>
              <w:ind w:right="411"/>
              <w:spacing w:after="0" w:line="156" w:lineRule="exact"/>
              <w:rPr>
                <w:sz w:val="20"/>
                <w:szCs w:val="20"/>
                <w:color w:val="auto"/>
              </w:rPr>
            </w:pPr>
            <w:r>
              <w:rPr>
                <w:rFonts w:ascii="Arial" w:cs="Arial" w:eastAsia="Arial" w:hAnsi="Arial"/>
                <w:sz w:val="14"/>
                <w:szCs w:val="14"/>
                <w:b w:val="1"/>
                <w:bCs w:val="1"/>
                <w:color w:val="auto"/>
              </w:rPr>
              <w:t>(in thousands, except unit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data and average days to sale)</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Ecommerce units sold</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28,706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(20,646 )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(71.9 )%</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Ecommerce revenue:</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Vehicle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250,636</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960,747</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(710,111 )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(73.9 )%</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23,222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36,248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(13,026 )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(35.9 )%</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Total ecommerce revenue</w:t>
            </w: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273,858</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996,995</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(723,137 )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(72.5 )%</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Ecommerce gross profit: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Vehicle 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602</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31,580</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(30,978 )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(98.1 )%</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Product gross profit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21,621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36,248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(14,627 )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Total ecommerce gross profit</w:t>
            </w: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22,223</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67,828</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(45,605 )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(67.2 )%</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Average vehicle selling price per ecommerce unit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31,096</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33,469</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(2,373 )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 per ecommerce unit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128.1 %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Gross profit per ecommerce unit:</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1,100</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(1,025 )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(93.2 )%</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1,420</w:t>
            </w:r>
          </w:p>
        </w:tc>
        <w:tc>
          <w:tcPr>
            <w:tcW w:w="28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112.4 %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gross profit per ecommerce unit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8"/>
                <w:szCs w:val="18"/>
                <w:color w:val="auto"/>
              </w:rPr>
              <w:t>Ecommerce average days to sale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 xml:space="preserve">175.9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635"/>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833"/>
              <w:spacing w:after="0"/>
              <w:rPr>
                <w:sz w:val="20"/>
                <w:szCs w:val="20"/>
                <w:color w:val="auto"/>
              </w:rPr>
            </w:pPr>
            <w:r>
              <w:rPr>
                <w:rFonts w:ascii="Arial" w:cs="Arial" w:eastAsia="Arial" w:hAnsi="Arial"/>
                <w:sz w:val="18"/>
                <w:szCs w:val="18"/>
                <w:color w:val="auto"/>
                <w:w w:val="99"/>
              </w:rPr>
              <w:t>66</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-2914015</wp:posOffset>
            </wp:positionV>
            <wp:extent cx="7132320" cy="146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-2622550</wp:posOffset>
            </wp:positionV>
            <wp:extent cx="7132320" cy="145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-2322830</wp:posOffset>
            </wp:positionV>
            <wp:extent cx="7132320" cy="4629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4629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3175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1454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-650875</wp:posOffset>
            </wp:positionV>
            <wp:extent cx="2923540" cy="1714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92354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126"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08" w:lineRule="exact"/>
        <w:rPr>
          <w:sz w:val="20"/>
          <w:szCs w:val="20"/>
          <w:color w:val="auto"/>
        </w:rPr>
      </w:pPr>
    </w:p>
    <w:p>
      <w:pPr>
        <w:ind w:right="80" w:firstLine="761"/>
        <w:spacing w:after="0" w:line="243" w:lineRule="auto"/>
        <w:rPr>
          <w:sz w:val="20"/>
          <w:szCs w:val="20"/>
          <w:color w:val="auto"/>
        </w:rPr>
      </w:pPr>
      <w:r>
        <w:rPr>
          <w:rFonts w:ascii="Arial" w:cs="Arial" w:eastAsia="Arial" w:hAnsi="Arial"/>
          <w:sz w:val="18"/>
          <w:szCs w:val="18"/>
          <w:color w:val="auto"/>
        </w:rPr>
        <w:t>Ecommerce units sold decreased 20,646, or 71.9%, from 28,706 for the six months ended June 30, 2022 to 8,060 for the six months ended June 30, 2023. This decrease was driven by our strategic decision to prioritize unit economics over unit sales volume starting in the middle of the second quarter of 2022, pressure on servicing our demand as a result of reducing third-party sales support staff and scaling our internal sales team, as well as macroeconomic factors.</w:t>
      </w:r>
    </w:p>
    <w:p>
      <w:pPr>
        <w:spacing w:after="0" w:line="174"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Ecommerce average days to sale increased from 110 days for the six months ended June 30, 2022 to 304 days for the six months ended June 30, 2023. We have undertaken various initiatives to address the operational challenges created by our prior rapid growth from 2020 through the first quarter of 2022, in particular with titling and registration processes. While these initiatives are designed to improve our transaction processing, enhance our customer experience, and reduce our regulatory risk, they resulted in delays in listing vehicles for sale and caused a higher portion of our unit sales in the first half of 2023 to be from aged inventory which increased the number of days between our acquisition of vehicles and the final delivery of such vehicles to customers. We expect ecommerce average days to sale to improve in the second half of 2023 as we continue to improve our processes and sell the remainder of our aged inventory through the end of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Ecommerce vehicle revenue decreased $710.1 million, or 73.9%, from $960.7 million for the six months ended June 30, 2022 to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$250.6 million for the six months ended June 30, 2023. The decrease in ecommerce vehicle revenue was primarily attributable to the 20,646</w:t>
      </w:r>
    </w:p>
    <w:p>
      <w:pPr>
        <w:spacing w:after="0" w:line="234" w:lineRule="auto"/>
        <w:rPr>
          <w:sz w:val="20"/>
          <w:szCs w:val="20"/>
          <w:color w:val="auto"/>
        </w:rPr>
      </w:pPr>
      <w:r>
        <w:rPr>
          <w:rFonts w:ascii="Arial" w:cs="Arial" w:eastAsia="Arial" w:hAnsi="Arial"/>
          <w:sz w:val="18"/>
          <w:szCs w:val="18"/>
          <w:color w:val="auto"/>
        </w:rPr>
        <w:t>decrease in ecommerce units sold, which decreased vehicle revenue by $691.0 million, and a decrease in ASP per unit, which decreased</w:t>
      </w:r>
    </w:p>
    <w:p>
      <w:pPr>
        <w:spacing w:after="0" w:line="235" w:lineRule="auto"/>
        <w:rPr>
          <w:sz w:val="20"/>
          <w:szCs w:val="20"/>
          <w:color w:val="auto"/>
        </w:rPr>
      </w:pPr>
      <w:r>
        <w:rPr>
          <w:rFonts w:ascii="Arial" w:cs="Arial" w:eastAsia="Arial" w:hAnsi="Arial"/>
          <w:sz w:val="18"/>
          <w:szCs w:val="18"/>
          <w:color w:val="auto"/>
        </w:rPr>
        <w:t>from $33,469 for the six months ended June 30, 2022 to $31,096 for the six months ended June 30, 2023 and decreased vehicle revenue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$19.1 million.</w:t>
      </w:r>
    </w:p>
    <w:p>
      <w:pPr>
        <w:spacing w:after="0" w:line="186" w:lineRule="exact"/>
        <w:rPr>
          <w:sz w:val="20"/>
          <w:szCs w:val="20"/>
          <w:color w:val="auto"/>
        </w:rPr>
      </w:pPr>
    </w:p>
    <w:p>
      <w:pPr>
        <w:ind w:right="220" w:firstLine="761"/>
        <w:spacing w:after="0" w:line="260" w:lineRule="auto"/>
        <w:rPr>
          <w:sz w:val="20"/>
          <w:szCs w:val="20"/>
          <w:color w:val="auto"/>
        </w:rPr>
      </w:pPr>
      <w:r>
        <w:rPr>
          <w:rFonts w:ascii="Arial" w:cs="Arial" w:eastAsia="Arial" w:hAnsi="Arial"/>
          <w:sz w:val="18"/>
          <w:szCs w:val="18"/>
          <w:color w:val="auto"/>
        </w:rPr>
        <w:t>The decrease in ASP per unit was primarily due to market depreciation in the second half of 2022. We expect ASP to continue to fluctuate as a result of market conditions and adjustments to our inventory based upon demand predicted by our data analytics.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Ecommerce product revenue decreased $13.0 million, or 35.9%, from $36.2 million for the six months ended June 30, 2022 to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$23.2 million for the six months ended June 30, 2023. The decrease in ecommerce product revenue was primarily attributable to the 20,646</w:t>
      </w:r>
    </w:p>
    <w:p>
      <w:pPr>
        <w:spacing w:after="0" w:line="234" w:lineRule="auto"/>
        <w:rPr>
          <w:sz w:val="20"/>
          <w:szCs w:val="20"/>
          <w:color w:val="auto"/>
        </w:rPr>
      </w:pPr>
      <w:r>
        <w:rPr>
          <w:rFonts w:ascii="Arial" w:cs="Arial" w:eastAsia="Arial" w:hAnsi="Arial"/>
          <w:sz w:val="18"/>
          <w:szCs w:val="18"/>
          <w:color w:val="auto"/>
        </w:rPr>
        <w:t>decrease in ecommerce units sold, which decreased product revenue by $26.0 million, partially offset by an increase in product revenue per</w:t>
      </w:r>
    </w:p>
    <w:p>
      <w:pPr>
        <w:spacing w:after="0" w:line="235" w:lineRule="auto"/>
        <w:rPr>
          <w:sz w:val="20"/>
          <w:szCs w:val="20"/>
          <w:color w:val="auto"/>
        </w:rPr>
      </w:pPr>
      <w:r>
        <w:rPr>
          <w:rFonts w:ascii="Arial" w:cs="Arial" w:eastAsia="Arial" w:hAnsi="Arial"/>
          <w:sz w:val="18"/>
          <w:szCs w:val="18"/>
          <w:color w:val="auto"/>
        </w:rPr>
        <w:t>unit, which increased from $1,263 for the six months ended June 30, 2022 to $2,881 for the six months ended June 30, 2023 and increased</w:t>
      </w:r>
    </w:p>
    <w:p>
      <w:pPr>
        <w:spacing w:after="0" w:line="235" w:lineRule="auto"/>
        <w:rPr>
          <w:sz w:val="20"/>
          <w:szCs w:val="20"/>
          <w:color w:val="auto"/>
        </w:rPr>
      </w:pPr>
      <w:r>
        <w:rPr>
          <w:rFonts w:ascii="Arial" w:cs="Arial" w:eastAsia="Arial" w:hAnsi="Arial"/>
          <w:sz w:val="18"/>
          <w:szCs w:val="18"/>
          <w:color w:val="auto"/>
        </w:rPr>
        <w:t>product revenue by $13.0 million. The increase in product revenue per unit is primarily due to an increase in interest income earned on</w:t>
      </w:r>
    </w:p>
    <w:p>
      <w:pPr>
        <w:spacing w:after="0"/>
        <w:rPr>
          <w:sz w:val="20"/>
          <w:szCs w:val="20"/>
          <w:color w:val="auto"/>
        </w:rPr>
      </w:pPr>
      <w:r>
        <w:rPr>
          <w:rFonts w:ascii="Arial" w:cs="Arial" w:eastAsia="Arial" w:hAnsi="Arial"/>
          <w:sz w:val="18"/>
          <w:szCs w:val="18"/>
          <w:color w:val="auto"/>
        </w:rPr>
        <w:t>finance receivables from Vroom customers originated or serviced by UACC as compared to the first half of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Ecommerce vehicle gross profit decreased $31.0 million, or 98.1%, from $31.6 million for the six months ended June 30, 2022 to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$0.6 million for the six months ended June 30, 2023. The decrease in vehicle gross profit was primarily attributable to the 20,646 decrease in</w:t>
      </w:r>
    </w:p>
    <w:p>
      <w:pPr>
        <w:spacing w:after="0"/>
        <w:rPr>
          <w:sz w:val="20"/>
          <w:szCs w:val="20"/>
          <w:color w:val="auto"/>
        </w:rPr>
      </w:pPr>
      <w:r>
        <w:rPr>
          <w:rFonts w:ascii="Arial" w:cs="Arial" w:eastAsia="Arial" w:hAnsi="Arial"/>
          <w:sz w:val="17"/>
          <w:szCs w:val="17"/>
          <w:color w:val="auto"/>
        </w:rPr>
        <w:t>ecommerce units sold, which decreased vehicle gross profit by $22.7 million. Additionally, vehicle gross profit per unit decreased $1,025 from</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$1,100 for the six months ended June 30, 2022 to $75 for six months ended June 30, 2023, which decreased vehicle gross profit by $8.3</w:t>
      </w:r>
    </w:p>
    <w:p>
      <w:pPr>
        <w:spacing w:after="0" w:line="234" w:lineRule="auto"/>
        <w:rPr>
          <w:sz w:val="20"/>
          <w:szCs w:val="20"/>
          <w:color w:val="auto"/>
        </w:rPr>
      </w:pPr>
      <w:r>
        <w:rPr>
          <w:rFonts w:ascii="Arial" w:cs="Arial" w:eastAsia="Arial" w:hAnsi="Arial"/>
          <w:sz w:val="18"/>
          <w:szCs w:val="18"/>
          <w:color w:val="auto"/>
        </w:rPr>
        <w:t>million. The decrease was primarily driven by lower sales margin on aged inventory and higher reconditioning costs per unit related to an</w:t>
      </w:r>
    </w:p>
    <w:p>
      <w:pPr>
        <w:spacing w:after="0" w:line="235" w:lineRule="auto"/>
        <w:rPr>
          <w:sz w:val="20"/>
          <w:szCs w:val="20"/>
          <w:color w:val="auto"/>
        </w:rPr>
      </w:pPr>
      <w:r>
        <w:rPr>
          <w:rFonts w:ascii="Arial" w:cs="Arial" w:eastAsia="Arial" w:hAnsi="Arial"/>
          <w:sz w:val="18"/>
          <w:szCs w:val="18"/>
          <w:color w:val="auto"/>
        </w:rPr>
        <w:t>increased mix of higher mileage and aged vehicles along with significant parts inflation. The decreases were partially offset by a lower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inventory reserve as a result of a decrease in inventory levels as we continued to sell through our aged inventory.</w:t>
      </w:r>
    </w:p>
    <w:p>
      <w:pPr>
        <w:spacing w:after="0" w:line="186"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As we continue to make progress on our initiatives to address the operational challenges created by our prior rapid growth from 2020 through the first quarter of 2022, a higher portion of our unit sales in the first half of 2023 was from aged inventory as we obtained titles for vehicles not previously listed for sale, which negatively impacted our sales margin and GPPU. While we sold through the majority of our aged inventory in the first half of 2023, we expect our aged inventory mix to continue to negatively impact sales margin and GPPU through the remainder of 2023, but to a lesser extent.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08" w:lineRule="exact"/>
        <w:rPr>
          <w:sz w:val="20"/>
          <w:szCs w:val="20"/>
          <w:color w:val="auto"/>
        </w:rPr>
      </w:pPr>
    </w:p>
    <w:p>
      <w:pPr>
        <w:ind w:right="160" w:firstLine="761"/>
        <w:spacing w:after="0" w:line="239" w:lineRule="auto"/>
        <w:rPr>
          <w:sz w:val="20"/>
          <w:szCs w:val="20"/>
          <w:color w:val="auto"/>
        </w:rPr>
      </w:pPr>
      <w:r>
        <w:rPr>
          <w:rFonts w:ascii="Arial" w:cs="Arial" w:eastAsia="Arial" w:hAnsi="Arial"/>
          <w:sz w:val="18"/>
          <w:szCs w:val="18"/>
          <w:color w:val="auto"/>
        </w:rPr>
        <w:t>Ecommerce product gross profit decreased $14.6 million, or 40.4%, from $36.2 million for the six months ended June 30, 2022 to $21.6 million for the six months ended June 30, 2023. The decrease in ecommerce product gross profit was primarily attributable to the 20,646 decrease in ecommerce units sold, which decreased product gross profit by $26.1 million, partially offset by a $1,420 increase in product gross profit per unit, which increased product gross profit by $11.5 million. Product gross profit per unit increased from $1,263 for the six months ended June 30, 2022 to $2,683 for the six months ended June 30, 2023, primarily due to an increase in interest income earned, partially offset by interest expense on securitization debt related to finance receivables from Vroom customers originated or serviced by UACC, as compared to the first quarter of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38" w:lineRule="exact"/>
        <w:rPr>
          <w:sz w:val="20"/>
          <w:szCs w:val="20"/>
          <w:color w:val="auto"/>
        </w:rPr>
      </w:pPr>
    </w:p>
    <w:p>
      <w:pPr>
        <w:jc w:val="center"/>
        <w:ind w:left="226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left="226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40" w:type="dxa"/>
            <w:vAlign w:val="bottom"/>
            <w:gridSpan w:val="2"/>
          </w:tcPr>
          <w:p>
            <w:pPr>
              <w:spacing w:after="0"/>
              <w:rPr>
                <w:sz w:val="15"/>
                <w:szCs w:val="15"/>
                <w:color w:val="auto"/>
              </w:rPr>
            </w:pPr>
          </w:p>
        </w:tc>
      </w:tr>
      <w:tr>
        <w:trPr>
          <w:trHeight w:val="183"/>
        </w:trPr>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(in thousands, except unit data)</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Wholesale units sold</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15,980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(12,977 )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(81.2 )%</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Wholesale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44,695</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222,885</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(178,190 )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(79.9 )%</w:t>
            </w:r>
          </w:p>
        </w:tc>
      </w:tr>
      <w:tr>
        <w:trPr>
          <w:trHeight w:val="230"/>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gross loss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(3,931 )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(4,686 )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Average selling price per unit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14,883</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13,948</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935</w:t>
            </w:r>
          </w:p>
        </w:tc>
        <w:tc>
          <w:tcPr>
            <w:tcW w:w="28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6.7 %</w:t>
            </w:r>
          </w:p>
        </w:tc>
      </w:tr>
      <w:tr>
        <w:trPr>
          <w:trHeight w:val="230"/>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gross loss per unit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(1,309 )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(293 )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(1,016 )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346.8 %</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454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208" w:lineRule="exact"/>
        <w:rPr>
          <w:sz w:val="20"/>
          <w:szCs w:val="20"/>
          <w:color w:val="auto"/>
        </w:rPr>
      </w:pPr>
    </w:p>
    <w:p>
      <w:pPr>
        <w:jc w:val="both"/>
        <w:ind w:right="160" w:firstLine="761"/>
        <w:spacing w:after="0" w:line="247" w:lineRule="auto"/>
        <w:rPr>
          <w:sz w:val="20"/>
          <w:szCs w:val="20"/>
          <w:color w:val="auto"/>
        </w:rPr>
      </w:pPr>
      <w:r>
        <w:rPr>
          <w:rFonts w:ascii="Arial" w:cs="Arial" w:eastAsia="Arial" w:hAnsi="Arial"/>
          <w:sz w:val="18"/>
          <w:szCs w:val="18"/>
          <w:color w:val="auto"/>
        </w:rPr>
        <w:t>Wholesale units sold decreased 12,977, or 81.2%, from 15,980 for the six months ended June 30, 2022 to 3,003 for the six months ended June 30, 2023, primarily driven by a decrease in wholesale units purchased from consumers and a lower number of trade-in vehicles associated with the decrease in the number of ecommerce units sold.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208" w:lineRule="exact"/>
        <w:rPr>
          <w:sz w:val="20"/>
          <w:szCs w:val="20"/>
          <w:color w:val="auto"/>
        </w:rPr>
      </w:pPr>
    </w:p>
    <w:p>
      <w:pPr>
        <w:ind w:right="320" w:firstLine="761"/>
        <w:spacing w:after="0" w:line="241" w:lineRule="auto"/>
        <w:rPr>
          <w:sz w:val="20"/>
          <w:szCs w:val="20"/>
          <w:color w:val="auto"/>
        </w:rPr>
      </w:pPr>
      <w:r>
        <w:rPr>
          <w:rFonts w:ascii="Arial" w:cs="Arial" w:eastAsia="Arial" w:hAnsi="Arial"/>
          <w:sz w:val="18"/>
          <w:szCs w:val="18"/>
          <w:color w:val="auto"/>
        </w:rPr>
        <w:t>Wholesale revenue decreased $178.2 million, or 79.9%, from $222.9 million for the six months ended June 30, 2022 to $ 44.7 million for the six months ended June 30, 2023. The decrease was primarily attributable to the 12,977 decrease in wholesale units sold, which decreased wholesale revenue by $181.0 million, partially offset by a higher ASP per wholesale unit, which increased wholesale revenue by $ 2.8 million. The increase in ASP per wholesale unit was primarily due to the shift in mix of vehicles sold through the wholesale channel as a result of the hail storm damage discussed below.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Loss</w:t>
      </w:r>
    </w:p>
    <w:p>
      <w:pPr>
        <w:spacing w:after="0" w:line="208" w:lineRule="exact"/>
        <w:rPr>
          <w:sz w:val="20"/>
          <w:szCs w:val="20"/>
          <w:color w:val="auto"/>
        </w:rPr>
      </w:pPr>
    </w:p>
    <w:p>
      <w:pPr>
        <w:jc w:val="both"/>
        <w:ind w:right="120" w:firstLine="761"/>
        <w:spacing w:after="0" w:line="243" w:lineRule="auto"/>
        <w:rPr>
          <w:sz w:val="20"/>
          <w:szCs w:val="20"/>
          <w:color w:val="auto"/>
        </w:rPr>
      </w:pPr>
      <w:r>
        <w:rPr>
          <w:rFonts w:ascii="Arial" w:cs="Arial" w:eastAsia="Arial" w:hAnsi="Arial"/>
          <w:sz w:val="18"/>
          <w:szCs w:val="18"/>
          <w:color w:val="auto"/>
        </w:rPr>
        <w:t>Wholesale gross loss decreased $0.8 million, or 16.1%, from $4.7 million for the six months ended June 30, 2022 to $3.9 million for the six months ended June 30, 2023. The change was primarily attributable to the 12,977 decrease in wholesale units sold, which decreased wholesale gross loss by $3.8 million, partially offset by a $1,016 increase in wholesale gross loss per unit from $ 293 for the six months ended June 30, 2022 to $1,309 for the six months ended June 30, 2023, which increased wholesale gross loss by $3.0 million.</w:t>
      </w:r>
    </w:p>
    <w:p>
      <w:pPr>
        <w:spacing w:after="0" w:line="174" w:lineRule="exact"/>
        <w:rPr>
          <w:sz w:val="20"/>
          <w:szCs w:val="20"/>
          <w:color w:val="auto"/>
        </w:rPr>
      </w:pPr>
    </w:p>
    <w:p>
      <w:pPr>
        <w:ind w:right="140" w:firstLine="761"/>
        <w:spacing w:after="0" w:line="243" w:lineRule="auto"/>
        <w:rPr>
          <w:sz w:val="20"/>
          <w:szCs w:val="20"/>
          <w:color w:val="auto"/>
        </w:rPr>
      </w:pPr>
      <w:r>
        <w:rPr>
          <w:rFonts w:ascii="Arial" w:cs="Arial" w:eastAsia="Arial" w:hAnsi="Arial"/>
          <w:sz w:val="18"/>
          <w:szCs w:val="18"/>
          <w:color w:val="auto"/>
        </w:rPr>
        <w:t>The increase in wholesale gross loss per unit was primarily driven by lower sales margins and was partially offset by a lower inventory reserve as a result of a decrease in inventory levels. During the six months ended June 30, 2023, certain of our vehicles located in our Orlando, Florida and Denver, Colorado locations were damaged by hail storms, which resulted in an aggregate loss of $2.4 million, net of insurance recoveries. The majority of hail damaged vehicles have been sold or are expected to be sold through the wholesale market.</w:t>
      </w:r>
    </w:p>
    <w:p>
      <w:pPr>
        <w:spacing w:after="0" w:line="39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6"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Retail Financing segment results of operations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4"/>
          </w:tcPr>
          <w:p>
            <w:pPr>
              <w:jc w:val="right"/>
              <w:ind w:right="616"/>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89"/>
        </w:trPr>
        <w:tc>
          <w:tcPr>
            <w:tcW w:w="5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5"/>
                <w:szCs w:val="15"/>
                <w:color w:val="auto"/>
              </w:rPr>
            </w:pPr>
          </w:p>
        </w:tc>
      </w:tr>
      <w:tr>
        <w:trPr>
          <w:trHeight w:val="183"/>
        </w:trPr>
        <w:tc>
          <w:tcPr>
            <w:tcW w:w="5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Retail Financing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74,116</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79,808</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(5,692 )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(7.1 )%</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Retail Financing gross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59,842</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73,682</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(13,840 )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Revenue</w:t>
      </w:r>
    </w:p>
    <w:p>
      <w:pPr>
        <w:spacing w:after="0" w:line="208" w:lineRule="exact"/>
        <w:rPr>
          <w:sz w:val="20"/>
          <w:szCs w:val="20"/>
          <w:color w:val="auto"/>
        </w:rPr>
      </w:pPr>
    </w:p>
    <w:p>
      <w:pPr>
        <w:ind w:right="160" w:firstLine="764"/>
        <w:spacing w:after="0" w:line="241" w:lineRule="auto"/>
        <w:rPr>
          <w:sz w:val="20"/>
          <w:szCs w:val="20"/>
          <w:color w:val="auto"/>
        </w:rPr>
      </w:pPr>
      <w:r>
        <w:rPr>
          <w:rFonts w:ascii="Arial" w:cs="Arial" w:eastAsia="Arial" w:hAnsi="Arial"/>
          <w:sz w:val="18"/>
          <w:szCs w:val="18"/>
          <w:color w:val="auto"/>
        </w:rPr>
        <w:t>Retail Financing revenue decreased $ 5.7 million, or 7.1%, from $79.8 million for the six months ended June 30, 2022 to $74.1 million for the six months ended June 30, 2023. The decrease was primarily driven by the gain on sale of finance receivables of $29.6 million in the first half of 2022 related to the 2022-1 securitization transaction. The decrease was partially offset by an increase in interest income earned on finance receivables with third-party dealership customers as a result of the consolidation of the 2022-2 and 2023-1 securitization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Gross Profit</w:t>
      </w:r>
    </w:p>
    <w:p>
      <w:pPr>
        <w:spacing w:after="0" w:line="208" w:lineRule="exact"/>
        <w:rPr>
          <w:sz w:val="20"/>
          <w:szCs w:val="20"/>
          <w:color w:val="auto"/>
        </w:rPr>
      </w:pPr>
    </w:p>
    <w:p>
      <w:pPr>
        <w:ind w:right="140" w:firstLine="764"/>
        <w:spacing w:after="0" w:line="239" w:lineRule="auto"/>
        <w:rPr>
          <w:sz w:val="20"/>
          <w:szCs w:val="20"/>
          <w:color w:val="auto"/>
        </w:rPr>
      </w:pPr>
      <w:r>
        <w:rPr>
          <w:rFonts w:ascii="Arial" w:cs="Arial" w:eastAsia="Arial" w:hAnsi="Arial"/>
          <w:sz w:val="18"/>
          <w:szCs w:val="18"/>
          <w:color w:val="auto"/>
        </w:rPr>
        <w:t>Retail Financing gross profit decreased $13.9 million, or 18.8%, from $73.7 million for the six months ended June 30, 2022 to $59.8 million for the six months ended June 30, 2023. The decrease was primarily driven by the gain on sale of finance receivables of $29.6 million in the first half of 2022 related to the 2022-1 securitization transaction, as well as an increase in collection expenses related to servicing finance receivables originated by UACC and an increase in interest expense on securitization debt in the first quarter of 2023. The decrease was partially offset by an increase in interest income earned on finance receivables with third-party dealership customers as a result of the consolidation of the 2022-2 and 2023-1 securitization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Compensation &amp; benefits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92,622</w:t>
            </w:r>
          </w:p>
        </w:tc>
        <w:tc>
          <w:tcPr>
            <w:tcW w:w="7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143,416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(50,794 )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(35.4 )%</w:t>
            </w:r>
          </w:p>
        </w:tc>
        <w:tc>
          <w:tcPr>
            <w:tcW w:w="0" w:type="dxa"/>
            <w:vAlign w:val="bottom"/>
          </w:tcPr>
          <w:p>
            <w:pPr>
              <w:spacing w:after="0"/>
              <w:rPr>
                <w:sz w:val="1"/>
                <w:szCs w:val="1"/>
                <w:color w:val="auto"/>
              </w:rPr>
            </w:pPr>
          </w:p>
        </w:tc>
      </w:tr>
      <w:tr>
        <w:trPr>
          <w:trHeight w:val="207"/>
        </w:trPr>
        <w:tc>
          <w:tcPr>
            <w:tcW w:w="5600" w:type="dxa"/>
            <w:vAlign w:val="bottom"/>
          </w:tcPr>
          <w:p>
            <w:pPr>
              <w:ind w:left="20"/>
              <w:spacing w:after="0"/>
              <w:rPr>
                <w:sz w:val="20"/>
                <w:szCs w:val="20"/>
                <w:color w:val="auto"/>
              </w:rPr>
            </w:pPr>
            <w:r>
              <w:rPr>
                <w:rFonts w:ascii="Arial" w:cs="Arial" w:eastAsia="Arial" w:hAnsi="Arial"/>
                <w:sz w:val="18"/>
                <w:szCs w:val="18"/>
                <w:color w:val="auto"/>
              </w:rPr>
              <w:t>Marketing expense</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26,441</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54,874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(28,433 )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(51.8 )%</w:t>
            </w:r>
          </w:p>
        </w:tc>
        <w:tc>
          <w:tcPr>
            <w:tcW w:w="0" w:type="dxa"/>
            <w:vAlign w:val="bottom"/>
          </w:tcPr>
          <w:p>
            <w:pPr>
              <w:spacing w:after="0"/>
              <w:rPr>
                <w:sz w:val="1"/>
                <w:szCs w:val="1"/>
                <w:color w:val="auto"/>
              </w:rPr>
            </w:pPr>
          </w:p>
        </w:tc>
      </w:tr>
      <w:tr>
        <w:trPr>
          <w:trHeight w:val="252"/>
        </w:trPr>
        <w:tc>
          <w:tcPr>
            <w:tcW w:w="5600" w:type="dxa"/>
            <w:vAlign w:val="bottom"/>
          </w:tcPr>
          <w:p>
            <w:pPr>
              <w:ind w:left="20"/>
              <w:spacing w:after="0" w:line="252" w:lineRule="exact"/>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24"/>
                <w:szCs w:val="24"/>
                <w:color w:val="auto"/>
                <w:vertAlign w:val="superscript"/>
              </w:rPr>
              <w:t>(1)</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4,042</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34,980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(30,938 )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(88.4 )%</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Occupancy and related costs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9,025</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11,367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(2,342 )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10,227</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20,126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(9,899 )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(49.2 )%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Software and IT costs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18,328</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22,129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(3,801 )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22,807</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54,092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(31,285 )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(57.8 )%</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Total selling, general &amp; administrative expenses</w:t>
            </w: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183,492</w:t>
            </w:r>
          </w:p>
        </w:tc>
        <w:tc>
          <w:tcPr>
            <w:tcW w:w="26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340,984</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(157,492 )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xml:space="preserve">(46.2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54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6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257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83" w:lineRule="exact"/>
        <w:rPr>
          <w:sz w:val="20"/>
          <w:szCs w:val="20"/>
          <w:color w:val="auto"/>
        </w:rPr>
      </w:pPr>
    </w:p>
    <w:p>
      <w:pPr>
        <w:ind w:left="1020" w:right="160" w:hanging="503"/>
        <w:spacing w:after="0" w:line="257" w:lineRule="auto"/>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associated with vehicle deliveries. Inbound transportation costs, from the point of acquisition to the relevant reconditioning facility, are included in cost of sales.</w:t>
      </w:r>
    </w:p>
    <w:p>
      <w:pPr>
        <w:spacing w:after="0" w:line="164" w:lineRule="exact"/>
        <w:rPr>
          <w:sz w:val="20"/>
          <w:szCs w:val="20"/>
          <w:color w:val="auto"/>
        </w:rPr>
      </w:pPr>
    </w:p>
    <w:p>
      <w:pPr>
        <w:ind w:right="200" w:firstLine="764"/>
        <w:spacing w:after="0" w:line="260" w:lineRule="auto"/>
        <w:rPr>
          <w:sz w:val="20"/>
          <w:szCs w:val="20"/>
          <w:color w:val="auto"/>
        </w:rPr>
      </w:pPr>
      <w:r>
        <w:rPr>
          <w:rFonts w:ascii="Arial" w:cs="Arial" w:eastAsia="Arial" w:hAnsi="Arial"/>
          <w:sz w:val="18"/>
          <w:szCs w:val="18"/>
          <w:color w:val="auto"/>
        </w:rPr>
        <w:t>SG&amp;A expenses decreased $157.5 million, or 46.2%, from $341.0 million for the six months ended June 30, 2022 to $183.5 million for the six months ended June 30, 2023. The total decrease was primarily caused by:</w:t>
      </w:r>
    </w:p>
    <w:p>
      <w:pPr>
        <w:spacing w:after="0" w:line="159" w:lineRule="exact"/>
        <w:rPr>
          <w:sz w:val="20"/>
          <w:szCs w:val="20"/>
          <w:color w:val="auto"/>
        </w:rPr>
      </w:pPr>
    </w:p>
    <w:p>
      <w:pPr>
        <w:ind w:left="1200" w:hanging="431"/>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$50.8 million decrease in compensation and benefits primarily as a result of workforce reductions;</w:t>
      </w:r>
    </w:p>
    <w:p>
      <w:pPr>
        <w:spacing w:after="0" w:line="211" w:lineRule="exact"/>
        <w:rPr>
          <w:rFonts w:ascii="Arial" w:cs="Arial" w:eastAsia="Arial" w:hAnsi="Arial"/>
          <w:sz w:val="18"/>
          <w:szCs w:val="18"/>
          <w:color w:val="auto"/>
        </w:rPr>
      </w:pPr>
    </w:p>
    <w:p>
      <w:pPr>
        <w:ind w:left="1140" w:right="880" w:hanging="371"/>
        <w:spacing w:after="0" w:line="26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$30.9 million decrease in outbound logistics costs attributable to the decrease in ecommerce units sold as well as a decrease in outbound logistics cost per ecommerce unit;</w:t>
      </w:r>
    </w:p>
    <w:p>
      <w:pPr>
        <w:spacing w:after="0" w:line="159" w:lineRule="exact"/>
        <w:rPr>
          <w:rFonts w:ascii="Arial" w:cs="Arial" w:eastAsia="Arial" w:hAnsi="Arial"/>
          <w:sz w:val="18"/>
          <w:szCs w:val="18"/>
          <w:color w:val="auto"/>
        </w:rPr>
      </w:pPr>
    </w:p>
    <w:p>
      <w:pPr>
        <w:ind w:left="1140" w:hanging="37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$28.4 million decrease in marketing expense contemplated by our long-term roadmap;</w:t>
      </w:r>
    </w:p>
    <w:p>
      <w:pPr>
        <w:spacing w:after="0" w:line="211" w:lineRule="exact"/>
        <w:rPr>
          <w:rFonts w:ascii="Arial" w:cs="Arial" w:eastAsia="Arial" w:hAnsi="Arial"/>
          <w:sz w:val="18"/>
          <w:szCs w:val="18"/>
          <w:color w:val="auto"/>
        </w:rPr>
      </w:pPr>
    </w:p>
    <w:p>
      <w:pPr>
        <w:ind w:left="1140" w:right="240" w:hanging="371"/>
        <w:spacing w:after="0" w:line="26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$9.9 million decrease in professional fees primarily related to costs incurred in connection with the UACC Acquisition during the first quarter of 2022 as well as a decrease in legal and other consulting fees;</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6"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82" w:lineRule="exact"/>
        <w:rPr>
          <w:sz w:val="20"/>
          <w:szCs w:val="20"/>
          <w:color w:val="auto"/>
        </w:rPr>
      </w:pPr>
    </w:p>
    <w:p>
      <w:pPr>
        <w:ind w:left="1140" w:hanging="37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$3.8 million decrease in software and IT costs primarily related to volume-based fees as a result of reduced headcount;</w:t>
      </w:r>
    </w:p>
    <w:p>
      <w:pPr>
        <w:spacing w:after="0" w:line="211" w:lineRule="exact"/>
        <w:rPr>
          <w:rFonts w:ascii="Arial" w:cs="Arial" w:eastAsia="Arial" w:hAnsi="Arial"/>
          <w:sz w:val="18"/>
          <w:szCs w:val="18"/>
          <w:color w:val="auto"/>
        </w:rPr>
      </w:pPr>
    </w:p>
    <w:p>
      <w:pPr>
        <w:ind w:left="1140" w:right="280" w:hanging="371"/>
        <w:spacing w:after="0" w:line="24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$31.3 million decrease in other SG&amp;A expenses primarily due to a decrease in our non-recurring costs, including legal settlements and rental car expenses, as we worked to address our operational challenges created by our rapid growth from 2020 through the first quarter of 2022 as well as reduced fixed and variable costs contemplated by our long-term roadmap.</w:t>
      </w:r>
    </w:p>
    <w:p>
      <w:pPr>
        <w:spacing w:after="0" w:line="171" w:lineRule="exact"/>
        <w:rPr>
          <w:sz w:val="20"/>
          <w:szCs w:val="20"/>
          <w:color w:val="auto"/>
        </w:rPr>
      </w:pPr>
    </w:p>
    <w:p>
      <w:pPr>
        <w:ind w:right="40" w:firstLine="761"/>
        <w:spacing w:after="0" w:line="247" w:lineRule="auto"/>
        <w:rPr>
          <w:sz w:val="20"/>
          <w:szCs w:val="20"/>
          <w:color w:val="auto"/>
        </w:rPr>
      </w:pPr>
      <w:r>
        <w:rPr>
          <w:rFonts w:ascii="Arial" w:cs="Arial" w:eastAsia="Arial" w:hAnsi="Arial"/>
          <w:sz w:val="18"/>
          <w:szCs w:val="18"/>
          <w:color w:val="auto"/>
        </w:rPr>
        <w:t>We expect SG&amp;A expenses to decrease in the future driven by further reductions in both fixed and variable cost components as we continue to optimize our operations. We may not be able to fully realize further cost savings and benefits initially anticipated from the long-term roadmap, and the future costs may be greater than expected.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08" w:lineRule="exact"/>
        <w:rPr>
          <w:sz w:val="20"/>
          <w:szCs w:val="20"/>
          <w:color w:val="auto"/>
        </w:rPr>
      </w:pPr>
    </w:p>
    <w:p>
      <w:pPr>
        <w:ind w:right="240" w:firstLine="761"/>
        <w:spacing w:after="0" w:line="243" w:lineRule="auto"/>
        <w:rPr>
          <w:sz w:val="20"/>
          <w:szCs w:val="20"/>
          <w:color w:val="auto"/>
        </w:rPr>
      </w:pPr>
      <w:r>
        <w:rPr>
          <w:rFonts w:ascii="Arial" w:cs="Arial" w:eastAsia="Arial" w:hAnsi="Arial"/>
          <w:sz w:val="18"/>
          <w:szCs w:val="18"/>
          <w:color w:val="auto"/>
        </w:rPr>
        <w:t>Depreciation and amortization expenses increased $ 2.9 million, or 16.4%, from $17.9 million for the six months ended June 30, 2022 to $20.8 million for the six months ended June 30, 2023. The increase was primarily due to an additional month of amortization expense of intangible assets acquired as part of the UACC Acquisition for the six months ended June 30, 2023 and amortization related to our capitalized internal use software costs incurred in the development of our platform and website applications.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08"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Impairment charges of $1.4 million for the six months ended June 30, 2023 represent lease impairment charges related to closing a physical office location. Impairment charges of $205.1 million for the six months ended June 30, 2022 represent an impairment charge to write down the carrying amount of the goodwill to fair value and lease impairment charges related to closing physical office locations and Sell Us Your Car® centers as part of the Realignment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208" w:lineRule="exact"/>
        <w:rPr>
          <w:sz w:val="20"/>
          <w:szCs w:val="20"/>
          <w:color w:val="auto"/>
        </w:rPr>
      </w:pPr>
    </w:p>
    <w:p>
      <w:pPr>
        <w:ind w:right="160" w:firstLine="749"/>
        <w:spacing w:after="0" w:line="260" w:lineRule="auto"/>
        <w:rPr>
          <w:sz w:val="20"/>
          <w:szCs w:val="20"/>
          <w:color w:val="auto"/>
        </w:rPr>
      </w:pPr>
      <w:r>
        <w:rPr>
          <w:rFonts w:ascii="Arial" w:cs="Arial" w:eastAsia="Arial" w:hAnsi="Arial"/>
          <w:sz w:val="18"/>
          <w:szCs w:val="18"/>
          <w:color w:val="auto"/>
        </w:rPr>
        <w:t>Gain on debt extinguishment represents a gain of $19.6 million for the six months ended June 30, 2023, related to the repurchase of $32.8 million in aggregate principal balance of the Notes, net of deferred issuance costs, for $13.2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Interest expense remained flat at $18.9 million for the six months ended June 30, 2023 and 2022. Interest expense incurred on UACC's Warehouse Credit Facilities increased, which was offset by a decrease in interest expense related to a lower outstanding balance on the 2022 Vehicle Floorplan Facility, as well as a decrease in interest expense on the Notes due to the repurchase of the Notes during the second half of 2022 and first half of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8" w:lineRule="exact"/>
        <w:rPr>
          <w:sz w:val="20"/>
          <w:szCs w:val="20"/>
          <w:color w:val="auto"/>
        </w:rPr>
      </w:pPr>
    </w:p>
    <w:p>
      <w:pPr>
        <w:ind w:right="160" w:firstLine="761"/>
        <w:spacing w:after="0" w:line="247" w:lineRule="auto"/>
        <w:rPr>
          <w:sz w:val="20"/>
          <w:szCs w:val="20"/>
          <w:color w:val="auto"/>
        </w:rPr>
      </w:pPr>
      <w:r>
        <w:rPr>
          <w:rFonts w:ascii="Arial" w:cs="Arial" w:eastAsia="Arial" w:hAnsi="Arial"/>
          <w:sz w:val="18"/>
          <w:szCs w:val="18"/>
          <w:color w:val="auto"/>
        </w:rPr>
        <w:t>Interest income increased $3.0 million, or 37.7%, from $ 7.9 million for the six months ended June 30, 2022 to $ 10.9 million for the six months ended June 30, 2023. The increase in interest income was primarily driven by higher interest rates earned on cash and cash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net</w:t>
      </w:r>
    </w:p>
    <w:p>
      <w:pPr>
        <w:spacing w:after="0" w:line="208" w:lineRule="exact"/>
        <w:rPr>
          <w:sz w:val="20"/>
          <w:szCs w:val="20"/>
          <w:color w:val="auto"/>
        </w:rPr>
      </w:pPr>
    </w:p>
    <w:p>
      <w:pPr>
        <w:ind w:right="20" w:firstLine="764"/>
        <w:spacing w:after="0" w:line="260" w:lineRule="auto"/>
        <w:rPr>
          <w:sz w:val="20"/>
          <w:szCs w:val="20"/>
          <w:color w:val="auto"/>
        </w:rPr>
      </w:pPr>
      <w:r>
        <w:rPr>
          <w:rFonts w:ascii="Arial" w:cs="Arial" w:eastAsia="Arial" w:hAnsi="Arial"/>
          <w:sz w:val="18"/>
          <w:szCs w:val="18"/>
          <w:color w:val="auto"/>
        </w:rPr>
        <w:t>Other loss, net increased $10.0 million, or 46.3%, from $21.5 million for the six months ended June 30, 2022 to $31.5 million for the six months ended June 30, 2023. The increase in other loss was primarily driven by an increase in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79" w:lineRule="exact"/>
        <w:rPr>
          <w:sz w:val="20"/>
          <w:szCs w:val="20"/>
          <w:color w:val="auto"/>
        </w:rPr>
      </w:pPr>
    </w:p>
    <w:p>
      <w:pPr>
        <w:ind w:right="780"/>
        <w:spacing w:after="0" w:line="260" w:lineRule="auto"/>
        <w:rPr>
          <w:sz w:val="20"/>
          <w:szCs w:val="20"/>
          <w:color w:val="auto"/>
        </w:rPr>
      </w:pPr>
      <w:r>
        <w:rPr>
          <w:rFonts w:ascii="Arial" w:cs="Arial" w:eastAsia="Arial" w:hAnsi="Arial"/>
          <w:sz w:val="18"/>
          <w:szCs w:val="18"/>
          <w:color w:val="auto"/>
        </w:rPr>
        <w:t>realized and unrealized losses on the fair value of finance receivables including the 2023-1 securitization transaction and the 2022-2 securitization transaction (resulting from consolidation).</w:t>
      </w:r>
    </w:p>
    <w:p>
      <w:pPr>
        <w:spacing w:after="0" w:line="14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Quarterly Results of Operations Supplemental data</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set forth our quarterly financial information for the second quarter and first quarter of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Three Months</w:t>
            </w:r>
          </w:p>
        </w:tc>
        <w:tc>
          <w:tcPr>
            <w:tcW w:w="120" w:type="dxa"/>
            <w:vAlign w:val="bottom"/>
          </w:tcPr>
          <w:p>
            <w:pPr>
              <w:spacing w:after="0"/>
              <w:rPr>
                <w:sz w:val="13"/>
                <w:szCs w:val="13"/>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Three Months</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Ended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rPr>
              <w:t>2023</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Change</w:t>
            </w:r>
          </w:p>
        </w:tc>
        <w:tc>
          <w:tcPr>
            <w:tcW w:w="240" w:type="dxa"/>
            <w:vAlign w:val="bottom"/>
          </w:tcPr>
          <w:p>
            <w:pPr>
              <w:spacing w:after="0"/>
              <w:rPr>
                <w:sz w:val="14"/>
                <w:szCs w:val="14"/>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 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(in thousands, except unit data)</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ind w:left="20"/>
              <w:spacing w:after="0"/>
              <w:rPr>
                <w:sz w:val="20"/>
                <w:szCs w:val="20"/>
                <w:color w:val="auto"/>
              </w:rPr>
            </w:pPr>
            <w:r>
              <w:rPr>
                <w:rFonts w:ascii="Arial" w:cs="Arial" w:eastAsia="Arial" w:hAnsi="Arial"/>
                <w:sz w:val="15"/>
                <w:szCs w:val="15"/>
                <w:color w:val="auto"/>
              </w:rPr>
              <w:t>Total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225,178</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196,467</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28,711</w:t>
            </w:r>
          </w:p>
        </w:tc>
        <w:tc>
          <w:tcPr>
            <w:tcW w:w="2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14.6 %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20"/>
              <w:spacing w:after="0"/>
              <w:rPr>
                <w:sz w:val="20"/>
                <w:szCs w:val="20"/>
                <w:color w:val="auto"/>
              </w:rPr>
            </w:pPr>
            <w:r>
              <w:rPr>
                <w:rFonts w:ascii="Arial" w:cs="Arial" w:eastAsia="Arial" w:hAnsi="Arial"/>
                <w:sz w:val="15"/>
                <w:szCs w:val="15"/>
                <w:color w:val="auto"/>
              </w:rPr>
              <w:t>Total 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46,001</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38,805</w:t>
            </w:r>
          </w:p>
        </w:tc>
        <w:tc>
          <w:tcPr>
            <w:tcW w:w="3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7,196</w:t>
            </w:r>
          </w:p>
        </w:tc>
        <w:tc>
          <w:tcPr>
            <w:tcW w:w="24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5"/>
                <w:szCs w:val="15"/>
                <w:color w:val="auto"/>
              </w:rPr>
              <w:t>18.5 %</w:t>
            </w: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ind w:left="20"/>
              <w:spacing w:after="0"/>
              <w:rPr>
                <w:sz w:val="20"/>
                <w:szCs w:val="20"/>
                <w:color w:val="auto"/>
              </w:rPr>
            </w:pPr>
            <w:r>
              <w:rPr>
                <w:rFonts w:ascii="Arial" w:cs="Arial" w:eastAsia="Arial" w:hAnsi="Arial"/>
                <w:sz w:val="15"/>
                <w:szCs w:val="15"/>
                <w:color w:val="auto"/>
              </w:rPr>
              <w:t>Ecommerce units sold</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4,127</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3,933</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w:t>
            </w:r>
          </w:p>
        </w:tc>
        <w:tc>
          <w:tcPr>
            <w:tcW w:w="2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4.9 %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20"/>
              <w:spacing w:after="0"/>
              <w:rPr>
                <w:sz w:val="20"/>
                <w:szCs w:val="20"/>
                <w:color w:val="auto"/>
              </w:rPr>
            </w:pPr>
            <w:r>
              <w:rPr>
                <w:rFonts w:ascii="Arial" w:cs="Arial" w:eastAsia="Arial" w:hAnsi="Arial"/>
                <w:sz w:val="15"/>
                <w:szCs w:val="15"/>
                <w:color w:val="auto"/>
              </w:rPr>
              <w:t>Ecommerce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138,225</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135,633</w:t>
            </w:r>
          </w:p>
        </w:tc>
        <w:tc>
          <w:tcPr>
            <w:tcW w:w="3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2,592</w:t>
            </w:r>
          </w:p>
        </w:tc>
        <w:tc>
          <w:tcPr>
            <w:tcW w:w="24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5"/>
                <w:szCs w:val="15"/>
                <w:color w:val="auto"/>
              </w:rPr>
              <w:t>1.9 %</w:t>
            </w: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ind w:left="20"/>
              <w:spacing w:after="0"/>
              <w:rPr>
                <w:sz w:val="20"/>
                <w:szCs w:val="20"/>
                <w:color w:val="auto"/>
              </w:rPr>
            </w:pPr>
            <w:r>
              <w:rPr>
                <w:rFonts w:ascii="Arial" w:cs="Arial" w:eastAsia="Arial" w:hAnsi="Arial"/>
                <w:sz w:val="15"/>
                <w:szCs w:val="15"/>
                <w:color w:val="auto"/>
              </w:rPr>
              <w:t>Ecommerce gross profit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12,189</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10,035</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2,154</w:t>
            </w:r>
          </w:p>
        </w:tc>
        <w:tc>
          <w:tcPr>
            <w:tcW w:w="2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21.5 %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20"/>
              <w:spacing w:after="0"/>
              <w:rPr>
                <w:sz w:val="20"/>
                <w:szCs w:val="20"/>
                <w:color w:val="auto"/>
              </w:rPr>
            </w:pPr>
            <w:r>
              <w:rPr>
                <w:rFonts w:ascii="Arial" w:cs="Arial" w:eastAsia="Arial" w:hAnsi="Arial"/>
                <w:sz w:val="15"/>
                <w:szCs w:val="15"/>
                <w:color w:val="auto"/>
              </w:rPr>
              <w:t>Vehicle gross profit (loss) per ecommerce unit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290</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(151 )</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441</w:t>
            </w:r>
          </w:p>
        </w:tc>
        <w:tc>
          <w:tcPr>
            <w:tcW w:w="24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5"/>
                <w:szCs w:val="15"/>
                <w:color w:val="auto"/>
              </w:rPr>
              <w:t>292.1 %</w:t>
            </w:r>
          </w:p>
        </w:tc>
        <w:tc>
          <w:tcPr>
            <w:tcW w:w="0" w:type="dxa"/>
            <w:vAlign w:val="bottom"/>
          </w:tcPr>
          <w:p>
            <w:pPr>
              <w:spacing w:after="0"/>
              <w:rPr>
                <w:sz w:val="1"/>
                <w:szCs w:val="1"/>
                <w:color w:val="auto"/>
              </w:rPr>
            </w:pPr>
          </w:p>
        </w:tc>
      </w:tr>
      <w:tr>
        <w:trPr>
          <w:trHeight w:val="189"/>
        </w:trPr>
        <w:tc>
          <w:tcPr>
            <w:tcW w:w="5540" w:type="dxa"/>
            <w:vAlign w:val="bottom"/>
          </w:tcPr>
          <w:p>
            <w:pPr>
              <w:ind w:left="20"/>
              <w:spacing w:after="0"/>
              <w:rPr>
                <w:sz w:val="20"/>
                <w:szCs w:val="20"/>
                <w:color w:val="auto"/>
              </w:rPr>
            </w:pPr>
            <w:r>
              <w:rPr>
                <w:rFonts w:ascii="Arial" w:cs="Arial" w:eastAsia="Arial" w:hAnsi="Arial"/>
                <w:sz w:val="15"/>
                <w:szCs w:val="15"/>
                <w:color w:val="auto"/>
              </w:rPr>
              <w:t>Product gross profit per ecommerce unit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2,664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2,703</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(39 )</w:t>
            </w:r>
          </w:p>
        </w:tc>
        <w:tc>
          <w:tcPr>
            <w:tcW w:w="1420" w:type="dxa"/>
            <w:vAlign w:val="bottom"/>
            <w:gridSpan w:val="3"/>
          </w:tcPr>
          <w:p>
            <w:pPr>
              <w:jc w:val="right"/>
              <w:spacing w:after="0"/>
              <w:rPr>
                <w:sz w:val="20"/>
                <w:szCs w:val="20"/>
                <w:color w:val="auto"/>
              </w:rPr>
            </w:pPr>
            <w:r>
              <w:rPr>
                <w:rFonts w:ascii="Arial" w:cs="Arial" w:eastAsia="Arial" w:hAnsi="Arial"/>
                <w:sz w:val="15"/>
                <w:szCs w:val="15"/>
                <w:color w:val="auto"/>
              </w:rPr>
              <w:t>(1.4 )%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Arial" w:cs="Arial" w:eastAsia="Arial" w:hAnsi="Arial"/>
                <w:sz w:val="15"/>
                <w:szCs w:val="15"/>
                <w:color w:val="auto"/>
              </w:rPr>
              <w:t>Total gross profit per ecommerce unit</w:t>
            </w: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2,954</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2,552</w:t>
            </w:r>
          </w:p>
        </w:tc>
        <w:tc>
          <w:tcPr>
            <w:tcW w:w="300" w:type="dxa"/>
            <w:vAlign w:val="bottom"/>
          </w:tcPr>
          <w:p>
            <w:pPr>
              <w:spacing w:after="0"/>
              <w:rPr>
                <w:sz w:val="15"/>
                <w:szCs w:val="15"/>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402</w:t>
            </w:r>
          </w:p>
        </w:tc>
        <w:tc>
          <w:tcPr>
            <w:tcW w:w="240" w:type="dxa"/>
            <w:vAlign w:val="bottom"/>
          </w:tcPr>
          <w:p>
            <w:pPr>
              <w:spacing w:after="0"/>
              <w:rPr>
                <w:sz w:val="15"/>
                <w:szCs w:val="15"/>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5"/>
                <w:szCs w:val="15"/>
                <w:color w:val="auto"/>
              </w:rPr>
              <w:t xml:space="preserve">15.8 </w:t>
            </w:r>
            <w:r>
              <w:rPr>
                <w:rFonts w:ascii="Arial" w:cs="Arial" w:eastAsia="Arial" w:hAnsi="Arial"/>
                <w:sz w:val="15"/>
                <w:szCs w:val="15"/>
                <w:color w:val="auto"/>
                <w:highlight w:val="white"/>
              </w:rPr>
              <w:t>%</w:t>
            </w: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ind w:left="20"/>
              <w:spacing w:after="0"/>
              <w:rPr>
                <w:sz w:val="20"/>
                <w:szCs w:val="20"/>
                <w:color w:val="auto"/>
              </w:rPr>
            </w:pPr>
            <w:r>
              <w:rPr>
                <w:rFonts w:ascii="Arial" w:cs="Arial" w:eastAsia="Arial" w:hAnsi="Arial"/>
                <w:sz w:val="15"/>
                <w:szCs w:val="15"/>
                <w:color w:val="auto"/>
              </w:rPr>
              <w:t>Wholesale units sold</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1,834</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1,169</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665</w:t>
            </w:r>
          </w:p>
        </w:tc>
        <w:tc>
          <w:tcPr>
            <w:tcW w:w="2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56.9 %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20"/>
              <w:spacing w:after="0"/>
              <w:rPr>
                <w:sz w:val="20"/>
                <w:szCs w:val="20"/>
                <w:color w:val="auto"/>
              </w:rPr>
            </w:pPr>
            <w:r>
              <w:rPr>
                <w:rFonts w:ascii="Arial" w:cs="Arial" w:eastAsia="Arial" w:hAnsi="Arial"/>
                <w:sz w:val="15"/>
                <w:szCs w:val="15"/>
                <w:color w:val="auto"/>
              </w:rPr>
              <w:t>Wholesale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30,800</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13,895</w:t>
            </w:r>
          </w:p>
        </w:tc>
        <w:tc>
          <w:tcPr>
            <w:tcW w:w="3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16,905</w:t>
            </w:r>
          </w:p>
        </w:tc>
        <w:tc>
          <w:tcPr>
            <w:tcW w:w="24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5"/>
                <w:szCs w:val="15"/>
                <w:color w:val="auto"/>
              </w:rPr>
              <w:t>121.7 %</w:t>
            </w:r>
          </w:p>
        </w:tc>
        <w:tc>
          <w:tcPr>
            <w:tcW w:w="0" w:type="dxa"/>
            <w:vAlign w:val="bottom"/>
          </w:tcPr>
          <w:p>
            <w:pPr>
              <w:spacing w:after="0"/>
              <w:rPr>
                <w:sz w:val="1"/>
                <w:szCs w:val="1"/>
                <w:color w:val="auto"/>
              </w:rPr>
            </w:pPr>
          </w:p>
        </w:tc>
      </w:tr>
      <w:tr>
        <w:trPr>
          <w:trHeight w:val="189"/>
        </w:trPr>
        <w:tc>
          <w:tcPr>
            <w:tcW w:w="5540" w:type="dxa"/>
            <w:vAlign w:val="bottom"/>
          </w:tcPr>
          <w:p>
            <w:pPr>
              <w:ind w:left="20"/>
              <w:spacing w:after="0"/>
              <w:rPr>
                <w:sz w:val="20"/>
                <w:szCs w:val="20"/>
                <w:color w:val="auto"/>
              </w:rPr>
            </w:pPr>
            <w:r>
              <w:rPr>
                <w:rFonts w:ascii="Arial" w:cs="Arial" w:eastAsia="Arial" w:hAnsi="Arial"/>
                <w:sz w:val="15"/>
                <w:szCs w:val="15"/>
                <w:color w:val="auto"/>
              </w:rPr>
              <w:t>Wholesale gross (loss)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(3,993 )</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62</w:t>
            </w:r>
          </w:p>
        </w:tc>
        <w:tc>
          <w:tcPr>
            <w:tcW w:w="3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(4,055 )</w:t>
            </w:r>
          </w:p>
        </w:tc>
        <w:tc>
          <w:tcPr>
            <w:tcW w:w="1420" w:type="dxa"/>
            <w:vAlign w:val="bottom"/>
            <w:gridSpan w:val="3"/>
          </w:tcPr>
          <w:p>
            <w:pPr>
              <w:jc w:val="right"/>
              <w:spacing w:after="0"/>
              <w:rPr>
                <w:sz w:val="20"/>
                <w:szCs w:val="20"/>
                <w:color w:val="auto"/>
              </w:rPr>
            </w:pPr>
            <w:r>
              <w:rPr>
                <w:rFonts w:ascii="Arial" w:cs="Arial" w:eastAsia="Arial" w:hAnsi="Arial"/>
                <w:sz w:val="15"/>
                <w:szCs w:val="15"/>
                <w:color w:val="auto"/>
              </w:rPr>
              <w:t>(6,540.3 )%</w:t>
            </w:r>
          </w:p>
        </w:tc>
        <w:tc>
          <w:tcPr>
            <w:tcW w:w="0" w:type="dxa"/>
            <w:vAlign w:val="bottom"/>
          </w:tcPr>
          <w:p>
            <w:pPr>
              <w:spacing w:after="0"/>
              <w:rPr>
                <w:sz w:val="1"/>
                <w:szCs w:val="1"/>
                <w:color w:val="auto"/>
              </w:rPr>
            </w:pPr>
          </w:p>
        </w:tc>
      </w:tr>
      <w:tr>
        <w:trPr>
          <w:trHeight w:val="189"/>
        </w:trPr>
        <w:tc>
          <w:tcPr>
            <w:tcW w:w="5540" w:type="dxa"/>
            <w:vAlign w:val="bottom"/>
          </w:tcPr>
          <w:p>
            <w:pPr>
              <w:ind w:left="20"/>
              <w:spacing w:after="0"/>
              <w:rPr>
                <w:sz w:val="20"/>
                <w:szCs w:val="20"/>
                <w:color w:val="auto"/>
              </w:rPr>
            </w:pPr>
            <w:r>
              <w:rPr>
                <w:rFonts w:ascii="Arial" w:cs="Arial" w:eastAsia="Arial" w:hAnsi="Arial"/>
                <w:sz w:val="15"/>
                <w:szCs w:val="15"/>
                <w:color w:val="auto"/>
              </w:rPr>
              <w:t>Wholesale gross (loss) profit per unit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(2,177 )</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53</w:t>
            </w:r>
          </w:p>
        </w:tc>
        <w:tc>
          <w:tcPr>
            <w:tcW w:w="3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(2,230 )</w:t>
            </w:r>
          </w:p>
        </w:tc>
        <w:tc>
          <w:tcPr>
            <w:tcW w:w="1420" w:type="dxa"/>
            <w:vAlign w:val="bottom"/>
            <w:gridSpan w:val="3"/>
          </w:tcPr>
          <w:p>
            <w:pPr>
              <w:jc w:val="right"/>
              <w:spacing w:after="0"/>
              <w:rPr>
                <w:sz w:val="20"/>
                <w:szCs w:val="20"/>
                <w:color w:val="auto"/>
              </w:rPr>
            </w:pPr>
            <w:r>
              <w:rPr>
                <w:rFonts w:ascii="Arial" w:cs="Arial" w:eastAsia="Arial" w:hAnsi="Arial"/>
                <w:sz w:val="15"/>
                <w:szCs w:val="15"/>
                <w:color w:val="auto"/>
              </w:rPr>
              <w:t>(4,207.5 )%</w:t>
            </w: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ind w:left="20"/>
              <w:spacing w:after="0"/>
              <w:rPr>
                <w:sz w:val="20"/>
                <w:szCs w:val="20"/>
                <w:color w:val="auto"/>
              </w:rPr>
            </w:pPr>
            <w:r>
              <w:rPr>
                <w:rFonts w:ascii="Arial" w:cs="Arial" w:eastAsia="Arial" w:hAnsi="Arial"/>
                <w:sz w:val="15"/>
                <w:szCs w:val="15"/>
                <w:color w:val="auto"/>
              </w:rPr>
              <w:t>Retail Financing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42,128</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31,988</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10,140</w:t>
            </w:r>
          </w:p>
        </w:tc>
        <w:tc>
          <w:tcPr>
            <w:tcW w:w="2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31.7 %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20"/>
              <w:spacing w:after="0"/>
              <w:rPr>
                <w:sz w:val="20"/>
                <w:szCs w:val="20"/>
                <w:color w:val="auto"/>
              </w:rPr>
            </w:pPr>
            <w:r>
              <w:rPr>
                <w:rFonts w:ascii="Arial" w:cs="Arial" w:eastAsia="Arial" w:hAnsi="Arial"/>
                <w:sz w:val="15"/>
                <w:szCs w:val="15"/>
                <w:color w:val="auto"/>
              </w:rPr>
              <w:t>Retail Financing 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34,068</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25,774</w:t>
            </w:r>
          </w:p>
        </w:tc>
        <w:tc>
          <w:tcPr>
            <w:tcW w:w="3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8,294</w:t>
            </w:r>
          </w:p>
        </w:tc>
        <w:tc>
          <w:tcPr>
            <w:tcW w:w="24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5"/>
                <w:szCs w:val="15"/>
                <w:color w:val="auto"/>
              </w:rPr>
              <w:t>32.2 %</w:t>
            </w:r>
          </w:p>
        </w:tc>
        <w:tc>
          <w:tcPr>
            <w:tcW w:w="0" w:type="dxa"/>
            <w:vAlign w:val="bottom"/>
          </w:tcPr>
          <w:p>
            <w:pPr>
              <w:spacing w:after="0"/>
              <w:rPr>
                <w:sz w:val="1"/>
                <w:szCs w:val="1"/>
                <w:color w:val="auto"/>
              </w:rPr>
            </w:pPr>
          </w:p>
        </w:tc>
      </w:tr>
      <w:tr>
        <w:trPr>
          <w:trHeight w:val="189"/>
        </w:trPr>
        <w:tc>
          <w:tcPr>
            <w:tcW w:w="5540" w:type="dxa"/>
            <w:vAlign w:val="bottom"/>
          </w:tcPr>
          <w:p>
            <w:pPr>
              <w:ind w:left="20"/>
              <w:spacing w:after="0"/>
              <w:rPr>
                <w:sz w:val="20"/>
                <w:szCs w:val="20"/>
                <w:color w:val="auto"/>
              </w:rPr>
            </w:pPr>
            <w:r>
              <w:rPr>
                <w:rFonts w:ascii="Arial" w:cs="Arial" w:eastAsia="Arial" w:hAnsi="Arial"/>
                <w:sz w:val="15"/>
                <w:szCs w:val="15"/>
                <w:color w:val="auto"/>
              </w:rPr>
              <w:t>Total selling, general, and administrative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86,955</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96,537</w:t>
            </w:r>
          </w:p>
        </w:tc>
        <w:tc>
          <w:tcPr>
            <w:tcW w:w="3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(9,582 )</w:t>
            </w:r>
          </w:p>
        </w:tc>
        <w:tc>
          <w:tcPr>
            <w:tcW w:w="1420" w:type="dxa"/>
            <w:vAlign w:val="bottom"/>
            <w:gridSpan w:val="3"/>
          </w:tcPr>
          <w:p>
            <w:pPr>
              <w:jc w:val="right"/>
              <w:spacing w:after="0"/>
              <w:rPr>
                <w:sz w:val="20"/>
                <w:szCs w:val="20"/>
                <w:color w:val="auto"/>
              </w:rPr>
            </w:pPr>
            <w:r>
              <w:rPr>
                <w:rFonts w:ascii="Arial" w:cs="Arial" w:eastAsia="Arial" w:hAnsi="Arial"/>
                <w:sz w:val="15"/>
                <w:szCs w:val="15"/>
                <w:color w:val="auto"/>
              </w:rPr>
              <w:t>(9.9 )%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2489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200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00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Three Months</w:t>
            </w:r>
          </w:p>
        </w:tc>
        <w:tc>
          <w:tcPr>
            <w:tcW w:w="140" w:type="dxa"/>
            <w:vAlign w:val="bottom"/>
          </w:tcPr>
          <w:p>
            <w:pPr>
              <w:spacing w:after="0"/>
              <w:rPr>
                <w:sz w:val="13"/>
                <w:szCs w:val="13"/>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Three Months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Ended</w:t>
            </w:r>
          </w:p>
        </w:tc>
        <w:tc>
          <w:tcPr>
            <w:tcW w:w="140" w:type="dxa"/>
            <w:vAlign w:val="bottom"/>
          </w:tcPr>
          <w:p>
            <w:pPr>
              <w:spacing w:after="0"/>
              <w:rPr>
                <w:sz w:val="12"/>
                <w:szCs w:val="12"/>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Ended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9"/>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5"/>
                <w:szCs w:val="15"/>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5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rPr>
              <w:t>2023</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Change</w:t>
            </w:r>
          </w:p>
        </w:tc>
        <w:tc>
          <w:tcPr>
            <w:tcW w:w="260" w:type="dxa"/>
            <w:vAlign w:val="bottom"/>
          </w:tcPr>
          <w:p>
            <w:pPr>
              <w:spacing w:after="0"/>
              <w:rPr>
                <w:sz w:val="14"/>
                <w:szCs w:val="14"/>
                <w:color w:val="auto"/>
              </w:rPr>
            </w:pPr>
          </w:p>
        </w:tc>
        <w:tc>
          <w:tcPr>
            <w:tcW w:w="12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 Change</w:t>
            </w:r>
          </w:p>
        </w:tc>
        <w:tc>
          <w:tcPr>
            <w:tcW w:w="200" w:type="dxa"/>
            <w:vAlign w:val="bottom"/>
            <w:gridSpan w:val="2"/>
          </w:tcPr>
          <w:p>
            <w:pPr>
              <w:spacing w:after="0"/>
              <w:rPr>
                <w:sz w:val="14"/>
                <w:szCs w:val="14"/>
                <w:color w:val="auto"/>
              </w:rPr>
            </w:pPr>
          </w:p>
        </w:tc>
      </w:tr>
      <w:tr>
        <w:trPr>
          <w:trHeight w:val="182"/>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gridSpan w:val="5"/>
          </w:tcPr>
          <w:p>
            <w:pPr>
              <w:jc w:val="right"/>
              <w:ind w:right="128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520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(66,318 )</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(75,044 )</w:t>
            </w:r>
          </w:p>
        </w:tc>
        <w:tc>
          <w:tcPr>
            <w:tcW w:w="20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8,726</w:t>
            </w:r>
          </w:p>
        </w:tc>
        <w:tc>
          <w:tcPr>
            <w:tcW w:w="2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11.6 %</w:t>
            </w:r>
          </w:p>
        </w:tc>
        <w:tc>
          <w:tcPr>
            <w:tcW w:w="60" w:type="dxa"/>
            <w:vAlign w:val="bottom"/>
          </w:tcPr>
          <w:p>
            <w:pPr>
              <w:spacing w:after="0"/>
              <w:rPr>
                <w:sz w:val="16"/>
                <w:szCs w:val="16"/>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5"/>
                <w:szCs w:val="15"/>
                <w:color w:val="auto"/>
              </w:rPr>
              <w:t>Adjusted to exclude the following:</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8,938</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9,919</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(981 )</w:t>
            </w:r>
          </w:p>
        </w:tc>
        <w:tc>
          <w:tcPr>
            <w:tcW w:w="1480" w:type="dxa"/>
            <w:vAlign w:val="bottom"/>
            <w:gridSpan w:val="3"/>
          </w:tcPr>
          <w:p>
            <w:pPr>
              <w:jc w:val="right"/>
              <w:spacing w:after="0"/>
              <w:rPr>
                <w:sz w:val="20"/>
                <w:szCs w:val="20"/>
                <w:color w:val="auto"/>
              </w:rPr>
            </w:pPr>
            <w:r>
              <w:rPr>
                <w:rFonts w:ascii="Arial" w:cs="Arial" w:eastAsia="Arial" w:hAnsi="Arial"/>
                <w:sz w:val="15"/>
                <w:szCs w:val="15"/>
                <w:color w:val="auto"/>
              </w:rPr>
              <w:t>(9.9 )%</w:t>
            </w:r>
          </w:p>
        </w:tc>
      </w:tr>
      <w:tr>
        <w:trPr>
          <w:trHeight w:val="189"/>
        </w:trPr>
        <w:tc>
          <w:tcPr>
            <w:tcW w:w="520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14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(4,921 )</w:t>
            </w:r>
          </w:p>
        </w:tc>
        <w:tc>
          <w:tcPr>
            <w:tcW w:w="14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(5,942 )</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1,021</w:t>
            </w:r>
          </w:p>
        </w:tc>
        <w:tc>
          <w:tcPr>
            <w:tcW w:w="260" w:type="dxa"/>
            <w:vAlign w:val="bottom"/>
          </w:tcPr>
          <w:p>
            <w:pPr>
              <w:spacing w:after="0"/>
              <w:rPr>
                <w:sz w:val="16"/>
                <w:szCs w:val="16"/>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5"/>
                <w:szCs w:val="15"/>
                <w:color w:val="auto"/>
              </w:rPr>
              <w:t>17.2 %</w:t>
            </w:r>
          </w:p>
        </w:tc>
      </w:tr>
      <w:tr>
        <w:trPr>
          <w:trHeight w:val="189"/>
        </w:trPr>
        <w:tc>
          <w:tcPr>
            <w:tcW w:w="520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Provision for income taxes</w:t>
            </w: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385</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273</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w:t>
            </w:r>
          </w:p>
        </w:tc>
        <w:tc>
          <w:tcPr>
            <w:tcW w:w="2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41.0 %</w:t>
            </w:r>
          </w:p>
        </w:tc>
        <w:tc>
          <w:tcPr>
            <w:tcW w:w="60" w:type="dxa"/>
            <w:vAlign w:val="bottom"/>
          </w:tcPr>
          <w:p>
            <w:pPr>
              <w:spacing w:after="0"/>
              <w:rPr>
                <w:sz w:val="16"/>
                <w:szCs w:val="16"/>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10,536</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10,637</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(101 )</w:t>
            </w:r>
          </w:p>
        </w:tc>
        <w:tc>
          <w:tcPr>
            <w:tcW w:w="1480" w:type="dxa"/>
            <w:vAlign w:val="bottom"/>
            <w:gridSpan w:val="3"/>
          </w:tcPr>
          <w:p>
            <w:pPr>
              <w:jc w:val="right"/>
              <w:spacing w:after="0"/>
              <w:rPr>
                <w:sz w:val="20"/>
                <w:szCs w:val="20"/>
                <w:color w:val="auto"/>
              </w:rPr>
            </w:pPr>
            <w:r>
              <w:rPr>
                <w:rFonts w:ascii="Arial" w:cs="Arial" w:eastAsia="Arial" w:hAnsi="Arial"/>
                <w:sz w:val="15"/>
                <w:szCs w:val="15"/>
                <w:color w:val="auto"/>
              </w:rPr>
              <w:t>(0.9 )%</w:t>
            </w:r>
          </w:p>
        </w:tc>
      </w:tr>
      <w:tr>
        <w:trPr>
          <w:trHeight w:val="20"/>
        </w:trPr>
        <w:tc>
          <w:tcPr>
            <w:tcW w:w="5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03"/>
        </w:trPr>
        <w:tc>
          <w:tcPr>
            <w:tcW w:w="5200" w:type="dxa"/>
            <w:vAlign w:val="bottom"/>
            <w:shd w:val="clear" w:color="auto" w:fill="CFF0FC"/>
          </w:tcPr>
          <w:p>
            <w:pPr>
              <w:ind w:left="20"/>
              <w:spacing w:after="0"/>
              <w:rPr>
                <w:sz w:val="20"/>
                <w:szCs w:val="20"/>
                <w:color w:val="auto"/>
              </w:rPr>
            </w:pPr>
            <w:r>
              <w:rPr>
                <w:rFonts w:ascii="Arial" w:cs="Arial" w:eastAsia="Arial" w:hAnsi="Arial"/>
                <w:sz w:val="15"/>
                <w:szCs w:val="15"/>
                <w:color w:val="auto"/>
              </w:rPr>
              <w:t>EBITDA</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(51,380 )</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(60,157 )</w:t>
            </w:r>
          </w:p>
        </w:tc>
        <w:tc>
          <w:tcPr>
            <w:tcW w:w="20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8,777</w:t>
            </w:r>
          </w:p>
        </w:tc>
        <w:tc>
          <w:tcPr>
            <w:tcW w:w="2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14.6 %</w:t>
            </w:r>
          </w:p>
        </w:tc>
        <w:tc>
          <w:tcPr>
            <w:tcW w:w="60" w:type="dxa"/>
            <w:vAlign w:val="bottom"/>
          </w:tcPr>
          <w:p>
            <w:pPr>
              <w:spacing w:after="0"/>
              <w:rPr>
                <w:sz w:val="17"/>
                <w:szCs w:val="17"/>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200" w:type="dxa"/>
            <w:vAlign w:val="bottom"/>
          </w:tcPr>
          <w:p>
            <w:pPr>
              <w:ind w:left="20"/>
              <w:spacing w:after="0" w:line="169" w:lineRule="exact"/>
              <w:rPr>
                <w:sz w:val="20"/>
                <w:szCs w:val="20"/>
                <w:color w:val="auto"/>
              </w:rPr>
            </w:pPr>
            <w:r>
              <w:rPr>
                <w:rFonts w:ascii="Arial" w:cs="Arial" w:eastAsia="Arial" w:hAnsi="Arial"/>
                <w:sz w:val="15"/>
                <w:szCs w:val="15"/>
                <w:color w:val="auto"/>
              </w:rPr>
              <w:t>Severance costs</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2,277</w:t>
            </w:r>
          </w:p>
        </w:tc>
        <w:tc>
          <w:tcPr>
            <w:tcW w:w="28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4,104</w:t>
            </w:r>
          </w:p>
        </w:tc>
        <w:tc>
          <w:tcPr>
            <w:tcW w:w="300" w:type="dxa"/>
            <w:vAlign w:val="bottom"/>
          </w:tcPr>
          <w:p>
            <w:pPr>
              <w:spacing w:after="0"/>
              <w:rPr>
                <w:sz w:val="14"/>
                <w:szCs w:val="14"/>
                <w:color w:val="auto"/>
              </w:rPr>
            </w:pPr>
          </w:p>
        </w:tc>
        <w:tc>
          <w:tcPr>
            <w:tcW w:w="200" w:type="dxa"/>
            <w:vAlign w:val="bottom"/>
          </w:tcPr>
          <w:p>
            <w:pPr>
              <w:jc w:val="right"/>
              <w:ind w:right="24"/>
              <w:spacing w:after="0" w:line="169" w:lineRule="exact"/>
              <w:rPr>
                <w:sz w:val="20"/>
                <w:szCs w:val="20"/>
                <w:color w:val="auto"/>
              </w:rPr>
            </w:pPr>
            <w:r>
              <w:rPr>
                <w:rFonts w:ascii="Arial" w:cs="Arial" w:eastAsia="Arial" w:hAnsi="Arial"/>
                <w:sz w:val="15"/>
                <w:szCs w:val="15"/>
                <w:color w:val="auto"/>
                <w:w w:val="95"/>
              </w:rPr>
              <w:t>$</w:t>
            </w:r>
          </w:p>
        </w:tc>
        <w:tc>
          <w:tcPr>
            <w:tcW w:w="12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(1,827 )</w:t>
            </w:r>
          </w:p>
        </w:tc>
        <w:tc>
          <w:tcPr>
            <w:tcW w:w="148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 xml:space="preserve">(44.5 </w:t>
            </w:r>
            <w:r>
              <w:rPr>
                <w:rFonts w:ascii="Arial" w:cs="Arial" w:eastAsia="Arial" w:hAnsi="Arial"/>
                <w:sz w:val="15"/>
                <w:szCs w:val="15"/>
                <w:color w:val="auto"/>
                <w:highlight w:val="white"/>
              </w:rPr>
              <w:t>)%</w:t>
            </w:r>
          </w:p>
        </w:tc>
      </w:tr>
      <w:tr>
        <w:trPr>
          <w:trHeight w:val="189"/>
        </w:trPr>
        <w:tc>
          <w:tcPr>
            <w:tcW w:w="5200" w:type="dxa"/>
            <w:vAlign w:val="bottom"/>
            <w:shd w:val="clear" w:color="auto" w:fill="CFF0FC"/>
          </w:tcPr>
          <w:p>
            <w:pPr>
              <w:ind w:left="20"/>
              <w:spacing w:after="0"/>
              <w:rPr>
                <w:sz w:val="20"/>
                <w:szCs w:val="20"/>
                <w:color w:val="auto"/>
              </w:rPr>
            </w:pPr>
            <w:r>
              <w:rPr>
                <w:rFonts w:ascii="Arial" w:cs="Arial" w:eastAsia="Arial" w:hAnsi="Arial"/>
                <w:sz w:val="15"/>
                <w:szCs w:val="15"/>
                <w:color w:val="auto"/>
              </w:rPr>
              <w:t>Gain on debt extinguishment</w:t>
            </w:r>
          </w:p>
        </w:tc>
        <w:tc>
          <w:tcPr>
            <w:tcW w:w="1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(10,931 )</w:t>
            </w:r>
          </w:p>
        </w:tc>
        <w:tc>
          <w:tcPr>
            <w:tcW w:w="1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(8,709 )</w:t>
            </w: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(2,222 )</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25.5 %</w:t>
            </w:r>
          </w:p>
        </w:tc>
        <w:tc>
          <w:tcPr>
            <w:tcW w:w="60" w:type="dxa"/>
            <w:vAlign w:val="bottom"/>
          </w:tcPr>
          <w:p>
            <w:pPr>
              <w:spacing w:after="0"/>
              <w:rPr>
                <w:sz w:val="16"/>
                <w:szCs w:val="16"/>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5"/>
                <w:szCs w:val="15"/>
                <w:color w:val="auto"/>
              </w:rPr>
              <w:t>Hail storm costs</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2,353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2,353</w:t>
            </w:r>
          </w:p>
        </w:tc>
        <w:tc>
          <w:tcPr>
            <w:tcW w:w="260" w:type="dxa"/>
            <w:vAlign w:val="bottom"/>
          </w:tcPr>
          <w:p>
            <w:pPr>
              <w:spacing w:after="0"/>
              <w:rPr>
                <w:sz w:val="16"/>
                <w:szCs w:val="16"/>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5"/>
                <w:szCs w:val="15"/>
                <w:color w:val="auto"/>
              </w:rPr>
              <w:t>100.0 %</w:t>
            </w:r>
          </w:p>
        </w:tc>
      </w:tr>
      <w:tr>
        <w:trPr>
          <w:trHeight w:val="189"/>
        </w:trPr>
        <w:tc>
          <w:tcPr>
            <w:tcW w:w="5200" w:type="dxa"/>
            <w:vAlign w:val="bottom"/>
            <w:shd w:val="clear" w:color="auto" w:fill="CFF0FC"/>
          </w:tcPr>
          <w:p>
            <w:pPr>
              <w:ind w:left="2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1,352</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1,352</w:t>
            </w:r>
          </w:p>
        </w:tc>
        <w:tc>
          <w:tcPr>
            <w:tcW w:w="2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100.0 %</w:t>
            </w:r>
          </w:p>
        </w:tc>
        <w:tc>
          <w:tcPr>
            <w:tcW w:w="60" w:type="dxa"/>
            <w:vAlign w:val="bottom"/>
          </w:tcPr>
          <w:p>
            <w:pPr>
              <w:spacing w:after="0"/>
              <w:rPr>
                <w:sz w:val="16"/>
                <w:szCs w:val="16"/>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(56,329 )</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(64,762 )</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8,433</w:t>
            </w:r>
          </w:p>
        </w:tc>
        <w:tc>
          <w:tcPr>
            <w:tcW w:w="260" w:type="dxa"/>
            <w:vAlign w:val="bottom"/>
          </w:tcPr>
          <w:p>
            <w:pPr>
              <w:spacing w:after="0"/>
              <w:rPr>
                <w:sz w:val="15"/>
                <w:szCs w:val="15"/>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5"/>
                <w:szCs w:val="15"/>
                <w:color w:val="auto"/>
              </w:rPr>
              <w:t xml:space="preserve">13.0 </w:t>
            </w:r>
            <w:r>
              <w:rPr>
                <w:rFonts w:ascii="Arial" w:cs="Arial" w:eastAsia="Arial" w:hAnsi="Arial"/>
                <w:sz w:val="15"/>
                <w:szCs w:val="15"/>
                <w:color w:val="auto"/>
                <w:highlight w:val="white"/>
              </w:rPr>
              <w:t>%</w:t>
            </w:r>
          </w:p>
        </w:tc>
      </w:tr>
      <w:tr>
        <w:trPr>
          <w:trHeight w:val="20"/>
        </w:trPr>
        <w:tc>
          <w:tcPr>
            <w:tcW w:w="5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70"/>
        </w:trPr>
        <w:tc>
          <w:tcPr>
            <w:tcW w:w="52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color w:val="auto"/>
              </w:rPr>
              <w:t>Securitization gain</w:t>
            </w: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0.0 %</w:t>
            </w:r>
          </w:p>
        </w:tc>
        <w:tc>
          <w:tcPr>
            <w:tcW w:w="60" w:type="dxa"/>
            <w:vAlign w:val="bottom"/>
          </w:tcPr>
          <w:p>
            <w:pPr>
              <w:spacing w:after="0"/>
              <w:rPr>
                <w:sz w:val="14"/>
                <w:szCs w:val="14"/>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5"/>
                <w:szCs w:val="15"/>
                <w:color w:val="auto"/>
              </w:rPr>
              <w:t>Adjusted EBITDA excluding securitization gain</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(56,329 )</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(64,762 )</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8,433</w:t>
            </w:r>
          </w:p>
        </w:tc>
        <w:tc>
          <w:tcPr>
            <w:tcW w:w="260" w:type="dxa"/>
            <w:vAlign w:val="bottom"/>
          </w:tcPr>
          <w:p>
            <w:pPr>
              <w:spacing w:after="0"/>
              <w:rPr>
                <w:sz w:val="15"/>
                <w:szCs w:val="15"/>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5"/>
                <w:szCs w:val="15"/>
                <w:color w:val="auto"/>
              </w:rPr>
              <w:t xml:space="preserve">13.0 </w:t>
            </w:r>
            <w:r>
              <w:rPr>
                <w:rFonts w:ascii="Arial" w:cs="Arial" w:eastAsia="Arial" w:hAnsi="Arial"/>
                <w:sz w:val="15"/>
                <w:szCs w:val="15"/>
                <w:color w:val="auto"/>
                <w:highlight w:val="white"/>
              </w:rPr>
              <w:t>%</w:t>
            </w:r>
          </w:p>
        </w:tc>
      </w:tr>
      <w:tr>
        <w:trPr>
          <w:trHeight w:val="20"/>
        </w:trPr>
        <w:tc>
          <w:tcPr>
            <w:tcW w:w="5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200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-933450</wp:posOffset>
            </wp:positionV>
            <wp:extent cx="2992120" cy="1454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992120" cy="1454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-427990</wp:posOffset>
            </wp:positionV>
            <wp:extent cx="77470" cy="154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-427990</wp:posOffset>
            </wp:positionV>
            <wp:extent cx="85725" cy="1543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-427990</wp:posOffset>
            </wp:positionV>
            <wp:extent cx="85725" cy="1543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-153670</wp:posOffset>
            </wp:positionV>
            <wp:extent cx="77470" cy="154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-153670</wp:posOffset>
            </wp:positionV>
            <wp:extent cx="85725" cy="154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-153670</wp:posOffset>
            </wp:positionV>
            <wp:extent cx="85725" cy="154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5725" cy="154305"/>
                    </a:xfrm>
                    <a:prstGeom prst="rect">
                      <a:avLst/>
                    </a:prstGeom>
                    <a:noFill/>
                  </pic:spPr>
                </pic:pic>
              </a:graphicData>
            </a:graphic>
          </wp:anchor>
        </w:drawing>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6"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7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Liquidity and Capital Resources</w:t>
      </w:r>
    </w:p>
    <w:p>
      <w:pPr>
        <w:spacing w:after="0" w:line="208" w:lineRule="exact"/>
        <w:rPr>
          <w:sz w:val="20"/>
          <w:szCs w:val="20"/>
          <w:color w:val="auto"/>
        </w:rPr>
      </w:pPr>
    </w:p>
    <w:p>
      <w:pPr>
        <w:ind w:right="220" w:firstLine="761"/>
        <w:spacing w:after="0" w:line="241" w:lineRule="auto"/>
        <w:rPr>
          <w:sz w:val="20"/>
          <w:szCs w:val="20"/>
          <w:color w:val="auto"/>
        </w:rPr>
      </w:pPr>
      <w:r>
        <w:rPr>
          <w:rFonts w:ascii="Arial" w:cs="Arial" w:eastAsia="Arial" w:hAnsi="Arial"/>
          <w:sz w:val="18"/>
          <w:szCs w:val="18"/>
          <w:color w:val="auto"/>
        </w:rPr>
        <w:t>As of June 30, 2023, we had cash and cash equivalents of $237.9 million and restricted cash of $66.3 million. Restricted cash primarily includes cash deposits required under our 2022 Vehicle Floorplan Facility of $19.9 million and restricted cash for UACC under the securitization transactions and Warehouse Credit Facilities of $44.9 million. Our primary source of liquidity is cash generated through financing activities. Additionally, we had excess borrowing capacity of $93.0 million on UACC's Warehouse Credit Facilities as of June 30, 2023.</w:t>
      </w:r>
    </w:p>
    <w:p>
      <w:pPr>
        <w:spacing w:after="0" w:line="176" w:lineRule="exact"/>
        <w:rPr>
          <w:sz w:val="20"/>
          <w:szCs w:val="20"/>
          <w:color w:val="auto"/>
        </w:rPr>
      </w:pPr>
    </w:p>
    <w:p>
      <w:pPr>
        <w:ind w:right="120" w:firstLine="811"/>
        <w:spacing w:after="0" w:line="260" w:lineRule="auto"/>
        <w:rPr>
          <w:sz w:val="20"/>
          <w:szCs w:val="20"/>
          <w:color w:val="auto"/>
        </w:rPr>
      </w:pPr>
      <w:r>
        <w:rPr>
          <w:rFonts w:ascii="Arial" w:cs="Arial" w:eastAsia="Arial" w:hAnsi="Arial"/>
          <w:sz w:val="18"/>
          <w:szCs w:val="18"/>
          <w:color w:val="auto"/>
        </w:rPr>
        <w:t>We have no significant debt maturities due until 2026 and the payments on our securitization debt are funded by cashflows on the finance receivables within the securitization trusts.</w:t>
      </w:r>
    </w:p>
    <w:p>
      <w:pPr>
        <w:spacing w:after="0" w:line="159" w:lineRule="exact"/>
        <w:rPr>
          <w:sz w:val="20"/>
          <w:szCs w:val="20"/>
          <w:color w:val="auto"/>
        </w:rPr>
      </w:pPr>
    </w:p>
    <w:p>
      <w:pPr>
        <w:ind w:right="40" w:firstLine="761"/>
        <w:spacing w:after="0" w:line="260" w:lineRule="auto"/>
        <w:rPr>
          <w:sz w:val="20"/>
          <w:szCs w:val="20"/>
          <w:color w:val="auto"/>
        </w:rPr>
      </w:pPr>
      <w:r>
        <w:rPr>
          <w:rFonts w:ascii="Arial" w:cs="Arial" w:eastAsia="Arial" w:hAnsi="Arial"/>
          <w:sz w:val="18"/>
          <w:szCs w:val="18"/>
          <w:color w:val="auto"/>
        </w:rPr>
        <w:t>We anticipate that our existing cash and cash equivalents, 2022 Vehicle Floorplan Facility, and UACC's Warehouse Credit Facilities will be sufficient to support our operations for at least the next twelve months from the date of this Quarterly Report on Form 10-Q.</w:t>
      </w:r>
    </w:p>
    <w:p>
      <w:pPr>
        <w:spacing w:after="0" w:line="159"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Since inception, we experienced a continued increase in our cash usage as we scaled our business. Our long-term roadmap is designed to reduce our use of cash and position us for long-term profitable growth by prioritizing unit economics, reducing operating expenses and maximizing liquidity. On January 18, 2023, we executed a reduction in force as part of our continued focus on reducing variable and fixed costs. We incurred expenses of approximately $4.1 million, primarily consisting of severance, and expect to achieve approximately $27.0 million of annualized cost reductions as a result of the reduction in force in January 2023. Additionally, on April 26, 2023, as part of our ongoing reexamination of all facets of the business, we implemented an organizational restructuring that included a reduction in force. We incurred total expenses of approximately $2.3 million in the second quarter of 2023, primarily consisting of severance costs, and expect to achieve approximately $15.0 million of annualized cost savings as a result of the April 2023 reduction in force. We may not be able to fully realize the cost savings and benefits initially anticipated by our long-term roadmap or our reductions in force.</w:t>
      </w:r>
    </w:p>
    <w:p>
      <w:pPr>
        <w:spacing w:after="0" w:line="178"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Our future capital requirements will depend on many factors, including our efforts to reduce fixed and variable expenses, investment in our internal sales force, investment in our website and mobile applications, continued automation of the selling experience, optimization of our assortment of vehicles, and increases in inventory as we resume growth. We expect to use our cash and cash equivalents to finance our future capital requirements, borrowings under our 2022 Vehicle Floorplan Facility to finance our inventory, and UACC’s Warehouse Credit Facilities to fund our finance receivables. We may be required to seek additional equity or debt financing in the future to fund our operations or to fund our needs for capital expenditures. Subject to market conditions, we also may opportunistically choose to raise capital from time to time to strengthen our balance sheet and enhance our liquidity. Our ability to obtain additional equity or debt financing will depend on the success of our efforts to reduce fixed and variable expenses and demonstrate we are on a path toward long-term profitable growth, as well as market conditions. There can be no assurance that such financing will be available in amounts or on terms acceptable to us, if at all. Failure to raise additional capital through debt or equity financings, and/or reduce operating costs could have a material adverse effect on our ability to meet our short and long-term liquidity needs and achieve our intended long-term business objectives.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On June 18, 2021, we issued $625.0 million aggregate principal amount of the Notes pursuant to an indenture between us and 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trustee (the “Indenture”).</w:t>
      </w:r>
    </w:p>
    <w:p>
      <w:pPr>
        <w:spacing w:after="0" w:line="186" w:lineRule="exact"/>
        <w:rPr>
          <w:sz w:val="20"/>
          <w:szCs w:val="20"/>
          <w:color w:val="auto"/>
        </w:rPr>
      </w:pPr>
    </w:p>
    <w:p>
      <w:pPr>
        <w:ind w:right="160" w:firstLine="761"/>
        <w:spacing w:after="0" w:line="243"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were approximately $608.9 million. During the three months ended June 30, 2023, the conditions allowing holders of the Notes to convert were not met.</w:t>
      </w:r>
    </w:p>
    <w:p>
      <w:pPr>
        <w:spacing w:after="0" w:line="174"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During the three and six months ended June 30, 2023, we repurchased $18.2 million and $32.8 million in aggregate principal amount of the Notes, net of deferred issuance costs, for $7.3 million and $13.2 million, respectively, in open-market transactions. We recognized a gain on extinguishment of debt of $10.9 million and $19.6 million for the three and six months ended June 30, 2023. As a result of these repurchases and repurchases made in 2022, as of June 30, 2023, $327.4 million aggregate principal amount of the Notes remain outstanding, net of deferred issuance costs of $5.1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79" w:lineRule="exact"/>
        <w:rPr>
          <w:sz w:val="20"/>
          <w:szCs w:val="20"/>
          <w:color w:val="auto"/>
        </w:rPr>
      </w:pPr>
    </w:p>
    <w:p>
      <w:pPr>
        <w:jc w:val="both"/>
        <w:ind w:right="160"/>
        <w:spacing w:after="0" w:line="247" w:lineRule="auto"/>
        <w:rPr>
          <w:sz w:val="20"/>
          <w:szCs w:val="20"/>
          <w:color w:val="auto"/>
        </w:rPr>
      </w:pPr>
      <w:r>
        <w:rPr>
          <w:rFonts w:ascii="Arial" w:cs="Arial" w:eastAsia="Arial" w:hAnsi="Arial"/>
          <w:sz w:val="18"/>
          <w:szCs w:val="18"/>
          <w:color w:val="auto"/>
        </w:rPr>
        <w:t>million. Subject to market conditions and availability, we may continue to opportunistically repurchase Notes from time to time to reduce our outstanding indebtedness at a discount. Refer to Note 12 — Long Term Debt to our condensed consolidated financial statements included elsewhere in this Quarterly Report on Form 10-Q, for further discussion.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208" w:lineRule="exact"/>
        <w:rPr>
          <w:sz w:val="20"/>
          <w:szCs w:val="20"/>
          <w:color w:val="auto"/>
        </w:rPr>
      </w:pPr>
    </w:p>
    <w:p>
      <w:pPr>
        <w:ind w:right="200" w:firstLine="761"/>
        <w:spacing w:after="0" w:line="289" w:lineRule="auto"/>
        <w:rPr>
          <w:sz w:val="20"/>
          <w:szCs w:val="20"/>
          <w:color w:val="auto"/>
        </w:rPr>
      </w:pPr>
      <w:r>
        <w:rPr>
          <w:rFonts w:ascii="Arial" w:cs="Arial" w:eastAsia="Arial" w:hAnsi="Arial"/>
          <w:sz w:val="17"/>
          <w:szCs w:val="17"/>
          <w:color w:val="auto"/>
        </w:rPr>
        <w:t>In November 2022, we amended our floorplan facility with Ally Bank and Ally Financial (the “2022 Vehicle Floorplan Facility”). The 2022 Vehicle Floorplan Facility provides a committed credit line of up to $500.0 million which is scheduled to mature on March 31, 2024.</w:t>
      </w:r>
    </w:p>
    <w:p>
      <w:pPr>
        <w:spacing w:after="0" w:line="137"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The amount of credit available to us on a monthly basis equals the product of (1) the greater of five times the aggregate number of retail units sold during the most recent month for which information is available or the aggregate number of retail units sold during the five most recent months for which information is available and (2) the greater of the average outstanding floorplan balance of all vehicles on the floorplan as of the immediately preceding month-end or the average monthly outstanding floorplan balance of all vehicles on the floorplan as of month-end for the immediately preceding five months. The amendment also provides that we may elect to increase our monthly credit line availability by an additional $25.0 million during any four months in the period from November 1, 2022 through March 31, 2024, subject to the maximum $ 500.0 million credit limit. Consistent with the terms of the 2020 Vehicle Floorplan Facility, we have provided Ally with a guaranty of payment of all amounts owed under the 2022 Vehicle Floorplan Facility as well as a security interest in all or substantially all tangible, intangible, and other personal property of Vroom, Inc., to secure obligations under the 2022 Vehicle Floorplan Facility.</w:t>
      </w:r>
    </w:p>
    <w:p>
      <w:pPr>
        <w:spacing w:after="0" w:line="178" w:lineRule="exact"/>
        <w:rPr>
          <w:sz w:val="20"/>
          <w:szCs w:val="20"/>
          <w:color w:val="auto"/>
        </w:rPr>
      </w:pPr>
    </w:p>
    <w:p>
      <w:pPr>
        <w:ind w:right="20" w:firstLine="761"/>
        <w:spacing w:after="0" w:line="241" w:lineRule="auto"/>
        <w:rPr>
          <w:sz w:val="20"/>
          <w:szCs w:val="20"/>
          <w:color w:val="auto"/>
        </w:rPr>
      </w:pPr>
      <w:r>
        <w:rPr>
          <w:rFonts w:ascii="Arial" w:cs="Arial" w:eastAsia="Arial" w:hAnsi="Arial"/>
          <w:sz w:val="18"/>
          <w:szCs w:val="18"/>
          <w:color w:val="auto"/>
        </w:rPr>
        <w:t>The 2022 Vehicle Floorplan Facility bears interest at a rate equal to the Prime Rate, announced per annum by Ally Bank, plus 175 basis points. Additionally, we are subject to amended covenants and events of default. We are required to maintain a certain level of equity in the vehicles that are financed, to maintain at least 20.0% of the credit line in cash and cash equivalents, and to maintain a minimum required balance with Ally of at least 12.5% of the daily floorplan principal balance outstanding through December 31, 2022 and 15.0% effective January 1, 2023. We were required to pay a commitment fee upon execution of the 2022 Vehicle Floorplan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208" w:lineRule="exact"/>
        <w:rPr>
          <w:sz w:val="20"/>
          <w:szCs w:val="20"/>
          <w:color w:val="auto"/>
        </w:rPr>
      </w:pPr>
    </w:p>
    <w:p>
      <w:pPr>
        <w:ind w:right="200" w:firstLine="764"/>
        <w:spacing w:after="0" w:line="239" w:lineRule="auto"/>
        <w:rPr>
          <w:sz w:val="20"/>
          <w:szCs w:val="20"/>
          <w:color w:val="auto"/>
        </w:rPr>
      </w:pPr>
      <w:r>
        <w:rPr>
          <w:rFonts w:ascii="Arial" w:cs="Arial" w:eastAsia="Arial" w:hAnsi="Arial"/>
          <w:sz w:val="18"/>
          <w:szCs w:val="18"/>
          <w:color w:val="auto"/>
        </w:rPr>
        <w:t>Subject to market conditions, we plan to sell finance receivables originated by UACC through asset-backed securitization transactions and forward flow arrangements. In January 2023, UACC sold approximately $238.7 million of investment grade rated asset-backed securities in an auto loan securitization transaction from a securitization trust, established and sponsored by UACC for proceeds of $237.8 million. On April 19, 2023, UACC sold the non-investment grade rated securities related to the 2023-1 securitization transaction for $23.1 million. The trust is collateralized by finance receivables with an aggregate principal balance of $326.4 million. These finance receivables are serviced by UACC. As a result of current market conditions, which led to unfavorable pricing, UACC retained the residual interests, and we accounted for the 2023-1 securitization transaction as secured borrowings.</w:t>
      </w:r>
    </w:p>
    <w:p>
      <w:pPr>
        <w:spacing w:after="0" w:line="177" w:lineRule="exact"/>
        <w:rPr>
          <w:sz w:val="20"/>
          <w:szCs w:val="20"/>
          <w:color w:val="auto"/>
        </w:rPr>
      </w:pPr>
    </w:p>
    <w:p>
      <w:pPr>
        <w:ind w:right="20" w:firstLine="764"/>
        <w:spacing w:after="0" w:line="239" w:lineRule="auto"/>
        <w:rPr>
          <w:sz w:val="20"/>
          <w:szCs w:val="20"/>
          <w:color w:val="auto"/>
        </w:rPr>
      </w:pPr>
      <w:r>
        <w:rPr>
          <w:rFonts w:ascii="Arial" w:cs="Arial" w:eastAsia="Arial" w:hAnsi="Arial"/>
          <w:sz w:val="18"/>
          <w:szCs w:val="18"/>
          <w:color w:val="auto"/>
        </w:rPr>
        <w:t>In February 2022, UACC sold an aggregate of $281.4 million of rated asset-backed securities and $ 32.3 million of residual certificates in an auto loan securitization transaction from a securitization trust, established and sponsored by UACC, for aggregate proceeds of $317.3 million. The trust is collateralized by finance receivables with an aggregate principal balance of $318.5 million and had a carrying value of $287.7 million at the time of sale. These finance receivables are serviced by UACC. UACC retained 5% of the notes and residual certificates sold as required by applicable risk retention rules. UACC used the proceeds of the securitization transactions to pay down outstanding debt under its Warehouse Credit Facilities.</w:t>
      </w:r>
    </w:p>
    <w:p>
      <w:pPr>
        <w:spacing w:after="0" w:line="181" w:lineRule="exact"/>
        <w:rPr>
          <w:sz w:val="20"/>
          <w:szCs w:val="20"/>
          <w:color w:val="auto"/>
        </w:rPr>
      </w:pPr>
    </w:p>
    <w:p>
      <w:pPr>
        <w:jc w:val="both"/>
        <w:ind w:right="60" w:firstLine="764"/>
        <w:spacing w:after="0" w:line="247" w:lineRule="auto"/>
        <w:rPr>
          <w:sz w:val="20"/>
          <w:szCs w:val="20"/>
          <w:color w:val="auto"/>
        </w:rPr>
      </w:pPr>
      <w:r>
        <w:rPr>
          <w:rFonts w:ascii="Arial" w:cs="Arial" w:eastAsia="Arial" w:hAnsi="Arial"/>
          <w:sz w:val="18"/>
          <w:szCs w:val="18"/>
          <w:color w:val="auto"/>
        </w:rPr>
        <w:t>Although our long-term strategy is to structure future securitization transactions similar to the 2022-1 securitization transaction and account for them as sales, market conditions may impact our ability to achieve sales accounting treatment. Depending on market conditions, future 2023 securitization transactions may be accounted for as secured borrowings and remain on balance sheet.</w:t>
      </w:r>
    </w:p>
    <w:p>
      <w:pPr>
        <w:spacing w:after="0" w:line="171" w:lineRule="exact"/>
        <w:rPr>
          <w:sz w:val="20"/>
          <w:szCs w:val="20"/>
          <w:color w:val="auto"/>
        </w:rPr>
      </w:pPr>
    </w:p>
    <w:p>
      <w:pPr>
        <w:ind w:right="120" w:firstLine="764"/>
        <w:spacing w:after="0" w:line="241" w:lineRule="auto"/>
        <w:rPr>
          <w:sz w:val="20"/>
          <w:szCs w:val="20"/>
          <w:color w:val="auto"/>
        </w:rPr>
      </w:pPr>
      <w:r>
        <w:rPr>
          <w:rFonts w:ascii="Arial" w:cs="Arial" w:eastAsia="Arial" w:hAnsi="Arial"/>
          <w:sz w:val="18"/>
          <w:szCs w:val="18"/>
          <w:color w:val="auto"/>
        </w:rPr>
        <w:t>As a result of increasing interest rates, the current inflationary environment and vehicle depreciation in the used automotive industry, UACC is experiencing higher loss severity and higher losses in a soft securitization market. The increased loss severity could lead to reduced servicing income if UACC elects to waive monthly servicing fees going forward as it did in the first quarter of 2023. The waiver of monthly servicing fees related to the 2022-2 securitization transaction resulted in consolidation of the related finance receivables and securitization debt on our financial statements.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82" w:lineRule="exact"/>
        <w:rPr>
          <w:sz w:val="20"/>
          <w:szCs w:val="20"/>
          <w:color w:val="auto"/>
        </w:rPr>
      </w:pPr>
    </w:p>
    <w:p>
      <w:pPr>
        <w:ind w:right="600" w:firstLine="764"/>
        <w:spacing w:after="0" w:line="260" w:lineRule="auto"/>
        <w:rPr>
          <w:sz w:val="20"/>
          <w:szCs w:val="20"/>
          <w:color w:val="auto"/>
        </w:rPr>
      </w:pPr>
      <w:r>
        <w:rPr>
          <w:rFonts w:ascii="Arial" w:cs="Arial" w:eastAsia="Arial" w:hAnsi="Arial"/>
          <w:sz w:val="18"/>
          <w:szCs w:val="18"/>
          <w:color w:val="auto"/>
        </w:rPr>
        <w:t>Refer to Note 4 — Variable Interest Entities and Securitizations to our condensed consolidated financial statements included elsewhere in this Quarterly Report on Form 10-Q, for further discussion.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Risk Retention Financing Facility</w:t>
      </w:r>
    </w:p>
    <w:p>
      <w:pPr>
        <w:spacing w:after="0" w:line="208"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On May 3, 2023, UACC entered into a Risk Retention Financing Facility enabling it to finance asset-backed securities issued in its securitization transactions and held by UACC pursuant to applicable risk retention rules. Under this facility, UACC sells such retained interests and agrees to repurchase them at fair value on a future date. In its initial transaction under this facility, UACC pledged $24.5 million of its retained beneficial interests as collateral, and received proceeds of $ 24.1 million, with expected repurchase dates ranging from March 2025 to September 2029. The securitization trusts will distribute payments related to UACC's pledged beneficial interests in securitizations directly to the lenders, which will reduce the beneficial interests in securitizations and the related debt balance</w:t>
      </w: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208" w:lineRule="exact"/>
        <w:rPr>
          <w:sz w:val="20"/>
          <w:szCs w:val="20"/>
          <w:color w:val="auto"/>
        </w:rPr>
      </w:pPr>
    </w:p>
    <w:p>
      <w:pPr>
        <w:ind w:right="60" w:firstLine="764"/>
        <w:spacing w:after="0" w:line="238" w:lineRule="auto"/>
        <w:rPr>
          <w:sz w:val="20"/>
          <w:szCs w:val="20"/>
          <w:color w:val="auto"/>
        </w:rPr>
      </w:pPr>
      <w:r>
        <w:rPr>
          <w:rFonts w:ascii="Arial" w:cs="Arial" w:eastAsia="Arial" w:hAnsi="Arial"/>
          <w:sz w:val="18"/>
          <w:szCs w:val="18"/>
          <w:color w:val="auto"/>
        </w:rPr>
        <w:t>UACC has four senior secured warehouse facility agreements the (“Warehouse Credit Facilities”) with banking institutions. The Warehouse Credit Facilities are collateralized by eligible finance receivables and available borrowings are computed based on a percentage of eligible finance receivables. The aggregate borrowing limit is $850.0 million with maturities between May 2024 and June 2025. As of June 30, 2023, outstanding borrowings related to the Warehouse Credit Facilities were $177.9 million and we were in compliance with all covenants related to the Warehouse Credit Facilities. Failure to satisfy these and or any other requirements contained within the agreements would restrict access to the Warehouse Credit Facilities and could have a material adverse effect on our financial condition, results of operations and liquidity. Certain breaches of covenants may also result in acceleration of the repayment of borrowings prior to the scheduled maturity. Refer to Note 11 — Warehouse Credit Facilities of Consolidated VIEs to our condensed consolidated financial statements included elsewhere in this Quarterly Report on Form 10-Q, for further discussion.</w:t>
      </w:r>
    </w:p>
    <w:p>
      <w:pPr>
        <w:spacing w:after="0" w:line="168"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three months ended June 30, 2023 and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tcPr>
          <w:p>
            <w:pPr>
              <w:spacing w:after="0"/>
              <w:rPr>
                <w:sz w:val="14"/>
                <w:szCs w:val="14"/>
                <w:color w:val="auto"/>
              </w:rPr>
            </w:pPr>
          </w:p>
        </w:tc>
      </w:tr>
      <w:tr>
        <w:trPr>
          <w:trHeight w:val="189"/>
        </w:trPr>
        <w:tc>
          <w:tcPr>
            <w:tcW w:w="74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6"/>
                <w:szCs w:val="16"/>
                <w:color w:val="auto"/>
              </w:rPr>
            </w:pPr>
          </w:p>
        </w:tc>
      </w:tr>
      <w:tr>
        <w:trPr>
          <w:trHeight w:val="183"/>
        </w:trPr>
        <w:tc>
          <w:tcPr>
            <w:tcW w:w="74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r>
      <w:tr>
        <w:trPr>
          <w:trHeight w:val="183"/>
        </w:trPr>
        <w:tc>
          <w:tcPr>
            <w:tcW w:w="7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5"/>
                <w:szCs w:val="15"/>
                <w:color w:val="auto"/>
              </w:rPr>
            </w:pPr>
          </w:p>
        </w:tc>
      </w:tr>
      <w:tr>
        <w:trPr>
          <w:trHeight w:val="230"/>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(232,125 )</w:t>
            </w:r>
          </w:p>
        </w:tc>
        <w:tc>
          <w:tcPr>
            <w:tcW w:w="80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(137,519 )</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Pr>
          <w:p>
            <w:pPr>
              <w:spacing w:after="0"/>
              <w:rPr>
                <w:sz w:val="19"/>
                <w:szCs w:val="19"/>
                <w:color w:val="auto"/>
              </w:rPr>
            </w:pPr>
          </w:p>
        </w:tc>
        <w:tc>
          <w:tcPr>
            <w:tcW w:w="1360" w:type="dxa"/>
            <w:vAlign w:val="bottom"/>
          </w:tcPr>
          <w:p>
            <w:pPr>
              <w:jc w:val="right"/>
              <w:ind w:right="77"/>
              <w:spacing w:after="0"/>
              <w:rPr>
                <w:sz w:val="20"/>
                <w:szCs w:val="20"/>
                <w:color w:val="auto"/>
              </w:rPr>
            </w:pPr>
            <w:r>
              <w:rPr>
                <w:rFonts w:ascii="Arial" w:cs="Arial" w:eastAsia="Arial" w:hAnsi="Arial"/>
                <w:sz w:val="18"/>
                <w:szCs w:val="18"/>
                <w:color w:val="auto"/>
              </w:rPr>
              <w:t>94,694</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(226,573 )</w:t>
            </w:r>
          </w:p>
        </w:tc>
      </w:tr>
      <w:tr>
        <w:trPr>
          <w:trHeight w:val="230"/>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(30,348 )</w:t>
            </w:r>
          </w:p>
        </w:tc>
        <w:tc>
          <w:tcPr>
            <w:tcW w:w="2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(164,300 )</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(167,779 )</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(528,392 )</w:t>
            </w:r>
          </w:p>
        </w:tc>
      </w:tr>
      <w:tr>
        <w:trPr>
          <w:trHeight w:val="230"/>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8"/>
                <w:szCs w:val="18"/>
                <w:color w:val="auto"/>
              </w:rPr>
              <w:t>472,010</w:t>
            </w:r>
          </w:p>
        </w:tc>
        <w:tc>
          <w:tcPr>
            <w:tcW w:w="2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1,214,775</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7"/>
              <w:spacing w:after="0"/>
              <w:rPr>
                <w:sz w:val="20"/>
                <w:szCs w:val="20"/>
                <w:color w:val="auto"/>
              </w:rPr>
            </w:pPr>
            <w:r>
              <w:rPr>
                <w:rFonts w:ascii="Arial" w:cs="Arial" w:eastAsia="Arial" w:hAnsi="Arial"/>
                <w:sz w:val="18"/>
                <w:szCs w:val="18"/>
                <w:color w:val="auto"/>
              </w:rPr>
              <w:t>304,231</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686,383</w:t>
            </w:r>
          </w:p>
        </w:tc>
      </w:tr>
      <w:tr>
        <w:trPr>
          <w:trHeight w:val="20"/>
        </w:trPr>
        <w:tc>
          <w:tcPr>
            <w:tcW w:w="7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-479425</wp:posOffset>
            </wp:positionV>
            <wp:extent cx="128905" cy="1543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-179070</wp:posOffset>
            </wp:positionV>
            <wp:extent cx="128905" cy="1797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8905" cy="1797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9" w:lineRule="exact"/>
        <w:rPr>
          <w:sz w:val="20"/>
          <w:szCs w:val="20"/>
          <w:color w:val="auto"/>
        </w:rPr>
      </w:pPr>
    </w:p>
    <w:p>
      <w:pPr>
        <w:ind w:right="100" w:firstLine="761"/>
        <w:spacing w:after="0" w:line="239" w:lineRule="auto"/>
        <w:rPr>
          <w:sz w:val="20"/>
          <w:szCs w:val="20"/>
          <w:color w:val="auto"/>
        </w:rPr>
      </w:pPr>
      <w:r>
        <w:rPr>
          <w:rFonts w:ascii="Arial" w:cs="Arial" w:eastAsia="Arial" w:hAnsi="Arial"/>
          <w:sz w:val="18"/>
          <w:szCs w:val="18"/>
          <w:color w:val="auto"/>
        </w:rPr>
        <w:t>Net cash flows used in operating activities increased by $94.6 million, from $137.5 million for the six months ended June 30, 2022 to $232.1 million for the six months ended June 30, 2023. The increase is primarily attributable to proceeds from the sale of finance receivables held for sale for the 2022-1 securitization transaction of $271.8 million during the first quarter of 2022, partially offset by a $97.1 million decrease in net loss after reconciling adjustments for the six months ended June 30, 2023, as compared to the six months ended June 30, 2022, a decrease of originations of finance receivables held for sale of $44.6 million, an increase in principal payments received on finance receivables held for sale of $19.7 million, and a decrease in working capital of $11.3 million.</w:t>
      </w:r>
    </w:p>
    <w:p>
      <w:pPr>
        <w:spacing w:after="0" w:line="181" w:lineRule="exact"/>
        <w:rPr>
          <w:sz w:val="20"/>
          <w:szCs w:val="20"/>
          <w:color w:val="auto"/>
        </w:rPr>
      </w:pPr>
    </w:p>
    <w:p>
      <w:pPr>
        <w:ind w:right="20" w:firstLine="761"/>
        <w:spacing w:after="0" w:line="260" w:lineRule="auto"/>
        <w:rPr>
          <w:sz w:val="20"/>
          <w:szCs w:val="20"/>
          <w:color w:val="auto"/>
        </w:rPr>
      </w:pPr>
      <w:r>
        <w:rPr>
          <w:rFonts w:ascii="Arial" w:cs="Arial" w:eastAsia="Arial" w:hAnsi="Arial"/>
          <w:sz w:val="18"/>
          <w:szCs w:val="18"/>
          <w:color w:val="auto"/>
        </w:rPr>
        <w:t>As the 2023-1 securitization transaction was accounted for as secured borrowings, the proceeds are included as a financing activity in our condensed consolidated statement of cash flows.</w:t>
      </w:r>
    </w:p>
    <w:p>
      <w:pPr>
        <w:spacing w:after="0" w:line="159" w:lineRule="exact"/>
        <w:rPr>
          <w:sz w:val="20"/>
          <w:szCs w:val="20"/>
          <w:color w:val="auto"/>
        </w:rPr>
      </w:pPr>
    </w:p>
    <w:p>
      <w:pPr>
        <w:jc w:val="both"/>
        <w:ind w:right="220" w:firstLine="761"/>
        <w:spacing w:after="0" w:line="247" w:lineRule="auto"/>
        <w:rPr>
          <w:sz w:val="20"/>
          <w:szCs w:val="20"/>
          <w:color w:val="auto"/>
        </w:rPr>
      </w:pPr>
      <w:r>
        <w:rPr>
          <w:rFonts w:ascii="Arial" w:cs="Arial" w:eastAsia="Arial" w:hAnsi="Arial"/>
          <w:sz w:val="18"/>
          <w:szCs w:val="18"/>
          <w:color w:val="auto"/>
        </w:rPr>
        <w:t>We finance a majority of our inventory with the 2022 Vehicle Floorplan Facility. In accordance with U.S. GAAP, we report all cash flows arising in connection with the 2022 Vehicle Floorplan Facility, as a financing activity in our condensed consolidated statement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9"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Net cash flows from investing activities changed $321.3 million, from net cash used in investing activities of $226.6 million for the six months ended June 30, 2022 to net cash provided by investing activities of $ 94.7 million for the six months ended June 30, 2023, primarily as a result of the UACC Acquisition in February 2022 which resulted in cash outflow of $267.5 million during the six months ended June 30, 2022, a decrease in purchases of finance receivables at fair value of $46.1 million, an increase in principal payments received on finance receivables at fair value of $17.2 million, and the consolidation of the 2022-2 securitization transaction which resulted in a cash inflow of $11.4 million during the six months ended June 30, 2023, partially offset by a decrease in proceeds from the sale of finance receivables at fair value for the 2022-1 securitization transaction of $29.0 million during the six months ended June 30,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7" w:lineRule="exact"/>
        <w:rPr>
          <w:sz w:val="20"/>
          <w:szCs w:val="20"/>
          <w:color w:val="auto"/>
        </w:rPr>
      </w:pPr>
    </w:p>
    <w:p>
      <w:pPr>
        <w:ind w:right="100" w:firstLine="761"/>
        <w:spacing w:after="0" w:line="239" w:lineRule="auto"/>
        <w:rPr>
          <w:sz w:val="20"/>
          <w:szCs w:val="20"/>
          <w:color w:val="auto"/>
        </w:rPr>
      </w:pPr>
      <w:r>
        <w:rPr>
          <w:rFonts w:ascii="Arial" w:cs="Arial" w:eastAsia="Arial" w:hAnsi="Arial"/>
          <w:sz w:val="18"/>
          <w:szCs w:val="18"/>
          <w:color w:val="auto"/>
        </w:rPr>
        <w:t>Net cash flows used in financing activities decreased $134.0 million from $164.3 million for the six months ended June 30, 2022 to $30.3 million for the six months ended June 30, 2023. The decrease was primarily related to proceeds from borrowings under secured financing arrangements of $262.0 million, proceeds from financing beneficial interests in securitizations of $24.5 million for the six months ended June 30, 2023, partially offset by an increase in net repayments of $84.8 million related to our Warehouse Credit Facilities, an increase in net repayments of $54.2 million related to our Vehicle Floorplan Facility, and a cash outflow of $13.2 million related to the repurchase of the Notes.</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8"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condensed consolidated financial statements requires us to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181" w:lineRule="exact"/>
        <w:rPr>
          <w:sz w:val="20"/>
          <w:szCs w:val="20"/>
          <w:color w:val="auto"/>
        </w:rPr>
      </w:pPr>
    </w:p>
    <w:p>
      <w:pPr>
        <w:ind w:right="240" w:firstLine="636"/>
        <w:spacing w:after="0" w:line="247"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w:t>
      </w:r>
    </w:p>
    <w:p>
      <w:pPr>
        <w:spacing w:after="0" w:line="171" w:lineRule="exact"/>
        <w:rPr>
          <w:sz w:val="20"/>
          <w:szCs w:val="20"/>
          <w:color w:val="auto"/>
        </w:rPr>
      </w:pPr>
    </w:p>
    <w:p>
      <w:pPr>
        <w:ind w:right="20" w:firstLine="636"/>
        <w:spacing w:after="0" w:line="260"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disclosed in our Annual Report on Form 10-K for the year ended December 31, 2022.</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Recently Issued and Adopted Accounting Pronouncement</w:t>
      </w:r>
      <w:r>
        <w:rPr>
          <w:rFonts w:ascii="Arial" w:cs="Arial" w:eastAsia="Arial" w:hAnsi="Arial"/>
          <w:sz w:val="18"/>
          <w:szCs w:val="18"/>
          <w:b w:val="1"/>
          <w:bCs w:val="1"/>
          <w:color w:val="auto"/>
        </w:rPr>
        <w:t>s</w:t>
      </w:r>
    </w:p>
    <w:p>
      <w:pPr>
        <w:spacing w:after="0" w:line="208" w:lineRule="exact"/>
        <w:rPr>
          <w:sz w:val="20"/>
          <w:szCs w:val="20"/>
          <w:color w:val="auto"/>
        </w:rPr>
      </w:pPr>
    </w:p>
    <w:p>
      <w:pPr>
        <w:ind w:right="40" w:firstLine="761"/>
        <w:spacing w:after="0" w:line="247" w:lineRule="auto"/>
        <w:rPr>
          <w:sz w:val="20"/>
          <w:szCs w:val="20"/>
          <w:color w:val="auto"/>
        </w:rPr>
      </w:pPr>
      <w:r>
        <w:rPr>
          <w:rFonts w:ascii="Arial" w:cs="Arial" w:eastAsia="Arial" w:hAnsi="Arial"/>
          <w:sz w:val="18"/>
          <w:szCs w:val="18"/>
          <w:color w:val="auto"/>
        </w:rPr>
        <w:t>Refer to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08" w:lineRule="exact"/>
        <w:rPr>
          <w:sz w:val="20"/>
          <w:szCs w:val="20"/>
          <w:color w:val="auto"/>
        </w:rPr>
      </w:pPr>
    </w:p>
    <w:p>
      <w:pPr>
        <w:ind w:right="40" w:firstLine="761"/>
        <w:spacing w:after="0" w:line="260"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We do not have material exposure to commodity risk.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8" w:lineRule="exact"/>
        <w:rPr>
          <w:sz w:val="20"/>
          <w:szCs w:val="20"/>
          <w:color w:val="auto"/>
        </w:rPr>
      </w:pPr>
    </w:p>
    <w:p>
      <w:pPr>
        <w:ind w:firstLine="761"/>
        <w:spacing w:after="0" w:line="258" w:lineRule="auto"/>
        <w:rPr>
          <w:sz w:val="20"/>
          <w:szCs w:val="20"/>
          <w:color w:val="auto"/>
        </w:rPr>
      </w:pPr>
      <w:r>
        <w:rPr>
          <w:rFonts w:ascii="Arial" w:cs="Arial" w:eastAsia="Arial" w:hAnsi="Arial"/>
          <w:sz w:val="17"/>
          <w:szCs w:val="17"/>
          <w:color w:val="auto"/>
        </w:rPr>
        <w:t>As of June 30, 2023, we had an outstanding balance under the 2020 Vehicle Floorplan Facility of $132.5 million and an outstanding balance under our Warehouse Credit Facilities of $177.9 million. The 2020 Vehicle Floorplan Facility bears interest at a rate equal to the Prime Rate, announced per annum by Ally Bank, plus 105 basis points. The Warehouse Credit Facilities bear interest at a rate equal to SOFR plus a fixed percentage based on the agreement with the banking institution. A hypothetical 10% change in interest rates during the three and six months ended June 30, 2023 would result in a change to interest expense of $0.5 million and $1.1 million, respectively.</w:t>
      </w:r>
    </w:p>
    <w:p>
      <w:pPr>
        <w:spacing w:after="0" w:line="164" w:lineRule="exact"/>
        <w:rPr>
          <w:sz w:val="20"/>
          <w:szCs w:val="20"/>
          <w:color w:val="auto"/>
        </w:rPr>
      </w:pPr>
    </w:p>
    <w:p>
      <w:pPr>
        <w:ind w:right="340" w:firstLine="761"/>
        <w:spacing w:after="0" w:line="260" w:lineRule="auto"/>
        <w:rPr>
          <w:sz w:val="20"/>
          <w:szCs w:val="20"/>
          <w:color w:val="auto"/>
        </w:rPr>
      </w:pPr>
      <w:r>
        <w:rPr>
          <w:rFonts w:ascii="Arial" w:cs="Arial" w:eastAsia="Arial" w:hAnsi="Arial"/>
          <w:sz w:val="18"/>
          <w:szCs w:val="18"/>
          <w:color w:val="auto"/>
        </w:rPr>
        <w:t>As of June 30, 2023, we had $776.4 million of long-term debt including the current portion of securitization debt of consolidated VIEs of $219.4 million. As the interest rate on the long term debt is fixed, we do not have exposure to interest rate risk.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08" w:lineRule="exact"/>
        <w:rPr>
          <w:sz w:val="20"/>
          <w:szCs w:val="20"/>
          <w:color w:val="auto"/>
        </w:rPr>
      </w:pPr>
    </w:p>
    <w:p>
      <w:pPr>
        <w:ind w:right="40" w:firstLine="761"/>
        <w:spacing w:after="0" w:line="24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8" w:lineRule="exact"/>
        <w:rPr>
          <w:sz w:val="20"/>
          <w:szCs w:val="20"/>
          <w:color w:val="auto"/>
        </w:rPr>
      </w:pPr>
    </w:p>
    <w:p>
      <w:pPr>
        <w:ind w:right="240" w:firstLine="761"/>
        <w:spacing w:after="0" w:line="24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June 30, 2023.</w:t>
      </w:r>
    </w:p>
    <w:p>
      <w:pPr>
        <w:spacing w:after="0" w:line="171" w:lineRule="exact"/>
        <w:rPr>
          <w:sz w:val="20"/>
          <w:szCs w:val="20"/>
          <w:color w:val="auto"/>
        </w:rPr>
      </w:pPr>
    </w:p>
    <w:p>
      <w:pPr>
        <w:ind w:right="120" w:firstLine="761"/>
        <w:spacing w:after="0" w:line="260" w:lineRule="auto"/>
        <w:rPr>
          <w:sz w:val="20"/>
          <w:szCs w:val="20"/>
          <w:color w:val="auto"/>
        </w:rPr>
      </w:pPr>
      <w:r>
        <w:rPr>
          <w:rFonts w:ascii="Arial" w:cs="Arial" w:eastAsia="Arial" w:hAnsi="Arial"/>
          <w:sz w:val="18"/>
          <w:szCs w:val="18"/>
          <w:color w:val="auto"/>
        </w:rPr>
        <w:t>Based on that evaluation, our Principal Executive Officer and Principal Financial Officer have concluded that, as of June 30, 2023, our disclosure controls and procedures were effective at the reasonable assurance level.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8" w:lineRule="exact"/>
        <w:rPr>
          <w:sz w:val="20"/>
          <w:szCs w:val="20"/>
          <w:color w:val="auto"/>
        </w:rPr>
      </w:pPr>
    </w:p>
    <w:p>
      <w:pPr>
        <w:jc w:val="both"/>
        <w:ind w:right="740" w:firstLine="761"/>
        <w:spacing w:after="0" w:line="247"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quarterly period ended June 30, 2023, that has materially affected, or is reasonably likely to materially affect, our internal control over financial reporting.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8"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85" w:lineRule="exact"/>
        <w:rPr>
          <w:sz w:val="20"/>
          <w:szCs w:val="20"/>
          <w:color w:val="auto"/>
        </w:rPr>
      </w:pPr>
    </w:p>
    <w:p>
      <w:pPr>
        <w:ind w:right="40" w:firstLine="749"/>
        <w:spacing w:after="0" w:line="255" w:lineRule="auto"/>
        <w:rPr>
          <w:sz w:val="20"/>
          <w:szCs w:val="20"/>
          <w:color w:val="auto"/>
        </w:rPr>
      </w:pPr>
      <w:r>
        <w:rPr>
          <w:rFonts w:ascii="Arial" w:cs="Arial" w:eastAsia="Arial" w:hAnsi="Arial"/>
          <w:sz w:val="17"/>
          <w:szCs w:val="17"/>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66" w:lineRule="exact"/>
        <w:rPr>
          <w:sz w:val="20"/>
          <w:szCs w:val="20"/>
          <w:color w:val="auto"/>
        </w:rPr>
      </w:pPr>
    </w:p>
    <w:p>
      <w:pPr>
        <w:ind w:right="100" w:firstLine="749"/>
        <w:spacing w:after="0" w:line="239"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and the court has approved the parties’ stipulation that the case would remain stayed pending final resolution of In re: Vroom, Inc. Securities Litigation. This lawsuit remains in preliminary stages and there have been no substantive developments.</w:t>
      </w:r>
    </w:p>
    <w:p>
      <w:pPr>
        <w:spacing w:after="0" w:line="18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Vroom continues to work cooperatively with the office of the Attorney General of the State of Texas towards a resolution. Because the case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79"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 xml:space="preserve">In July 2022 and August 2022, respectively, certain plaintiffs filed two putative class action lawsuits in the District Court of Cleveland County, Oklahoma and the New York State Supreme Court, respectively, against Vroom, Inc., and Vroom Automotive LLC as defendants, alleging, among other things, deficiencies in Vroom’s titling and registration of sold vehicles: Blake Sonne, individually and on behalf of all others similar situated, v. Vroom Automotive, LLC and Vroom, Inc., No. CJ-2022-822 and Emely Reyes Martinez, on behalf of all others similarly situated, v. Vroom Automotive, LLC and Vroom Inc </w:t>
      </w:r>
      <w:r>
        <w:rPr>
          <w:rFonts w:ascii="Arial" w:cs="Arial" w:eastAsia="Arial" w:hAnsi="Arial"/>
          <w:sz w:val="18"/>
          <w:szCs w:val="18"/>
          <w:i w:val="1"/>
          <w:iCs w:val="1"/>
          <w:color w:val="auto"/>
        </w:rPr>
        <w:t>.</w:t>
      </w:r>
      <w:r>
        <w:rPr>
          <w:rFonts w:ascii="Arial" w:cs="Arial" w:eastAsia="Arial" w:hAnsi="Arial"/>
          <w:sz w:val="18"/>
          <w:szCs w:val="18"/>
          <w:color w:val="auto"/>
        </w:rPr>
        <w:t>, No. 652684/2022. The Company removed the cases to the U.S. District Court for the Western District of Oklahoma (Case No. 22-cv-761) and the U.S. District Court for the Southern District of New York (Case No. 22-cv-7631), respectively, and has filed motions to compel arbitration of all claims in both cases. Because these cases are at early stages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84"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As previously disclosed, we have been subject to audits, requests for information, investigations and other inquiries from our regulators relating to increased customer complaints concerning the same or similar matters alleged in the State of Texas petition.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ind w:right="120"/>
        <w:spacing w:after="0" w:line="245" w:lineRule="auto"/>
        <w:rPr>
          <w:sz w:val="20"/>
          <w:szCs w:val="20"/>
          <w:color w:val="auto"/>
        </w:rPr>
      </w:pPr>
      <w:r>
        <w:rPr>
          <w:rFonts w:ascii="Arial" w:cs="Arial" w:eastAsia="Arial" w:hAnsi="Arial"/>
          <w:sz w:val="18"/>
          <w:szCs w:val="18"/>
          <w:i w:val="1"/>
          <w:iCs w:val="1"/>
          <w:color w:val="auto"/>
        </w:rPr>
        <w:t xml:space="preserve">Our operations and financial results are subject to various risks and uncertainties including those disclosed under “Item 1A. Risk Factors” in our </w:t>
      </w:r>
      <w:r>
        <w:rPr>
          <w:rFonts w:ascii="Arial" w:cs="Arial" w:eastAsia="Arial" w:hAnsi="Arial"/>
          <w:sz w:val="18"/>
          <w:szCs w:val="18"/>
          <w:i w:val="1"/>
          <w:iCs w:val="1"/>
          <w:u w:val="single" w:color="auto"/>
          <w:color w:val="auto"/>
        </w:rPr>
        <w:t>Annual Report</w:t>
      </w:r>
      <w:r>
        <w:rPr>
          <w:rFonts w:ascii="Arial" w:cs="Arial" w:eastAsia="Arial" w:hAnsi="Arial"/>
          <w:sz w:val="18"/>
          <w:szCs w:val="18"/>
          <w:i w:val="1"/>
          <w:iCs w:val="1"/>
          <w:color w:val="auto"/>
        </w:rPr>
        <w:t xml:space="preserve">. We provide below the material changes to our risk factors described in our </w:t>
      </w:r>
      <w:r>
        <w:rPr>
          <w:rFonts w:ascii="Arial" w:cs="Arial" w:eastAsia="Arial" w:hAnsi="Arial"/>
          <w:sz w:val="18"/>
          <w:szCs w:val="18"/>
          <w:i w:val="1"/>
          <w:iCs w:val="1"/>
          <w:u w:val="single" w:color="auto"/>
          <w:color w:val="auto"/>
        </w:rPr>
        <w:t>Annual Report</w:t>
      </w:r>
      <w:r>
        <w:rPr>
          <w:rFonts w:ascii="Arial" w:cs="Arial" w:eastAsia="Arial" w:hAnsi="Arial"/>
          <w:sz w:val="18"/>
          <w:szCs w:val="18"/>
          <w:i w:val="1"/>
          <w:iCs w:val="1"/>
          <w:u w:val="single" w:color="auto"/>
          <w:color w:val="0563C1"/>
        </w:rPr>
        <w:t>.</w:t>
      </w:r>
      <w:r>
        <w:rPr>
          <w:rFonts w:ascii="Arial" w:cs="Arial" w:eastAsia="Arial" w:hAnsi="Arial"/>
          <w:sz w:val="18"/>
          <w:szCs w:val="18"/>
          <w:i w:val="1"/>
          <w:iCs w:val="1"/>
          <w:color w:val="auto"/>
        </w:rPr>
        <w:t xml:space="preserve"> If any of these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satisfy a continued listing rule from the Nasdaq.</w:t>
      </w:r>
    </w:p>
    <w:p>
      <w:pPr>
        <w:spacing w:after="0" w:line="222"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The Nasdaq Stock Market LLC ("Nasdaq") maintains several requirements for continued listing of our common stock, one of which is the maintenance of a minimum closing bid price of $1.00. On April 14, 2023, we received written notice from Nasdaq notifying us that, for the last 30 consecutive business days, the bid price for our common stock had closed below the $1.00 minimum bid price requirement for continued inclusion on the Nasdaq Global Select Market. The notice had no immediate effect on the listing of our common stock, which continues to trade on the Nasdaq Global Select Market under the symbol "VRM". Pursuant to the Nasdaq listing rules, we were provided a period of 180 calendar days, or until October 11, 2023, to regain compliance with the minimum closing bid price requirement of at least $ 1.00 per share for a minimum of 10 consecutive business days. On June 23, 2023, we received written notice from Nasdaq informing us that, from June 8, 2023 to June 22, 2023, our minimum bid price had been $1.00 per share or higher and, accordingly, we had regained compliance with Nasdaq Listing Rule 5450(a)(1) and that the matter was now closed. However, there can be no assurance that our common stock will continue to close at or above the $1.00 per share minimum bid price as required by Nasdaq, or that we will otherwise meet the requirements of Nasdaq for continued inclusion for trading on Nasdaq Global Select Market.</w:t>
      </w:r>
    </w:p>
    <w:p>
      <w:pPr>
        <w:spacing w:after="0" w:line="182"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If our common stock does not continue to close at or above the $1.00 per share minimum bid price as required by Nasdaq, we may receive another written notice of non-compliance with Nasdaq’s listing standards and be provided a period of 180 calendar days from the date of such notice to regain compliance with the minimum closing bid price requirement of at least $1.00 per share for a minimum of 10 consecutive business days. If we do not regain compliance, we may be eligible for an additional 180-calendar day compliance period by transferring the listing of our common stock to the Nasdaq Capital Market and satisfying certain requirements.</w:t>
      </w:r>
    </w:p>
    <w:p>
      <w:pPr>
        <w:spacing w:after="0" w:line="176" w:lineRule="exact"/>
        <w:rPr>
          <w:sz w:val="20"/>
          <w:szCs w:val="20"/>
          <w:color w:val="auto"/>
        </w:rPr>
      </w:pPr>
    </w:p>
    <w:p>
      <w:pPr>
        <w:ind w:right="400" w:firstLine="749"/>
        <w:spacing w:after="0" w:line="260" w:lineRule="auto"/>
        <w:rPr>
          <w:sz w:val="20"/>
          <w:szCs w:val="20"/>
          <w:color w:val="auto"/>
        </w:rPr>
      </w:pPr>
      <w:r>
        <w:rPr>
          <w:rFonts w:ascii="Arial" w:cs="Arial" w:eastAsia="Arial" w:hAnsi="Arial"/>
          <w:sz w:val="18"/>
          <w:szCs w:val="18"/>
          <w:color w:val="auto"/>
        </w:rPr>
        <w:t>We intend to actively monitor the closing bid price of our common stock and, if we lose compliance with Nasdaq’s minimum bid price closing requirements, will consider all available options to regain compliance.</w:t>
      </w:r>
    </w:p>
    <w:p>
      <w:pPr>
        <w:spacing w:after="0" w:line="159"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If our common stock is delisted in the future, it is unlikely that we will be able to list our common stock on another national securities exchange and, as a result, we expect our securities would be quoted on an over-the-counter market. If this were to occur, we and our stockholders could face significant material adverse consequences, including limited availability of market quotations and analyst coverage for our common stock, and reduced liquidity for the trading of our securities. In addition, a delisting would constitute a fundamental change under the terms of our Indenture and make our Notes redeemable at par upon delisting (as described further below), and we could also experience a decreased ability to issue additional securities and obtain additional financing in the future. Delisting also could result in, among other things, a loss of investor confidence or interest in strategic transactions or opportunities, us being subject to regulation in each state in which we offer our securities, and difficulty in recruiting and retaining personnel through equity incentive awards.</w:t>
      </w:r>
    </w:p>
    <w:p>
      <w:pPr>
        <w:spacing w:after="0" w:line="170" w:lineRule="exact"/>
        <w:rPr>
          <w:sz w:val="20"/>
          <w:szCs w:val="20"/>
          <w:color w:val="auto"/>
        </w:rPr>
      </w:pPr>
    </w:p>
    <w:p>
      <w:pPr>
        <w:ind w:right="480"/>
        <w:spacing w:after="0" w:line="285" w:lineRule="auto"/>
        <w:rPr>
          <w:sz w:val="20"/>
          <w:szCs w:val="20"/>
          <w:color w:val="auto"/>
        </w:rPr>
      </w:pPr>
      <w:r>
        <w:rPr>
          <w:rFonts w:ascii="Arial" w:cs="Arial" w:eastAsia="Arial" w:hAnsi="Arial"/>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26" w:lineRule="exact"/>
        <w:rPr>
          <w:sz w:val="20"/>
          <w:szCs w:val="20"/>
          <w:color w:val="auto"/>
        </w:rPr>
      </w:pPr>
    </w:p>
    <w:p>
      <w:pPr>
        <w:ind w:right="520" w:firstLine="749"/>
        <w:spacing w:after="0" w:line="247" w:lineRule="auto"/>
        <w:rPr>
          <w:sz w:val="20"/>
          <w:szCs w:val="20"/>
          <w:color w:val="auto"/>
        </w:rPr>
      </w:pPr>
      <w:r>
        <w:rPr>
          <w:rFonts w:ascii="Arial" w:cs="Arial" w:eastAsia="Arial" w:hAnsi="Arial"/>
          <w:sz w:val="18"/>
          <w:szCs w:val="18"/>
          <w:color w:val="auto"/>
        </w:rPr>
        <w:t>As of June 30, 2023, we, including our subsidiaries, had approximately $1,086.7 million principal amount of consolidated indebtedness. We may incur additional indebtedness to meet future financing needs. Our indebtedness could have significant negative consequences for our security holders and our business, results of operations and financial condition by, among other things:</w:t>
      </w:r>
    </w:p>
    <w:p>
      <w:pPr>
        <w:spacing w:after="0" w:line="76"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17" w:lineRule="exact"/>
        <w:rPr>
          <w:rFonts w:ascii="Arial" w:cs="Arial" w:eastAsia="Arial" w:hAnsi="Arial"/>
          <w:sz w:val="18"/>
          <w:szCs w:val="18"/>
          <w:color w:val="auto"/>
        </w:rPr>
      </w:pPr>
    </w:p>
    <w:p>
      <w:pPr>
        <w:ind w:left="1020" w:right="140" w:hanging="503"/>
        <w:spacing w:after="0" w:line="260"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 including the successful execution of our long-term roadmap;</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87"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17" w:lineRule="exact"/>
        <w:rPr>
          <w:rFonts w:ascii="Arial" w:cs="Arial" w:eastAsia="Arial" w:hAnsi="Arial"/>
          <w:sz w:val="18"/>
          <w:szCs w:val="18"/>
          <w:color w:val="auto"/>
        </w:rPr>
      </w:pPr>
    </w:p>
    <w:p>
      <w:pPr>
        <w:ind w:left="1020" w:right="460" w:hanging="503"/>
        <w:spacing w:after="0" w:line="260"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our Notes due 2026; and</w:t>
      </w:r>
    </w:p>
    <w:p>
      <w:pPr>
        <w:spacing w:after="0" w:line="64" w:lineRule="exact"/>
        <w:rPr>
          <w:rFonts w:ascii="Arial" w:cs="Arial" w:eastAsia="Arial" w:hAnsi="Arial"/>
          <w:sz w:val="18"/>
          <w:szCs w:val="18"/>
          <w:color w:val="auto"/>
        </w:rPr>
      </w:pPr>
    </w:p>
    <w:p>
      <w:pPr>
        <w:ind w:left="1020" w:right="400" w:hanging="503"/>
        <w:spacing w:after="0" w:line="260"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59"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 For example, on April 14, 2023, we received written notice from Nasdaq notifying us that, for the last 30 consecutive business days, the bid price for our common stock had closed below the $1.00 minimum bid price requirement for continued inclusion on the Nasdaq Global Select Market. On June 23, 2023, we received written notice from Nasdaq informing us that, from June 8, 2023 to June 22, 2023, our minimum bid price had been $1.00 per share or higher and, accordingly, we had regained compliance with the Nasdaq listing rules. However, there can be no assurance that our common stock will continue to close at or above the $1.00 per share minimum bid price as required by Nasdaq, or that we will otherwise meet the requirements of Nasdaq for continued inclusion for trading on Nasdaq Global Select Market. The delisting of our common stock from the Nasdaq Global Select Market would constitute a fundamental change under the terms of our Indenture and make our Notes redeemable at par upon delisting.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6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has declined since our initial public offering and may continue to decline regardless of our operating performance, and you may not be able to resell your shares at or above the price which you paid for them.</w:t>
      </w:r>
    </w:p>
    <w:p>
      <w:pPr>
        <w:spacing w:after="0" w:line="147" w:lineRule="exact"/>
        <w:rPr>
          <w:sz w:val="20"/>
          <w:szCs w:val="20"/>
          <w:color w:val="auto"/>
        </w:rPr>
      </w:pPr>
    </w:p>
    <w:p>
      <w:pPr>
        <w:ind w:right="20" w:firstLine="749"/>
        <w:spacing w:after="0" w:line="260" w:lineRule="auto"/>
        <w:rPr>
          <w:sz w:val="20"/>
          <w:szCs w:val="20"/>
          <w:color w:val="auto"/>
        </w:rPr>
      </w:pPr>
      <w:r>
        <w:rPr>
          <w:rFonts w:ascii="Arial" w:cs="Arial" w:eastAsia="Arial" w:hAnsi="Arial"/>
          <w:sz w:val="18"/>
          <w:szCs w:val="18"/>
          <w:color w:val="auto"/>
        </w:rPr>
        <w:t>It is possible that an active trading market for shares of our common stock will not be sustained, which could make it difficult for you to sell your shares of common stock at an attractive price or at all.</w:t>
      </w:r>
    </w:p>
    <w:p>
      <w:pPr>
        <w:spacing w:after="0" w:line="159" w:lineRule="exact"/>
        <w:rPr>
          <w:sz w:val="20"/>
          <w:szCs w:val="20"/>
          <w:color w:val="auto"/>
        </w:rPr>
      </w:pPr>
    </w:p>
    <w:p>
      <w:pPr>
        <w:ind w:right="340" w:firstLine="749"/>
        <w:spacing w:after="0" w:line="289" w:lineRule="auto"/>
        <w:rPr>
          <w:sz w:val="20"/>
          <w:szCs w:val="20"/>
          <w:color w:val="auto"/>
        </w:rPr>
      </w:pPr>
      <w:r>
        <w:rPr>
          <w:rFonts w:ascii="Arial" w:cs="Arial" w:eastAsia="Arial" w:hAnsi="Arial"/>
          <w:sz w:val="17"/>
          <w:szCs w:val="17"/>
          <w:color w:val="auto"/>
        </w:rPr>
        <w:t>Many factors, some of which are outside our control, may cause the market price of our common stock to fluctuate significantly, including those described in this “Risk Factors” section and the "Risk Factors" section in our Annual Report, as well as the following:</w:t>
      </w:r>
    </w:p>
    <w:p>
      <w:pPr>
        <w:spacing w:after="0" w:line="245"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delisting of our common stock, as described above;</w:t>
      </w:r>
    </w:p>
    <w:p>
      <w:pPr>
        <w:spacing w:after="0" w:line="117" w:lineRule="exact"/>
        <w:rPr>
          <w:rFonts w:ascii="Arial" w:cs="Arial" w:eastAsia="Arial" w:hAnsi="Arial"/>
          <w:sz w:val="18"/>
          <w:szCs w:val="18"/>
          <w:color w:val="auto"/>
        </w:rPr>
      </w:pPr>
    </w:p>
    <w:p>
      <w:pPr>
        <w:ind w:left="1020" w:right="40" w:hanging="503"/>
        <w:spacing w:after="0" w:line="260"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 including as a result of operational changes and initiatives we have and continue to undertake as part of our long-term roadmap;</w:t>
      </w:r>
    </w:p>
    <w:p>
      <w:pPr>
        <w:spacing w:after="0" w:line="6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guidance regarding future quarterly or annual earnings, and our financial results in relation to previously issued guidance;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achieve the benefits of any cost saving measures;</w:t>
      </w:r>
    </w:p>
    <w:p>
      <w:pPr>
        <w:spacing w:after="0" w:line="117" w:lineRule="exact"/>
        <w:rPr>
          <w:rFonts w:ascii="Arial" w:cs="Arial" w:eastAsia="Arial" w:hAnsi="Arial"/>
          <w:sz w:val="18"/>
          <w:szCs w:val="18"/>
          <w:color w:val="auto"/>
        </w:rPr>
      </w:pPr>
    </w:p>
    <w:p>
      <w:pPr>
        <w:ind w:left="1020" w:right="340" w:hanging="503"/>
        <w:spacing w:after="0" w:line="260"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that impact demand for our offerings and platform, including demand in the automotive industry generally and the performance of the third parties through whom we conduct significant parts of our business;</w:t>
      </w:r>
    </w:p>
    <w:p>
      <w:pPr>
        <w:spacing w:after="0" w:line="6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business strategy;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market sentiment regarding growth companies that are not yet profitable;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87"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senior management or key personnel and the impact of reductions in our workforce;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or adverse resolution of pending, litigation or other claims against us;</w:t>
      </w:r>
    </w:p>
    <w:p>
      <w:pPr>
        <w:spacing w:after="0" w:line="117" w:lineRule="exact"/>
        <w:rPr>
          <w:rFonts w:ascii="Arial" w:cs="Arial" w:eastAsia="Arial" w:hAnsi="Arial"/>
          <w:sz w:val="18"/>
          <w:szCs w:val="18"/>
          <w:color w:val="auto"/>
        </w:rPr>
      </w:pPr>
    </w:p>
    <w:p>
      <w:pPr>
        <w:ind w:left="1020" w:right="120" w:hanging="503"/>
        <w:spacing w:after="0" w:line="24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unrest and wars, such as the current war in Ukraine, which could delay and disrupt our business, and if such political unrest further escalates or leads to disruptions in the financial markets or puts further pressure on global supply chains, it could heighten many of the other risk factors included in this Item 1A; and</w:t>
      </w:r>
    </w:p>
    <w:p>
      <w:pPr>
        <w:spacing w:after="0" w:line="76" w:lineRule="exact"/>
        <w:rPr>
          <w:rFonts w:ascii="Arial" w:cs="Arial" w:eastAsia="Arial" w:hAnsi="Arial"/>
          <w:sz w:val="18"/>
          <w:szCs w:val="18"/>
          <w:color w:val="auto"/>
        </w:rPr>
      </w:pPr>
    </w:p>
    <w:p>
      <w:pPr>
        <w:ind w:left="1020" w:right="280" w:hanging="503"/>
        <w:spacing w:after="0" w:line="26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current inflationary environment in the United States and in other global economies, the impact of rising interest rates and the impact of any recession or general economic downturn;</w:t>
      </w:r>
    </w:p>
    <w:p>
      <w:pPr>
        <w:spacing w:after="0" w:line="64"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volatility in the banking industry; and</w:t>
      </w:r>
    </w:p>
    <w:p>
      <w:pPr>
        <w:spacing w:after="0" w:line="117" w:lineRule="exact"/>
        <w:rPr>
          <w:rFonts w:ascii="Arial" w:cs="Arial" w:eastAsia="Arial" w:hAnsi="Arial"/>
          <w:sz w:val="18"/>
          <w:szCs w:val="18"/>
          <w:color w:val="auto"/>
        </w:rPr>
      </w:pPr>
    </w:p>
    <w:p>
      <w:pPr>
        <w:ind w:left="1020" w:right="260" w:hanging="503"/>
        <w:spacing w:after="0" w:line="24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changes in general market, economic and political conditions in the United States and global economies or financial markets, including those resulting from the federal government's ongoing negotiations regarding the federal debt limit, natural disasters, terrorist attacks, global pandemics, and responses to such events.</w:t>
      </w:r>
    </w:p>
    <w:p>
      <w:pPr>
        <w:spacing w:after="0" w:line="171"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w:t>
      </w:r>
    </w:p>
    <w:p>
      <w:pPr>
        <w:spacing w:after="0" w:line="176" w:lineRule="exact"/>
        <w:rPr>
          <w:sz w:val="20"/>
          <w:szCs w:val="20"/>
          <w:color w:val="auto"/>
        </w:rPr>
      </w:pPr>
    </w:p>
    <w:p>
      <w:pPr>
        <w:ind w:right="80" w:firstLine="749"/>
        <w:spacing w:after="0" w:line="237" w:lineRule="auto"/>
        <w:rPr>
          <w:sz w:val="20"/>
          <w:szCs w:val="20"/>
          <w:color w:val="auto"/>
        </w:rPr>
      </w:pPr>
      <w:r>
        <w:rPr>
          <w:rFonts w:ascii="Arial" w:cs="Arial" w:eastAsia="Arial" w:hAnsi="Arial"/>
          <w:sz w:val="18"/>
          <w:szCs w:val="18"/>
          <w:color w:val="auto"/>
        </w:rPr>
        <w:t>We have recently experienced significant declines in the market price of our common stock, and it could continue to decline in the future, including as a result of the execution, and implementation of our long-term roadmap. Based upon the decline in our stock price, we recorded a goodwill impairment charge in our condensed consolidated statement of operations for the quarter ended March 31, 2022. See Note 8 to our Consolidated Financial Statements in our Annual Report. Further declines in our stock price could, among other things, make it more difficult to raise capital on terms acceptable to us, or at all, and make it difficult for our investors to sell their shares of common stock. Declines in our stock price could also put us out of compliance with the $1.00 per share minimum bid price requirement for continued inclusion on the Nasdaq Global Select Market and put our stock at risk of delisting. See "Risk Factors—We may be unable to satisfy a continued listing rule from the Nasdaq" and "Risk Factors—Our indebtedness and liabilities could limit the cash flow available for our operations, expose us to risks that could adversely affect our business, financial condition and results of operations and impair our ability to satisfy our debt obligations" for more information on the risk of delisting from the Nasdaq Global Select Market. In addition, companies that experience volatility in the market price of their securities often are the subject of securities class action litigation. For example, a consolidated class action is pending in the U.S. District Court for the Southern District of New York against us, certain of our officers, and certain of our directors, among others, alleging violations of the federal securities laws. See Part II, Item 1. “Legal Proceedings.”</w:t>
      </w:r>
    </w:p>
    <w:p>
      <w:pPr>
        <w:spacing w:after="0" w:line="168" w:lineRule="exact"/>
        <w:rPr>
          <w:sz w:val="20"/>
          <w:szCs w:val="20"/>
          <w:color w:val="auto"/>
        </w:rPr>
      </w:pPr>
    </w:p>
    <w:p>
      <w:pPr>
        <w:ind w:right="800"/>
        <w:spacing w:after="0" w:line="285" w:lineRule="auto"/>
        <w:rPr>
          <w:sz w:val="20"/>
          <w:szCs w:val="20"/>
          <w:color w:val="auto"/>
        </w:rPr>
      </w:pPr>
      <w:r>
        <w:rPr>
          <w:rFonts w:ascii="Arial" w:cs="Arial" w:eastAsia="Arial" w:hAnsi="Arial"/>
          <w:sz w:val="18"/>
          <w:szCs w:val="18"/>
          <w:b w:val="1"/>
          <w:bCs w:val="1"/>
          <w:i w:val="1"/>
          <w:iCs w:val="1"/>
          <w:color w:val="auto"/>
        </w:rPr>
        <w:t>We may not realize the anticipated benefits of the UACC Acquisition or realization of those benefits could take longer than anticipated.</w:t>
      </w:r>
    </w:p>
    <w:p>
      <w:pPr>
        <w:spacing w:after="0" w:line="126"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We acquired UACC with the expectation that the transaction would result in benefits to our business over time, including the benefits of a captive finance arm that would enable us to increase ecommerce unit sales, expand our penetration into non-prime sales, accelerate total revenue growth, enhance aggregate gross profit and GPPU, and leverage our fixed cost base. We expect that the development of our captive financing capabilities through the UACC Acquisition will be a significant element of our path to profitability and help position us for long-term growth in accordance with our long-term roadmap. Achieving these benefits will require the successful integration, development and operation of the combined businesses and it is not certain that we will succeed in those efforts. If we fail to fully integrate, develop and operate the combined businesses, we may not realize the benefits we expect to receive from the transaction or realization of those benefits may take substantially longer than anticipated. In addition to these operational risks, ownership of a captive lender will subject us to increased legal and regulatory scrutiny of our lending operations, including credit bureau reporting, credit underwriting practices and debt collection practices.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79"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In addition, with regard to UACC’s financing, subject to market conditions, we intend to maintain a hybrid funding approach through the use of off-balance sheet securitization transactions and forward flow arrangements. Achievement of off-balance sheet accounting treatment requires the Company to sell all of the rated notes and residual certificates in the securitization, subject to holding 5% vertical risk retention. Execution of securitization transactions, including achievement of off-balance sheet accounting treatment for those transactions, is subject to market conditions. Even if UACC is able to complete its securitizations, it may not be able to sell its lower-rated securities or residual interests and those securitizations may not qualify for off-balance sheet accounting treatment, resulting in retention of the underlying loans (or residual interests) on our consolidated balance sheet, which could have an adverse impact on our liquidity. For example, as a result of current market conditions, which led to unfavorable pricing, we retained the non-investment grade securities and residual interests in UACC's 2023-1 securitization, requiring that the transaction remain on balance sheet pending the sale of the additional retained interests. Although we subsequently sold the non-investment grade securities, we continue to hold the residual interests. There can be no assurance that these residual interests will be sold and off-balance sheet treatment will be achieved in the future for this transaction. In addition, as a result of increasing interest rates, the current inflationary environment and vehicle depreciation in the used automotive industry, UACC is experiencing higher loss severity in a soft securitization market. Due to the increased loss severity,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results in reduced servicing income. Any future waivers of monthly servicing fees on other prior off-balance sheet securitization transactions could result in consolidation of such transactions. Such future consolidations could increase our indebtedness and may have a material adverse effect on our results of operations, financial condition and liquidity.</w:t>
      </w:r>
    </w:p>
    <w:p>
      <w:pPr>
        <w:spacing w:after="0" w:line="174"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UACC may be unable to sell automotive finance receivables and generate gains on sales of those finance receivables, which could harm our business, results of operations, and financial condition.</w:t>
      </w:r>
    </w:p>
    <w:p>
      <w:pPr>
        <w:spacing w:after="0" w:line="126"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UACC provides indirect financing by drawing on its Warehouse Credit Facilities to purchase motor vehicle retail installment sales contracts and pledging eligible finance receivables as collateral, then typically selling the receivables related to the financing contract. Advance rates available to UACC on borrowings from the Warehouse Credit Facilities may decrease as a result of the increasing credit losses in UACC's portfolio and overall rising interest rates, which may in turn have an adverse impact on our liquidity. In addition, UACC has entered into arrangements to sell automotive finance receivables that it purchases, such as securitizations, and we expect UACC to enter into additional securitizations, loan sales to financing partners and other new arrangements in the future, subject to market conditions. If UACC is not able to sell receivables under these current or future arrangements for a variety of reasons, including increased credit losses or because it has reached its capacity under the arrangements, its financing partners exercise termination rights before it reaches capacity, general economic or credit market conditions, market disruption or it reaches the scheduled expiration date of the commitment, and it is not able to enter into new arrangements on similar terms, it may not have adequate liquidity and our business, financial condition and results of operations may be adversely affected. For example, as a result of current market conditions, which led to unfavorable pricing, we retained the non-investment grade securities and residual interests in UACC's 2023-1 securitization, requiring that the transaction remain on balance sheet pending the sale of the additional retained interests. Although we subsequently sold the non-investment grade securities, we continue to hold the residual interests. There can be no assurance that these residual interests will be sold and off-balance sheet treatment will be achieved in the future for this transaction. Furthermore, if its financing partners do not purchase these receivables, we could be subject to the risk that some of these receivables are not paid when due and be forced to incur unexpected asset write-offs and bad-debt expense. In addition, as a result of increasing interest rates, the current inflationary environment and vehicle depreciation in the used automotive industry, UACC is experiencing higher loss severity in a soft securitization market. Due to the increased loss severity,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results in reduced servicing income. Any future waivers of monthly servicing fees on other prior off-balance sheet securitization transactions could result in consolidation of such transactions. Such future consolidations could increase our indebtedness and may have a material adverse effect on our results of operations, financial condition and liquidity.</w:t>
      </w:r>
    </w:p>
    <w:p>
      <w:pPr>
        <w:spacing w:after="0" w:line="169"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i w:val="1"/>
          <w:iCs w:val="1"/>
          <w:color w:val="auto"/>
        </w:rPr>
        <w:t>UACC's securitizations may expose it to financing and other risks, and there can be no assurance that it will be able to access the securitization market in the future, which may require it to seek more costly financing.</w:t>
      </w:r>
    </w:p>
    <w:p>
      <w:pPr>
        <w:spacing w:after="0" w:line="126" w:lineRule="exact"/>
        <w:rPr>
          <w:sz w:val="20"/>
          <w:szCs w:val="20"/>
          <w:color w:val="auto"/>
        </w:rPr>
      </w:pPr>
    </w:p>
    <w:p>
      <w:pPr>
        <w:ind w:right="100" w:firstLine="749"/>
        <w:spacing w:after="0" w:line="260" w:lineRule="auto"/>
        <w:rPr>
          <w:sz w:val="20"/>
          <w:szCs w:val="20"/>
          <w:color w:val="auto"/>
        </w:rPr>
      </w:pPr>
      <w:r>
        <w:rPr>
          <w:rFonts w:ascii="Arial" w:cs="Arial" w:eastAsia="Arial" w:hAnsi="Arial"/>
          <w:sz w:val="18"/>
          <w:szCs w:val="18"/>
          <w:color w:val="auto"/>
        </w:rPr>
        <w:t>UACC has securitized, and we expect will in the future securitize, certain of its automotive finance receivables to generate cash. In such transactions, it conveys a pool of automotive finance receivables to a special purpose vehicle,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79" w:lineRule="exact"/>
        <w:rPr>
          <w:sz w:val="20"/>
          <w:szCs w:val="20"/>
          <w:color w:val="auto"/>
        </w:rPr>
      </w:pPr>
    </w:p>
    <w:p>
      <w:pPr>
        <w:jc w:val="both"/>
        <w:ind w:right="220"/>
        <w:spacing w:after="0" w:line="247" w:lineRule="auto"/>
        <w:rPr>
          <w:sz w:val="20"/>
          <w:szCs w:val="20"/>
          <w:color w:val="auto"/>
        </w:rPr>
      </w:pPr>
      <w:r>
        <w:rPr>
          <w:rFonts w:ascii="Arial" w:cs="Arial" w:eastAsia="Arial" w:hAnsi="Arial"/>
          <w:sz w:val="18"/>
          <w:szCs w:val="18"/>
          <w:color w:val="auto"/>
        </w:rPr>
        <w:t>typically a trust that, in turn, issues certain securities. The securities issued by the special purpose vehicle are collateralized by the pool of automotive finance receivables. In exchange for the transfer of finance receivables to the special purpose vehicle, UACC typically receives the cash proceeds from the sale of the securities.</w:t>
      </w:r>
    </w:p>
    <w:p>
      <w:pPr>
        <w:spacing w:after="0" w:line="171"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There can be no assurance that UACC will be able to complete additional securitizations in the future, particularly if the securitization markets become increasingly constrained. In addition, the value of any securities that UACC may retain in its securitizations, including securities retained to comply with applicable risk retention rules, might be reduced or, in some cases, eliminated as a result of an adverse change in economic conditions or the financial markets. For example, o</w:t>
      </w:r>
      <w:r>
        <w:rPr>
          <w:rFonts w:ascii="Arial" w:cs="Arial" w:eastAsia="Arial" w:hAnsi="Arial"/>
          <w:sz w:val="18"/>
          <w:szCs w:val="18"/>
          <w:color w:val="222222"/>
        </w:rPr>
        <w:t xml:space="preserve">n April 18, 2023, UACC's BB-rated securities from the 2022-2 securitization transaction were downgraded by one ratings agency to a single-B rating. UACC's other rated securities may also be downgraded or put on negative credit watch. </w:t>
      </w:r>
      <w:r>
        <w:rPr>
          <w:rFonts w:ascii="Arial" w:cs="Arial" w:eastAsia="Arial" w:hAnsi="Arial"/>
          <w:sz w:val="18"/>
          <w:szCs w:val="18"/>
          <w:color w:val="000000"/>
        </w:rPr>
        <w:t>Furthermore, although our intent is to sell receivables originated by UACC using off-balance</w:t>
      </w:r>
      <w:r>
        <w:rPr>
          <w:rFonts w:ascii="Arial" w:cs="Arial" w:eastAsia="Arial" w:hAnsi="Arial"/>
          <w:sz w:val="18"/>
          <w:szCs w:val="18"/>
          <w:color w:val="222222"/>
        </w:rPr>
        <w:t xml:space="preserve"> </w:t>
      </w:r>
      <w:r>
        <w:rPr>
          <w:rFonts w:ascii="Arial" w:cs="Arial" w:eastAsia="Arial" w:hAnsi="Arial"/>
          <w:sz w:val="18"/>
          <w:szCs w:val="18"/>
          <w:color w:val="000000"/>
        </w:rPr>
        <w:t>sheet securitization transactions, even if UACC is able to complete its securitizations, those securitizations may not qualify for sales accounting if market conditions do not allow for the sale of lower-rated securities or residual certificates. For example, as a result of current market conditions, which led to unfavorable pricing, we retained the non-investment grade securities and residual interests in UACC's 2023-1 securitization, requiring that the transaction remain on balance sheet pending the sale of the additional retained interests. Although we subsequently sold the non-investment grade securities, we continue to hold the residual interests. There can be no assurance that these residual interests will be sold and off-balance sheet treatment will be achieved in the future for this transaction. In addition, as a result of increasing interest rates, the current inflationary environment and vehicle depreciation in the used automotive industry, UACC is experiencing higher loss severity in a soft securitization market. The increased loss severity could lead to reduced servicing income if UACC elects to waive monthly servicing fees going forward as it did in the first quarter of 2023 on the 2022-2 securitization transaction. The waiver of monthly servicing fees on the 2022-2 securitization transaction resulted in consolidation of the related finance receivables and securitization debt on Vroom’s financial statements. If it is not possible or economical for UACC to securitize its automotive finance receivables in the future, it would need to seek alternative financing to support its operations and to meet its existing debt obligations, which may be less efficient and more expensive than raising capital via securitizations and may have a material adverse effect on our results of operations, financial condition, and liquidity.</w:t>
      </w:r>
    </w:p>
    <w:p>
      <w:pPr>
        <w:spacing w:after="0" w:line="172" w:lineRule="exact"/>
        <w:rPr>
          <w:sz w:val="20"/>
          <w:szCs w:val="20"/>
          <w:color w:val="auto"/>
        </w:rPr>
      </w:pPr>
    </w:p>
    <w:p>
      <w:pPr>
        <w:jc w:val="both"/>
        <w:ind w:right="620"/>
        <w:spacing w:after="0" w:line="260" w:lineRule="auto"/>
        <w:rPr>
          <w:sz w:val="20"/>
          <w:szCs w:val="20"/>
          <w:color w:val="auto"/>
        </w:rPr>
      </w:pPr>
      <w:r>
        <w:rPr>
          <w:rFonts w:ascii="Arial" w:cs="Arial" w:eastAsia="Arial" w:hAnsi="Arial"/>
          <w:sz w:val="18"/>
          <w:szCs w:val="18"/>
          <w:b w:val="1"/>
          <w:bCs w:val="1"/>
          <w:i w:val="1"/>
          <w:iCs w:val="1"/>
          <w:color w:val="auto"/>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its operating results.</w:t>
      </w:r>
    </w:p>
    <w:p>
      <w:pPr>
        <w:spacing w:after="0" w:line="147"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Until UACC sells automotive finance receivables, and to the extent it retains interests in automotive finance receivables after it sells them, whether pursuant to securitization transactions or otherwise, UACC is exposed to the risk that applicable customers will be unable or unwilling to repay their loans according to their terms and that the vehicle collateral securing the payment of their loans may not be sufficient to ensure full repayment. Additionally, higher energy prices (including the price of gasoline) and other consumer prices, unstable real estate values, reset of adjustable-rate mortgages to higher interest rates, geopolitical tensions (including outbreaks of military hostilities such as the ongoing military conflict between Ukraine and Russia), interest rate increases, regional bank failures, inflation and other factors can affect consumer confidence and disposable income. While credit losses are inherent in the automotive finance receivables business, these conditions can increase loss frequency, decrease consumer demand for motor vehicles and weaken collateral values on certain types of motor vehicles in any period of extended economic slowdown or recession and could have a material adverse effect on our results of operations. Because UACC focuses predominately on sub-prime borrowers, the actual rates of delinquencies, defaults, repossessions and losses on its receivables are higher than those experienced in the general motor vehicle finance industry and may be affected to a greater extent during an economic downturn.</w:t>
      </w:r>
    </w:p>
    <w:p>
      <w:pPr>
        <w:spacing w:after="0" w:line="180"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In addition, the success of UACC's business is highly dependent on the ability to securitize and sell the automotive finance receivables that it underwrites. As a result of increasing interest rates, the current inflationary environment and vehicle depreciation in the used automotive industry, UACC is experiencing higher loss severity in a soft securitization market. As a result, UACC may not be able to sell the subordinate notes or residual certificates issued in the securitizations at a favorable price or at all. Due to the increased loss severity,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results in reduced servicing income. Any future waivers of monthly servicing fees on other prior off-balance sheet securitization transactions could result in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79"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consolidation of such transactions. Such future consolidations could increase our indebtedness and may have a material adverse effect on our results of operations, financial condition and liquidity.</w:t>
      </w:r>
    </w:p>
    <w:p>
      <w:pPr>
        <w:spacing w:after="0" w:line="159"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UACC makes various assumptions and judgments about the automotive finance receivables it originates and may establish a valuation allowance and value beneficial ownership interests based on a number of factors. Although management may establish a valuation allowance and value beneficial ownership interests based on analysis it believes is appropriate, this may not be adequate, particularly in periods of increased industry-wide vehicle depreciation rates, which we are currently experiencing. For example, if economic conditions were to deteriorate unexpectedly, additional loan losses not incorporated in the existing valuation may occur. Several variables have affected UACC’s recent loss and delinquency rates, including general economic conditions and market interest rates, and such variables are likely to differ in the future. In particular, given the impact the COVID-19 pandemic had on the economy and individuals, historical loss and delinquency expectations may not accurately predict the performance of UACC's receivables and impact its ability to effectively forecast loss rates. Losses in excess of expectations could have a material adverse effect on our business, results of operations, and financial condition. Further, the rate of prepayments cannot be predicted and may be influenced by a variety of factors, including changes in the economic and social conditions of our borrowers.</w:t>
      </w:r>
    </w:p>
    <w:p>
      <w:pPr>
        <w:spacing w:after="0" w:line="182"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UACC relies on its internally developed credit scoring systems to forecast loss rates of the automotive finance receivables it originates. If it relies on systems that fail to effectively forecast loss rates on receivables it originates, those receivables may suffer higher losses than expected. UACC’s credit scoring systems were developed prior to the onset of the COVID-19 pandemic and, accordingly, were not designed to take into account the effect of the economic, financial and social disruptions resulting from the pandemic. UACC generally seeks to sell these receivables through securitization transactions and expects to enter into loan sales to financing partners and other new arrangements in the future. If the receivables it sells experience higher loss rates than forecasted, it may obtain less favorable pricing on the receivables it sells to those parties in the future and suffer reputational harm in the marketplace for the receivables it sells and its business, results of operations, and financial condition may be adversely affected. If UACC holds receivables that it originates on its balance sheet until it sells them in securitization transactions or, in the future, through loan sales to its financing partners or other arrangements, and to the extent those receivables fail to perform during its holding period, they may become ineligible for sale.</w:t>
      </w:r>
    </w:p>
    <w:p>
      <w:pPr>
        <w:spacing w:after="0" w:line="184" w:lineRule="exact"/>
        <w:rPr>
          <w:sz w:val="20"/>
          <w:szCs w:val="20"/>
          <w:color w:val="auto"/>
        </w:rPr>
      </w:pPr>
    </w:p>
    <w:p>
      <w:pPr>
        <w:ind w:right="140" w:firstLine="749"/>
        <w:spacing w:after="0" w:line="241" w:lineRule="auto"/>
        <w:rPr>
          <w:sz w:val="20"/>
          <w:szCs w:val="20"/>
          <w:color w:val="auto"/>
        </w:rPr>
      </w:pPr>
      <w:r>
        <w:rPr>
          <w:rFonts w:ascii="Arial" w:cs="Arial" w:eastAsia="Arial" w:hAnsi="Arial"/>
          <w:sz w:val="18"/>
          <w:szCs w:val="18"/>
          <w:color w:val="auto"/>
        </w:rPr>
        <w:t>UACC is currently experiencing increasing credit losses on its finance receivables, which has negatively impacted the fair value of our financial receivables and the losses recognized during 2022 and 2023. Increasing credit losses may continue to negatively impact our business during 2023, especially due to the fact that UACC primarily operates in the sub-prime sector of the market. As UACC has become and will continue to be an increasingly significant part of our consolidated operations, our business, results of operations, and financial condition is increasingly vulnerable to adverse developments in UACC's business.</w:t>
      </w:r>
    </w:p>
    <w:p>
      <w:pPr>
        <w:spacing w:after="0" w:line="206" w:lineRule="exact"/>
        <w:rPr>
          <w:sz w:val="20"/>
          <w:szCs w:val="20"/>
          <w:color w:val="auto"/>
        </w:rPr>
      </w:pPr>
    </w:p>
    <w:p>
      <w:pPr>
        <w:ind w:right="2020"/>
        <w:spacing w:after="0" w:line="475" w:lineRule="auto"/>
        <w:rPr>
          <w:sz w:val="20"/>
          <w:szCs w:val="20"/>
          <w:color w:val="auto"/>
        </w:rPr>
      </w:pPr>
      <w:r>
        <w:rPr>
          <w:rFonts w:ascii="Arial" w:cs="Arial" w:eastAsia="Arial" w:hAnsi="Arial"/>
          <w:sz w:val="18"/>
          <w:szCs w:val="18"/>
          <w:b w:val="1"/>
          <w:bCs w:val="1"/>
          <w:color w:val="auto"/>
        </w:rPr>
        <w:t xml:space="preserve">Item 2. Unregistered Sales of Equity Securities, Use of Proceeds, and Issuer Purchases of Equity Securities </w:t>
      </w:r>
      <w:r>
        <w:rPr>
          <w:rFonts w:ascii="Arial" w:cs="Arial" w:eastAsia="Arial" w:hAnsi="Arial"/>
          <w:sz w:val="18"/>
          <w:szCs w:val="18"/>
          <w:b w:val="1"/>
          <w:bCs w:val="1"/>
          <w:i w:val="1"/>
          <w:iCs w:val="1"/>
          <w:color w:val="auto"/>
        </w:rPr>
        <w:t>Use of Proceeds from Public Offering of Common Stock</w:t>
      </w:r>
    </w:p>
    <w:p>
      <w:pPr>
        <w:spacing w:after="0" w:line="1"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On June 11, 2020, we completed our IPO. The offer and sale of all of the shares in the IPO were registered under the Securities Act pursuant to a registration statement on Form S-1 (File No. 333-238482), as amended, which was declared effective by the SEC on June 8, 2020. There has been no material change in the planned use of proceeds from our IPO as described in our final prospectus filed with the SEC on June 9, 2020 pursuant to Rule 424(b)(4).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w:t>
      </w:r>
    </w:p>
    <w:p>
      <w:pPr>
        <w:spacing w:after="0" w:line="8"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On August 7, 2023, the Company, its wholly-owned subsidiary Vroom Automotive, LLC and Ally Bank and Ally Financial Inc. amended the 2022 Vehicle Floorplan Facility to modify certain terms (the “Floorplan Amendment”). There was no commitment fee payable in connection with entering into the Floorplan Amendment.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8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Floorplan Amendment is filed as Exhibit 10.1 to this Quarterly Report on Form 10-Q and is incorporated herein by reference.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above description of the Floorplan Amendment is qualified in its entirety by reference to such Exhibit.</w:t>
      </w:r>
    </w:p>
    <w:p>
      <w:pPr>
        <w:spacing w:after="0" w:line="92"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60" w:type="dxa"/>
            <w:vAlign w:val="bottom"/>
            <w:gridSpan w:val="17"/>
          </w:tcPr>
          <w:p>
            <w:pPr>
              <w:spacing w:after="0"/>
              <w:rPr>
                <w:sz w:val="20"/>
                <w:szCs w:val="20"/>
                <w:color w:val="auto"/>
              </w:rPr>
            </w:pPr>
            <w:r>
              <w:rPr>
                <w:rFonts w:ascii="Arial" w:cs="Arial" w:eastAsia="Arial" w:hAnsi="Arial"/>
                <w:sz w:val="14"/>
                <w:szCs w:val="14"/>
                <w:b w:val="1"/>
                <w:bCs w:val="1"/>
                <w:color w:val="212529"/>
              </w:rPr>
              <w:t>Exhibit Description</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rPr>
              <w:t>Form</w:t>
            </w:r>
          </w:p>
        </w:tc>
        <w:tc>
          <w:tcPr>
            <w:tcW w:w="1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b w:val="1"/>
                <w:bCs w:val="1"/>
                <w:color w:val="212529"/>
              </w:rPr>
              <w:t>File No.</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212529"/>
              </w:rPr>
              <w:t>Exhibit</w:t>
            </w:r>
          </w:p>
        </w:tc>
        <w:tc>
          <w:tcPr>
            <w:tcW w:w="1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212529"/>
              </w:rPr>
              <w:t>Filing</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rPr>
              <w:t>Filed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r>
      <w:tr>
        <w:trPr>
          <w:trHeight w:val="189"/>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Date</w:t>
            </w:r>
          </w:p>
        </w:tc>
        <w:tc>
          <w:tcPr>
            <w:tcW w:w="16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r>
      <w:tr>
        <w:trPr>
          <w:trHeight w:val="304"/>
        </w:trPr>
        <w:tc>
          <w:tcPr>
            <w:tcW w:w="820" w:type="dxa"/>
            <w:vAlign w:val="bottom"/>
          </w:tcPr>
          <w:p>
            <w:pPr>
              <w:ind w:left="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3180" w:type="dxa"/>
            <w:vAlign w:val="bottom"/>
            <w:gridSpan w:val="18"/>
          </w:tcPr>
          <w:p>
            <w:pPr>
              <w:spacing w:after="0"/>
              <w:rPr>
                <w:rFonts w:ascii="Arial" w:cs="Arial" w:eastAsia="Arial" w:hAnsi="Arial"/>
                <w:sz w:val="18"/>
                <w:szCs w:val="18"/>
                <w:color w:val="0000FF"/>
              </w:rPr>
            </w:pPr>
            <w:hyperlink r:id="rId432">
              <w:r>
                <w:rPr>
                  <w:rFonts w:ascii="Arial" w:cs="Arial" w:eastAsia="Arial" w:hAnsi="Arial"/>
                  <w:sz w:val="18"/>
                  <w:szCs w:val="18"/>
                  <w:color w:val="0000FF"/>
                </w:rPr>
                <w:t>Agreement and Plan of Merger, dated</w:t>
              </w:r>
            </w:hyperlink>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001-39315</w:t>
            </w: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2.1</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October 12, 2021</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2">
              <w:r>
                <w:rPr>
                  <w:rFonts w:ascii="Arial" w:cs="Arial" w:eastAsia="Arial" w:hAnsi="Arial"/>
                  <w:sz w:val="18"/>
                  <w:szCs w:val="18"/>
                  <w:color w:val="0000FF"/>
                </w:rPr>
                <w:t>as of October 11, 2021, by and among</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2">
              <w:r>
                <w:rPr>
                  <w:rFonts w:ascii="Arial" w:cs="Arial" w:eastAsia="Arial" w:hAnsi="Arial"/>
                  <w:sz w:val="18"/>
                  <w:szCs w:val="18"/>
                  <w:color w:val="0000FF"/>
                </w:rPr>
                <w:t>Vroom, Inc., Vroom Finance</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w w:val="99"/>
              </w:rPr>
            </w:pPr>
            <w:hyperlink r:id="rId432">
              <w:r>
                <w:rPr>
                  <w:rFonts w:ascii="Arial" w:cs="Arial" w:eastAsia="Arial" w:hAnsi="Arial"/>
                  <w:sz w:val="18"/>
                  <w:szCs w:val="18"/>
                  <w:color w:val="0000FF"/>
                  <w:w w:val="99"/>
                </w:rPr>
                <w:t>Corporation, Unitas Holdings Corp. and</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2">
              <w:r>
                <w:rPr>
                  <w:rFonts w:ascii="Arial" w:cs="Arial" w:eastAsia="Arial" w:hAnsi="Arial"/>
                  <w:sz w:val="18"/>
                  <w:szCs w:val="18"/>
                  <w:color w:val="0000FF"/>
                </w:rPr>
                <w:t>Fortis Advisors LLC, solely in its</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2">
              <w:r>
                <w:rPr>
                  <w:rFonts w:ascii="Arial" w:cs="Arial" w:eastAsia="Arial" w:hAnsi="Arial"/>
                  <w:sz w:val="18"/>
                  <w:szCs w:val="18"/>
                  <w:color w:val="0000FF"/>
                </w:rPr>
                <w:t>capacity as the equityholders'</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2">
              <w:r>
                <w:rPr>
                  <w:rFonts w:ascii="Arial" w:cs="Arial" w:eastAsia="Arial" w:hAnsi="Arial"/>
                  <w:sz w:val="18"/>
                  <w:szCs w:val="18"/>
                  <w:color w:val="0000FF"/>
                </w:rPr>
                <w:t>representative</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2"/>
        </w:trPr>
        <w:tc>
          <w:tcPr>
            <w:tcW w:w="820" w:type="dxa"/>
            <w:vAlign w:val="bottom"/>
          </w:tcPr>
          <w:p>
            <w:pPr>
              <w:ind w:left="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3180" w:type="dxa"/>
            <w:vAlign w:val="bottom"/>
            <w:gridSpan w:val="18"/>
          </w:tcPr>
          <w:p>
            <w:pPr>
              <w:spacing w:after="0"/>
              <w:rPr>
                <w:rFonts w:ascii="Arial" w:cs="Arial" w:eastAsia="Arial" w:hAnsi="Arial"/>
                <w:sz w:val="18"/>
                <w:szCs w:val="18"/>
                <w:color w:val="0000FF"/>
              </w:rPr>
            </w:pPr>
            <w:hyperlink r:id="rId433">
              <w:r>
                <w:rPr>
                  <w:rFonts w:ascii="Arial" w:cs="Arial" w:eastAsia="Arial" w:hAnsi="Arial"/>
                  <w:sz w:val="18"/>
                  <w:szCs w:val="18"/>
                  <w:color w:val="0000FF"/>
                </w:rPr>
                <w:t>Amended and Restated Certificate of</w:t>
              </w:r>
            </w:hyperlink>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001-39315</w:t>
            </w: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24"/>
                <w:szCs w:val="24"/>
                <w:color w:val="auto"/>
              </w:rPr>
            </w:pPr>
          </w:p>
        </w:tc>
        <w:tc>
          <w:tcPr>
            <w:tcW w:w="1700" w:type="dxa"/>
            <w:vAlign w:val="bottom"/>
          </w:tcPr>
          <w:p>
            <w:pPr>
              <w:ind w:left="240"/>
              <w:spacing w:after="0"/>
              <w:rPr>
                <w:sz w:val="20"/>
                <w:szCs w:val="20"/>
                <w:color w:val="auto"/>
              </w:rPr>
            </w:pPr>
            <w:r>
              <w:rPr>
                <w:rFonts w:ascii="Arial" w:cs="Arial" w:eastAsia="Arial" w:hAnsi="Arial"/>
                <w:sz w:val="18"/>
                <w:szCs w:val="18"/>
                <w:color w:val="auto"/>
              </w:rPr>
              <w:t>August 13, 2020</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3">
              <w:r>
                <w:rPr>
                  <w:rFonts w:ascii="Arial" w:cs="Arial" w:eastAsia="Arial" w:hAnsi="Arial"/>
                  <w:sz w:val="18"/>
                  <w:szCs w:val="18"/>
                  <w:color w:val="0000FF"/>
                </w:rPr>
                <w:t>Incorporation of Vroom, Inc.</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82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3180" w:type="dxa"/>
            <w:vAlign w:val="bottom"/>
            <w:gridSpan w:val="18"/>
          </w:tcPr>
          <w:p>
            <w:pPr>
              <w:spacing w:after="0"/>
              <w:rPr>
                <w:rFonts w:ascii="Arial" w:cs="Arial" w:eastAsia="Arial" w:hAnsi="Arial"/>
                <w:sz w:val="18"/>
                <w:szCs w:val="18"/>
                <w:color w:val="0000FF"/>
              </w:rPr>
            </w:pPr>
            <w:hyperlink r:id="rId434">
              <w:r>
                <w:rPr>
                  <w:rFonts w:ascii="Arial" w:cs="Arial" w:eastAsia="Arial" w:hAnsi="Arial"/>
                  <w:sz w:val="18"/>
                  <w:szCs w:val="18"/>
                  <w:color w:val="0000FF"/>
                </w:rPr>
                <w:t>Amended and Restated Bylaws of</w:t>
              </w:r>
            </w:hyperlink>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001-39315</w:t>
            </w: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3.2</w:t>
            </w:r>
          </w:p>
        </w:tc>
        <w:tc>
          <w:tcPr>
            <w:tcW w:w="140" w:type="dxa"/>
            <w:vAlign w:val="bottom"/>
          </w:tcPr>
          <w:p>
            <w:pPr>
              <w:spacing w:after="0"/>
              <w:rPr>
                <w:sz w:val="24"/>
                <w:szCs w:val="24"/>
                <w:color w:val="auto"/>
              </w:rPr>
            </w:pPr>
          </w:p>
        </w:tc>
        <w:tc>
          <w:tcPr>
            <w:tcW w:w="1700" w:type="dxa"/>
            <w:vAlign w:val="bottom"/>
          </w:tcPr>
          <w:p>
            <w:pPr>
              <w:ind w:left="240"/>
              <w:spacing w:after="0"/>
              <w:rPr>
                <w:sz w:val="20"/>
                <w:szCs w:val="20"/>
                <w:color w:val="auto"/>
              </w:rPr>
            </w:pPr>
            <w:r>
              <w:rPr>
                <w:rFonts w:ascii="Arial" w:cs="Arial" w:eastAsia="Arial" w:hAnsi="Arial"/>
                <w:sz w:val="18"/>
                <w:szCs w:val="18"/>
                <w:color w:val="auto"/>
              </w:rPr>
              <w:t>August 13, 2020</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4">
              <w:r>
                <w:rPr>
                  <w:rFonts w:ascii="Arial" w:cs="Arial" w:eastAsia="Arial" w:hAnsi="Arial"/>
                  <w:sz w:val="18"/>
                  <w:szCs w:val="18"/>
                  <w:color w:val="0000FF"/>
                </w:rPr>
                <w:t>Vroom, Inc.</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820" w:type="dxa"/>
            <w:vAlign w:val="bottom"/>
          </w:tcPr>
          <w:p>
            <w:pPr>
              <w:ind w:lef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3180" w:type="dxa"/>
            <w:vAlign w:val="bottom"/>
            <w:gridSpan w:val="18"/>
          </w:tcPr>
          <w:p>
            <w:pPr>
              <w:spacing w:after="0"/>
              <w:rPr>
                <w:rFonts w:ascii="Arial" w:cs="Arial" w:eastAsia="Arial" w:hAnsi="Arial"/>
                <w:sz w:val="18"/>
                <w:szCs w:val="18"/>
                <w:color w:val="0000FF"/>
              </w:rPr>
            </w:pPr>
            <w:hyperlink r:id="rId435">
              <w:r>
                <w:rPr>
                  <w:rFonts w:ascii="Arial" w:cs="Arial" w:eastAsia="Arial" w:hAnsi="Arial"/>
                  <w:sz w:val="18"/>
                  <w:szCs w:val="18"/>
                  <w:color w:val="0000FF"/>
                </w:rPr>
                <w:t>Specimen Stock Certificate evidencing</w:t>
              </w:r>
            </w:hyperlink>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333-238482</w:t>
            </w: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4.1</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June 1, 2020</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5">
              <w:r>
                <w:rPr>
                  <w:rFonts w:ascii="Arial" w:cs="Arial" w:eastAsia="Arial" w:hAnsi="Arial"/>
                  <w:sz w:val="18"/>
                  <w:szCs w:val="18"/>
                  <w:color w:val="0000FF"/>
                </w:rPr>
                <w:t>the shares of common stock</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655"/>
        </w:trPr>
        <w:tc>
          <w:tcPr>
            <w:tcW w:w="820" w:type="dxa"/>
            <w:vAlign w:val="bottom"/>
          </w:tcPr>
          <w:p>
            <w:pPr>
              <w:ind w:left="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3180" w:type="dxa"/>
            <w:vAlign w:val="bottom"/>
            <w:gridSpan w:val="18"/>
          </w:tcPr>
          <w:p>
            <w:pPr>
              <w:spacing w:after="0"/>
              <w:rPr>
                <w:rFonts w:ascii="Arial" w:cs="Arial" w:eastAsia="Arial" w:hAnsi="Arial"/>
                <w:sz w:val="18"/>
                <w:szCs w:val="18"/>
                <w:color w:val="0000FF"/>
              </w:rPr>
            </w:pPr>
            <w:hyperlink r:id="rId436">
              <w:r>
                <w:rPr>
                  <w:rFonts w:ascii="Arial" w:cs="Arial" w:eastAsia="Arial" w:hAnsi="Arial"/>
                  <w:sz w:val="18"/>
                  <w:szCs w:val="18"/>
                  <w:color w:val="0000FF"/>
                </w:rPr>
                <w:t>Indenture, dated as of June 18, 2021,</w:t>
              </w:r>
            </w:hyperlink>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001-39315</w:t>
            </w: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4.1</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June 21, 2021</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6">
              <w:r>
                <w:rPr>
                  <w:rFonts w:ascii="Arial" w:cs="Arial" w:eastAsia="Arial" w:hAnsi="Arial"/>
                  <w:sz w:val="18"/>
                  <w:szCs w:val="18"/>
                  <w:color w:val="0000FF"/>
                </w:rPr>
                <w:t>between Vroom, Inc. and U.S. Bank</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6">
              <w:r>
                <w:rPr>
                  <w:rFonts w:ascii="Arial" w:cs="Arial" w:eastAsia="Arial" w:hAnsi="Arial"/>
                  <w:sz w:val="18"/>
                  <w:szCs w:val="18"/>
                  <w:color w:val="0000FF"/>
                </w:rPr>
                <w:t>National Association, as trustee</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39"/>
        </w:trPr>
        <w:tc>
          <w:tcPr>
            <w:tcW w:w="820" w:type="dxa"/>
            <w:vAlign w:val="bottom"/>
          </w:tcPr>
          <w:p>
            <w:pPr>
              <w:ind w:left="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3180" w:type="dxa"/>
            <w:vAlign w:val="bottom"/>
            <w:gridSpan w:val="18"/>
          </w:tcPr>
          <w:p>
            <w:pPr>
              <w:spacing w:after="0"/>
              <w:rPr>
                <w:rFonts w:ascii="Arial" w:cs="Arial" w:eastAsia="Arial" w:hAnsi="Arial"/>
                <w:sz w:val="18"/>
                <w:szCs w:val="18"/>
                <w:color w:val="0000FF"/>
              </w:rPr>
            </w:pPr>
            <w:hyperlink r:id="rId436">
              <w:r>
                <w:rPr>
                  <w:rFonts w:ascii="Arial" w:cs="Arial" w:eastAsia="Arial" w:hAnsi="Arial"/>
                  <w:sz w:val="18"/>
                  <w:szCs w:val="18"/>
                  <w:color w:val="0000FF"/>
                </w:rPr>
                <w:t>Form of Global Note representing the</w:t>
              </w:r>
            </w:hyperlink>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001-39315</w:t>
            </w: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June 21, 2021</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6">
              <w:r>
                <w:rPr>
                  <w:rFonts w:ascii="Arial" w:cs="Arial" w:eastAsia="Arial" w:hAnsi="Arial"/>
                  <w:sz w:val="18"/>
                  <w:szCs w:val="18"/>
                  <w:color w:val="0000FF"/>
                </w:rPr>
                <w:t>0.</w:t>
              </w:r>
              <w:r>
                <w:rPr>
                  <w:rFonts w:ascii="Arial" w:cs="Arial" w:eastAsia="Arial" w:hAnsi="Arial"/>
                  <w:sz w:val="18"/>
                  <w:szCs w:val="18"/>
                  <w:u w:val="single" w:color="auto"/>
                  <w:color w:val="0000FF"/>
                </w:rPr>
                <w:t>750%</w:t>
              </w:r>
              <w:r>
                <w:rPr>
                  <w:rFonts w:ascii="Arial" w:cs="Arial" w:eastAsia="Arial" w:hAnsi="Arial"/>
                  <w:sz w:val="18"/>
                  <w:szCs w:val="18"/>
                  <w:color w:val="0000FF"/>
                </w:rPr>
                <w:t xml:space="preserve"> Convertible Senior Notes due</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6">
              <w:r>
                <w:rPr>
                  <w:rFonts w:ascii="Arial" w:cs="Arial" w:eastAsia="Arial" w:hAnsi="Arial"/>
                  <w:sz w:val="18"/>
                  <w:szCs w:val="18"/>
                  <w:color w:val="0000FF"/>
                </w:rPr>
                <w:t>2026 (included in Exhibit 4.2)</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3"/>
        </w:trPr>
        <w:tc>
          <w:tcPr>
            <w:tcW w:w="820" w:type="dxa"/>
            <w:vAlign w:val="bottom"/>
          </w:tcPr>
          <w:p>
            <w:pPr>
              <w:ind w:left="8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3180" w:type="dxa"/>
            <w:vAlign w:val="bottom"/>
            <w:gridSpan w:val="18"/>
          </w:tcPr>
          <w:p>
            <w:pPr>
              <w:spacing w:after="0"/>
              <w:rPr>
                <w:rFonts w:ascii="Arial" w:cs="Arial" w:eastAsia="Arial" w:hAnsi="Arial"/>
                <w:sz w:val="18"/>
                <w:szCs w:val="18"/>
                <w:color w:val="0000FF"/>
              </w:rPr>
            </w:pPr>
            <w:hyperlink r:id="rId437">
              <w:r>
                <w:rPr>
                  <w:rFonts w:ascii="Arial" w:cs="Arial" w:eastAsia="Arial" w:hAnsi="Arial"/>
                  <w:sz w:val="18"/>
                  <w:szCs w:val="18"/>
                  <w:color w:val="0000FF"/>
                </w:rPr>
                <w:t>Eighth Amended and Restated</w:t>
              </w:r>
            </w:hyperlink>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333-238482</w:t>
            </w: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May 18, 2020</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7">
              <w:r>
                <w:rPr>
                  <w:rFonts w:ascii="Arial" w:cs="Arial" w:eastAsia="Arial" w:hAnsi="Arial"/>
                  <w:sz w:val="18"/>
                  <w:szCs w:val="18"/>
                  <w:color w:val="0000FF"/>
                </w:rPr>
                <w:t>Investors’ Rights Agreement, dated as</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7">
              <w:r>
                <w:rPr>
                  <w:rFonts w:ascii="Arial" w:cs="Arial" w:eastAsia="Arial" w:hAnsi="Arial"/>
                  <w:sz w:val="18"/>
                  <w:szCs w:val="18"/>
                  <w:color w:val="0000FF"/>
                </w:rPr>
                <w:t>of November 21, 2019, by and among</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7">
              <w:r>
                <w:rPr>
                  <w:rFonts w:ascii="Arial" w:cs="Arial" w:eastAsia="Arial" w:hAnsi="Arial"/>
                  <w:sz w:val="18"/>
                  <w:szCs w:val="18"/>
                  <w:color w:val="0000FF"/>
                </w:rPr>
                <w:t>Vroom, Inc. and certain holders of its</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rFonts w:ascii="Arial" w:cs="Arial" w:eastAsia="Arial" w:hAnsi="Arial"/>
                <w:sz w:val="18"/>
                <w:szCs w:val="18"/>
                <w:color w:val="0000FF"/>
              </w:rPr>
            </w:pPr>
            <w:hyperlink r:id="rId437">
              <w:r>
                <w:rPr>
                  <w:rFonts w:ascii="Arial" w:cs="Arial" w:eastAsia="Arial" w:hAnsi="Arial"/>
                  <w:sz w:val="18"/>
                  <w:szCs w:val="18"/>
                  <w:color w:val="0000FF"/>
                </w:rPr>
                <w:t>capital stock</w:t>
              </w:r>
            </w:hyperlink>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628"/>
        </w:trPr>
        <w:tc>
          <w:tcPr>
            <w:tcW w:w="820" w:type="dxa"/>
            <w:vAlign w:val="bottom"/>
          </w:tcPr>
          <w:p>
            <w:pPr>
              <w:ind w:left="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3180" w:type="dxa"/>
            <w:vAlign w:val="bottom"/>
            <w:gridSpan w:val="18"/>
          </w:tcPr>
          <w:p>
            <w:pPr>
              <w:spacing w:after="0"/>
              <w:rPr>
                <w:sz w:val="20"/>
                <w:szCs w:val="20"/>
                <w:color w:val="auto"/>
              </w:rPr>
            </w:pPr>
            <w:r>
              <w:rPr>
                <w:rFonts w:ascii="Arial" w:cs="Arial" w:eastAsia="Arial" w:hAnsi="Arial"/>
                <w:sz w:val="18"/>
                <w:szCs w:val="18"/>
                <w:color w:val="0000FF"/>
              </w:rPr>
              <w:t>First Amendment to Amended and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sz w:val="20"/>
                <w:szCs w:val="20"/>
                <w:color w:val="auto"/>
              </w:rPr>
            </w:pPr>
            <w:r>
              <w:rPr>
                <w:rFonts w:ascii="Arial" w:cs="Arial" w:eastAsia="Arial" w:hAnsi="Arial"/>
                <w:sz w:val="18"/>
                <w:szCs w:val="18"/>
                <w:color w:val="0000FF"/>
              </w:rPr>
              <w:t>Restated Inventory Financing and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sz w:val="20"/>
                <w:szCs w:val="20"/>
                <w:color w:val="auto"/>
              </w:rPr>
            </w:pPr>
            <w:r>
              <w:rPr>
                <w:rFonts w:ascii="Arial" w:cs="Arial" w:eastAsia="Arial" w:hAnsi="Arial"/>
                <w:sz w:val="18"/>
                <w:szCs w:val="18"/>
                <w:color w:val="0000FF"/>
              </w:rPr>
              <w:t>Security Agreement, dated August 1,</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sz w:val="20"/>
                <w:szCs w:val="20"/>
                <w:color w:val="auto"/>
              </w:rPr>
            </w:pPr>
            <w:r>
              <w:rPr>
                <w:rFonts w:ascii="Arial" w:cs="Arial" w:eastAsia="Arial" w:hAnsi="Arial"/>
                <w:sz w:val="18"/>
                <w:szCs w:val="18"/>
                <w:color w:val="0000FF"/>
              </w:rPr>
              <w:t>2023, by and among Ally Bank, Ally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sz w:val="20"/>
                <w:szCs w:val="20"/>
                <w:color w:val="auto"/>
              </w:rPr>
            </w:pPr>
            <w:r>
              <w:rPr>
                <w:rFonts w:ascii="Arial" w:cs="Arial" w:eastAsia="Arial" w:hAnsi="Arial"/>
                <w:sz w:val="18"/>
                <w:szCs w:val="18"/>
                <w:color w:val="0000FF"/>
              </w:rPr>
              <w:t>Financial Inc., Vroom Automotive, LLC</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sz w:val="20"/>
                <w:szCs w:val="20"/>
                <w:color w:val="auto"/>
              </w:rPr>
            </w:pPr>
            <w:r>
              <w:rPr>
                <w:rFonts w:ascii="Arial" w:cs="Arial" w:eastAsia="Arial" w:hAnsi="Arial"/>
                <w:sz w:val="18"/>
                <w:szCs w:val="18"/>
                <w:color w:val="0000FF"/>
              </w:rPr>
              <w:t>and Vroom, Inc.</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4"/>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3"/>
        </w:trPr>
        <w:tc>
          <w:tcPr>
            <w:tcW w:w="82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3180" w:type="dxa"/>
            <w:vAlign w:val="bottom"/>
            <w:gridSpan w:val="18"/>
          </w:tcPr>
          <w:p>
            <w:pPr>
              <w:spacing w:after="0"/>
              <w:rPr>
                <w:sz w:val="20"/>
                <w:szCs w:val="20"/>
                <w:color w:val="auto"/>
              </w:rPr>
            </w:pPr>
            <w:r>
              <w:rPr>
                <w:rFonts w:ascii="Arial" w:cs="Arial" w:eastAsia="Arial" w:hAnsi="Arial"/>
                <w:sz w:val="18"/>
                <w:szCs w:val="18"/>
                <w:color w:val="0000FF"/>
              </w:rPr>
              <w:t>Certification of Principal Executive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sz w:val="20"/>
                <w:szCs w:val="20"/>
                <w:color w:val="auto"/>
              </w:rPr>
            </w:pPr>
            <w:r>
              <w:rPr>
                <w:rFonts w:ascii="Arial" w:cs="Arial" w:eastAsia="Arial" w:hAnsi="Arial"/>
                <w:sz w:val="18"/>
                <w:szCs w:val="18"/>
                <w:color w:val="0000FF"/>
              </w:rPr>
              <w:t>Officer Pursuant to Rules 13a-14(a)</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sz w:val="20"/>
                <w:szCs w:val="20"/>
                <w:color w:val="auto"/>
              </w:rPr>
            </w:pPr>
            <w:r>
              <w:rPr>
                <w:rFonts w:ascii="Arial" w:cs="Arial" w:eastAsia="Arial" w:hAnsi="Arial"/>
                <w:sz w:val="18"/>
                <w:szCs w:val="18"/>
                <w:color w:val="0000FF"/>
              </w:rPr>
              <w:t>and 15d-14(a) under the Securities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sz w:val="20"/>
                <w:szCs w:val="20"/>
                <w:color w:val="auto"/>
              </w:rPr>
            </w:pPr>
            <w:r>
              <w:rPr>
                <w:rFonts w:ascii="Arial" w:cs="Arial" w:eastAsia="Arial" w:hAnsi="Arial"/>
                <w:sz w:val="18"/>
                <w:szCs w:val="18"/>
                <w:color w:val="0000FF"/>
              </w:rPr>
              <w:t>Exchange Act of 1934, as Adopted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sz w:val="20"/>
                <w:szCs w:val="20"/>
                <w:color w:val="auto"/>
              </w:rPr>
            </w:pPr>
            <w:r>
              <w:rPr>
                <w:rFonts w:ascii="Arial" w:cs="Arial" w:eastAsia="Arial" w:hAnsi="Arial"/>
                <w:sz w:val="18"/>
                <w:szCs w:val="18"/>
                <w:color w:val="0000FF"/>
              </w:rPr>
              <w:t>Pursuant to Section 302 of the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8"/>
          </w:tcPr>
          <w:p>
            <w:pPr>
              <w:spacing w:after="0" w:line="182" w:lineRule="exact"/>
              <w:rPr>
                <w:sz w:val="20"/>
                <w:szCs w:val="20"/>
                <w:color w:val="auto"/>
              </w:rPr>
            </w:pPr>
            <w:r>
              <w:rPr>
                <w:rFonts w:ascii="Arial" w:cs="Arial" w:eastAsia="Arial" w:hAnsi="Arial"/>
                <w:sz w:val="18"/>
                <w:szCs w:val="18"/>
                <w:color w:val="0000FF"/>
              </w:rPr>
              <w:t>Sarbanes-Oxley Act of 2002</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803"/>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gridSpan w:val="2"/>
          </w:tcPr>
          <w:p>
            <w:pPr>
              <w:jc w:val="right"/>
              <w:ind w:right="748"/>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2"/>
        </w:trPr>
        <w:tc>
          <w:tcPr>
            <w:tcW w:w="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3120" w:type="dxa"/>
            <w:vAlign w:val="bottom"/>
            <w:gridSpan w:val="9"/>
          </w:tcPr>
          <w:p>
            <w:pPr>
              <w:spacing w:after="0"/>
              <w:rPr>
                <w:sz w:val="20"/>
                <w:szCs w:val="20"/>
                <w:color w:val="auto"/>
              </w:rPr>
            </w:pPr>
            <w:r>
              <w:rPr>
                <w:rFonts w:ascii="Arial" w:cs="Arial" w:eastAsia="Arial" w:hAnsi="Arial"/>
                <w:sz w:val="18"/>
                <w:szCs w:val="18"/>
                <w:color w:val="0000FF"/>
              </w:rPr>
              <w:t>Certification of Principal Financial</w:t>
            </w:r>
          </w:p>
        </w:tc>
      </w:tr>
      <w:tr>
        <w:trPr>
          <w:trHeight w:val="20"/>
        </w:trPr>
        <w:tc>
          <w:tcPr>
            <w:tcW w:w="96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120" w:type="dxa"/>
            <w:vAlign w:val="bottom"/>
            <w:gridSpan w:val="9"/>
          </w:tcPr>
          <w:p>
            <w:pPr>
              <w:spacing w:after="0" w:line="182" w:lineRule="exact"/>
              <w:rPr>
                <w:sz w:val="20"/>
                <w:szCs w:val="20"/>
                <w:color w:val="auto"/>
              </w:rPr>
            </w:pPr>
            <w:r>
              <w:rPr>
                <w:rFonts w:ascii="Arial" w:cs="Arial" w:eastAsia="Arial" w:hAnsi="Arial"/>
                <w:sz w:val="18"/>
                <w:szCs w:val="18"/>
                <w:color w:val="0000FF"/>
              </w:rPr>
              <w:t>Officer Pursuant to Rules 13a-14(a)</w:t>
            </w:r>
          </w:p>
        </w:tc>
      </w:tr>
      <w:tr>
        <w:trPr>
          <w:trHeight w:val="20"/>
        </w:trPr>
        <w:tc>
          <w:tcPr>
            <w:tcW w:w="96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120" w:type="dxa"/>
            <w:vAlign w:val="bottom"/>
            <w:gridSpan w:val="9"/>
          </w:tcPr>
          <w:p>
            <w:pPr>
              <w:spacing w:after="0" w:line="182" w:lineRule="exact"/>
              <w:rPr>
                <w:sz w:val="20"/>
                <w:szCs w:val="20"/>
                <w:color w:val="auto"/>
              </w:rPr>
            </w:pPr>
            <w:r>
              <w:rPr>
                <w:rFonts w:ascii="Arial" w:cs="Arial" w:eastAsia="Arial" w:hAnsi="Arial"/>
                <w:sz w:val="18"/>
                <w:szCs w:val="18"/>
                <w:color w:val="0000FF"/>
              </w:rPr>
              <w:t>and 15d-14(a) under the Securities</w:t>
            </w:r>
          </w:p>
        </w:tc>
      </w:tr>
      <w:tr>
        <w:trPr>
          <w:trHeight w:val="20"/>
        </w:trPr>
        <w:tc>
          <w:tcPr>
            <w:tcW w:w="96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120" w:type="dxa"/>
            <w:vAlign w:val="bottom"/>
            <w:gridSpan w:val="9"/>
          </w:tcPr>
          <w:p>
            <w:pPr>
              <w:spacing w:after="0" w:line="182" w:lineRule="exact"/>
              <w:rPr>
                <w:sz w:val="20"/>
                <w:szCs w:val="20"/>
                <w:color w:val="auto"/>
              </w:rPr>
            </w:pPr>
            <w:r>
              <w:rPr>
                <w:rFonts w:ascii="Arial" w:cs="Arial" w:eastAsia="Arial" w:hAnsi="Arial"/>
                <w:sz w:val="18"/>
                <w:szCs w:val="18"/>
                <w:color w:val="0000FF"/>
              </w:rPr>
              <w:t>Exchange Act of 1934, as Adopted</w:t>
            </w:r>
          </w:p>
        </w:tc>
      </w:tr>
      <w:tr>
        <w:trPr>
          <w:trHeight w:val="20"/>
        </w:trPr>
        <w:tc>
          <w:tcPr>
            <w:tcW w:w="96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120" w:type="dxa"/>
            <w:vAlign w:val="bottom"/>
            <w:gridSpan w:val="9"/>
          </w:tcPr>
          <w:p>
            <w:pPr>
              <w:spacing w:after="0" w:line="182" w:lineRule="exact"/>
              <w:rPr>
                <w:sz w:val="20"/>
                <w:szCs w:val="20"/>
                <w:color w:val="auto"/>
              </w:rPr>
            </w:pPr>
            <w:r>
              <w:rPr>
                <w:rFonts w:ascii="Arial" w:cs="Arial" w:eastAsia="Arial" w:hAnsi="Arial"/>
                <w:sz w:val="18"/>
                <w:szCs w:val="18"/>
                <w:color w:val="0000FF"/>
              </w:rPr>
              <w:t>Pursuant to Section 302 of the</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120" w:type="dxa"/>
            <w:vAlign w:val="bottom"/>
            <w:gridSpan w:val="9"/>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3120" w:type="dxa"/>
            <w:vAlign w:val="bottom"/>
            <w:gridSpan w:val="9"/>
          </w:tcPr>
          <w:p>
            <w:pPr>
              <w:spacing w:after="0"/>
              <w:rPr>
                <w:sz w:val="20"/>
                <w:szCs w:val="20"/>
                <w:color w:val="auto"/>
              </w:rPr>
            </w:pPr>
            <w:r>
              <w:rPr>
                <w:rFonts w:ascii="Arial" w:cs="Arial" w:eastAsia="Arial" w:hAnsi="Arial"/>
                <w:sz w:val="18"/>
                <w:szCs w:val="18"/>
                <w:color w:val="0000FF"/>
              </w:rPr>
              <w:t>Certification of Principal Executive</w:t>
            </w:r>
          </w:p>
        </w:tc>
      </w:tr>
      <w:tr>
        <w:trPr>
          <w:trHeight w:val="20"/>
        </w:trPr>
        <w:tc>
          <w:tcPr>
            <w:tcW w:w="960" w:type="dxa"/>
            <w:vAlign w:val="bottom"/>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120" w:type="dxa"/>
            <w:vAlign w:val="bottom"/>
            <w:gridSpan w:val="9"/>
          </w:tcPr>
          <w:p>
            <w:pPr>
              <w:spacing w:after="0" w:line="182" w:lineRule="exact"/>
              <w:rPr>
                <w:sz w:val="20"/>
                <w:szCs w:val="20"/>
                <w:color w:val="auto"/>
              </w:rPr>
            </w:pPr>
            <w:r>
              <w:rPr>
                <w:rFonts w:ascii="Arial" w:cs="Arial" w:eastAsia="Arial" w:hAnsi="Arial"/>
                <w:sz w:val="18"/>
                <w:szCs w:val="18"/>
                <w:color w:val="0000FF"/>
              </w:rPr>
              <w:t>Officer Pursuant to 18 U.S.C. Section</w:t>
            </w:r>
          </w:p>
        </w:tc>
      </w:tr>
      <w:tr>
        <w:trPr>
          <w:trHeight w:val="20"/>
        </w:trPr>
        <w:tc>
          <w:tcPr>
            <w:tcW w:w="960" w:type="dxa"/>
            <w:vAlign w:val="bottom"/>
          </w:tcPr>
          <w:p>
            <w:pPr>
              <w:spacing w:after="0" w:line="20" w:lineRule="exact"/>
              <w:rPr>
                <w:sz w:val="1"/>
                <w:szCs w:val="1"/>
                <w:color w:val="auto"/>
              </w:rPr>
            </w:pPr>
          </w:p>
        </w:tc>
        <w:tc>
          <w:tcPr>
            <w:tcW w:w="302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120" w:type="dxa"/>
            <w:vAlign w:val="bottom"/>
            <w:gridSpan w:val="9"/>
          </w:tcPr>
          <w:p>
            <w:pPr>
              <w:spacing w:after="0" w:line="182" w:lineRule="exact"/>
              <w:rPr>
                <w:sz w:val="20"/>
                <w:szCs w:val="20"/>
                <w:color w:val="auto"/>
              </w:rPr>
            </w:pPr>
            <w:r>
              <w:rPr>
                <w:rFonts w:ascii="Arial" w:cs="Arial" w:eastAsia="Arial" w:hAnsi="Arial"/>
                <w:sz w:val="18"/>
                <w:szCs w:val="18"/>
                <w:color w:val="0000FF"/>
              </w:rPr>
              <w:t>1350, as Adopted Pursuant to Section</w:t>
            </w:r>
          </w:p>
        </w:tc>
      </w:tr>
      <w:tr>
        <w:trPr>
          <w:trHeight w:val="20"/>
        </w:trPr>
        <w:tc>
          <w:tcPr>
            <w:tcW w:w="960" w:type="dxa"/>
            <w:vAlign w:val="bottom"/>
          </w:tcPr>
          <w:p>
            <w:pPr>
              <w:spacing w:after="0" w:line="20" w:lineRule="exact"/>
              <w:rPr>
                <w:sz w:val="1"/>
                <w:szCs w:val="1"/>
                <w:color w:val="auto"/>
              </w:rPr>
            </w:pPr>
          </w:p>
        </w:tc>
        <w:tc>
          <w:tcPr>
            <w:tcW w:w="306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120" w:type="dxa"/>
            <w:vAlign w:val="bottom"/>
            <w:gridSpan w:val="9"/>
          </w:tcPr>
          <w:p>
            <w:pPr>
              <w:spacing w:after="0" w:line="182" w:lineRule="exact"/>
              <w:rPr>
                <w:sz w:val="20"/>
                <w:szCs w:val="20"/>
                <w:color w:val="auto"/>
              </w:rPr>
            </w:pPr>
            <w:r>
              <w:rPr>
                <w:rFonts w:ascii="Arial" w:cs="Arial" w:eastAsia="Arial" w:hAnsi="Arial"/>
                <w:sz w:val="18"/>
                <w:szCs w:val="18"/>
                <w:color w:val="0000FF"/>
                <w:w w:val="99"/>
              </w:rPr>
              <w:t>906 of the Sarbanes-Oxley Act 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08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3120" w:type="dxa"/>
            <w:vAlign w:val="bottom"/>
            <w:gridSpan w:val="9"/>
          </w:tcPr>
          <w:p>
            <w:pPr>
              <w:spacing w:after="0"/>
              <w:rPr>
                <w:sz w:val="20"/>
                <w:szCs w:val="20"/>
                <w:color w:val="auto"/>
              </w:rPr>
            </w:pPr>
            <w:r>
              <w:rPr>
                <w:rFonts w:ascii="Arial" w:cs="Arial" w:eastAsia="Arial" w:hAnsi="Arial"/>
                <w:sz w:val="18"/>
                <w:szCs w:val="18"/>
                <w:color w:val="0000FF"/>
              </w:rPr>
              <w:t>Certification of Principal Financial</w:t>
            </w:r>
          </w:p>
        </w:tc>
      </w:tr>
      <w:tr>
        <w:trPr>
          <w:trHeight w:val="20"/>
        </w:trPr>
        <w:tc>
          <w:tcPr>
            <w:tcW w:w="96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120" w:type="dxa"/>
            <w:vAlign w:val="bottom"/>
            <w:gridSpan w:val="9"/>
          </w:tcPr>
          <w:p>
            <w:pPr>
              <w:spacing w:after="0" w:line="182" w:lineRule="exact"/>
              <w:rPr>
                <w:sz w:val="20"/>
                <w:szCs w:val="20"/>
                <w:color w:val="auto"/>
              </w:rPr>
            </w:pPr>
            <w:r>
              <w:rPr>
                <w:rFonts w:ascii="Arial" w:cs="Arial" w:eastAsia="Arial" w:hAnsi="Arial"/>
                <w:sz w:val="18"/>
                <w:szCs w:val="18"/>
                <w:color w:val="0000FF"/>
              </w:rPr>
              <w:t>Officer Pursuant to 18 U.S.C. Section</w:t>
            </w:r>
          </w:p>
        </w:tc>
      </w:tr>
      <w:tr>
        <w:trPr>
          <w:trHeight w:val="20"/>
        </w:trPr>
        <w:tc>
          <w:tcPr>
            <w:tcW w:w="960" w:type="dxa"/>
            <w:vAlign w:val="bottom"/>
          </w:tcPr>
          <w:p>
            <w:pPr>
              <w:spacing w:after="0" w:line="20" w:lineRule="exact"/>
              <w:rPr>
                <w:sz w:val="1"/>
                <w:szCs w:val="1"/>
                <w:color w:val="auto"/>
              </w:rPr>
            </w:pPr>
          </w:p>
        </w:tc>
        <w:tc>
          <w:tcPr>
            <w:tcW w:w="3020" w:type="dxa"/>
            <w:vAlign w:val="bottom"/>
            <w:gridSpan w:val="6"/>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120" w:type="dxa"/>
            <w:vAlign w:val="bottom"/>
            <w:gridSpan w:val="9"/>
          </w:tcPr>
          <w:p>
            <w:pPr>
              <w:spacing w:after="0" w:line="182" w:lineRule="exact"/>
              <w:rPr>
                <w:sz w:val="20"/>
                <w:szCs w:val="20"/>
                <w:color w:val="auto"/>
              </w:rPr>
            </w:pPr>
            <w:r>
              <w:rPr>
                <w:rFonts w:ascii="Arial" w:cs="Arial" w:eastAsia="Arial" w:hAnsi="Arial"/>
                <w:sz w:val="18"/>
                <w:szCs w:val="18"/>
                <w:color w:val="0000FF"/>
              </w:rPr>
              <w:t>1350, as Adopted Pursuant to Section</w:t>
            </w:r>
          </w:p>
        </w:tc>
      </w:tr>
      <w:tr>
        <w:trPr>
          <w:trHeight w:val="20"/>
        </w:trPr>
        <w:tc>
          <w:tcPr>
            <w:tcW w:w="960" w:type="dxa"/>
            <w:vAlign w:val="bottom"/>
          </w:tcPr>
          <w:p>
            <w:pPr>
              <w:spacing w:after="0" w:line="20" w:lineRule="exact"/>
              <w:rPr>
                <w:sz w:val="1"/>
                <w:szCs w:val="1"/>
                <w:color w:val="auto"/>
              </w:rPr>
            </w:pPr>
          </w:p>
        </w:tc>
        <w:tc>
          <w:tcPr>
            <w:tcW w:w="3060" w:type="dxa"/>
            <w:vAlign w:val="bottom"/>
            <w:gridSpan w:val="7"/>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120" w:type="dxa"/>
            <w:vAlign w:val="bottom"/>
            <w:gridSpan w:val="9"/>
          </w:tcPr>
          <w:p>
            <w:pPr>
              <w:spacing w:after="0" w:line="182" w:lineRule="exact"/>
              <w:rPr>
                <w:sz w:val="20"/>
                <w:szCs w:val="20"/>
                <w:color w:val="auto"/>
              </w:rPr>
            </w:pPr>
            <w:r>
              <w:rPr>
                <w:rFonts w:ascii="Arial" w:cs="Arial" w:eastAsia="Arial" w:hAnsi="Arial"/>
                <w:sz w:val="18"/>
                <w:szCs w:val="18"/>
                <w:color w:val="0000FF"/>
                <w:w w:val="99"/>
              </w:rPr>
              <w:t>906 of the Sarbanes-Oxley Act 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08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312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r>
      <w:tr>
        <w:trPr>
          <w:trHeight w:val="325"/>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3120" w:type="dxa"/>
            <w:vAlign w:val="bottom"/>
            <w:gridSpan w:val="9"/>
          </w:tcPr>
          <w:p>
            <w:pPr>
              <w:spacing w:after="0"/>
              <w:rPr>
                <w:sz w:val="20"/>
                <w:szCs w:val="20"/>
                <w:color w:val="auto"/>
              </w:rPr>
            </w:pPr>
            <w:r>
              <w:rPr>
                <w:rFonts w:ascii="Arial" w:cs="Arial" w:eastAsia="Arial" w:hAnsi="Arial"/>
                <w:sz w:val="18"/>
                <w:szCs w:val="18"/>
                <w:color w:val="auto"/>
              </w:rPr>
              <w:t>Inline XBRL Taxonomy Extension</w:t>
            </w:r>
          </w:p>
        </w:tc>
      </w:tr>
      <w:tr>
        <w:trPr>
          <w:trHeight w:val="229"/>
        </w:trPr>
        <w:tc>
          <w:tcPr>
            <w:tcW w:w="960" w:type="dxa"/>
            <w:vAlign w:val="bottom"/>
          </w:tcPr>
          <w:p>
            <w:pPr>
              <w:spacing w:after="0"/>
              <w:rPr>
                <w:sz w:val="19"/>
                <w:szCs w:val="19"/>
                <w:color w:val="auto"/>
              </w:rPr>
            </w:pPr>
          </w:p>
        </w:tc>
        <w:tc>
          <w:tcPr>
            <w:tcW w:w="3120" w:type="dxa"/>
            <w:vAlign w:val="bottom"/>
            <w:gridSpan w:val="9"/>
          </w:tcPr>
          <w:p>
            <w:pPr>
              <w:spacing w:after="0"/>
              <w:rPr>
                <w:sz w:val="20"/>
                <w:szCs w:val="20"/>
                <w:color w:val="auto"/>
              </w:rPr>
            </w:pPr>
            <w:r>
              <w:rPr>
                <w:rFonts w:ascii="Arial" w:cs="Arial" w:eastAsia="Arial" w:hAnsi="Arial"/>
                <w:sz w:val="18"/>
                <w:szCs w:val="18"/>
                <w:color w:val="auto"/>
              </w:rPr>
              <w:t>Schema Document</w:t>
            </w:r>
          </w:p>
        </w:tc>
      </w:tr>
      <w:tr>
        <w:trPr>
          <w:trHeight w:val="325"/>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3120" w:type="dxa"/>
            <w:vAlign w:val="bottom"/>
            <w:gridSpan w:val="9"/>
          </w:tcPr>
          <w:p>
            <w:pPr>
              <w:spacing w:after="0"/>
              <w:rPr>
                <w:sz w:val="20"/>
                <w:szCs w:val="20"/>
                <w:color w:val="auto"/>
              </w:rPr>
            </w:pPr>
            <w:r>
              <w:rPr>
                <w:rFonts w:ascii="Arial" w:cs="Arial" w:eastAsia="Arial" w:hAnsi="Arial"/>
                <w:sz w:val="18"/>
                <w:szCs w:val="18"/>
                <w:color w:val="auto"/>
              </w:rPr>
              <w:t>Inline XBRL Taxonomy Extension</w:t>
            </w:r>
          </w:p>
        </w:tc>
      </w:tr>
      <w:tr>
        <w:trPr>
          <w:trHeight w:val="229"/>
        </w:trPr>
        <w:tc>
          <w:tcPr>
            <w:tcW w:w="960" w:type="dxa"/>
            <w:vAlign w:val="bottom"/>
          </w:tcPr>
          <w:p>
            <w:pPr>
              <w:spacing w:after="0"/>
              <w:rPr>
                <w:sz w:val="19"/>
                <w:szCs w:val="19"/>
                <w:color w:val="auto"/>
              </w:rPr>
            </w:pPr>
          </w:p>
        </w:tc>
        <w:tc>
          <w:tcPr>
            <w:tcW w:w="3120" w:type="dxa"/>
            <w:vAlign w:val="bottom"/>
            <w:gridSpan w:val="9"/>
          </w:tcPr>
          <w:p>
            <w:pPr>
              <w:spacing w:after="0"/>
              <w:rPr>
                <w:sz w:val="20"/>
                <w:szCs w:val="20"/>
                <w:color w:val="auto"/>
              </w:rPr>
            </w:pPr>
            <w:r>
              <w:rPr>
                <w:rFonts w:ascii="Arial" w:cs="Arial" w:eastAsia="Arial" w:hAnsi="Arial"/>
                <w:sz w:val="18"/>
                <w:szCs w:val="18"/>
                <w:color w:val="auto"/>
              </w:rPr>
              <w:t>Calculation Linkbase Document</w:t>
            </w:r>
          </w:p>
        </w:tc>
      </w:tr>
      <w:tr>
        <w:trPr>
          <w:trHeight w:val="325"/>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3120" w:type="dxa"/>
            <w:vAlign w:val="bottom"/>
            <w:gridSpan w:val="9"/>
          </w:tcPr>
          <w:p>
            <w:pPr>
              <w:spacing w:after="0"/>
              <w:rPr>
                <w:sz w:val="20"/>
                <w:szCs w:val="20"/>
                <w:color w:val="auto"/>
              </w:rPr>
            </w:pPr>
            <w:r>
              <w:rPr>
                <w:rFonts w:ascii="Arial" w:cs="Arial" w:eastAsia="Arial" w:hAnsi="Arial"/>
                <w:sz w:val="18"/>
                <w:szCs w:val="18"/>
                <w:color w:val="auto"/>
              </w:rPr>
              <w:t>Inline XBRL Taxonomy Extension</w:t>
            </w:r>
          </w:p>
        </w:tc>
      </w:tr>
      <w:tr>
        <w:trPr>
          <w:trHeight w:val="229"/>
        </w:trPr>
        <w:tc>
          <w:tcPr>
            <w:tcW w:w="960" w:type="dxa"/>
            <w:vAlign w:val="bottom"/>
          </w:tcPr>
          <w:p>
            <w:pPr>
              <w:spacing w:after="0"/>
              <w:rPr>
                <w:sz w:val="19"/>
                <w:szCs w:val="19"/>
                <w:color w:val="auto"/>
              </w:rPr>
            </w:pPr>
          </w:p>
        </w:tc>
        <w:tc>
          <w:tcPr>
            <w:tcW w:w="3120" w:type="dxa"/>
            <w:vAlign w:val="bottom"/>
            <w:gridSpan w:val="9"/>
          </w:tcPr>
          <w:p>
            <w:pPr>
              <w:spacing w:after="0"/>
              <w:rPr>
                <w:sz w:val="20"/>
                <w:szCs w:val="20"/>
                <w:color w:val="auto"/>
              </w:rPr>
            </w:pPr>
            <w:r>
              <w:rPr>
                <w:rFonts w:ascii="Arial" w:cs="Arial" w:eastAsia="Arial" w:hAnsi="Arial"/>
                <w:sz w:val="18"/>
                <w:szCs w:val="18"/>
                <w:color w:val="auto"/>
              </w:rPr>
              <w:t>Definition Linkbase Document</w:t>
            </w:r>
          </w:p>
        </w:tc>
      </w:tr>
      <w:tr>
        <w:trPr>
          <w:trHeight w:val="325"/>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3120" w:type="dxa"/>
            <w:vAlign w:val="bottom"/>
            <w:gridSpan w:val="9"/>
          </w:tcPr>
          <w:p>
            <w:pPr>
              <w:spacing w:after="0"/>
              <w:rPr>
                <w:sz w:val="20"/>
                <w:szCs w:val="20"/>
                <w:color w:val="auto"/>
              </w:rPr>
            </w:pPr>
            <w:r>
              <w:rPr>
                <w:rFonts w:ascii="Arial" w:cs="Arial" w:eastAsia="Arial" w:hAnsi="Arial"/>
                <w:sz w:val="18"/>
                <w:szCs w:val="18"/>
                <w:color w:val="auto"/>
                <w:w w:val="97"/>
              </w:rPr>
              <w:t>Inline XBRL Taxonomy Extension Label</w:t>
            </w:r>
          </w:p>
        </w:tc>
      </w:tr>
      <w:tr>
        <w:trPr>
          <w:trHeight w:val="229"/>
        </w:trPr>
        <w:tc>
          <w:tcPr>
            <w:tcW w:w="960" w:type="dxa"/>
            <w:vAlign w:val="bottom"/>
          </w:tcPr>
          <w:p>
            <w:pPr>
              <w:spacing w:after="0"/>
              <w:rPr>
                <w:sz w:val="19"/>
                <w:szCs w:val="19"/>
                <w:color w:val="auto"/>
              </w:rPr>
            </w:pPr>
          </w:p>
        </w:tc>
        <w:tc>
          <w:tcPr>
            <w:tcW w:w="3120" w:type="dxa"/>
            <w:vAlign w:val="bottom"/>
            <w:gridSpan w:val="9"/>
          </w:tcPr>
          <w:p>
            <w:pPr>
              <w:spacing w:after="0"/>
              <w:rPr>
                <w:sz w:val="20"/>
                <w:szCs w:val="20"/>
                <w:color w:val="auto"/>
              </w:rPr>
            </w:pPr>
            <w:r>
              <w:rPr>
                <w:rFonts w:ascii="Arial" w:cs="Arial" w:eastAsia="Arial" w:hAnsi="Arial"/>
                <w:sz w:val="18"/>
                <w:szCs w:val="18"/>
                <w:color w:val="auto"/>
              </w:rPr>
              <w:t>Linkbase Document</w:t>
            </w:r>
          </w:p>
        </w:tc>
      </w:tr>
      <w:tr>
        <w:trPr>
          <w:trHeight w:val="325"/>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3120" w:type="dxa"/>
            <w:vAlign w:val="bottom"/>
            <w:gridSpan w:val="9"/>
          </w:tcPr>
          <w:p>
            <w:pPr>
              <w:spacing w:after="0"/>
              <w:rPr>
                <w:sz w:val="20"/>
                <w:szCs w:val="20"/>
                <w:color w:val="auto"/>
              </w:rPr>
            </w:pPr>
            <w:r>
              <w:rPr>
                <w:rFonts w:ascii="Arial" w:cs="Arial" w:eastAsia="Arial" w:hAnsi="Arial"/>
                <w:sz w:val="18"/>
                <w:szCs w:val="18"/>
                <w:color w:val="auto"/>
              </w:rPr>
              <w:t>Inline XBRL Taxonomy Extension</w:t>
            </w:r>
          </w:p>
        </w:tc>
      </w:tr>
      <w:tr>
        <w:trPr>
          <w:trHeight w:val="229"/>
        </w:trPr>
        <w:tc>
          <w:tcPr>
            <w:tcW w:w="960" w:type="dxa"/>
            <w:vAlign w:val="bottom"/>
          </w:tcPr>
          <w:p>
            <w:pPr>
              <w:spacing w:after="0"/>
              <w:rPr>
                <w:sz w:val="19"/>
                <w:szCs w:val="19"/>
                <w:color w:val="auto"/>
              </w:rPr>
            </w:pPr>
          </w:p>
        </w:tc>
        <w:tc>
          <w:tcPr>
            <w:tcW w:w="3120" w:type="dxa"/>
            <w:vAlign w:val="bottom"/>
            <w:gridSpan w:val="9"/>
          </w:tcPr>
          <w:p>
            <w:pPr>
              <w:spacing w:after="0"/>
              <w:rPr>
                <w:sz w:val="20"/>
                <w:szCs w:val="20"/>
                <w:color w:val="auto"/>
              </w:rPr>
            </w:pPr>
            <w:r>
              <w:rPr>
                <w:rFonts w:ascii="Arial" w:cs="Arial" w:eastAsia="Arial" w:hAnsi="Arial"/>
                <w:sz w:val="18"/>
                <w:szCs w:val="18"/>
                <w:color w:val="auto"/>
              </w:rPr>
              <w:t>Presentation Linkbase Document</w:t>
            </w:r>
          </w:p>
        </w:tc>
      </w:tr>
    </w:tbl>
    <w:p>
      <w:pPr>
        <w:spacing w:after="0" w:line="230" w:lineRule="exact"/>
        <w:rPr>
          <w:sz w:val="20"/>
          <w:szCs w:val="20"/>
          <w:color w:val="auto"/>
        </w:rPr>
      </w:pPr>
    </w:p>
    <w:p>
      <w:pPr>
        <w:ind w:left="960" w:right="5420" w:hanging="939"/>
        <w:spacing w:after="0" w:line="24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84" w:lineRule="exact"/>
        <w:rPr>
          <w:sz w:val="20"/>
          <w:szCs w:val="20"/>
          <w:color w:val="auto"/>
        </w:rPr>
      </w:pPr>
    </w:p>
    <w:p>
      <w:pPr>
        <w:jc w:val="right"/>
        <w:ind w:right="33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9100" w:space="720"/>
            <w:col w:w="1020"/>
          </w:cols>
          <w:pgMar w:left="320" w:top="125" w:right="7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right="140" w:firstLine="761"/>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3200" w:type="dxa"/>
            <w:vAlign w:val="bottom"/>
            <w:gridSpan w:val="2"/>
          </w:tcPr>
          <w:p>
            <w:pPr>
              <w:ind w:left="1500"/>
              <w:spacing w:after="0"/>
              <w:rPr>
                <w:sz w:val="20"/>
                <w:szCs w:val="20"/>
                <w:color w:val="auto"/>
              </w:rPr>
            </w:pPr>
            <w:r>
              <w:rPr>
                <w:rFonts w:ascii="Arial" w:cs="Arial" w:eastAsia="Arial" w:hAnsi="Arial"/>
                <w:sz w:val="18"/>
                <w:szCs w:val="18"/>
                <w:color w:val="auto"/>
              </w:rPr>
              <w:t>Vroom, Inc.</w:t>
            </w:r>
          </w:p>
        </w:tc>
        <w:tc>
          <w:tcPr>
            <w:tcW w:w="4880" w:type="dxa"/>
            <w:vAlign w:val="bottom"/>
          </w:tcPr>
          <w:p>
            <w:pPr>
              <w:spacing w:after="0"/>
              <w:rPr>
                <w:sz w:val="19"/>
                <w:szCs w:val="19"/>
                <w:color w:val="auto"/>
              </w:rPr>
            </w:pPr>
          </w:p>
        </w:tc>
      </w:tr>
      <w:tr>
        <w:trPr>
          <w:trHeight w:val="391"/>
        </w:trPr>
        <w:tc>
          <w:tcPr>
            <w:tcW w:w="3160" w:type="dxa"/>
            <w:vAlign w:val="bottom"/>
          </w:tcPr>
          <w:p>
            <w:pPr>
              <w:ind w:left="20"/>
              <w:spacing w:after="0"/>
              <w:rPr>
                <w:sz w:val="20"/>
                <w:szCs w:val="20"/>
                <w:color w:val="auto"/>
              </w:rPr>
            </w:pPr>
            <w:r>
              <w:rPr>
                <w:rFonts w:ascii="Arial" w:cs="Arial" w:eastAsia="Arial" w:hAnsi="Arial"/>
                <w:sz w:val="18"/>
                <w:szCs w:val="18"/>
                <w:color w:val="auto"/>
              </w:rPr>
              <w:t>Date: August 8, 2023</w:t>
            </w:r>
          </w:p>
        </w:tc>
        <w:tc>
          <w:tcPr>
            <w:tcW w:w="320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4880" w:type="dxa"/>
            <w:vAlign w:val="bottom"/>
          </w:tcPr>
          <w:p>
            <w:pPr>
              <w:jc w:val="center"/>
              <w:ind w:right="1310"/>
              <w:spacing w:after="0"/>
              <w:rPr>
                <w:sz w:val="20"/>
                <w:szCs w:val="20"/>
                <w:color w:val="auto"/>
              </w:rPr>
            </w:pPr>
            <w:r>
              <w:rPr>
                <w:rFonts w:ascii="Arial" w:cs="Arial" w:eastAsia="Arial" w:hAnsi="Arial"/>
                <w:sz w:val="18"/>
                <w:szCs w:val="18"/>
                <w:color w:val="auto"/>
                <w:w w:val="99"/>
              </w:rPr>
              <w:t>/s/ Thomas H. Shortt</w:t>
            </w:r>
          </w:p>
        </w:tc>
      </w:tr>
      <w:tr>
        <w:trPr>
          <w:trHeight w:val="237"/>
        </w:trPr>
        <w:tc>
          <w:tcPr>
            <w:tcW w:w="3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4880" w:type="dxa"/>
            <w:vAlign w:val="bottom"/>
            <w:tcBorders>
              <w:top w:val="single" w:sz="8" w:color="auto"/>
            </w:tcBorders>
          </w:tcPr>
          <w:p>
            <w:pPr>
              <w:jc w:val="center"/>
              <w:ind w:right="1310"/>
              <w:spacing w:after="0"/>
              <w:rPr>
                <w:sz w:val="20"/>
                <w:szCs w:val="20"/>
                <w:color w:val="auto"/>
              </w:rPr>
            </w:pPr>
            <w:r>
              <w:rPr>
                <w:rFonts w:ascii="Arial" w:cs="Arial" w:eastAsia="Arial" w:hAnsi="Arial"/>
                <w:sz w:val="18"/>
                <w:szCs w:val="18"/>
                <w:color w:val="auto"/>
                <w:w w:val="99"/>
              </w:rPr>
              <w:t>Thomas H. Shortt</w:t>
            </w:r>
          </w:p>
        </w:tc>
      </w:tr>
      <w:tr>
        <w:trPr>
          <w:trHeight w:val="243"/>
        </w:trPr>
        <w:tc>
          <w:tcPr>
            <w:tcW w:w="3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80" w:type="dxa"/>
            <w:vAlign w:val="bottom"/>
          </w:tcPr>
          <w:p>
            <w:pPr>
              <w:jc w:val="center"/>
              <w:ind w:right="1290"/>
              <w:spacing w:after="0"/>
              <w:rPr>
                <w:sz w:val="20"/>
                <w:szCs w:val="20"/>
                <w:color w:val="auto"/>
              </w:rPr>
            </w:pPr>
            <w:r>
              <w:rPr>
                <w:rFonts w:ascii="Arial" w:cs="Arial" w:eastAsia="Arial" w:hAnsi="Arial"/>
                <w:sz w:val="18"/>
                <w:szCs w:val="18"/>
                <w:color w:val="auto"/>
                <w:w w:val="99"/>
              </w:rPr>
              <w:t>Chief Executive Officer</w:t>
            </w:r>
          </w:p>
        </w:tc>
      </w:tr>
      <w:tr>
        <w:trPr>
          <w:trHeight w:val="243"/>
        </w:trPr>
        <w:tc>
          <w:tcPr>
            <w:tcW w:w="3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80" w:type="dxa"/>
            <w:vAlign w:val="bottom"/>
          </w:tcPr>
          <w:p>
            <w:pPr>
              <w:jc w:val="center"/>
              <w:ind w:right="137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634"/>
        </w:trPr>
        <w:tc>
          <w:tcPr>
            <w:tcW w:w="3160" w:type="dxa"/>
            <w:vAlign w:val="bottom"/>
          </w:tcPr>
          <w:p>
            <w:pPr>
              <w:ind w:left="20"/>
              <w:spacing w:after="0"/>
              <w:rPr>
                <w:sz w:val="20"/>
                <w:szCs w:val="20"/>
                <w:color w:val="auto"/>
              </w:rPr>
            </w:pPr>
            <w:r>
              <w:rPr>
                <w:rFonts w:ascii="Arial" w:cs="Arial" w:eastAsia="Arial" w:hAnsi="Arial"/>
                <w:sz w:val="18"/>
                <w:szCs w:val="18"/>
                <w:color w:val="auto"/>
              </w:rPr>
              <w:t>Date: August 8, 2023</w:t>
            </w:r>
          </w:p>
        </w:tc>
        <w:tc>
          <w:tcPr>
            <w:tcW w:w="320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4880" w:type="dxa"/>
            <w:vAlign w:val="bottom"/>
          </w:tcPr>
          <w:p>
            <w:pPr>
              <w:jc w:val="center"/>
              <w:ind w:right="1310"/>
              <w:spacing w:after="0"/>
              <w:rPr>
                <w:sz w:val="20"/>
                <w:szCs w:val="20"/>
                <w:color w:val="auto"/>
              </w:rPr>
            </w:pPr>
            <w:r>
              <w:rPr>
                <w:rFonts w:ascii="Arial" w:cs="Arial" w:eastAsia="Arial" w:hAnsi="Arial"/>
                <w:sz w:val="18"/>
                <w:szCs w:val="18"/>
                <w:color w:val="auto"/>
                <w:w w:val="99"/>
              </w:rPr>
              <w:t>/s/ Robert R. Krakowiak</w:t>
            </w:r>
          </w:p>
        </w:tc>
      </w:tr>
      <w:tr>
        <w:trPr>
          <w:trHeight w:val="237"/>
        </w:trPr>
        <w:tc>
          <w:tcPr>
            <w:tcW w:w="3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4880" w:type="dxa"/>
            <w:vAlign w:val="bottom"/>
            <w:tcBorders>
              <w:top w:val="single" w:sz="8" w:color="auto"/>
            </w:tcBorders>
          </w:tcPr>
          <w:p>
            <w:pPr>
              <w:jc w:val="center"/>
              <w:ind w:right="1310"/>
              <w:spacing w:after="0"/>
              <w:rPr>
                <w:sz w:val="20"/>
                <w:szCs w:val="20"/>
                <w:color w:val="auto"/>
              </w:rPr>
            </w:pPr>
            <w:r>
              <w:rPr>
                <w:rFonts w:ascii="Arial" w:cs="Arial" w:eastAsia="Arial" w:hAnsi="Arial"/>
                <w:sz w:val="18"/>
                <w:szCs w:val="18"/>
                <w:color w:val="auto"/>
                <w:w w:val="99"/>
              </w:rPr>
              <w:t>Robert R. Krakowiak</w:t>
            </w:r>
          </w:p>
        </w:tc>
      </w:tr>
      <w:tr>
        <w:trPr>
          <w:trHeight w:val="243"/>
        </w:trPr>
        <w:tc>
          <w:tcPr>
            <w:tcW w:w="3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80" w:type="dxa"/>
            <w:vAlign w:val="bottom"/>
          </w:tcPr>
          <w:p>
            <w:pPr>
              <w:jc w:val="center"/>
              <w:ind w:right="1310"/>
              <w:spacing w:after="0"/>
              <w:rPr>
                <w:sz w:val="20"/>
                <w:szCs w:val="20"/>
                <w:color w:val="auto"/>
              </w:rPr>
            </w:pPr>
            <w:r>
              <w:rPr>
                <w:rFonts w:ascii="Arial" w:cs="Arial" w:eastAsia="Arial" w:hAnsi="Arial"/>
                <w:sz w:val="18"/>
                <w:szCs w:val="18"/>
                <w:color w:val="auto"/>
                <w:w w:val="99"/>
              </w:rPr>
              <w:t>Chief Financial Officer</w:t>
            </w:r>
          </w:p>
        </w:tc>
      </w:tr>
      <w:tr>
        <w:trPr>
          <w:trHeight w:val="243"/>
        </w:trPr>
        <w:tc>
          <w:tcPr>
            <w:tcW w:w="3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80" w:type="dxa"/>
            <w:vAlign w:val="bottom"/>
          </w:tcPr>
          <w:p>
            <w:pPr>
              <w:jc w:val="center"/>
              <w:ind w:right="1310"/>
              <w:spacing w:after="0"/>
              <w:rPr>
                <w:sz w:val="20"/>
                <w:szCs w:val="20"/>
                <w:color w:val="auto"/>
              </w:rPr>
            </w:pPr>
            <w:r>
              <w:rPr>
                <w:rFonts w:ascii="Arial" w:cs="Arial" w:eastAsia="Arial" w:hAnsi="Arial"/>
                <w:sz w:val="18"/>
                <w:szCs w:val="18"/>
                <w:i w:val="1"/>
                <w:iCs w:val="1"/>
                <w:color w:val="auto"/>
                <w:w w:val="99"/>
              </w:rPr>
              <w:t>(principal financial officer)</w:t>
            </w:r>
          </w:p>
        </w:tc>
      </w:tr>
      <w:tr>
        <w:trPr>
          <w:trHeight w:val="634"/>
        </w:trPr>
        <w:tc>
          <w:tcPr>
            <w:tcW w:w="3160" w:type="dxa"/>
            <w:vAlign w:val="bottom"/>
          </w:tcPr>
          <w:p>
            <w:pPr>
              <w:spacing w:after="0"/>
              <w:rPr>
                <w:sz w:val="24"/>
                <w:szCs w:val="24"/>
                <w:color w:val="auto"/>
              </w:rPr>
            </w:pPr>
          </w:p>
        </w:tc>
        <w:tc>
          <w:tcPr>
            <w:tcW w:w="3200" w:type="dxa"/>
            <w:vAlign w:val="bottom"/>
            <w:gridSpan w:val="2"/>
          </w:tcPr>
          <w:p>
            <w:pPr>
              <w:jc w:val="right"/>
              <w:ind w:right="640"/>
              <w:spacing w:after="0"/>
              <w:rPr>
                <w:sz w:val="20"/>
                <w:szCs w:val="20"/>
                <w:color w:val="auto"/>
              </w:rPr>
            </w:pPr>
            <w:r>
              <w:rPr>
                <w:rFonts w:ascii="Arial" w:cs="Arial" w:eastAsia="Arial" w:hAnsi="Arial"/>
                <w:sz w:val="18"/>
                <w:szCs w:val="18"/>
                <w:color w:val="auto"/>
              </w:rPr>
              <w:t>88</w:t>
            </w:r>
          </w:p>
        </w:tc>
        <w:tc>
          <w:tcPr>
            <w:tcW w:w="4880" w:type="dxa"/>
            <w:vAlign w:val="bottom"/>
          </w:tcPr>
          <w:p>
            <w:pPr>
              <w:spacing w:after="0"/>
              <w:rPr>
                <w:sz w:val="24"/>
                <w:szCs w:val="24"/>
                <w:color w:val="auto"/>
              </w:rPr>
            </w:pPr>
          </w:p>
        </w:tc>
      </w:tr>
      <w:tr>
        <w:trPr>
          <w:trHeight w:val="102"/>
        </w:trPr>
        <w:tc>
          <w:tcPr>
            <w:tcW w:w="31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spacing w:after="0" w:line="194" w:lineRule="auto"/>
        <w:framePr w:w="1920" w:h="130" w:wrap="auto" w:vAnchor="page" w:hAnchor="page" w:x="280" w:y="10891"/>
        <w:rPr>
          <w:rFonts w:ascii="Arial" w:cs="Arial" w:eastAsia="Arial" w:hAnsi="Arial"/>
          <w:sz w:val="14"/>
          <w:szCs w:val="14"/>
          <w:color w:val="auto"/>
        </w:rPr>
      </w:pPr>
      <w:r>
        <w:rPr>
          <w:rFonts w:ascii="Arial" w:cs="Arial" w:eastAsia="Arial" w:hAnsi="Arial"/>
          <w:sz w:val="14"/>
          <w:szCs w:val="14"/>
          <w:color w:val="auto"/>
        </w:rPr>
        <w:t>F</w:t>
      </w:r>
      <w:r>
        <w:rPr>
          <w:rFonts w:ascii="Arial" w:cs="Arial" w:eastAsia="Arial" w:hAnsi="Arial"/>
          <w:sz w:val="9"/>
          <w:szCs w:val="9"/>
          <w:color w:val="auto"/>
        </w:rPr>
        <w:t>irst</w:t>
      </w:r>
      <w:r>
        <w:rPr>
          <w:rFonts w:ascii="Arial" w:cs="Arial" w:eastAsia="Arial" w:hAnsi="Arial"/>
          <w:sz w:val="14"/>
          <w:szCs w:val="14"/>
          <w:color w:val="auto"/>
        </w:rPr>
        <w:t xml:space="preserve"> A</w:t>
      </w:r>
      <w:r>
        <w:rPr>
          <w:rFonts w:ascii="Arial" w:cs="Arial" w:eastAsia="Arial" w:hAnsi="Arial"/>
          <w:sz w:val="9"/>
          <w:szCs w:val="9"/>
          <w:color w:val="auto"/>
        </w:rPr>
        <w:t>mendment to</w:t>
      </w:r>
      <w:r>
        <w:rPr>
          <w:rFonts w:ascii="Arial" w:cs="Arial" w:eastAsia="Arial" w:hAnsi="Arial"/>
          <w:sz w:val="14"/>
          <w:szCs w:val="14"/>
          <w:color w:val="auto"/>
        </w:rPr>
        <w:t xml:space="preserve"> A&amp;R IFSA</w:t>
      </w: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23" w:lineRule="exact"/>
        <w:rPr>
          <w:rFonts w:ascii="Arial" w:cs="Arial" w:eastAsia="Arial" w:hAnsi="Arial"/>
          <w:sz w:val="14"/>
          <w:szCs w:val="14"/>
          <w:color w:val="auto"/>
        </w:rPr>
      </w:pPr>
    </w:p>
    <w:p>
      <w:pPr>
        <w:ind w:right="180" w:firstLine="8"/>
        <w:spacing w:after="0" w:line="246"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601(b)(10). Such excluded information is not material and would likely cause competitive harm to the registrant if publicly disclosed.</w:t>
      </w:r>
    </w:p>
    <w:p>
      <w:pPr>
        <w:spacing w:after="0" w:line="188"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w:t>
      </w:r>
    </w:p>
    <w:p>
      <w:pPr>
        <w:spacing w:after="0" w:line="18"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INVENTORY FINANCING AND SECURITY AGREEMENT</w:t>
      </w:r>
    </w:p>
    <w:p>
      <w:pPr>
        <w:spacing w:after="0" w:line="389" w:lineRule="exact"/>
        <w:rPr>
          <w:rFonts w:ascii="Arial" w:cs="Arial" w:eastAsia="Arial" w:hAnsi="Arial"/>
          <w:sz w:val="14"/>
          <w:szCs w:val="14"/>
          <w:color w:val="auto"/>
        </w:rPr>
      </w:pPr>
    </w:p>
    <w:p>
      <w:pPr>
        <w:ind w:left="4180" w:hanging="201"/>
        <w:spacing w:after="0"/>
        <w:tabs>
          <w:tab w:leader="none" w:pos="41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THE PARTIES TO THIS AGREEMENT</w:t>
      </w:r>
    </w:p>
    <w:p>
      <w:pPr>
        <w:spacing w:after="0" w:line="198" w:lineRule="exact"/>
        <w:rPr>
          <w:rFonts w:ascii="Arial" w:cs="Arial" w:eastAsia="Arial" w:hAnsi="Arial"/>
          <w:sz w:val="14"/>
          <w:szCs w:val="14"/>
          <w:color w:val="auto"/>
        </w:rPr>
      </w:pPr>
    </w:p>
    <w:p>
      <w:pPr>
        <w:spacing w:after="0" w:line="260" w:lineRule="auto"/>
        <w:rPr>
          <w:sz w:val="20"/>
          <w:szCs w:val="20"/>
          <w:color w:val="auto"/>
        </w:rPr>
      </w:pPr>
      <w:r>
        <w:rPr>
          <w:rFonts w:ascii="Arial" w:cs="Arial" w:eastAsia="Arial" w:hAnsi="Arial"/>
          <w:sz w:val="18"/>
          <w:szCs w:val="18"/>
          <w:color w:val="auto"/>
        </w:rPr>
        <w:t>This First Amendment to Amended and Restated Inventory Financing and Security Agreement (“Amendment”) is effective as of August 1, 2023, and is made by and among the following parties:</w:t>
      </w:r>
    </w:p>
    <w:p>
      <w:pPr>
        <w:spacing w:after="0" w:line="149" w:lineRule="exact"/>
        <w:rPr>
          <w:rFonts w:ascii="Arial" w:cs="Arial" w:eastAsia="Arial" w:hAnsi="Arial"/>
          <w:sz w:val="14"/>
          <w:szCs w:val="14"/>
          <w:color w:val="auto"/>
        </w:rPr>
      </w:pPr>
    </w:p>
    <w:p>
      <w:pPr>
        <w:ind w:left="580" w:hanging="557"/>
        <w:spacing w:after="0" w:line="271"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Ally Bank (Ally Capital in Hawaii, Mississippi, Montana and New Jersey) </w:t>
      </w:r>
      <w:r>
        <w:rPr>
          <w:rFonts w:ascii="Arial" w:cs="Arial" w:eastAsia="Arial" w:hAnsi="Arial"/>
          <w:sz w:val="18"/>
          <w:szCs w:val="18"/>
          <w:color w:val="auto"/>
        </w:rPr>
        <w:t>(together with its successors and assigns, “Bank”), a</w:t>
      </w:r>
      <w:r>
        <w:rPr>
          <w:rFonts w:ascii="Arial" w:cs="Arial" w:eastAsia="Arial" w:hAnsi="Arial"/>
          <w:sz w:val="18"/>
          <w:szCs w:val="18"/>
          <w:b w:val="1"/>
          <w:bCs w:val="1"/>
          <w:color w:val="auto"/>
        </w:rPr>
        <w:t xml:space="preserve"> </w:t>
      </w:r>
      <w:r>
        <w:rPr>
          <w:rFonts w:ascii="Arial" w:cs="Arial" w:eastAsia="Arial" w:hAnsi="Arial"/>
          <w:sz w:val="18"/>
          <w:szCs w:val="18"/>
          <w:color w:val="auto"/>
        </w:rPr>
        <w:t>Utah state-chartered bank with a local business office currently located at 5851 Legacy Circle, Suite 200, Plano, Texas 75024; and</w:t>
      </w:r>
    </w:p>
    <w:p>
      <w:pPr>
        <w:spacing w:after="0" w:line="180" w:lineRule="exact"/>
        <w:rPr>
          <w:rFonts w:ascii="Arial" w:cs="Arial" w:eastAsia="Arial" w:hAnsi="Arial"/>
          <w:sz w:val="18"/>
          <w:szCs w:val="18"/>
          <w:color w:val="auto"/>
        </w:rPr>
      </w:pPr>
    </w:p>
    <w:p>
      <w:pPr>
        <w:jc w:val="both"/>
        <w:ind w:left="580" w:hanging="557"/>
        <w:spacing w:after="0" w:line="253"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Ally Financial Inc.</w:t>
      </w:r>
      <w:r>
        <w:rPr>
          <w:rFonts w:ascii="Arial" w:cs="Arial" w:eastAsia="Arial" w:hAnsi="Arial"/>
          <w:sz w:val="18"/>
          <w:szCs w:val="18"/>
          <w:color w:val="auto"/>
        </w:rPr>
        <w:t>, a Delaware corporation (together with its successors and assigns, “Ally”) with a local business office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at 5851 Legacy Circle, Suite 200, Plano, Texas 75024 (together with Bank, the “Ally Parties” and Bank and Ally each being, an “Ally Party”);</w:t>
      </w:r>
    </w:p>
    <w:p>
      <w:pPr>
        <w:spacing w:after="0" w:line="155" w:lineRule="exact"/>
        <w:rPr>
          <w:rFonts w:ascii="Arial" w:cs="Arial" w:eastAsia="Arial" w:hAnsi="Arial"/>
          <w:sz w:val="18"/>
          <w:szCs w:val="18"/>
          <w:color w:val="auto"/>
        </w:rPr>
      </w:pPr>
    </w:p>
    <w:p>
      <w:pPr>
        <w:jc w:val="both"/>
        <w:ind w:left="580" w:hanging="557"/>
        <w:spacing w:after="0" w:line="253"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Vroom Automotive, LLC</w:t>
      </w:r>
      <w:r>
        <w:rPr>
          <w:rFonts w:ascii="Arial" w:cs="Arial" w:eastAsia="Arial" w:hAnsi="Arial"/>
          <w:sz w:val="18"/>
          <w:szCs w:val="18"/>
          <w:color w:val="auto"/>
        </w:rPr>
        <w:t>, a Texas limited liability company, formerly known as Left Gate Property Holding, LLC, doing business as</w:t>
      </w:r>
      <w:r>
        <w:rPr>
          <w:rFonts w:ascii="Arial" w:cs="Arial" w:eastAsia="Arial" w:hAnsi="Arial"/>
          <w:sz w:val="18"/>
          <w:szCs w:val="18"/>
          <w:b w:val="1"/>
          <w:bCs w:val="1"/>
          <w:color w:val="auto"/>
        </w:rPr>
        <w:t xml:space="preserve"> </w:t>
      </w:r>
      <w:r>
        <w:rPr>
          <w:rFonts w:ascii="Arial" w:cs="Arial" w:eastAsia="Arial" w:hAnsi="Arial"/>
          <w:sz w:val="18"/>
          <w:szCs w:val="18"/>
          <w:color w:val="auto"/>
        </w:rPr>
        <w:t>Texas Direct Auto and Vroom, with its principal executive office currently located at 12053 Southwest Freeway, Stafford, Texas 77477 (“Dealership”); and</w:t>
      </w:r>
    </w:p>
    <w:p>
      <w:pPr>
        <w:spacing w:after="0" w:line="195" w:lineRule="exact"/>
        <w:rPr>
          <w:rFonts w:ascii="Arial" w:cs="Arial" w:eastAsia="Arial" w:hAnsi="Arial"/>
          <w:sz w:val="18"/>
          <w:szCs w:val="18"/>
          <w:color w:val="auto"/>
        </w:rPr>
      </w:pPr>
    </w:p>
    <w:p>
      <w:pPr>
        <w:ind w:left="580" w:hanging="557"/>
        <w:spacing w:after="0" w:line="271"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Vroom, Inc.</w:t>
      </w:r>
      <w:r>
        <w:rPr>
          <w:rFonts w:ascii="Arial" w:cs="Arial" w:eastAsia="Arial" w:hAnsi="Arial"/>
          <w:sz w:val="18"/>
          <w:szCs w:val="18"/>
          <w:color w:val="auto"/>
        </w:rPr>
        <w:t>, a Delaware corporation, with its principal executive office currently located at 3600 W. Sam Houston Pkwy S, Floor 4,</w:t>
      </w:r>
      <w:r>
        <w:rPr>
          <w:rFonts w:ascii="Arial" w:cs="Arial" w:eastAsia="Arial" w:hAnsi="Arial"/>
          <w:sz w:val="18"/>
          <w:szCs w:val="18"/>
          <w:b w:val="1"/>
          <w:bCs w:val="1"/>
          <w:color w:val="auto"/>
        </w:rPr>
        <w:t xml:space="preserve"> </w:t>
      </w:r>
      <w:r>
        <w:rPr>
          <w:rFonts w:ascii="Arial" w:cs="Arial" w:eastAsia="Arial" w:hAnsi="Arial"/>
          <w:sz w:val="18"/>
          <w:szCs w:val="18"/>
          <w:color w:val="auto"/>
        </w:rPr>
        <w:t>Houston, Texas 77042 (“Vroom”).</w:t>
      </w:r>
    </w:p>
    <w:p>
      <w:pPr>
        <w:spacing w:after="0" w:line="191" w:lineRule="exact"/>
        <w:rPr>
          <w:rFonts w:ascii="Arial" w:cs="Arial" w:eastAsia="Arial" w:hAnsi="Arial"/>
          <w:sz w:val="14"/>
          <w:szCs w:val="14"/>
          <w:color w:val="auto"/>
        </w:rPr>
      </w:pPr>
    </w:p>
    <w:p>
      <w:pPr>
        <w:ind w:left="5100" w:hanging="238"/>
        <w:spacing w:after="0"/>
        <w:tabs>
          <w:tab w:leader="none" w:pos="51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THE RECITALS</w:t>
      </w:r>
    </w:p>
    <w:p>
      <w:pPr>
        <w:spacing w:after="0" w:line="198"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color w:val="auto"/>
        </w:rPr>
        <w:t>The essential facts relied on by Bank, Ally, Dealership and Vroom as true and complete, and giving rise to this Amendment, are as follows:</w:t>
      </w:r>
    </w:p>
    <w:p>
      <w:pPr>
        <w:spacing w:after="0" w:line="198" w:lineRule="exact"/>
        <w:rPr>
          <w:rFonts w:ascii="Arial" w:cs="Arial" w:eastAsia="Arial" w:hAnsi="Arial"/>
          <w:sz w:val="14"/>
          <w:szCs w:val="14"/>
          <w:color w:val="auto"/>
        </w:rPr>
      </w:pPr>
    </w:p>
    <w:p>
      <w:pPr>
        <w:ind w:left="580" w:hanging="557"/>
        <w:spacing w:after="0" w:line="26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Ally Parties, Dealership and Vroom are parties to an Amended and Restated Inventory Financing and Security Agreement, effective as of November 4, 2022 (as amended, the “IFSA”).</w:t>
      </w:r>
    </w:p>
    <w:p>
      <w:pPr>
        <w:spacing w:after="0" w:line="199" w:lineRule="exact"/>
        <w:rPr>
          <w:rFonts w:ascii="Arial" w:cs="Arial" w:eastAsia="Arial" w:hAnsi="Arial"/>
          <w:sz w:val="18"/>
          <w:szCs w:val="18"/>
          <w:color w:val="auto"/>
        </w:rPr>
      </w:pPr>
    </w:p>
    <w:p>
      <w:pPr>
        <w:ind w:left="580" w:hanging="557"/>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parties to this Amendment desire to amend the IFSA as outlined in this Amendment.</w:t>
      </w:r>
    </w:p>
    <w:p>
      <w:pPr>
        <w:spacing w:after="0" w:line="239" w:lineRule="exact"/>
        <w:rPr>
          <w:rFonts w:ascii="Arial" w:cs="Arial" w:eastAsia="Arial" w:hAnsi="Arial"/>
          <w:sz w:val="14"/>
          <w:szCs w:val="14"/>
          <w:color w:val="auto"/>
        </w:rPr>
      </w:pPr>
    </w:p>
    <w:p>
      <w:pPr>
        <w:ind w:left="5000" w:hanging="294"/>
        <w:spacing w:after="0"/>
        <w:tabs>
          <w:tab w:leader="none" w:pos="50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THE AGREEMENT</w:t>
      </w:r>
    </w:p>
    <w:p>
      <w:pPr>
        <w:spacing w:after="0" w:line="198" w:lineRule="exact"/>
        <w:rPr>
          <w:rFonts w:ascii="Arial" w:cs="Arial" w:eastAsia="Arial" w:hAnsi="Arial"/>
          <w:sz w:val="14"/>
          <w:szCs w:val="14"/>
          <w:color w:val="auto"/>
        </w:rPr>
      </w:pPr>
    </w:p>
    <w:p>
      <w:pPr>
        <w:spacing w:after="0" w:line="260" w:lineRule="auto"/>
        <w:rPr>
          <w:sz w:val="20"/>
          <w:szCs w:val="20"/>
          <w:color w:val="auto"/>
        </w:rPr>
      </w:pPr>
      <w:r>
        <w:rPr>
          <w:rFonts w:ascii="Arial" w:cs="Arial" w:eastAsia="Arial" w:hAnsi="Arial"/>
          <w:sz w:val="18"/>
          <w:szCs w:val="18"/>
          <w:color w:val="auto"/>
        </w:rPr>
        <w:t>In consideration of the premises and the mutual promises in this Amendment, which are acknowledged to be sufficient, Bank, Ally, Dealership and Vroom agree to the following:</w:t>
      </w:r>
    </w:p>
    <w:p>
      <w:pPr>
        <w:spacing w:after="0" w:line="159" w:lineRule="exact"/>
        <w:rPr>
          <w:rFonts w:ascii="Arial" w:cs="Arial" w:eastAsia="Arial" w:hAnsi="Arial"/>
          <w:sz w:val="14"/>
          <w:szCs w:val="14"/>
          <w:color w:val="auto"/>
        </w:rPr>
      </w:pPr>
    </w:p>
    <w:p>
      <w:pPr>
        <w:ind w:left="580" w:hanging="557"/>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Capitalized terms used but not defined herein have the meanings given to them in the IFSA.</w:t>
      </w:r>
    </w:p>
    <w:p>
      <w:pPr>
        <w:spacing w:after="0" w:line="238" w:lineRule="exact"/>
        <w:rPr>
          <w:rFonts w:ascii="Arial" w:cs="Arial" w:eastAsia="Arial" w:hAnsi="Arial"/>
          <w:sz w:val="18"/>
          <w:szCs w:val="18"/>
          <w:color w:val="auto"/>
        </w:rPr>
      </w:pPr>
    </w:p>
    <w:p>
      <w:pPr>
        <w:ind w:left="580" w:hanging="557"/>
        <w:spacing w:after="0" w:line="216" w:lineRule="exact"/>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III.A.7(iii) of the IFSA is deleted and replaced with the following: “(iii) that are of the then</w:t>
      </w:r>
      <w:r>
        <w:rPr>
          <w:rFonts w:ascii="MS PGothic" w:cs="MS PGothic" w:eastAsia="MS PGothic" w:hAnsi="MS PGothic"/>
          <w:sz w:val="18"/>
          <w:szCs w:val="18"/>
          <w:color w:val="auto"/>
        </w:rPr>
        <w:t>‑</w:t>
      </w:r>
      <w:r>
        <w:rPr>
          <w:rFonts w:ascii="Arial" w:cs="Arial" w:eastAsia="Arial" w:hAnsi="Arial"/>
          <w:sz w:val="18"/>
          <w:szCs w:val="18"/>
          <w:color w:val="auto"/>
        </w:rPr>
        <w:t>current model year, or eleven previous model years; and”</w:t>
      </w:r>
    </w:p>
    <w:p>
      <w:pPr>
        <w:spacing w:after="0" w:line="216" w:lineRule="exact"/>
        <w:rPr>
          <w:rFonts w:ascii="Arial" w:cs="Arial" w:eastAsia="Arial" w:hAnsi="Arial"/>
          <w:sz w:val="18"/>
          <w:szCs w:val="18"/>
          <w:color w:val="auto"/>
        </w:rPr>
      </w:pPr>
    </w:p>
    <w:p>
      <w:pPr>
        <w:ind w:left="580" w:hanging="557"/>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III.A.8 of the IFSA is deleted and replaced with the following:</w:t>
      </w:r>
    </w:p>
    <w:p>
      <w:pPr>
        <w:spacing w:after="0" w:line="239" w:lineRule="exact"/>
        <w:rPr>
          <w:rFonts w:ascii="Arial" w:cs="Arial" w:eastAsia="Arial" w:hAnsi="Arial"/>
          <w:sz w:val="14"/>
          <w:szCs w:val="14"/>
          <w:color w:val="auto"/>
        </w:rPr>
      </w:pPr>
    </w:p>
    <w:p>
      <w:pPr>
        <w:ind w:left="1140" w:hanging="563"/>
        <w:spacing w:after="0" w:line="24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Advance Floorplan Accommodation</w:t>
      </w:r>
      <w:r>
        <w:rPr>
          <w:rFonts w:ascii="Arial" w:cs="Arial" w:eastAsia="Arial" w:hAnsi="Arial"/>
          <w:sz w:val="18"/>
          <w:szCs w:val="18"/>
          <w:color w:val="auto"/>
        </w:rPr>
        <w:t>. The Ally Parties will allow Dealership to obtain Inventory Financing on Vehicles for which Dealership does not then hold a lien-free title (the “Advance Floorplan Accommodation”), subject to the following:</w:t>
      </w:r>
    </w:p>
    <w:p>
      <w:pPr>
        <w:spacing w:after="0" w:line="1" w:lineRule="exact"/>
        <w:rPr>
          <w:rFonts w:ascii="Arial" w:cs="Arial" w:eastAsia="Arial" w:hAnsi="Arial"/>
          <w:sz w:val="18"/>
          <w:szCs w:val="18"/>
          <w:color w:val="auto"/>
        </w:rPr>
      </w:pPr>
    </w:p>
    <w:p>
      <w:pPr>
        <w:ind w:left="1700" w:hanging="554"/>
        <w:spacing w:after="0" w:line="234" w:lineRule="auto"/>
        <w:tabs>
          <w:tab w:leader="none" w:pos="1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Advance Floorplan Accommodation is available only when:</w:t>
      </w:r>
    </w:p>
    <w:p>
      <w:pPr>
        <w:spacing w:after="0" w:line="1" w:lineRule="exact"/>
        <w:rPr>
          <w:rFonts w:ascii="Arial" w:cs="Arial" w:eastAsia="Arial" w:hAnsi="Arial"/>
          <w:sz w:val="14"/>
          <w:szCs w:val="14"/>
          <w:color w:val="auto"/>
        </w:rPr>
      </w:pPr>
    </w:p>
    <w:p>
      <w:pPr>
        <w:ind w:left="1920"/>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10.1</w:t>
      </w:r>
    </w:p>
    <w:p>
      <w:pPr>
        <w:spacing w:after="0" w:line="19" w:lineRule="exact"/>
        <w:rPr>
          <w:sz w:val="20"/>
          <w:szCs w:val="20"/>
          <w:color w:val="auto"/>
        </w:rPr>
      </w:pPr>
    </w:p>
    <w:p>
      <w:pPr>
        <w:ind w:left="2080" w:hanging="380"/>
        <w:spacing w:after="0"/>
        <w:tabs>
          <w:tab w:leader="none" w:pos="2080" w:val="left"/>
        </w:tabs>
        <w:numPr>
          <w:ilvl w:val="4"/>
          <w:numId w:val="31"/>
        </w:numPr>
        <w:rPr>
          <w:rFonts w:ascii="Arial" w:cs="Arial" w:eastAsia="Arial" w:hAnsi="Arial"/>
          <w:sz w:val="18"/>
          <w:szCs w:val="18"/>
          <w:color w:val="auto"/>
        </w:rPr>
      </w:pPr>
      <w:r>
        <w:rPr>
          <w:rFonts w:ascii="Arial" w:cs="Arial" w:eastAsia="Arial" w:hAnsi="Arial"/>
          <w:sz w:val="18"/>
          <w:szCs w:val="18"/>
          <w:color w:val="auto"/>
        </w:rPr>
        <w:t>Dealership owns the Vehicle, and it is not in process of being sold;</w:t>
      </w:r>
    </w:p>
    <w:p>
      <w:pPr>
        <w:jc w:val="both"/>
        <w:ind w:left="2080" w:hanging="380"/>
        <w:spacing w:after="0" w:line="234" w:lineRule="auto"/>
        <w:tabs>
          <w:tab w:leader="none" w:pos="2080" w:val="left"/>
        </w:tabs>
        <w:numPr>
          <w:ilvl w:val="4"/>
          <w:numId w:val="31"/>
        </w:numPr>
        <w:rPr>
          <w:rFonts w:ascii="Arial" w:cs="Arial" w:eastAsia="Arial" w:hAnsi="Arial"/>
          <w:sz w:val="18"/>
          <w:szCs w:val="18"/>
          <w:color w:val="auto"/>
        </w:rPr>
      </w:pPr>
      <w:r>
        <w:rPr>
          <w:rFonts w:ascii="Arial" w:cs="Arial" w:eastAsia="Arial" w:hAnsi="Arial"/>
          <w:sz w:val="18"/>
          <w:szCs w:val="18"/>
          <w:color w:val="auto"/>
        </w:rPr>
        <w:t>the Vehicle is subject to a lien noted on the certificate of title by the financial institution that provided retail credit accommodations for the prior owner, and no other lien is noted on the title or otherwise exists (to the knowledge of Dealership);</w:t>
      </w:r>
    </w:p>
    <w:p>
      <w:pPr>
        <w:spacing w:after="0" w:line="2" w:lineRule="exact"/>
        <w:rPr>
          <w:rFonts w:ascii="Arial" w:cs="Arial" w:eastAsia="Arial" w:hAnsi="Arial"/>
          <w:sz w:val="18"/>
          <w:szCs w:val="18"/>
          <w:color w:val="auto"/>
        </w:rPr>
      </w:pPr>
    </w:p>
    <w:p>
      <w:pPr>
        <w:ind w:left="2080" w:hanging="380"/>
        <w:spacing w:after="0" w:line="234" w:lineRule="auto"/>
        <w:tabs>
          <w:tab w:leader="none" w:pos="2080" w:val="left"/>
        </w:tabs>
        <w:numPr>
          <w:ilvl w:val="4"/>
          <w:numId w:val="31"/>
        </w:numPr>
        <w:rPr>
          <w:rFonts w:ascii="Arial" w:cs="Arial" w:eastAsia="Arial" w:hAnsi="Arial"/>
          <w:sz w:val="18"/>
          <w:szCs w:val="18"/>
          <w:color w:val="auto"/>
        </w:rPr>
      </w:pPr>
      <w:r>
        <w:rPr>
          <w:rFonts w:ascii="Arial" w:cs="Arial" w:eastAsia="Arial" w:hAnsi="Arial"/>
          <w:sz w:val="18"/>
          <w:szCs w:val="18"/>
          <w:color w:val="auto"/>
        </w:rPr>
        <w:t>Dealership remits payment to that lienholder to discharge the retail lien upon or before requesting a floorplan advance for the Vehicle from the Ally Parties;</w:t>
      </w:r>
    </w:p>
    <w:p>
      <w:pPr>
        <w:spacing w:after="0" w:line="1" w:lineRule="exact"/>
        <w:rPr>
          <w:rFonts w:ascii="Arial" w:cs="Arial" w:eastAsia="Arial" w:hAnsi="Arial"/>
          <w:sz w:val="18"/>
          <w:szCs w:val="18"/>
          <w:color w:val="auto"/>
        </w:rPr>
      </w:pPr>
    </w:p>
    <w:p>
      <w:pPr>
        <w:ind w:left="2080" w:hanging="380"/>
        <w:spacing w:after="0" w:line="234" w:lineRule="auto"/>
        <w:tabs>
          <w:tab w:leader="none" w:pos="2080" w:val="left"/>
        </w:tabs>
        <w:numPr>
          <w:ilvl w:val="4"/>
          <w:numId w:val="31"/>
        </w:numPr>
        <w:rPr>
          <w:rFonts w:ascii="Arial" w:cs="Arial" w:eastAsia="Arial" w:hAnsi="Arial"/>
          <w:sz w:val="18"/>
          <w:szCs w:val="18"/>
          <w:color w:val="auto"/>
        </w:rPr>
      </w:pPr>
      <w:r>
        <w:rPr>
          <w:rFonts w:ascii="Arial" w:cs="Arial" w:eastAsia="Arial" w:hAnsi="Arial"/>
          <w:sz w:val="18"/>
          <w:szCs w:val="18"/>
          <w:color w:val="auto"/>
        </w:rPr>
        <w:t>the floorplan proceeds are remitted directly to Dealership;</w:t>
      </w:r>
    </w:p>
    <w:p>
      <w:pPr>
        <w:ind w:left="2080" w:hanging="380"/>
        <w:spacing w:after="0" w:line="234" w:lineRule="auto"/>
        <w:tabs>
          <w:tab w:leader="none" w:pos="2080" w:val="left"/>
        </w:tabs>
        <w:numPr>
          <w:ilvl w:val="4"/>
          <w:numId w:val="31"/>
        </w:numPr>
        <w:rPr>
          <w:rFonts w:ascii="Arial" w:cs="Arial" w:eastAsia="Arial" w:hAnsi="Arial"/>
          <w:sz w:val="18"/>
          <w:szCs w:val="18"/>
          <w:color w:val="auto"/>
        </w:rPr>
      </w:pPr>
      <w:r>
        <w:rPr>
          <w:rFonts w:ascii="Arial" w:cs="Arial" w:eastAsia="Arial" w:hAnsi="Arial"/>
          <w:sz w:val="18"/>
          <w:szCs w:val="18"/>
          <w:color w:val="auto"/>
        </w:rPr>
        <w:t>the Vehicle’s title is lien-free within [***] calendar days of the original floorplan advance date;</w:t>
      </w:r>
    </w:p>
    <w:p>
      <w:pPr>
        <w:ind w:left="2080" w:hanging="380"/>
        <w:spacing w:after="0" w:line="234" w:lineRule="auto"/>
        <w:tabs>
          <w:tab w:leader="none" w:pos="2080" w:val="left"/>
        </w:tabs>
        <w:numPr>
          <w:ilvl w:val="4"/>
          <w:numId w:val="31"/>
        </w:numPr>
        <w:rPr>
          <w:rFonts w:ascii="Arial" w:cs="Arial" w:eastAsia="Arial" w:hAnsi="Arial"/>
          <w:sz w:val="18"/>
          <w:szCs w:val="18"/>
          <w:color w:val="auto"/>
        </w:rPr>
      </w:pPr>
      <w:r>
        <w:rPr>
          <w:rFonts w:ascii="Arial" w:cs="Arial" w:eastAsia="Arial" w:hAnsi="Arial"/>
          <w:sz w:val="18"/>
          <w:szCs w:val="18"/>
          <w:color w:val="auto"/>
        </w:rPr>
        <w:t>the aggregate amount advanced and outstanding under this provision from time to time shall not exceed the greater of (1) 12.5% of the then-applicable Monthly Floorplan Allowance, or (2) $40,000,000; and</w:t>
      </w:r>
    </w:p>
    <w:p>
      <w:pPr>
        <w:spacing w:after="0" w:line="1" w:lineRule="exact"/>
        <w:rPr>
          <w:rFonts w:ascii="Arial" w:cs="Arial" w:eastAsia="Arial" w:hAnsi="Arial"/>
          <w:sz w:val="18"/>
          <w:szCs w:val="18"/>
          <w:color w:val="auto"/>
        </w:rPr>
      </w:pPr>
    </w:p>
    <w:p>
      <w:pPr>
        <w:ind w:left="2080" w:hanging="380"/>
        <w:spacing w:after="0"/>
        <w:tabs>
          <w:tab w:leader="none" w:pos="2080" w:val="left"/>
        </w:tabs>
        <w:numPr>
          <w:ilvl w:val="4"/>
          <w:numId w:val="31"/>
        </w:numPr>
        <w:rPr>
          <w:rFonts w:ascii="Arial" w:cs="Arial" w:eastAsia="Arial" w:hAnsi="Arial"/>
          <w:sz w:val="18"/>
          <w:szCs w:val="18"/>
          <w:color w:val="auto"/>
        </w:rPr>
      </w:pPr>
      <w:r>
        <w:rPr>
          <w:rFonts w:ascii="Arial" w:cs="Arial" w:eastAsia="Arial" w:hAnsi="Arial"/>
          <w:sz w:val="18"/>
          <w:szCs w:val="18"/>
          <w:color w:val="auto"/>
        </w:rPr>
        <w:t>Dealership is in full compliance with all terms of this Section III.A.8.</w:t>
      </w:r>
    </w:p>
    <w:p>
      <w:pPr>
        <w:spacing w:after="0" w:line="226" w:lineRule="exact"/>
        <w:rPr>
          <w:rFonts w:ascii="Arial" w:cs="Arial" w:eastAsia="Arial" w:hAnsi="Arial"/>
          <w:sz w:val="18"/>
          <w:szCs w:val="18"/>
          <w:color w:val="auto"/>
        </w:rPr>
      </w:pPr>
    </w:p>
    <w:p>
      <w:pPr>
        <w:jc w:val="both"/>
        <w:ind w:left="1700" w:hanging="554"/>
        <w:spacing w:after="0" w:line="241" w:lineRule="auto"/>
        <w:tabs>
          <w:tab w:leader="none" w:pos="1700" w:val="left"/>
        </w:tabs>
        <w:numPr>
          <w:ilvl w:val="3"/>
          <w:numId w:val="32"/>
        </w:numPr>
        <w:rPr>
          <w:rFonts w:ascii="Arial" w:cs="Arial" w:eastAsia="Arial" w:hAnsi="Arial"/>
          <w:sz w:val="18"/>
          <w:szCs w:val="18"/>
          <w:color w:val="auto"/>
        </w:rPr>
      </w:pPr>
      <w:r>
        <w:rPr>
          <w:rFonts w:ascii="Arial" w:cs="Arial" w:eastAsia="Arial" w:hAnsi="Arial"/>
          <w:sz w:val="18"/>
          <w:szCs w:val="18"/>
          <w:color w:val="auto"/>
        </w:rPr>
        <w:t>Whenever the amount outstanding under the Advance Floorplan Accommodation exceeds 12.5% of the Monthly Floorplan Allowance, Dealership will maintain (additional) Credit Balance on a restricted basis under the CBA in an amount equal to at least 50% of the amount of such excess. The amount outstanding under the Advance Floorplan Accommodation that exceeds 12.5% of the Monthly Floorplan Allowance will be referred to as the “AFA Excess,” and 50% of the AFA Excess will be referred to as the “AFA Excess CBA Requirement.”</w:t>
      </w:r>
    </w:p>
    <w:p>
      <w:pPr>
        <w:spacing w:after="0" w:line="216" w:lineRule="exact"/>
        <w:rPr>
          <w:rFonts w:ascii="Arial" w:cs="Arial" w:eastAsia="Arial" w:hAnsi="Arial"/>
          <w:sz w:val="18"/>
          <w:szCs w:val="18"/>
          <w:color w:val="auto"/>
        </w:rPr>
      </w:pPr>
    </w:p>
    <w:p>
      <w:pPr>
        <w:jc w:val="both"/>
        <w:ind w:left="1700" w:hanging="554"/>
        <w:spacing w:after="0" w:line="241" w:lineRule="auto"/>
        <w:tabs>
          <w:tab w:leader="none" w:pos="1700" w:val="left"/>
        </w:tabs>
        <w:numPr>
          <w:ilvl w:val="3"/>
          <w:numId w:val="32"/>
        </w:numPr>
        <w:rPr>
          <w:rFonts w:ascii="Arial" w:cs="Arial" w:eastAsia="Arial" w:hAnsi="Arial"/>
          <w:sz w:val="18"/>
          <w:szCs w:val="18"/>
          <w:color w:val="auto"/>
        </w:rPr>
      </w:pPr>
      <w:r>
        <w:rPr>
          <w:rFonts w:ascii="Arial" w:cs="Arial" w:eastAsia="Arial" w:hAnsi="Arial"/>
          <w:sz w:val="18"/>
          <w:szCs w:val="18"/>
          <w:color w:val="auto"/>
        </w:rPr>
        <w:t>The Advance Floorplan Accommodation is provided by the Ally Parties in their sole discretion, and is subject to Dealership’s compliance with the terms of this program; provided, that the Ally Parties shall provide five (5) business days’ notice of their election to rescind such Advance Floorplan Accommodation. Dealership’s compliance is validated at the time of floorplan audits. The Ally Parties reserve the right to rescind Advance Floorplan Accommodation promptly based on evidence of Dealership’s non-compliance.</w:t>
      </w:r>
    </w:p>
    <w:p>
      <w:pPr>
        <w:spacing w:after="0" w:line="216" w:lineRule="exact"/>
        <w:rPr>
          <w:rFonts w:ascii="Arial" w:cs="Arial" w:eastAsia="Arial" w:hAnsi="Arial"/>
          <w:sz w:val="18"/>
          <w:szCs w:val="18"/>
          <w:color w:val="auto"/>
        </w:rPr>
      </w:pPr>
    </w:p>
    <w:p>
      <w:pPr>
        <w:ind w:left="580" w:hanging="557"/>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Section III.G.4 of the IFSA is deleted and replaced with the following:</w:t>
      </w:r>
    </w:p>
    <w:p>
      <w:pPr>
        <w:spacing w:after="0" w:line="238" w:lineRule="exact"/>
        <w:rPr>
          <w:rFonts w:ascii="Arial" w:cs="Arial" w:eastAsia="Arial" w:hAnsi="Arial"/>
          <w:sz w:val="18"/>
          <w:szCs w:val="18"/>
          <w:color w:val="auto"/>
        </w:rPr>
      </w:pPr>
    </w:p>
    <w:p>
      <w:pPr>
        <w:jc w:val="both"/>
        <w:ind w:left="1140" w:hanging="533"/>
        <w:spacing w:after="0" w:line="241" w:lineRule="auto"/>
        <w:tabs>
          <w:tab w:leader="none" w:pos="11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Dealership and Vroom will comply in all material respects with all of Dealership’s obligations under the Third Amended and Restated Credit Balance Agreement entered into contemporaneously with this Agreement (and any amendments or modifications to such agreement) (as amended, the “CBA”), including, but not limited to, maintaining a Minimum Required Balance (as defined in the CBA) equal to: (a) 15.0% of the daily floorplan principal balance outstanding, plus (b) the AFA Excess CBA Requirement.</w:t>
      </w:r>
    </w:p>
    <w:p>
      <w:pPr>
        <w:spacing w:after="0" w:line="216" w:lineRule="exact"/>
        <w:rPr>
          <w:rFonts w:ascii="Arial" w:cs="Arial" w:eastAsia="Arial" w:hAnsi="Arial"/>
          <w:sz w:val="18"/>
          <w:szCs w:val="18"/>
          <w:color w:val="auto"/>
        </w:rPr>
      </w:pPr>
    </w:p>
    <w:p>
      <w:pPr>
        <w:jc w:val="both"/>
        <w:ind w:left="580" w:hanging="557"/>
        <w:spacing w:after="0" w:line="24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provided above, the IFSA and all other agreements between each of the Ally Parties and Dealership and Vroom remain in full force and effect as written. In the event of a conflict between the terms of the IFSA and this Amendment, the terms of this Amendment prevail. The parties hereto ratify all terms of the IFSA as amended by the Amendment.</w:t>
      </w:r>
    </w:p>
    <w:p>
      <w:pPr>
        <w:spacing w:after="0" w:line="211" w:lineRule="exact"/>
        <w:rPr>
          <w:rFonts w:ascii="Arial" w:cs="Arial" w:eastAsia="Arial" w:hAnsi="Arial"/>
          <w:sz w:val="18"/>
          <w:szCs w:val="18"/>
          <w:color w:val="auto"/>
        </w:rPr>
      </w:pPr>
    </w:p>
    <w:p>
      <w:pPr>
        <w:ind w:left="580" w:hanging="557"/>
        <w:spacing w:after="0" w:line="260"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provision of this Amendment is held to be invalid or unenforceable by a court of competent jurisdiction, all other provisions remain valid and enforceable.</w:t>
      </w:r>
    </w:p>
    <w:p>
      <w:pPr>
        <w:spacing w:after="0" w:line="199" w:lineRule="exact"/>
        <w:rPr>
          <w:rFonts w:ascii="Arial" w:cs="Arial" w:eastAsia="Arial" w:hAnsi="Arial"/>
          <w:sz w:val="18"/>
          <w:szCs w:val="18"/>
          <w:color w:val="auto"/>
        </w:rPr>
      </w:pPr>
    </w:p>
    <w:p>
      <w:pPr>
        <w:ind w:left="580" w:hanging="557"/>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Amendment:</w:t>
      </w:r>
    </w:p>
    <w:p>
      <w:pPr>
        <w:spacing w:after="0" w:line="238" w:lineRule="exact"/>
        <w:rPr>
          <w:rFonts w:ascii="Arial" w:cs="Arial" w:eastAsia="Arial" w:hAnsi="Arial"/>
          <w:sz w:val="18"/>
          <w:szCs w:val="18"/>
          <w:color w:val="auto"/>
        </w:rPr>
      </w:pPr>
    </w:p>
    <w:p>
      <w:pPr>
        <w:ind w:left="1140" w:hanging="563"/>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May be modified only by a writing signed by all parties.</w:t>
      </w:r>
    </w:p>
    <w:p>
      <w:pPr>
        <w:spacing w:after="0" w:line="238" w:lineRule="exact"/>
        <w:rPr>
          <w:rFonts w:ascii="Arial" w:cs="Arial" w:eastAsia="Arial" w:hAnsi="Arial"/>
          <w:sz w:val="18"/>
          <w:szCs w:val="18"/>
          <w:color w:val="auto"/>
        </w:rPr>
      </w:pPr>
    </w:p>
    <w:p>
      <w:pPr>
        <w:jc w:val="both"/>
        <w:ind w:left="1140" w:hanging="563"/>
        <w:spacing w:after="0" w:line="239"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May be signed in counterparts, each of which is deemed an original, and all of which taken together constitute one and the same agreement. The signatures of the parties, exchanged via fax or e-mail, shall constitute and be deemed original signatures for all purposes.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w:t>
      </w:r>
      <w:r>
        <w:rPr>
          <w:rFonts w:ascii="Arial" w:cs="Arial" w:eastAsia="Arial" w:hAnsi="Arial"/>
          <w:sz w:val="9"/>
          <w:szCs w:val="9"/>
          <w:color w:val="auto"/>
        </w:rPr>
        <w:t>irst</w:t>
      </w:r>
      <w:r>
        <w:rPr>
          <w:rFonts w:ascii="Arial" w:cs="Arial" w:eastAsia="Arial" w:hAnsi="Arial"/>
          <w:sz w:val="14"/>
          <w:szCs w:val="14"/>
          <w:color w:val="auto"/>
        </w:rPr>
        <w:t xml:space="preserve"> A</w:t>
      </w:r>
      <w:r>
        <w:rPr>
          <w:rFonts w:ascii="Arial" w:cs="Arial" w:eastAsia="Arial" w:hAnsi="Arial"/>
          <w:sz w:val="9"/>
          <w:szCs w:val="9"/>
          <w:color w:val="auto"/>
        </w:rPr>
        <w:t>mendment to</w:t>
      </w:r>
      <w:r>
        <w:rPr>
          <w:rFonts w:ascii="Arial" w:cs="Arial" w:eastAsia="Arial" w:hAnsi="Arial"/>
          <w:sz w:val="14"/>
          <w:szCs w:val="14"/>
          <w:color w:val="auto"/>
        </w:rPr>
        <w:t xml:space="preserve"> A&amp;R IFSA </w:t>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10.1</w:t>
      </w:r>
    </w:p>
    <w:p>
      <w:pPr>
        <w:spacing w:after="0" w:line="254" w:lineRule="exact"/>
        <w:rPr>
          <w:sz w:val="20"/>
          <w:szCs w:val="20"/>
          <w:color w:val="auto"/>
        </w:rPr>
      </w:pPr>
    </w:p>
    <w:p>
      <w:pPr>
        <w:ind w:left="1140" w:hanging="56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Binds and inures to the benefit of the parties and their respective successors and assigns.</w:t>
      </w:r>
    </w:p>
    <w:p>
      <w:pPr>
        <w:spacing w:after="0" w:line="238" w:lineRule="exact"/>
        <w:rPr>
          <w:rFonts w:ascii="Arial" w:cs="Arial" w:eastAsia="Arial" w:hAnsi="Arial"/>
          <w:sz w:val="18"/>
          <w:szCs w:val="18"/>
          <w:color w:val="auto"/>
        </w:rPr>
      </w:pPr>
    </w:p>
    <w:p>
      <w:pPr>
        <w:ind w:left="1140" w:hanging="56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Constitutes the entire agreement of the parties with respect to its subject matter.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60" w:type="dxa"/>
            <w:vAlign w:val="bottom"/>
            <w:gridSpan w:val="6"/>
          </w:tcPr>
          <w:p>
            <w:pPr>
              <w:spacing w:after="0"/>
              <w:rPr>
                <w:sz w:val="20"/>
                <w:szCs w:val="20"/>
                <w:color w:val="auto"/>
              </w:rPr>
            </w:pPr>
            <w:r>
              <w:rPr>
                <w:rFonts w:ascii="Arial" w:cs="Arial" w:eastAsia="Arial" w:hAnsi="Arial"/>
                <w:sz w:val="18"/>
                <w:szCs w:val="18"/>
                <w:color w:val="auto"/>
              </w:rPr>
              <w:t>Agreed to as of August 1, 2023.</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98"/>
        </w:trPr>
        <w:tc>
          <w:tcPr>
            <w:tcW w:w="2660" w:type="dxa"/>
            <w:vAlign w:val="bottom"/>
            <w:gridSpan w:val="6"/>
          </w:tcPr>
          <w:p>
            <w:pPr>
              <w:ind w:left="100"/>
              <w:spacing w:after="0"/>
              <w:rPr>
                <w:sz w:val="20"/>
                <w:szCs w:val="20"/>
                <w:color w:val="auto"/>
              </w:rPr>
            </w:pPr>
            <w:r>
              <w:rPr>
                <w:rFonts w:ascii="Arial" w:cs="Arial" w:eastAsia="Arial" w:hAnsi="Arial"/>
                <w:sz w:val="18"/>
                <w:szCs w:val="18"/>
                <w:b w:val="1"/>
                <w:bCs w:val="1"/>
                <w:color w:val="auto"/>
              </w:rPr>
              <w:t>Ally Bank</w:t>
            </w:r>
          </w:p>
        </w:tc>
        <w:tc>
          <w:tcPr>
            <w:tcW w:w="5300" w:type="dxa"/>
            <w:vAlign w:val="bottom"/>
            <w:gridSpan w:val="5"/>
          </w:tcPr>
          <w:p>
            <w:pPr>
              <w:ind w:left="3060"/>
              <w:spacing w:after="0"/>
              <w:rPr>
                <w:sz w:val="20"/>
                <w:szCs w:val="20"/>
                <w:color w:val="auto"/>
              </w:rPr>
            </w:pPr>
            <w:r>
              <w:rPr>
                <w:rFonts w:ascii="Arial" w:cs="Arial" w:eastAsia="Arial" w:hAnsi="Arial"/>
                <w:sz w:val="18"/>
                <w:szCs w:val="18"/>
                <w:b w:val="1"/>
                <w:bCs w:val="1"/>
                <w:color w:val="auto"/>
              </w:rPr>
              <w:t>Vroom Automotive, LLC</w:t>
            </w:r>
          </w:p>
        </w:tc>
      </w:tr>
      <w:tr>
        <w:trPr>
          <w:trHeight w:val="353"/>
        </w:trPr>
        <w:tc>
          <w:tcPr>
            <w:tcW w:w="2660" w:type="dxa"/>
            <w:vAlign w:val="bottom"/>
            <w:gridSpan w:val="6"/>
          </w:tcPr>
          <w:p>
            <w:pPr>
              <w:ind w:left="100"/>
              <w:spacing w:after="0"/>
              <w:rPr>
                <w:sz w:val="20"/>
                <w:szCs w:val="20"/>
                <w:color w:val="auto"/>
              </w:rPr>
            </w:pPr>
            <w:r>
              <w:rPr>
                <w:rFonts w:ascii="Arial" w:cs="Arial" w:eastAsia="Arial" w:hAnsi="Arial"/>
                <w:sz w:val="18"/>
                <w:szCs w:val="18"/>
                <w:color w:val="auto"/>
              </w:rPr>
              <w:t>By: /s/ Greg Walters</w:t>
            </w:r>
          </w:p>
        </w:tc>
        <w:tc>
          <w:tcPr>
            <w:tcW w:w="5300" w:type="dxa"/>
            <w:vAlign w:val="bottom"/>
            <w:gridSpan w:val="5"/>
          </w:tcPr>
          <w:p>
            <w:pPr>
              <w:ind w:left="3060"/>
              <w:spacing w:after="0"/>
              <w:rPr>
                <w:sz w:val="20"/>
                <w:szCs w:val="20"/>
                <w:color w:val="auto"/>
              </w:rPr>
            </w:pPr>
            <w:r>
              <w:rPr>
                <w:rFonts w:ascii="Arial" w:cs="Arial" w:eastAsia="Arial" w:hAnsi="Arial"/>
                <w:sz w:val="18"/>
                <w:szCs w:val="18"/>
                <w:color w:val="auto"/>
              </w:rPr>
              <w:t>By: /s/ Robert R. Krakowiak</w:t>
            </w:r>
          </w:p>
        </w:tc>
      </w:tr>
      <w:tr>
        <w:trPr>
          <w:trHeight w:val="20"/>
        </w:trPr>
        <w:tc>
          <w:tcPr>
            <w:tcW w:w="48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2660" w:type="dxa"/>
            <w:vAlign w:val="bottom"/>
            <w:gridSpan w:val="6"/>
          </w:tcPr>
          <w:p>
            <w:pPr>
              <w:ind w:left="100"/>
              <w:spacing w:after="0"/>
              <w:rPr>
                <w:sz w:val="20"/>
                <w:szCs w:val="20"/>
                <w:color w:val="auto"/>
              </w:rPr>
            </w:pPr>
            <w:r>
              <w:rPr>
                <w:rFonts w:ascii="Arial" w:cs="Arial" w:eastAsia="Arial" w:hAnsi="Arial"/>
                <w:sz w:val="18"/>
                <w:szCs w:val="18"/>
                <w:color w:val="auto"/>
              </w:rPr>
              <w:t>Name: Greg Walters</w:t>
            </w:r>
          </w:p>
        </w:tc>
        <w:tc>
          <w:tcPr>
            <w:tcW w:w="5300" w:type="dxa"/>
            <w:vAlign w:val="bottom"/>
            <w:gridSpan w:val="5"/>
          </w:tcPr>
          <w:p>
            <w:pPr>
              <w:ind w:left="3060"/>
              <w:spacing w:after="0"/>
              <w:rPr>
                <w:sz w:val="20"/>
                <w:szCs w:val="20"/>
                <w:color w:val="auto"/>
              </w:rPr>
            </w:pPr>
            <w:r>
              <w:rPr>
                <w:rFonts w:ascii="Arial" w:cs="Arial" w:eastAsia="Arial" w:hAnsi="Arial"/>
                <w:sz w:val="18"/>
                <w:szCs w:val="18"/>
                <w:color w:val="auto"/>
                <w:w w:val="99"/>
              </w:rPr>
              <w:t>Name: Robert R. Krakowiak</w:t>
            </w: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385"/>
        </w:trPr>
        <w:tc>
          <w:tcPr>
            <w:tcW w:w="2660" w:type="dxa"/>
            <w:vAlign w:val="bottom"/>
            <w:gridSpan w:val="6"/>
          </w:tcPr>
          <w:p>
            <w:pPr>
              <w:ind w:left="100"/>
              <w:spacing w:after="0"/>
              <w:rPr>
                <w:sz w:val="20"/>
                <w:szCs w:val="20"/>
                <w:color w:val="auto"/>
              </w:rPr>
            </w:pPr>
            <w:r>
              <w:rPr>
                <w:rFonts w:ascii="Arial" w:cs="Arial" w:eastAsia="Arial" w:hAnsi="Arial"/>
                <w:sz w:val="18"/>
                <w:szCs w:val="18"/>
                <w:color w:val="auto"/>
                <w:w w:val="99"/>
              </w:rPr>
              <w:t>Title: Authorized Representative</w:t>
            </w:r>
          </w:p>
        </w:tc>
        <w:tc>
          <w:tcPr>
            <w:tcW w:w="5300" w:type="dxa"/>
            <w:vAlign w:val="bottom"/>
            <w:gridSpan w:val="5"/>
          </w:tcPr>
          <w:p>
            <w:pPr>
              <w:ind w:left="3060"/>
              <w:spacing w:after="0"/>
              <w:rPr>
                <w:sz w:val="20"/>
                <w:szCs w:val="20"/>
                <w:color w:val="auto"/>
              </w:rPr>
            </w:pPr>
            <w:r>
              <w:rPr>
                <w:rFonts w:ascii="Arial" w:cs="Arial" w:eastAsia="Arial" w:hAnsi="Arial"/>
                <w:sz w:val="18"/>
                <w:szCs w:val="18"/>
                <w:color w:val="auto"/>
              </w:rPr>
              <w:t>Title: Chief Financial Officer</w:t>
            </w:r>
          </w:p>
        </w:tc>
      </w:tr>
      <w:tr>
        <w:trPr>
          <w:trHeight w:val="20"/>
        </w:trPr>
        <w:tc>
          <w:tcPr>
            <w:tcW w:w="4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2660" w:type="dxa"/>
            <w:vAlign w:val="bottom"/>
            <w:gridSpan w:val="6"/>
          </w:tcPr>
          <w:p>
            <w:pPr>
              <w:ind w:left="100"/>
              <w:spacing w:after="0"/>
              <w:rPr>
                <w:sz w:val="20"/>
                <w:szCs w:val="20"/>
                <w:color w:val="auto"/>
              </w:rPr>
            </w:pPr>
            <w:r>
              <w:rPr>
                <w:rFonts w:ascii="Arial" w:cs="Arial" w:eastAsia="Arial" w:hAnsi="Arial"/>
                <w:sz w:val="18"/>
                <w:szCs w:val="18"/>
                <w:color w:val="auto"/>
              </w:rPr>
              <w:t>Date: 8/7/2023</w:t>
            </w:r>
          </w:p>
        </w:tc>
        <w:tc>
          <w:tcPr>
            <w:tcW w:w="5300" w:type="dxa"/>
            <w:vAlign w:val="bottom"/>
            <w:gridSpan w:val="5"/>
          </w:tcPr>
          <w:p>
            <w:pPr>
              <w:ind w:left="3060"/>
              <w:spacing w:after="0"/>
              <w:rPr>
                <w:sz w:val="20"/>
                <w:szCs w:val="20"/>
                <w:color w:val="auto"/>
              </w:rPr>
            </w:pPr>
            <w:r>
              <w:rPr>
                <w:rFonts w:ascii="Arial" w:cs="Arial" w:eastAsia="Arial" w:hAnsi="Arial"/>
                <w:sz w:val="18"/>
                <w:szCs w:val="18"/>
                <w:color w:val="auto"/>
              </w:rPr>
              <w:t>Date: 8/7/2023</w:t>
            </w:r>
          </w:p>
        </w:tc>
      </w:tr>
      <w:tr>
        <w:trPr>
          <w:trHeight w:val="20"/>
        </w:trPr>
        <w:tc>
          <w:tcPr>
            <w:tcW w:w="4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660" w:type="dxa"/>
            <w:vAlign w:val="bottom"/>
            <w:gridSpan w:val="7"/>
          </w:tcPr>
          <w:p>
            <w:pPr>
              <w:ind w:left="100"/>
              <w:spacing w:after="0"/>
              <w:rPr>
                <w:sz w:val="20"/>
                <w:szCs w:val="20"/>
                <w:color w:val="auto"/>
              </w:rPr>
            </w:pPr>
            <w:r>
              <w:rPr>
                <w:rFonts w:ascii="Arial" w:cs="Arial" w:eastAsia="Arial" w:hAnsi="Arial"/>
                <w:sz w:val="18"/>
                <w:szCs w:val="18"/>
                <w:b w:val="1"/>
                <w:bCs w:val="1"/>
                <w:color w:val="auto"/>
              </w:rPr>
              <w:t>Ally Financial Inc.</w:t>
            </w:r>
          </w:p>
        </w:tc>
        <w:tc>
          <w:tcPr>
            <w:tcW w:w="8580" w:type="dxa"/>
            <w:vAlign w:val="bottom"/>
            <w:gridSpan w:val="5"/>
          </w:tcPr>
          <w:p>
            <w:pPr>
              <w:ind w:left="3060"/>
              <w:spacing w:after="0"/>
              <w:rPr>
                <w:sz w:val="20"/>
                <w:szCs w:val="20"/>
                <w:color w:val="auto"/>
              </w:rPr>
            </w:pPr>
            <w:r>
              <w:rPr>
                <w:rFonts w:ascii="Arial" w:cs="Arial" w:eastAsia="Arial" w:hAnsi="Arial"/>
                <w:sz w:val="18"/>
                <w:szCs w:val="18"/>
                <w:b w:val="1"/>
                <w:bCs w:val="1"/>
                <w:color w:val="auto"/>
              </w:rPr>
              <w:t>Vroom, Inc.</w:t>
            </w:r>
          </w:p>
        </w:tc>
      </w:tr>
      <w:tr>
        <w:trPr>
          <w:trHeight w:val="353"/>
        </w:trPr>
        <w:tc>
          <w:tcPr>
            <w:tcW w:w="2660" w:type="dxa"/>
            <w:vAlign w:val="bottom"/>
            <w:gridSpan w:val="7"/>
          </w:tcPr>
          <w:p>
            <w:pPr>
              <w:ind w:left="100"/>
              <w:spacing w:after="0"/>
              <w:rPr>
                <w:sz w:val="20"/>
                <w:szCs w:val="20"/>
                <w:color w:val="auto"/>
              </w:rPr>
            </w:pPr>
            <w:r>
              <w:rPr>
                <w:rFonts w:ascii="Arial" w:cs="Arial" w:eastAsia="Arial" w:hAnsi="Arial"/>
                <w:sz w:val="18"/>
                <w:szCs w:val="18"/>
                <w:color w:val="auto"/>
              </w:rPr>
              <w:t>By: /s/ Greg Walters</w:t>
            </w:r>
          </w:p>
        </w:tc>
        <w:tc>
          <w:tcPr>
            <w:tcW w:w="8580" w:type="dxa"/>
            <w:vAlign w:val="bottom"/>
            <w:gridSpan w:val="5"/>
          </w:tcPr>
          <w:p>
            <w:pPr>
              <w:ind w:left="3060"/>
              <w:spacing w:after="0"/>
              <w:rPr>
                <w:sz w:val="20"/>
                <w:szCs w:val="20"/>
                <w:color w:val="auto"/>
              </w:rPr>
            </w:pPr>
            <w:r>
              <w:rPr>
                <w:rFonts w:ascii="Arial" w:cs="Arial" w:eastAsia="Arial" w:hAnsi="Arial"/>
                <w:sz w:val="18"/>
                <w:szCs w:val="18"/>
                <w:color w:val="auto"/>
              </w:rPr>
              <w:t>By: /s/ Robert R. Krakowiak</w:t>
            </w:r>
          </w:p>
        </w:tc>
      </w:tr>
      <w:tr>
        <w:trPr>
          <w:trHeight w:val="20"/>
        </w:trPr>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385"/>
        </w:trPr>
        <w:tc>
          <w:tcPr>
            <w:tcW w:w="2660" w:type="dxa"/>
            <w:vAlign w:val="bottom"/>
            <w:gridSpan w:val="7"/>
          </w:tcPr>
          <w:p>
            <w:pPr>
              <w:ind w:left="100"/>
              <w:spacing w:after="0"/>
              <w:rPr>
                <w:sz w:val="20"/>
                <w:szCs w:val="20"/>
                <w:color w:val="auto"/>
              </w:rPr>
            </w:pPr>
            <w:r>
              <w:rPr>
                <w:rFonts w:ascii="Arial" w:cs="Arial" w:eastAsia="Arial" w:hAnsi="Arial"/>
                <w:sz w:val="18"/>
                <w:szCs w:val="18"/>
                <w:color w:val="auto"/>
              </w:rPr>
              <w:t>Name: Greg Walters</w:t>
            </w:r>
          </w:p>
        </w:tc>
        <w:tc>
          <w:tcPr>
            <w:tcW w:w="8580" w:type="dxa"/>
            <w:vAlign w:val="bottom"/>
            <w:gridSpan w:val="5"/>
          </w:tcPr>
          <w:p>
            <w:pPr>
              <w:ind w:left="3060"/>
              <w:spacing w:after="0"/>
              <w:rPr>
                <w:sz w:val="20"/>
                <w:szCs w:val="20"/>
                <w:color w:val="auto"/>
              </w:rPr>
            </w:pPr>
            <w:r>
              <w:rPr>
                <w:rFonts w:ascii="Arial" w:cs="Arial" w:eastAsia="Arial" w:hAnsi="Arial"/>
                <w:sz w:val="18"/>
                <w:szCs w:val="18"/>
                <w:color w:val="auto"/>
              </w:rPr>
              <w:t>Name: Robert R. Krakowiak</w:t>
            </w: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320" w:type="dxa"/>
            <w:vAlign w:val="bottom"/>
            <w:tcBorders>
              <w:left w:val="single" w:sz="8" w:color="auto"/>
            </w:tcBorders>
          </w:tcPr>
          <w:p>
            <w:pPr>
              <w:spacing w:after="0" w:line="20" w:lineRule="exact"/>
              <w:rPr>
                <w:sz w:val="1"/>
                <w:szCs w:val="1"/>
                <w:color w:val="auto"/>
              </w:rPr>
            </w:pPr>
          </w:p>
        </w:tc>
      </w:tr>
      <w:tr>
        <w:trPr>
          <w:trHeight w:val="385"/>
        </w:trPr>
        <w:tc>
          <w:tcPr>
            <w:tcW w:w="2660" w:type="dxa"/>
            <w:vAlign w:val="bottom"/>
            <w:gridSpan w:val="7"/>
          </w:tcPr>
          <w:p>
            <w:pPr>
              <w:ind w:left="100"/>
              <w:spacing w:after="0"/>
              <w:rPr>
                <w:sz w:val="20"/>
                <w:szCs w:val="20"/>
                <w:color w:val="auto"/>
              </w:rPr>
            </w:pPr>
            <w:r>
              <w:rPr>
                <w:rFonts w:ascii="Arial" w:cs="Arial" w:eastAsia="Arial" w:hAnsi="Arial"/>
                <w:sz w:val="18"/>
                <w:szCs w:val="18"/>
                <w:color w:val="auto"/>
                <w:w w:val="99"/>
              </w:rPr>
              <w:t>Title: Authorized Representative</w:t>
            </w:r>
          </w:p>
        </w:tc>
        <w:tc>
          <w:tcPr>
            <w:tcW w:w="8580" w:type="dxa"/>
            <w:vAlign w:val="bottom"/>
            <w:gridSpan w:val="5"/>
          </w:tcPr>
          <w:p>
            <w:pPr>
              <w:ind w:left="3060"/>
              <w:spacing w:after="0"/>
              <w:rPr>
                <w:sz w:val="20"/>
                <w:szCs w:val="20"/>
                <w:color w:val="auto"/>
              </w:rPr>
            </w:pPr>
            <w:r>
              <w:rPr>
                <w:rFonts w:ascii="Arial" w:cs="Arial" w:eastAsia="Arial" w:hAnsi="Arial"/>
                <w:sz w:val="18"/>
                <w:szCs w:val="18"/>
                <w:color w:val="auto"/>
              </w:rPr>
              <w:t>Title: Chief Financial Officer</w:t>
            </w:r>
          </w:p>
        </w:tc>
      </w:tr>
      <w:tr>
        <w:trPr>
          <w:trHeight w:val="20"/>
        </w:trPr>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385"/>
        </w:trPr>
        <w:tc>
          <w:tcPr>
            <w:tcW w:w="2660" w:type="dxa"/>
            <w:vAlign w:val="bottom"/>
            <w:gridSpan w:val="7"/>
          </w:tcPr>
          <w:p>
            <w:pPr>
              <w:ind w:left="100"/>
              <w:spacing w:after="0"/>
              <w:rPr>
                <w:sz w:val="20"/>
                <w:szCs w:val="20"/>
                <w:color w:val="auto"/>
              </w:rPr>
            </w:pPr>
            <w:r>
              <w:rPr>
                <w:rFonts w:ascii="Arial" w:cs="Arial" w:eastAsia="Arial" w:hAnsi="Arial"/>
                <w:sz w:val="18"/>
                <w:szCs w:val="18"/>
                <w:color w:val="auto"/>
              </w:rPr>
              <w:t>Date: 8/7/2023</w:t>
            </w:r>
          </w:p>
        </w:tc>
        <w:tc>
          <w:tcPr>
            <w:tcW w:w="8580" w:type="dxa"/>
            <w:vAlign w:val="bottom"/>
            <w:gridSpan w:val="5"/>
          </w:tcPr>
          <w:p>
            <w:pPr>
              <w:ind w:left="3060"/>
              <w:spacing w:after="0"/>
              <w:rPr>
                <w:sz w:val="20"/>
                <w:szCs w:val="20"/>
                <w:color w:val="auto"/>
              </w:rPr>
            </w:pPr>
            <w:r>
              <w:rPr>
                <w:rFonts w:ascii="Arial" w:cs="Arial" w:eastAsia="Arial" w:hAnsi="Arial"/>
                <w:sz w:val="18"/>
                <w:szCs w:val="18"/>
                <w:color w:val="auto"/>
              </w:rPr>
              <w:t>Date: 8/7/2023</w:t>
            </w:r>
          </w:p>
        </w:tc>
      </w:tr>
      <w:tr>
        <w:trPr>
          <w:trHeight w:val="20"/>
        </w:trPr>
        <w:tc>
          <w:tcPr>
            <w:tcW w:w="58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453"/>
        </w:trPr>
        <w:tc>
          <w:tcPr>
            <w:tcW w:w="2660" w:type="dxa"/>
            <w:vAlign w:val="bottom"/>
            <w:gridSpan w:val="7"/>
          </w:tcPr>
          <w:p>
            <w:pPr>
              <w:spacing w:after="0"/>
              <w:rPr>
                <w:sz w:val="20"/>
                <w:szCs w:val="20"/>
                <w:color w:val="auto"/>
              </w:rPr>
            </w:pPr>
            <w:r>
              <w:rPr>
                <w:rFonts w:ascii="Arial" w:cs="Arial" w:eastAsia="Arial" w:hAnsi="Arial"/>
                <w:sz w:val="14"/>
                <w:szCs w:val="14"/>
                <w:color w:val="auto"/>
              </w:rPr>
              <w:t>F</w:t>
            </w:r>
            <w:r>
              <w:rPr>
                <w:rFonts w:ascii="Arial" w:cs="Arial" w:eastAsia="Arial" w:hAnsi="Arial"/>
                <w:sz w:val="9"/>
                <w:szCs w:val="9"/>
                <w:color w:val="auto"/>
              </w:rPr>
              <w:t>irst</w:t>
            </w:r>
            <w:r>
              <w:rPr>
                <w:rFonts w:ascii="Arial" w:cs="Arial" w:eastAsia="Arial" w:hAnsi="Arial"/>
                <w:sz w:val="14"/>
                <w:szCs w:val="14"/>
                <w:color w:val="auto"/>
              </w:rPr>
              <w:t xml:space="preserve"> A</w:t>
            </w:r>
            <w:r>
              <w:rPr>
                <w:rFonts w:ascii="Arial" w:cs="Arial" w:eastAsia="Arial" w:hAnsi="Arial"/>
                <w:sz w:val="9"/>
                <w:szCs w:val="9"/>
                <w:color w:val="auto"/>
              </w:rPr>
              <w:t>mendment to</w:t>
            </w:r>
            <w:r>
              <w:rPr>
                <w:rFonts w:ascii="Arial" w:cs="Arial" w:eastAsia="Arial" w:hAnsi="Arial"/>
                <w:sz w:val="14"/>
                <w:szCs w:val="14"/>
                <w:color w:val="auto"/>
              </w:rPr>
              <w:t xml:space="preserve"> A&amp;R IFSA </w:t>
            </w:r>
            <w:r>
              <w:rPr>
                <w:rFonts w:ascii="Arial" w:cs="Arial" w:eastAsia="Arial" w:hAnsi="Arial"/>
                <w:sz w:val="17"/>
                <w:szCs w:val="17"/>
                <w:color w:val="auto"/>
              </w:rPr>
              <w:t>3</w:t>
            </w:r>
          </w:p>
        </w:tc>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02"/>
        </w:trPr>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2" w:name="page93"/>
    <w:bookmarkEnd w:id="9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H. Shortt, certify that:</w:t>
      </w:r>
    </w:p>
    <w:p>
      <w:pPr>
        <w:spacing w:after="0" w:line="266" w:lineRule="exact"/>
        <w:rPr>
          <w:sz w:val="20"/>
          <w:szCs w:val="20"/>
          <w:color w:val="auto"/>
        </w:rPr>
      </w:pPr>
    </w:p>
    <w:p>
      <w:pPr>
        <w:ind w:left="560" w:hanging="539"/>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jc w:val="both"/>
        <w:ind w:left="560" w:right="220" w:hanging="539"/>
        <w:spacing w:after="0" w:line="263"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60" w:right="180" w:hanging="539"/>
        <w:spacing w:after="0" w:line="308" w:lineRule="auto"/>
        <w:tabs>
          <w:tab w:leader="none" w:pos="5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ind w:left="560" w:right="240" w:hanging="539"/>
        <w:spacing w:after="0" w:line="263"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80" w:right="120" w:hanging="526"/>
        <w:spacing w:after="0" w:line="263"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80" w:right="260" w:hanging="526"/>
        <w:spacing w:after="0" w:line="263"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jc w:val="both"/>
        <w:ind w:left="1080" w:right="420" w:hanging="526"/>
        <w:spacing w:after="0" w:line="342" w:lineRule="auto"/>
        <w:tabs>
          <w:tab w:leader="none" w:pos="10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080" w:right="120" w:hanging="526"/>
        <w:spacing w:after="0" w:line="263"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60" w:right="100" w:hanging="539"/>
        <w:spacing w:after="0" w:line="308" w:lineRule="auto"/>
        <w:tabs>
          <w:tab w:leader="none" w:pos="5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ind w:left="1080" w:right="660" w:hanging="526"/>
        <w:spacing w:after="0" w:line="342" w:lineRule="auto"/>
        <w:tabs>
          <w:tab w:leader="none" w:pos="10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1080" w:right="360" w:hanging="526"/>
        <w:spacing w:after="0" w:line="277"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tabs>
          <w:tab w:leader="none" w:pos="5660" w:val="left"/>
          <w:tab w:leader="none" w:pos="786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23495</wp:posOffset>
            </wp:positionV>
            <wp:extent cx="330073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0">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Thomas H. Shortt</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222250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66" w:right="1440" w:bottom="1440" w:gutter="0" w:footer="0" w:header="0"/>
        </w:sectPr>
      </w:pPr>
    </w:p>
    <w:bookmarkStart w:id="95" w:name="page96"/>
    <w:bookmarkEnd w:id="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R. Krakowiak, certify that:</w:t>
      </w:r>
    </w:p>
    <w:p>
      <w:pPr>
        <w:spacing w:after="0" w:line="266" w:lineRule="exact"/>
        <w:rPr>
          <w:sz w:val="20"/>
          <w:szCs w:val="20"/>
          <w:color w:val="auto"/>
        </w:rPr>
      </w:pPr>
    </w:p>
    <w:p>
      <w:pPr>
        <w:ind w:left="560" w:hanging="539"/>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both"/>
        <w:ind w:left="560" w:right="220" w:hanging="539"/>
        <w:spacing w:after="0" w:line="263" w:lineRule="auto"/>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560" w:right="180" w:hanging="539"/>
        <w:spacing w:after="0" w:line="308" w:lineRule="auto"/>
        <w:tabs>
          <w:tab w:leader="none" w:pos="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560" w:right="240" w:hanging="539"/>
        <w:spacing w:after="0" w:line="263" w:lineRule="auto"/>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80" w:right="120" w:hanging="526"/>
        <w:spacing w:after="0" w:line="263"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080" w:right="260" w:hanging="526"/>
        <w:spacing w:after="0" w:line="263"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jc w:val="both"/>
        <w:ind w:left="1080" w:right="420" w:hanging="526"/>
        <w:spacing w:after="0" w:line="342" w:lineRule="auto"/>
        <w:tabs>
          <w:tab w:leader="none" w:pos="10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6" w:lineRule="exact"/>
        <w:rPr>
          <w:rFonts w:ascii="Arial" w:cs="Arial" w:eastAsia="Arial" w:hAnsi="Arial"/>
          <w:sz w:val="16"/>
          <w:szCs w:val="16"/>
          <w:color w:val="auto"/>
        </w:rPr>
      </w:pPr>
    </w:p>
    <w:p>
      <w:pPr>
        <w:ind w:left="1080" w:right="120" w:hanging="526"/>
        <w:spacing w:after="0" w:line="263"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560" w:right="100" w:hanging="539"/>
        <w:spacing w:after="0" w:line="308" w:lineRule="auto"/>
        <w:tabs>
          <w:tab w:leader="none" w:pos="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1080" w:right="660" w:hanging="526"/>
        <w:spacing w:after="0" w:line="342" w:lineRule="auto"/>
        <w:tabs>
          <w:tab w:leader="none" w:pos="10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3" w:lineRule="exact"/>
        <w:rPr>
          <w:rFonts w:ascii="Arial" w:cs="Arial" w:eastAsia="Arial" w:hAnsi="Arial"/>
          <w:sz w:val="16"/>
          <w:szCs w:val="16"/>
          <w:color w:val="auto"/>
        </w:rPr>
      </w:pPr>
    </w:p>
    <w:p>
      <w:pPr>
        <w:ind w:left="1080" w:right="360" w:hanging="526"/>
        <w:spacing w:after="0" w:line="277"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77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R. Krakowiak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2">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Robert R. Krakowiak</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on Form 10-Q of Vroom, Inc. (the “Company”) for the period ended June 30, 2023 as filed with the Securities and Exchange Commission on the date hereof (the “Report”), I certify, pursuant to 18 U.S.C. § 1350, as adopted pursuant to § 906 of the Sarbanes-Oxley Act of 2002, that:</w:t>
      </w:r>
    </w:p>
    <w:p>
      <w:pPr>
        <w:spacing w:after="0" w:line="224" w:lineRule="exact"/>
        <w:rPr>
          <w:sz w:val="20"/>
          <w:szCs w:val="20"/>
          <w:color w:val="auto"/>
        </w:rPr>
      </w:pPr>
    </w:p>
    <w:p>
      <w:pPr>
        <w:ind w:left="1080" w:hanging="526"/>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333" w:lineRule="exact"/>
        <w:rPr>
          <w:rFonts w:ascii="Arial" w:cs="Arial" w:eastAsia="Arial" w:hAnsi="Arial"/>
          <w:sz w:val="17"/>
          <w:szCs w:val="17"/>
          <w:color w:val="auto"/>
        </w:rPr>
      </w:pPr>
    </w:p>
    <w:p>
      <w:pPr>
        <w:ind w:left="1080" w:right="480" w:hanging="526"/>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4">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Thomas H. Shortt</w:t>
      </w:r>
    </w:p>
    <w:p>
      <w:pPr>
        <w:spacing w:after="0" w:line="3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on Form 10-Q of Vroom, Inc. (the “Company”) for the period ended June 30, 2023 as filed with the Securities and Exchange Commission on the date hereof (the “Report”), I certify, pursuant to 18 U.S.C. § 1350, as adopted pursuant to § 906 of the Sarbanes-Oxley Act of 2002, that:</w:t>
      </w:r>
    </w:p>
    <w:p>
      <w:pPr>
        <w:spacing w:after="0" w:line="224" w:lineRule="exact"/>
        <w:rPr>
          <w:sz w:val="20"/>
          <w:szCs w:val="20"/>
          <w:color w:val="auto"/>
        </w:rPr>
      </w:pPr>
    </w:p>
    <w:p>
      <w:pPr>
        <w:ind w:left="1080" w:hanging="526"/>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333" w:lineRule="exact"/>
        <w:rPr>
          <w:rFonts w:ascii="Arial" w:cs="Arial" w:eastAsia="Arial" w:hAnsi="Arial"/>
          <w:sz w:val="17"/>
          <w:szCs w:val="17"/>
          <w:color w:val="auto"/>
        </w:rPr>
      </w:pPr>
    </w:p>
    <w:p>
      <w:pPr>
        <w:ind w:left="1080" w:right="480" w:hanging="526"/>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680" w:val="left"/>
          <w:tab w:leader="none" w:pos="77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R. Krakowiak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6">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30"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Robert R. Krakowiak</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lowerLetter"/>
      <w:start w:val="2"/>
    </w:lvl>
  </w:abstractNum>
  <w:abstractNum w:abstractNumId="21">
    <w:nsid w:val="8138641"/>
    <w:multiLevelType w:val="hybridMultilevel"/>
    <w:lvl w:ilvl="0">
      <w:lvlJc w:val="left"/>
      <w:lvlText w:val="%1"/>
      <w:numFmt w:val="decimal"/>
      <w:start w:val="104"/>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upperLetter"/>
      <w:start w:val="9"/>
    </w:lvl>
  </w:abstractNum>
  <w:abstractNum w:abstractNumId="24">
    <w:nsid w:val="737B8DDC"/>
    <w:multiLevelType w:val="hybridMultilevel"/>
    <w:lvl w:ilvl="0">
      <w:lvlJc w:val="left"/>
      <w:lvlText w:val="%1."/>
      <w:numFmt w:val="upperLetter"/>
      <w:start w:val="1"/>
    </w:lvl>
  </w:abstractNum>
  <w:abstractNum w:abstractNumId="25">
    <w:nsid w:val="6CEAF087"/>
    <w:multiLevelType w:val="hybridMultilevel"/>
    <w:lvl w:ilvl="0">
      <w:lvlJc w:val="left"/>
      <w:lvlText w:val="%1."/>
      <w:numFmt w:val="upperLetter"/>
      <w:start w:val="35"/>
    </w:lvl>
  </w:abstractNum>
  <w:abstractNum w:abstractNumId="26">
    <w:nsid w:val="22221A70"/>
    <w:multiLevelType w:val="hybridMultilevel"/>
    <w:lvl w:ilvl="0">
      <w:lvlJc w:val="left"/>
      <w:lvlText w:val="%1."/>
      <w:numFmt w:val="upperLetter"/>
      <w:start w:val="1"/>
    </w:lvl>
  </w:abstractNum>
  <w:abstractNum w:abstractNumId="27">
    <w:nsid w:val="4516DDE9"/>
    <w:multiLevelType w:val="hybridMultilevel"/>
    <w:lvl w:ilvl="0">
      <w:lvlJc w:val="left"/>
      <w:lvlText w:val="%1."/>
      <w:numFmt w:val="upperLetter"/>
      <w:start w:val="61"/>
    </w:lvl>
  </w:abstractNum>
  <w:abstractNum w:abstractNumId="28">
    <w:nsid w:val="3006C83E"/>
    <w:multiLevelType w:val="hybridMultilevel"/>
    <w:lvl w:ilvl="0">
      <w:lvlJc w:val="left"/>
      <w:lvlText w:val="%1."/>
      <w:numFmt w:val="upperLetter"/>
      <w:start w:val="1"/>
    </w:lvl>
  </w:abstractNum>
  <w:abstractNum w:abstractNumId="29">
    <w:nsid w:val="614FD4A1"/>
    <w:multiLevelType w:val="hybridMultilevel"/>
    <w:lvl w:ilvl="0">
      <w:lvlJc w:val="left"/>
      <w:lvlText w:val="%1."/>
      <w:numFmt w:val="decimal"/>
      <w:start w:val="8"/>
    </w:lvl>
    <w:lvl w:ilvl="1">
      <w:lvlJc w:val="left"/>
      <w:lvlText w:val="(%2)"/>
      <w:numFmt w:val="lowerLetter"/>
      <w:start w:val="1"/>
    </w:lvl>
  </w:abstractNum>
  <w:abstractNum w:abstractNumId="30">
    <w:nsid w:val="419AC241"/>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31">
    <w:nsid w:val="5577F8E1"/>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lvl w:ilvl="3">
      <w:lvlJc w:val="left"/>
      <w:lvlText w:val="(%4)"/>
      <w:numFmt w:val="lowerLetter"/>
      <w:start w:val="2"/>
    </w:lvl>
    <w:lvl w:ilvl="4">
      <w:lvlJc w:val="left"/>
      <w:lvlText w:val="%5"/>
      <w:numFmt w:val="lowerRoman"/>
      <w:start w:val="1"/>
    </w:lvl>
  </w:abstractNum>
  <w:abstractNum w:abstractNumId="32">
    <w:nsid w:val="440BADFC"/>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4"/>
    </w:lvl>
    <w:lvl w:ilvl="3">
      <w:lvlJc w:val="left"/>
      <w:lvlText w:val="%4"/>
      <w:numFmt w:val="lowerLetter"/>
      <w:start w:val="1"/>
    </w:lvl>
    <w:lvl w:ilvl="4">
      <w:lvlJc w:val="left"/>
      <w:lvlText w:val="%5"/>
      <w:numFmt w:val="lowerRoman"/>
      <w:start w:val="1"/>
    </w:lvl>
  </w:abstractNum>
  <w:abstractNum w:abstractNumId="33">
    <w:nsid w:val="5072367"/>
    <w:multiLevelType w:val="hybridMultilevel"/>
    <w:lvl w:ilvl="0">
      <w:lvlJc w:val="left"/>
      <w:lvlText w:val="%1."/>
      <w:numFmt w:val="lowerLetter"/>
      <w:start w:val="3"/>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8" Type="http://schemas.openxmlformats.org/officeDocument/2006/relationships/image" Target="media/image425.png"/><Relationship Id="rId439" Type="http://schemas.openxmlformats.org/officeDocument/2006/relationships/image" Target="media/image426.png"/><Relationship Id="rId440" Type="http://schemas.openxmlformats.org/officeDocument/2006/relationships/image" Target="media/image427.png"/><Relationship Id="rId441" Type="http://schemas.openxmlformats.org/officeDocument/2006/relationships/image" Target="media/image428.png"/><Relationship Id="rId442" Type="http://schemas.openxmlformats.org/officeDocument/2006/relationships/image" Target="media/image429.png"/><Relationship Id="rId443" Type="http://schemas.openxmlformats.org/officeDocument/2006/relationships/image" Target="media/image430.png"/><Relationship Id="rId444" Type="http://schemas.openxmlformats.org/officeDocument/2006/relationships/image" Target="media/image431.png"/><Relationship Id="rId445" Type="http://schemas.openxmlformats.org/officeDocument/2006/relationships/image" Target="media/image432.png"/><Relationship Id="rId446" Type="http://schemas.openxmlformats.org/officeDocument/2006/relationships/image" Target="media/image433.png"/><Relationship Id="rId447" Type="http://schemas.openxmlformats.org/officeDocument/2006/relationships/image" Target="media/image434.png"/><Relationship Id="rId448" Type="http://schemas.openxmlformats.org/officeDocument/2006/relationships/image" Target="media/image435.png"/><Relationship Id="rId449" Type="http://schemas.openxmlformats.org/officeDocument/2006/relationships/image" Target="media/image436.png"/><Relationship Id="rId450" Type="http://schemas.openxmlformats.org/officeDocument/2006/relationships/image" Target="media/image437.png"/><Relationship Id="rId451" Type="http://schemas.openxmlformats.org/officeDocument/2006/relationships/image" Target="media/image438.png"/><Relationship Id="rId452" Type="http://schemas.openxmlformats.org/officeDocument/2006/relationships/image" Target="media/image439.png"/><Relationship Id="rId453" Type="http://schemas.openxmlformats.org/officeDocument/2006/relationships/image" Target="media/image440.png"/><Relationship Id="rId454" Type="http://schemas.openxmlformats.org/officeDocument/2006/relationships/image" Target="media/image441.png"/><Relationship Id="rId455" Type="http://schemas.openxmlformats.org/officeDocument/2006/relationships/image" Target="media/image442.png"/><Relationship Id="rId456" Type="http://schemas.openxmlformats.org/officeDocument/2006/relationships/image" Target="media/image443.png"/><Relationship Id="rId457" Type="http://schemas.openxmlformats.org/officeDocument/2006/relationships/image" Target="media/image444.png"/><Relationship Id="rId432" Type="http://schemas.openxmlformats.org/officeDocument/2006/relationships/hyperlink" Target="https://www.sec.gov/Archives/edgar/data/1580864/000095017021002077/vrm-ex2_1.htm" TargetMode="External"/><Relationship Id="rId433" Type="http://schemas.openxmlformats.org/officeDocument/2006/relationships/hyperlink" Target="https://www.sec.gov/Archives/edgar/data/1580864/000156459020039778/vrm-ex31_460.htm" TargetMode="External"/><Relationship Id="rId434" Type="http://schemas.openxmlformats.org/officeDocument/2006/relationships/hyperlink" Target="https://www.sec.gov/Archives/edgar/data/1580864/000156459020039778/vrm-ex32_234.htm" TargetMode="External"/><Relationship Id="rId435" Type="http://schemas.openxmlformats.org/officeDocument/2006/relationships/hyperlink" Target="https://www.sec.gov/Archives/edgar/data/1580864/000119312520157158/d801274dex41.htm" TargetMode="External"/><Relationship Id="rId436" Type="http://schemas.openxmlformats.org/officeDocument/2006/relationships/hyperlink" Target="https://www.sec.gov/Archives/edgar/data/1580864/000119312521195245/d93781dex41.htm" TargetMode="External"/><Relationship Id="rId437" Type="http://schemas.openxmlformats.org/officeDocument/2006/relationships/hyperlink" Target="https://www.sec.gov/Archives/edgar/data/1580864/000119312520145219/d80127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2023-08-08T15:44:58Z</dcterms:created>
  <dcterms:modified xsi:type="dcterms:W3CDTF">2023-08-08T15:44:58Z</dcterms:modified>
</cp:coreProperties>
</file>