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UNITED STATES</w:t>
      </w:r>
    </w:p>
    <w:p>
      <w:pPr>
        <w:spacing w:after="0" w:line="39" w:lineRule="exact"/>
        <w:rPr>
          <w:sz w:val="24"/>
          <w:szCs w:val="24"/>
          <w:color w:val="auto"/>
        </w:rPr>
      </w:pPr>
    </w:p>
    <w:p>
      <w:pPr>
        <w:jc w:val="center"/>
        <w:ind w:right="-25"/>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25"/>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8" w:lineRule="exact"/>
        <w:rPr>
          <w:rFonts w:ascii="MS PGothic" w:cs="MS PGothic" w:eastAsia="MS PGothic" w:hAnsi="MS PGothic"/>
          <w:sz w:val="16"/>
          <w:szCs w:val="16"/>
          <w:color w:val="auto"/>
        </w:rPr>
      </w:pPr>
    </w:p>
    <w:p>
      <w:pPr>
        <w:ind w:left="3586"/>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quarterly period ended March 31, 2025</w:t>
      </w:r>
    </w:p>
    <w:p>
      <w:pPr>
        <w:spacing w:after="0" w:line="44" w:lineRule="exact"/>
        <w:rPr>
          <w:sz w:val="24"/>
          <w:szCs w:val="24"/>
          <w:color w:val="auto"/>
        </w:rPr>
      </w:pPr>
    </w:p>
    <w:p>
      <w:pPr>
        <w:jc w:val="center"/>
        <w:ind w:right="-25"/>
        <w:spacing w:after="0"/>
        <w:rPr>
          <w:sz w:val="20"/>
          <w:szCs w:val="20"/>
          <w:color w:val="auto"/>
        </w:rPr>
      </w:pPr>
      <w:r>
        <w:rPr>
          <w:rFonts w:ascii="Arial" w:cs="Arial" w:eastAsia="Arial" w:hAnsi="Arial"/>
          <w:sz w:val="16"/>
          <w:szCs w:val="16"/>
          <w:b w:val="1"/>
          <w:bCs w:val="1"/>
          <w:color w:val="auto"/>
        </w:rPr>
        <w:t>or</w:t>
      </w:r>
    </w:p>
    <w:p>
      <w:pPr>
        <w:spacing w:after="0" w:line="57" w:lineRule="exact"/>
        <w:rPr>
          <w:sz w:val="24"/>
          <w:szCs w:val="24"/>
          <w:color w:val="auto"/>
        </w:rPr>
      </w:pPr>
    </w:p>
    <w:p>
      <w:pPr>
        <w:ind w:left="186" w:hanging="186"/>
        <w:spacing w:after="0"/>
        <w:tabs>
          <w:tab w:leader="none" w:pos="186"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40" w:orient="portrait"/>
          <w:cols w:equalWidth="0" w:num="1">
            <w:col w:w="10566"/>
          </w:cols>
          <w:pgMar w:left="654" w:top="555" w:right="680" w:bottom="1440" w:gutter="0" w:footer="0" w:header="0"/>
        </w:sectPr>
      </w:pPr>
    </w:p>
    <w:p>
      <w:pPr>
        <w:spacing w:after="0" w:line="49" w:lineRule="exact"/>
        <w:rPr>
          <w:sz w:val="24"/>
          <w:szCs w:val="24"/>
          <w:color w:val="auto"/>
        </w:rPr>
      </w:pPr>
    </w:p>
    <w:p>
      <w:pPr>
        <w:ind w:left="3826"/>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66" w:lineRule="exact"/>
        <w:rPr>
          <w:sz w:val="24"/>
          <w:szCs w:val="24"/>
          <w:color w:val="auto"/>
        </w:rPr>
      </w:pPr>
    </w:p>
    <w:p>
      <w:pPr>
        <w:sectPr>
          <w:pgSz w:w="11900" w:h="16840" w:orient="portrait"/>
          <w:cols w:equalWidth="0" w:num="2">
            <w:col w:w="6006" w:space="620"/>
            <w:col w:w="3940"/>
          </w:cols>
          <w:pgMar w:left="654" w:top="555" w:right="680" w:bottom="1440" w:gutter="0" w:footer="0" w:header="0"/>
          <w:type w:val="continuous"/>
        </w:sectPr>
      </w:pPr>
    </w:p>
    <w:p>
      <w:pPr>
        <w:jc w:val="center"/>
        <w:ind w:right="-25"/>
        <w:spacing w:after="0"/>
        <w:rPr>
          <w:sz w:val="20"/>
          <w:szCs w:val="20"/>
          <w:color w:val="auto"/>
        </w:rPr>
      </w:pPr>
      <w:r>
        <w:rPr>
          <w:rFonts w:ascii="Arial" w:cs="Arial" w:eastAsia="Arial" w:hAnsi="Arial"/>
          <w:sz w:val="14"/>
          <w:szCs w:val="14"/>
          <w:b w:val="1"/>
          <w:bCs w:val="1"/>
          <w:color w:val="auto"/>
        </w:rPr>
        <w:t>Commission file number: 001-39315</w:t>
      </w:r>
    </w:p>
    <w:p>
      <w:pPr>
        <w:sectPr>
          <w:pgSz w:w="11900" w:h="16840" w:orient="portrait"/>
          <w:cols w:equalWidth="0" w:num="1">
            <w:col w:w="10566"/>
          </w:cols>
          <w:pgMar w:left="654" w:top="555" w:right="680" w:bottom="1440" w:gutter="0" w:footer="0" w:header="0"/>
          <w:type w:val="continuous"/>
        </w:sectPr>
      </w:pPr>
    </w:p>
    <w:p>
      <w:pPr>
        <w:spacing w:after="0" w:line="125" w:lineRule="exact"/>
        <w:rPr>
          <w:sz w:val="24"/>
          <w:szCs w:val="24"/>
          <w:color w:val="auto"/>
        </w:rPr>
      </w:pPr>
    </w:p>
    <w:tbl>
      <w:tblPr>
        <w:tblLayout w:type="fixed"/>
        <w:tblInd w:w="6" w:type="dxa"/>
        <w:tblCellMar>
          <w:top w:w="0" w:type="dxa"/>
          <w:left w:w="0" w:type="dxa"/>
          <w:bottom w:w="0" w:type="dxa"/>
          <w:right w:w="0" w:type="dxa"/>
        </w:tblCellMar>
      </w:tblPr>
      <w:tr>
        <w:trPr>
          <w:trHeight w:val="388"/>
        </w:trPr>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3"/>
          </w:tcPr>
          <w:p>
            <w:pPr>
              <w:jc w:val="center"/>
              <w:ind w:right="500"/>
              <w:spacing w:after="0"/>
              <w:rPr>
                <w:sz w:val="20"/>
                <w:szCs w:val="20"/>
                <w:color w:val="auto"/>
              </w:rPr>
            </w:pPr>
            <w:r>
              <w:rPr>
                <w:rFonts w:ascii="Arial" w:cs="Arial" w:eastAsia="Arial" w:hAnsi="Arial"/>
                <w:sz w:val="32"/>
                <w:szCs w:val="32"/>
                <w:b w:val="1"/>
                <w:bCs w:val="1"/>
                <w:color w:val="auto"/>
              </w:rPr>
              <w:t>VROOM,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300" w:type="dxa"/>
            <w:vAlign w:val="bottom"/>
          </w:tcPr>
          <w:p>
            <w:pPr>
              <w:spacing w:after="0"/>
              <w:rPr>
                <w:sz w:val="15"/>
                <w:szCs w:val="15"/>
                <w:color w:val="auto"/>
              </w:rPr>
            </w:pPr>
          </w:p>
        </w:tc>
        <w:tc>
          <w:tcPr>
            <w:tcW w:w="3800" w:type="dxa"/>
            <w:vAlign w:val="bottom"/>
            <w:gridSpan w:val="5"/>
          </w:tcPr>
          <w:p>
            <w:pPr>
              <w:jc w:val="center"/>
              <w:ind w:left="114"/>
              <w:spacing w:after="0"/>
              <w:rPr>
                <w:sz w:val="20"/>
                <w:szCs w:val="20"/>
                <w:color w:val="auto"/>
              </w:rPr>
            </w:pPr>
            <w:r>
              <w:rPr>
                <w:rFonts w:ascii="Arial" w:cs="Arial" w:eastAsia="Arial" w:hAnsi="Arial"/>
                <w:sz w:val="13"/>
                <w:szCs w:val="13"/>
                <w:b w:val="1"/>
                <w:bCs w:val="1"/>
                <w:color w:val="auto"/>
              </w:rPr>
              <w:t>(Exact Name of Registrant as Specified in Its Charter)</w:t>
            </w: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300" w:type="dxa"/>
            <w:vAlign w:val="bottom"/>
          </w:tcPr>
          <w:p>
            <w:pPr>
              <w:ind w:left="1520"/>
              <w:spacing w:after="0"/>
              <w:rPr>
                <w:sz w:val="20"/>
                <w:szCs w:val="20"/>
                <w:color w:val="auto"/>
              </w:rPr>
            </w:pPr>
            <w:r>
              <w:rPr>
                <w:rFonts w:ascii="Arial" w:cs="Arial" w:eastAsia="Arial" w:hAnsi="Arial"/>
                <w:sz w:val="13"/>
                <w:szCs w:val="13"/>
                <w:b w:val="1"/>
                <w:bCs w:val="1"/>
                <w:color w:val="auto"/>
              </w:rPr>
              <w:t>Delaware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901112566</w:t>
            </w:r>
          </w:p>
        </w:tc>
        <w:tc>
          <w:tcPr>
            <w:tcW w:w="0" w:type="dxa"/>
            <w:vAlign w:val="bottom"/>
          </w:tcPr>
          <w:p>
            <w:pPr>
              <w:spacing w:after="0"/>
              <w:rPr>
                <w:sz w:val="1"/>
                <w:szCs w:val="1"/>
                <w:color w:val="auto"/>
              </w:rPr>
            </w:pPr>
          </w:p>
        </w:tc>
      </w:tr>
      <w:tr>
        <w:trPr>
          <w:trHeight w:val="157"/>
        </w:trPr>
        <w:tc>
          <w:tcPr>
            <w:tcW w:w="3300" w:type="dxa"/>
            <w:vAlign w:val="bottom"/>
          </w:tcPr>
          <w:p>
            <w:pPr>
              <w:ind w:left="880"/>
              <w:spacing w:after="0"/>
              <w:rPr>
                <w:sz w:val="20"/>
                <w:szCs w:val="20"/>
                <w:color w:val="auto"/>
              </w:rPr>
            </w:pPr>
            <w:r>
              <w:rPr>
                <w:rFonts w:ascii="Arial" w:cs="Arial" w:eastAsia="Arial" w:hAnsi="Arial"/>
                <w:sz w:val="13"/>
                <w:szCs w:val="13"/>
                <w:b w:val="1"/>
                <w:bCs w:val="1"/>
                <w:color w:val="auto"/>
              </w:rPr>
              <w:t>(State or Other Jurisdiction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79"/>
        </w:trPr>
        <w:tc>
          <w:tcPr>
            <w:tcW w:w="3300" w:type="dxa"/>
            <w:vAlign w:val="bottom"/>
          </w:tcPr>
          <w:p>
            <w:pPr>
              <w:ind w:left="860"/>
              <w:spacing w:after="0"/>
              <w:rPr>
                <w:sz w:val="20"/>
                <w:szCs w:val="20"/>
                <w:color w:val="auto"/>
              </w:rPr>
            </w:pPr>
            <w:r>
              <w:rPr>
                <w:rFonts w:ascii="Arial" w:cs="Arial" w:eastAsia="Arial" w:hAnsi="Arial"/>
                <w:sz w:val="13"/>
                <w:szCs w:val="13"/>
                <w:b w:val="1"/>
                <w:bCs w:val="1"/>
                <w:color w:val="auto"/>
              </w:rPr>
              <w:t>Incorporation or Organization)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3"/>
            <w:vMerge w:val="restart"/>
          </w:tcPr>
          <w:p>
            <w:pPr>
              <w:jc w:val="center"/>
              <w:ind w:right="520"/>
              <w:spacing w:after="0"/>
              <w:rPr>
                <w:sz w:val="20"/>
                <w:szCs w:val="20"/>
                <w:color w:val="auto"/>
              </w:rPr>
            </w:pPr>
            <w:r>
              <w:rPr>
                <w:rFonts w:ascii="Arial" w:cs="Arial" w:eastAsia="Arial" w:hAnsi="Arial"/>
                <w:sz w:val="13"/>
                <w:szCs w:val="13"/>
                <w:b w:val="1"/>
                <w:bCs w:val="1"/>
                <w:color w:val="auto"/>
              </w:rPr>
              <w:t>4700 Mercantile Dr.</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Identification No.)</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rPr>
              <w:t>Fort Worth, TX 76137</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00" w:type="dxa"/>
            <w:vAlign w:val="bottom"/>
          </w:tcPr>
          <w:p>
            <w:pPr>
              <w:spacing w:after="0"/>
              <w:rPr>
                <w:sz w:val="15"/>
                <w:szCs w:val="15"/>
                <w:color w:val="auto"/>
              </w:rPr>
            </w:pPr>
          </w:p>
        </w:tc>
        <w:tc>
          <w:tcPr>
            <w:tcW w:w="3800" w:type="dxa"/>
            <w:vAlign w:val="bottom"/>
            <w:gridSpan w:val="5"/>
          </w:tcPr>
          <w:p>
            <w:pPr>
              <w:jc w:val="center"/>
              <w:ind w:left="94"/>
              <w:spacing w:after="0"/>
              <w:rPr>
                <w:sz w:val="20"/>
                <w:szCs w:val="20"/>
                <w:color w:val="auto"/>
              </w:rPr>
            </w:pPr>
            <w:r>
              <w:rPr>
                <w:rFonts w:ascii="Arial" w:cs="Arial" w:eastAsia="Arial" w:hAnsi="Arial"/>
                <w:sz w:val="13"/>
                <w:szCs w:val="13"/>
                <w:b w:val="1"/>
                <w:bCs w:val="1"/>
                <w:color w:val="auto"/>
              </w:rPr>
              <w:t>(Address of principal executive offices) (Zip code)</w:t>
            </w: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3320" w:type="dxa"/>
            <w:vAlign w:val="bottom"/>
            <w:gridSpan w:val="3"/>
          </w:tcPr>
          <w:p>
            <w:pPr>
              <w:jc w:val="center"/>
              <w:ind w:left="594"/>
              <w:spacing w:after="0"/>
              <w:rPr>
                <w:sz w:val="20"/>
                <w:szCs w:val="20"/>
                <w:color w:val="auto"/>
              </w:rPr>
            </w:pPr>
            <w:r>
              <w:rPr>
                <w:rFonts w:ascii="Arial" w:cs="Arial" w:eastAsia="Arial" w:hAnsi="Arial"/>
                <w:sz w:val="13"/>
                <w:szCs w:val="13"/>
                <w:b w:val="1"/>
                <w:bCs w:val="1"/>
                <w:color w:val="auto"/>
              </w:rPr>
              <w:t>(518) 535-9125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00" w:type="dxa"/>
            <w:vAlign w:val="bottom"/>
          </w:tcPr>
          <w:p>
            <w:pPr>
              <w:spacing w:after="0"/>
              <w:rPr>
                <w:sz w:val="15"/>
                <w:szCs w:val="15"/>
                <w:color w:val="auto"/>
              </w:rPr>
            </w:pPr>
          </w:p>
        </w:tc>
        <w:tc>
          <w:tcPr>
            <w:tcW w:w="3800" w:type="dxa"/>
            <w:vAlign w:val="bottom"/>
            <w:gridSpan w:val="5"/>
          </w:tcPr>
          <w:p>
            <w:pPr>
              <w:jc w:val="center"/>
              <w:ind w:left="114"/>
              <w:spacing w:after="0"/>
              <w:rPr>
                <w:sz w:val="20"/>
                <w:szCs w:val="20"/>
                <w:color w:val="auto"/>
              </w:rPr>
            </w:pPr>
            <w:r>
              <w:rPr>
                <w:rFonts w:ascii="Arial" w:cs="Arial" w:eastAsia="Arial" w:hAnsi="Arial"/>
                <w:sz w:val="13"/>
                <w:szCs w:val="13"/>
                <w:b w:val="1"/>
                <w:bCs w:val="1"/>
                <w:color w:val="auto"/>
              </w:rPr>
              <w:t>(Registrant's telephone number, including area code)</w:t>
            </w: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7100" w:type="dxa"/>
            <w:vAlign w:val="bottom"/>
            <w:gridSpan w:val="6"/>
          </w:tcPr>
          <w:p>
            <w:pPr>
              <w:ind w:left="360"/>
              <w:spacing w:after="0"/>
              <w:rPr>
                <w:sz w:val="20"/>
                <w:szCs w:val="20"/>
                <w:color w:val="auto"/>
              </w:rPr>
            </w:pPr>
            <w:r>
              <w:rPr>
                <w:rFonts w:ascii="Arial" w:cs="Arial" w:eastAsia="Arial" w:hAnsi="Arial"/>
                <w:sz w:val="14"/>
                <w:szCs w:val="14"/>
                <w:color w:val="auto"/>
              </w:rPr>
              <w:t>Securities registered pursuant to Section 12(b) of the Act: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300" w:type="dxa"/>
            <w:vAlign w:val="bottom"/>
          </w:tcPr>
          <w:p>
            <w:pPr>
              <w:ind w:left="1360"/>
              <w:spacing w:after="0"/>
              <w:rPr>
                <w:sz w:val="20"/>
                <w:szCs w:val="20"/>
                <w:color w:val="auto"/>
              </w:rPr>
            </w:pPr>
            <w:r>
              <w:rPr>
                <w:rFonts w:ascii="Arial" w:cs="Arial" w:eastAsia="Arial" w:hAnsi="Arial"/>
                <w:sz w:val="13"/>
                <w:szCs w:val="13"/>
                <w:b w:val="1"/>
                <w:bCs w:val="1"/>
                <w:color w:val="auto"/>
              </w:rPr>
              <w:t>Title of each class</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rPr>
              <w:t>Trading Symbol(s)</w:t>
            </w:r>
          </w:p>
        </w:tc>
        <w:tc>
          <w:tcPr>
            <w:tcW w:w="3460" w:type="dxa"/>
            <w:vAlign w:val="bottom"/>
          </w:tcPr>
          <w:p>
            <w:pPr>
              <w:jc w:val="center"/>
              <w:ind w:right="293"/>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30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Common Stock, $0.001 par value</w:t>
            </w: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VRM</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460" w:type="dxa"/>
            <w:vAlign w:val="bottom"/>
            <w:tcBorders>
              <w:top w:val="single" w:sz="8" w:color="auto"/>
            </w:tcBorders>
          </w:tcPr>
          <w:p>
            <w:pPr>
              <w:jc w:val="center"/>
              <w:ind w:right="293"/>
              <w:spacing w:after="0"/>
              <w:rPr>
                <w:sz w:val="20"/>
                <w:szCs w:val="20"/>
                <w:color w:val="auto"/>
              </w:rPr>
            </w:pPr>
            <w:r>
              <w:rPr>
                <w:rFonts w:ascii="Arial" w:cs="Arial" w:eastAsia="Arial" w:hAnsi="Arial"/>
                <w:sz w:val="14"/>
                <w:szCs w:val="14"/>
                <w:color w:val="auto"/>
              </w:rPr>
              <w:t>Nasdaq Global Market</w:t>
            </w:r>
          </w:p>
        </w:tc>
        <w:tc>
          <w:tcPr>
            <w:tcW w:w="0" w:type="dxa"/>
            <w:vAlign w:val="bottom"/>
          </w:tcPr>
          <w:p>
            <w:pPr>
              <w:spacing w:after="0"/>
              <w:rPr>
                <w:sz w:val="1"/>
                <w:szCs w:val="1"/>
                <w:color w:val="auto"/>
              </w:rPr>
            </w:pPr>
          </w:p>
        </w:tc>
      </w:tr>
    </w:tbl>
    <w:p>
      <w:pPr>
        <w:spacing w:after="0" w:line="253" w:lineRule="exact"/>
        <w:rPr>
          <w:sz w:val="24"/>
          <w:szCs w:val="24"/>
          <w:color w:val="auto"/>
        </w:rPr>
      </w:pPr>
    </w:p>
    <w:p>
      <w:pPr>
        <w:jc w:val="both"/>
        <w:ind w:left="6" w:right="100" w:firstLine="348"/>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left="6" w:right="20" w:firstLine="348"/>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left="6"/>
        <w:spacing w:after="0" w:line="141" w:lineRule="exact"/>
        <w:rPr>
          <w:sz w:val="20"/>
          <w:szCs w:val="20"/>
          <w:color w:val="auto"/>
        </w:rPr>
      </w:pPr>
      <w:r>
        <w:rPr>
          <w:rFonts w:ascii="MS PGothic" w:cs="MS PGothic" w:eastAsia="MS PGothic" w:hAnsi="MS PGothic"/>
          <w:sz w:val="14"/>
          <w:szCs w:val="14"/>
          <w:color w:val="auto"/>
        </w:rPr>
        <w:t>☐</w:t>
      </w:r>
    </w:p>
    <w:p>
      <w:pPr>
        <w:spacing w:after="0" w:line="77" w:lineRule="exact"/>
        <w:rPr>
          <w:sz w:val="24"/>
          <w:szCs w:val="24"/>
          <w:color w:val="auto"/>
        </w:rPr>
      </w:pPr>
    </w:p>
    <w:p>
      <w:pPr>
        <w:ind w:left="6" w:right="200" w:firstLine="348"/>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6" w:type="dxa"/>
        <w:tblCellMar>
          <w:top w:w="0" w:type="dxa"/>
          <w:left w:w="0" w:type="dxa"/>
          <w:bottom w:w="0" w:type="dxa"/>
          <w:right w:w="0" w:type="dxa"/>
        </w:tblCellMar>
      </w:tblPr>
      <w:tr>
        <w:trPr>
          <w:trHeight w:val="199"/>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4"/>
        </w:trPr>
        <w:tc>
          <w:tcPr>
            <w:tcW w:w="1700" w:type="dxa"/>
            <w:vAlign w:val="bottom"/>
          </w:tcPr>
          <w:p>
            <w:pPr>
              <w:spacing w:after="0" w:line="145" w:lineRule="exact"/>
              <w:rPr>
                <w:sz w:val="20"/>
                <w:szCs w:val="20"/>
                <w:color w:val="auto"/>
              </w:rPr>
            </w:pPr>
            <w:r>
              <w:rPr>
                <w:rFonts w:ascii="Arial" w:cs="Arial" w:eastAsia="Arial" w:hAnsi="Arial"/>
                <w:sz w:val="14"/>
                <w:szCs w:val="14"/>
                <w:color w:val="auto"/>
              </w:rPr>
              <w:t>Non-accelerated filer</w:t>
            </w:r>
          </w:p>
        </w:tc>
        <w:tc>
          <w:tcPr>
            <w:tcW w:w="3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3000"/>
              <w:spacing w:after="0" w:line="145" w:lineRule="exact"/>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2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 w:lineRule="exact"/>
        <w:rPr>
          <w:sz w:val="24"/>
          <w:szCs w:val="24"/>
          <w:color w:val="auto"/>
        </w:rPr>
      </w:pPr>
    </w:p>
    <w:p>
      <w:pPr>
        <w:ind w:left="6" w:right="340" w:firstLine="348"/>
        <w:spacing w:after="0" w:line="19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366" w:right="2780"/>
        <w:spacing w:after="0" w:line="21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May 12, 2025, 5,163,274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788670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555" w:right="680" w:bottom="1440" w:gutter="0" w:footer="0" w:header="0"/>
          <w:type w:val="continuous"/>
        </w:sectPr>
      </w:pPr>
    </w:p>
    <w:bookmarkStart w:id="1" w:name="page2"/>
    <w:bookmarkEnd w:id="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40" w:type="dxa"/>
            <w:vAlign w:val="bottom"/>
            <w:gridSpan w:val="8"/>
          </w:tcPr>
          <w:p>
            <w:pPr>
              <w:ind w:left="840"/>
              <w:spacing w:after="0"/>
              <w:rPr>
                <w:sz w:val="20"/>
                <w:szCs w:val="20"/>
                <w:color w:val="auto"/>
              </w:rPr>
            </w:pPr>
            <w:r>
              <w:rPr>
                <w:rFonts w:ascii="Arial" w:cs="Arial" w:eastAsia="Arial" w:hAnsi="Arial"/>
                <w:sz w:val="16"/>
                <w:szCs w:val="16"/>
                <w:b w:val="1"/>
                <w:bCs w:val="1"/>
                <w:color w:val="auto"/>
              </w:rPr>
              <w:t>TABLE OF CONTENTS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14"/>
        </w:trPr>
        <w:tc>
          <w:tcPr>
            <w:tcW w:w="9840" w:type="dxa"/>
            <w:vAlign w:val="bottom"/>
            <w:gridSpan w:val="20"/>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Part I - Financial Information</w:t>
              </w:r>
            </w:hyperlink>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5</w:t>
            </w:r>
          </w:p>
        </w:tc>
        <w:tc>
          <w:tcPr>
            <w:tcW w:w="0" w:type="dxa"/>
            <w:vAlign w:val="bottom"/>
          </w:tcPr>
          <w:p>
            <w:pPr>
              <w:spacing w:after="0" w:line="20" w:lineRule="exact"/>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1.</w:t>
            </w:r>
          </w:p>
        </w:tc>
        <w:tc>
          <w:tcPr>
            <w:tcW w:w="8460" w:type="dxa"/>
            <w:vAlign w:val="bottom"/>
            <w:gridSpan w:val="19"/>
          </w:tcPr>
          <w:p>
            <w:pPr>
              <w:spacing w:after="0" w:line="160" w:lineRule="exact"/>
              <w:rPr>
                <w:rFonts w:ascii="Arial" w:cs="Arial" w:eastAsia="Arial" w:hAnsi="Arial"/>
                <w:sz w:val="16"/>
                <w:szCs w:val="16"/>
                <w:color w:val="0000FF"/>
              </w:rPr>
            </w:pPr>
            <w:hyperlink w:anchor="page5">
              <w:r>
                <w:rPr>
                  <w:rFonts w:ascii="Arial" w:cs="Arial" w:eastAsia="Arial" w:hAnsi="Arial"/>
                  <w:sz w:val="16"/>
                  <w:szCs w:val="16"/>
                  <w:color w:val="0000FF"/>
                </w:rPr>
                <w:t>Financial Statements</w:t>
              </w:r>
            </w:hyperlink>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5</w:t>
            </w:r>
          </w:p>
        </w:tc>
        <w:tc>
          <w:tcPr>
            <w:tcW w:w="0" w:type="dxa"/>
            <w:vAlign w:val="bottom"/>
          </w:tcPr>
          <w:p>
            <w:pPr>
              <w:spacing w:after="0" w:line="20" w:lineRule="exact"/>
              <w:rPr>
                <w:sz w:val="1"/>
                <w:szCs w:val="1"/>
                <w:color w:val="auto"/>
              </w:rPr>
            </w:pPr>
          </w:p>
        </w:tc>
      </w:tr>
      <w:tr>
        <w:trPr>
          <w:trHeight w:val="160"/>
        </w:trPr>
        <w:tc>
          <w:tcPr>
            <w:tcW w:w="1380" w:type="dxa"/>
            <w:vAlign w:val="bottom"/>
          </w:tcPr>
          <w:p>
            <w:pPr>
              <w:spacing w:after="0"/>
              <w:rPr>
                <w:sz w:val="13"/>
                <w:szCs w:val="13"/>
                <w:color w:val="auto"/>
              </w:rPr>
            </w:pPr>
          </w:p>
        </w:tc>
        <w:tc>
          <w:tcPr>
            <w:tcW w:w="8460" w:type="dxa"/>
            <w:vAlign w:val="bottom"/>
            <w:gridSpan w:val="19"/>
          </w:tcPr>
          <w:p>
            <w:pPr>
              <w:spacing w:after="0" w:line="160" w:lineRule="exact"/>
              <w:rPr>
                <w:rFonts w:ascii="Arial" w:cs="Arial" w:eastAsia="Arial" w:hAnsi="Arial"/>
                <w:sz w:val="16"/>
                <w:szCs w:val="16"/>
                <w:color w:val="0000FF"/>
              </w:rPr>
            </w:pPr>
            <w:hyperlink w:anchor="page5">
              <w:r>
                <w:rPr>
                  <w:rFonts w:ascii="Arial" w:cs="Arial" w:eastAsia="Arial" w:hAnsi="Arial"/>
                  <w:sz w:val="16"/>
                  <w:szCs w:val="16"/>
                  <w:color w:val="0000FF"/>
                </w:rPr>
                <w:t>Condensed Consolidated Balance Sheets as of March 31, 2025 and December 31, 2024 (unaudited)</w:t>
              </w:r>
            </w:hyperlink>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6</w:t>
            </w:r>
          </w:p>
        </w:tc>
        <w:tc>
          <w:tcPr>
            <w:tcW w:w="0" w:type="dxa"/>
            <w:vAlign w:val="bottom"/>
          </w:tcPr>
          <w:p>
            <w:pPr>
              <w:spacing w:after="0" w:line="20" w:lineRule="exact"/>
              <w:rPr>
                <w:sz w:val="1"/>
                <w:szCs w:val="1"/>
                <w:color w:val="auto"/>
              </w:rPr>
            </w:pPr>
          </w:p>
        </w:tc>
      </w:tr>
      <w:tr>
        <w:trPr>
          <w:trHeight w:val="160"/>
        </w:trPr>
        <w:tc>
          <w:tcPr>
            <w:tcW w:w="1380" w:type="dxa"/>
            <w:vAlign w:val="bottom"/>
          </w:tcPr>
          <w:p>
            <w:pPr>
              <w:spacing w:after="0"/>
              <w:rPr>
                <w:sz w:val="13"/>
                <w:szCs w:val="13"/>
                <w:color w:val="auto"/>
              </w:rPr>
            </w:pPr>
          </w:p>
        </w:tc>
        <w:tc>
          <w:tcPr>
            <w:tcW w:w="8460" w:type="dxa"/>
            <w:vAlign w:val="bottom"/>
            <w:gridSpan w:val="19"/>
          </w:tcPr>
          <w:p>
            <w:pPr>
              <w:spacing w:after="0" w:line="160" w:lineRule="exact"/>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Operations for the Three Months Ended March 31, 2025 and 2024 (unaudited)</w:t>
              </w:r>
            </w:hyperlink>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8</w:t>
            </w:r>
          </w:p>
        </w:tc>
        <w:tc>
          <w:tcPr>
            <w:tcW w:w="0" w:type="dxa"/>
            <w:vAlign w:val="bottom"/>
          </w:tcPr>
          <w:p>
            <w:pPr>
              <w:spacing w:after="0" w:line="20" w:lineRule="exact"/>
              <w:rPr>
                <w:sz w:val="1"/>
                <w:szCs w:val="1"/>
                <w:color w:val="auto"/>
              </w:rPr>
            </w:pPr>
          </w:p>
        </w:tc>
      </w:tr>
      <w:tr>
        <w:trPr>
          <w:trHeight w:val="160"/>
        </w:trPr>
        <w:tc>
          <w:tcPr>
            <w:tcW w:w="1380" w:type="dxa"/>
            <w:vAlign w:val="bottom"/>
          </w:tcPr>
          <w:p>
            <w:pPr>
              <w:spacing w:after="0"/>
              <w:rPr>
                <w:sz w:val="13"/>
                <w:szCs w:val="13"/>
                <w:color w:val="auto"/>
              </w:rPr>
            </w:pPr>
          </w:p>
        </w:tc>
        <w:tc>
          <w:tcPr>
            <w:tcW w:w="8460" w:type="dxa"/>
            <w:vAlign w:val="bottom"/>
            <w:tcBorders>
              <w:bottom w:val="single" w:sz="8" w:color="0000EE"/>
            </w:tcBorders>
            <w:gridSpan w:val="19"/>
          </w:tcPr>
          <w:p>
            <w:pPr>
              <w:spacing w:after="0" w:line="160" w:lineRule="exact"/>
              <w:rPr>
                <w:rFonts w:ascii="Arial" w:cs="Arial" w:eastAsia="Arial" w:hAnsi="Arial"/>
                <w:sz w:val="16"/>
                <w:szCs w:val="16"/>
                <w:color w:val="0000FF"/>
                <w:w w:val="97"/>
              </w:rPr>
            </w:pPr>
            <w:hyperlink w:anchor="page8">
              <w:r>
                <w:rPr>
                  <w:rFonts w:ascii="Arial" w:cs="Arial" w:eastAsia="Arial" w:hAnsi="Arial"/>
                  <w:sz w:val="16"/>
                  <w:szCs w:val="16"/>
                  <w:color w:val="0000FF"/>
                  <w:w w:val="97"/>
                </w:rPr>
                <w:t>Condensed Consolidated Statements of Changes in Stockholders' Equity for the Three Months Ended March 31, 2025 and</w:t>
              </w:r>
            </w:hyperlink>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8460" w:type="dxa"/>
            <w:vAlign w:val="bottom"/>
            <w:gridSpan w:val="19"/>
          </w:tcPr>
          <w:p>
            <w:pPr>
              <w:spacing w:after="0" w:line="160" w:lineRule="exact"/>
              <w:rPr>
                <w:rFonts w:ascii="Arial" w:cs="Arial" w:eastAsia="Arial" w:hAnsi="Arial"/>
                <w:sz w:val="16"/>
                <w:szCs w:val="16"/>
                <w:color w:val="0000FF"/>
              </w:rPr>
            </w:pPr>
            <w:hyperlink w:anchor="page8">
              <w:r>
                <w:rPr>
                  <w:rFonts w:ascii="Arial" w:cs="Arial" w:eastAsia="Arial" w:hAnsi="Arial"/>
                  <w:sz w:val="16"/>
                  <w:szCs w:val="16"/>
                  <w:color w:val="0000FF"/>
                </w:rPr>
                <w:t>2024 (unaudited)</w:t>
              </w:r>
            </w:hyperlink>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380" w:type="dxa"/>
            <w:vAlign w:val="bottom"/>
          </w:tcPr>
          <w:p>
            <w:pPr>
              <w:spacing w:after="0"/>
              <w:rPr>
                <w:sz w:val="22"/>
                <w:szCs w:val="22"/>
                <w:color w:val="auto"/>
              </w:rPr>
            </w:pPr>
          </w:p>
        </w:tc>
        <w:tc>
          <w:tcPr>
            <w:tcW w:w="8260" w:type="dxa"/>
            <w:vAlign w:val="bottom"/>
            <w:tcBorders>
              <w:bottom w:val="single" w:sz="8" w:color="0000EE"/>
            </w:tcBorders>
            <w:gridSpan w:val="18"/>
          </w:tcPr>
          <w:p>
            <w:pPr>
              <w:spacing w:after="0"/>
              <w:rPr>
                <w:rFonts w:ascii="Arial" w:cs="Arial" w:eastAsia="Arial" w:hAnsi="Arial"/>
                <w:sz w:val="16"/>
                <w:szCs w:val="16"/>
                <w:color w:val="0000FF"/>
                <w:w w:val="97"/>
              </w:rPr>
            </w:pPr>
            <w:hyperlink w:anchor="page9">
              <w:r>
                <w:rPr>
                  <w:rFonts w:ascii="Arial" w:cs="Arial" w:eastAsia="Arial" w:hAnsi="Arial"/>
                  <w:sz w:val="16"/>
                  <w:szCs w:val="16"/>
                  <w:color w:val="0000FF"/>
                  <w:w w:val="97"/>
                </w:rPr>
                <w:t>Condensed Consolidated Statements of Cash Flows for the Three Months Ended March 31, 2025 and 2024 (unaudited)</w:t>
              </w:r>
            </w:hyperlink>
          </w:p>
        </w:tc>
        <w:tc>
          <w:tcPr>
            <w:tcW w:w="2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4720" w:type="dxa"/>
            <w:vAlign w:val="bottom"/>
            <w:tcBorders>
              <w:bottom w:val="single" w:sz="8" w:color="0000EE"/>
            </w:tcBorders>
            <w:gridSpan w:val="14"/>
          </w:tcPr>
          <w:p>
            <w:pPr>
              <w:spacing w:after="0" w:line="160" w:lineRule="exact"/>
              <w:rPr>
                <w:rFonts w:ascii="Arial" w:cs="Arial" w:eastAsia="Arial" w:hAnsi="Arial"/>
                <w:sz w:val="16"/>
                <w:szCs w:val="16"/>
                <w:color w:val="0000FF"/>
                <w:w w:val="97"/>
              </w:rPr>
            </w:pPr>
            <w:hyperlink w:anchor="page11">
              <w:r>
                <w:rPr>
                  <w:rFonts w:ascii="Arial" w:cs="Arial" w:eastAsia="Arial" w:hAnsi="Arial"/>
                  <w:sz w:val="16"/>
                  <w:szCs w:val="16"/>
                  <w:color w:val="0000FF"/>
                  <w:w w:val="97"/>
                </w:rPr>
                <w:t>Notes to Condensed Consolidated Financial Statements (unaudited)</w:t>
              </w:r>
            </w:hyperlink>
          </w:p>
        </w:tc>
        <w:tc>
          <w:tcPr>
            <w:tcW w:w="3740" w:type="dxa"/>
            <w:vAlign w:val="bottom"/>
            <w:gridSpan w:val="5"/>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2.</w:t>
            </w:r>
          </w:p>
        </w:tc>
        <w:tc>
          <w:tcPr>
            <w:tcW w:w="6140" w:type="dxa"/>
            <w:vAlign w:val="bottom"/>
            <w:tcBorders>
              <w:bottom w:val="single" w:sz="8" w:color="0000EE"/>
            </w:tcBorders>
            <w:gridSpan w:val="15"/>
          </w:tcPr>
          <w:p>
            <w:pPr>
              <w:spacing w:after="0" w:line="160" w:lineRule="exact"/>
              <w:rPr>
                <w:rFonts w:ascii="Arial" w:cs="Arial" w:eastAsia="Arial" w:hAnsi="Arial"/>
                <w:sz w:val="16"/>
                <w:szCs w:val="16"/>
                <w:color w:val="0000FF"/>
                <w:w w:val="97"/>
              </w:rPr>
            </w:pPr>
            <w:hyperlink w:anchor="page54">
              <w:r>
                <w:rPr>
                  <w:rFonts w:ascii="Arial" w:cs="Arial" w:eastAsia="Arial" w:hAnsi="Arial"/>
                  <w:sz w:val="16"/>
                  <w:szCs w:val="16"/>
                  <w:color w:val="0000FF"/>
                  <w:w w:val="97"/>
                </w:rPr>
                <w:t>Management’s Discussion and Analysis of Financial Condition and Results of Operations</w:t>
              </w:r>
            </w:hyperlink>
          </w:p>
        </w:tc>
        <w:tc>
          <w:tcPr>
            <w:tcW w:w="2320" w:type="dxa"/>
            <w:vAlign w:val="bottom"/>
            <w:gridSpan w:val="4"/>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3.</w:t>
            </w:r>
          </w:p>
        </w:tc>
        <w:tc>
          <w:tcPr>
            <w:tcW w:w="8460" w:type="dxa"/>
            <w:vAlign w:val="bottom"/>
            <w:gridSpan w:val="19"/>
          </w:tcPr>
          <w:p>
            <w:pPr>
              <w:spacing w:after="0" w:line="160" w:lineRule="exact"/>
              <w:rPr>
                <w:rFonts w:ascii="Arial" w:cs="Arial" w:eastAsia="Arial" w:hAnsi="Arial"/>
                <w:sz w:val="16"/>
                <w:szCs w:val="16"/>
                <w:color w:val="0000FF"/>
              </w:rPr>
            </w:pPr>
            <w:hyperlink w:anchor="page76">
              <w:r>
                <w:rPr>
                  <w:rFonts w:ascii="Arial" w:cs="Arial" w:eastAsia="Arial" w:hAnsi="Arial"/>
                  <w:sz w:val="16"/>
                  <w:szCs w:val="16"/>
                  <w:color w:val="0000FF"/>
                </w:rPr>
                <w:t>Quantitative and Qualitative Disclosure About Market Risk</w:t>
              </w:r>
            </w:hyperlink>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4.</w:t>
            </w:r>
          </w:p>
        </w:tc>
        <w:tc>
          <w:tcPr>
            <w:tcW w:w="1740" w:type="dxa"/>
            <w:vAlign w:val="bottom"/>
            <w:tcBorders>
              <w:top w:val="single" w:sz="8" w:color="0000EE"/>
              <w:bottom w:val="single" w:sz="8" w:color="0000EE"/>
            </w:tcBorders>
            <w:gridSpan w:val="10"/>
          </w:tcPr>
          <w:p>
            <w:pPr>
              <w:spacing w:after="0" w:line="160" w:lineRule="exact"/>
              <w:rPr>
                <w:rFonts w:ascii="Arial" w:cs="Arial" w:eastAsia="Arial" w:hAnsi="Arial"/>
                <w:sz w:val="16"/>
                <w:szCs w:val="16"/>
                <w:color w:val="0000FF"/>
                <w:w w:val="97"/>
              </w:rPr>
            </w:pPr>
            <w:hyperlink w:anchor="page76">
              <w:r>
                <w:rPr>
                  <w:rFonts w:ascii="Arial" w:cs="Arial" w:eastAsia="Arial" w:hAnsi="Arial"/>
                  <w:sz w:val="16"/>
                  <w:szCs w:val="16"/>
                  <w:color w:val="0000FF"/>
                  <w:w w:val="97"/>
                </w:rPr>
                <w:t>Controls and Procedures</w:t>
              </w:r>
            </w:hyperlink>
          </w:p>
        </w:tc>
        <w:tc>
          <w:tcPr>
            <w:tcW w:w="2260" w:type="dxa"/>
            <w:vAlign w:val="bottom"/>
            <w:tcBorders>
              <w:top w:val="single" w:sz="8" w:color="0000EE"/>
            </w:tcBorders>
            <w:gridSpan w:val="2"/>
          </w:tcPr>
          <w:p>
            <w:pPr>
              <w:spacing w:after="0"/>
              <w:rPr>
                <w:sz w:val="13"/>
                <w:szCs w:val="13"/>
                <w:color w:val="auto"/>
              </w:rPr>
            </w:pPr>
          </w:p>
        </w:tc>
        <w:tc>
          <w:tcPr>
            <w:tcW w:w="4460" w:type="dxa"/>
            <w:vAlign w:val="bottom"/>
            <w:gridSpan w:val="7"/>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0000EE"/>
            </w:tcBorders>
            <w:gridSpan w:val="2"/>
          </w:tcPr>
          <w:p>
            <w:pPr>
              <w:spacing w:after="0"/>
              <w:rPr>
                <w:rFonts w:ascii="Arial" w:cs="Arial" w:eastAsia="Arial" w:hAnsi="Arial"/>
                <w:sz w:val="16"/>
                <w:szCs w:val="16"/>
                <w:color w:val="0000FF"/>
                <w:w w:val="97"/>
              </w:rPr>
            </w:pPr>
            <w:hyperlink w:anchor="page77">
              <w:r>
                <w:rPr>
                  <w:rFonts w:ascii="Arial" w:cs="Arial" w:eastAsia="Arial" w:hAnsi="Arial"/>
                  <w:sz w:val="16"/>
                  <w:szCs w:val="16"/>
                  <w:color w:val="0000FF"/>
                  <w:w w:val="97"/>
                </w:rPr>
                <w:t>Part II - Other information</w:t>
              </w:r>
            </w:hyperlink>
          </w:p>
        </w:tc>
        <w:tc>
          <w:tcPr>
            <w:tcW w:w="8060" w:type="dxa"/>
            <w:vAlign w:val="bottom"/>
            <w:gridSpan w:val="18"/>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1.</w:t>
            </w:r>
          </w:p>
        </w:tc>
        <w:tc>
          <w:tcPr>
            <w:tcW w:w="1300" w:type="dxa"/>
            <w:vAlign w:val="bottom"/>
            <w:tcBorders>
              <w:bottom w:val="single" w:sz="8" w:color="0000EE"/>
            </w:tcBorders>
            <w:gridSpan w:val="7"/>
          </w:tcPr>
          <w:p>
            <w:pPr>
              <w:spacing w:after="0" w:line="160" w:lineRule="exact"/>
              <w:rPr>
                <w:rFonts w:ascii="Arial" w:cs="Arial" w:eastAsia="Arial" w:hAnsi="Arial"/>
                <w:sz w:val="16"/>
                <w:szCs w:val="16"/>
                <w:color w:val="0000FF"/>
                <w:w w:val="96"/>
              </w:rPr>
            </w:pPr>
            <w:hyperlink w:anchor="page77">
              <w:r>
                <w:rPr>
                  <w:rFonts w:ascii="Arial" w:cs="Arial" w:eastAsia="Arial" w:hAnsi="Arial"/>
                  <w:sz w:val="16"/>
                  <w:szCs w:val="16"/>
                  <w:color w:val="0000FF"/>
                  <w:w w:val="96"/>
                </w:rPr>
                <w:t>Legal Proceedings</w:t>
              </w:r>
            </w:hyperlink>
          </w:p>
        </w:tc>
        <w:tc>
          <w:tcPr>
            <w:tcW w:w="7160" w:type="dxa"/>
            <w:vAlign w:val="bottom"/>
            <w:gridSpan w:val="12"/>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1A.</w:t>
            </w:r>
          </w:p>
        </w:tc>
        <w:tc>
          <w:tcPr>
            <w:tcW w:w="880" w:type="dxa"/>
            <w:vAlign w:val="bottom"/>
            <w:tcBorders>
              <w:bottom w:val="single" w:sz="8" w:color="0000EE"/>
            </w:tcBorders>
            <w:gridSpan w:val="4"/>
          </w:tcPr>
          <w:p>
            <w:pPr>
              <w:spacing w:after="0" w:line="160" w:lineRule="exact"/>
              <w:rPr>
                <w:rFonts w:ascii="Arial" w:cs="Arial" w:eastAsia="Arial" w:hAnsi="Arial"/>
                <w:sz w:val="16"/>
                <w:szCs w:val="16"/>
                <w:color w:val="0000FF"/>
                <w:w w:val="96"/>
              </w:rPr>
            </w:pPr>
            <w:hyperlink w:anchor="page78">
              <w:r>
                <w:rPr>
                  <w:rFonts w:ascii="Arial" w:cs="Arial" w:eastAsia="Arial" w:hAnsi="Arial"/>
                  <w:sz w:val="16"/>
                  <w:szCs w:val="16"/>
                  <w:color w:val="0000FF"/>
                  <w:w w:val="96"/>
                </w:rPr>
                <w:t>Risk Factors</w:t>
              </w:r>
            </w:hyperlink>
          </w:p>
        </w:tc>
        <w:tc>
          <w:tcPr>
            <w:tcW w:w="7580" w:type="dxa"/>
            <w:vAlign w:val="bottom"/>
            <w:gridSpan w:val="15"/>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2.</w:t>
            </w:r>
          </w:p>
        </w:tc>
        <w:tc>
          <w:tcPr>
            <w:tcW w:w="8460" w:type="dxa"/>
            <w:vAlign w:val="bottom"/>
            <w:gridSpan w:val="19"/>
          </w:tcPr>
          <w:p>
            <w:pPr>
              <w:spacing w:after="0" w:line="160" w:lineRule="exact"/>
              <w:rPr>
                <w:rFonts w:ascii="Arial" w:cs="Arial" w:eastAsia="Arial" w:hAnsi="Arial"/>
                <w:sz w:val="16"/>
                <w:szCs w:val="16"/>
                <w:color w:val="0000FF"/>
              </w:rPr>
            </w:pPr>
            <w:hyperlink w:anchor="page78">
              <w:r>
                <w:rPr>
                  <w:rFonts w:ascii="Arial" w:cs="Arial" w:eastAsia="Arial" w:hAnsi="Arial"/>
                  <w:sz w:val="16"/>
                  <w:szCs w:val="16"/>
                  <w:color w:val="0000FF"/>
                </w:rPr>
                <w:t>Unregistered Sales of Equity Securities and Use of Proceeds</w:t>
              </w:r>
            </w:hyperlink>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3.</w:t>
            </w:r>
          </w:p>
        </w:tc>
        <w:tc>
          <w:tcPr>
            <w:tcW w:w="2220" w:type="dxa"/>
            <w:vAlign w:val="bottom"/>
            <w:tcBorders>
              <w:top w:val="single" w:sz="8" w:color="0000EE"/>
              <w:bottom w:val="single" w:sz="8" w:color="0000EE"/>
            </w:tcBorders>
            <w:gridSpan w:val="11"/>
          </w:tcPr>
          <w:p>
            <w:pPr>
              <w:spacing w:after="0" w:line="160" w:lineRule="exact"/>
              <w:rPr>
                <w:rFonts w:ascii="Arial" w:cs="Arial" w:eastAsia="Arial" w:hAnsi="Arial"/>
                <w:sz w:val="16"/>
                <w:szCs w:val="16"/>
                <w:color w:val="0000FF"/>
                <w:w w:val="96"/>
              </w:rPr>
            </w:pPr>
            <w:hyperlink w:anchor="page78">
              <w:r>
                <w:rPr>
                  <w:rFonts w:ascii="Arial" w:cs="Arial" w:eastAsia="Arial" w:hAnsi="Arial"/>
                  <w:sz w:val="16"/>
                  <w:szCs w:val="16"/>
                  <w:color w:val="0000FF"/>
                  <w:w w:val="96"/>
                </w:rPr>
                <w:t>Defaults Upon Senior Securities</w:t>
              </w:r>
            </w:hyperlink>
          </w:p>
        </w:tc>
        <w:tc>
          <w:tcPr>
            <w:tcW w:w="1980" w:type="dxa"/>
            <w:vAlign w:val="bottom"/>
            <w:tcBorders>
              <w:top w:val="single" w:sz="8" w:color="0000EE"/>
            </w:tcBorders>
            <w:gridSpan w:val="2"/>
          </w:tcPr>
          <w:p>
            <w:pPr>
              <w:spacing w:after="0"/>
              <w:rPr>
                <w:sz w:val="13"/>
                <w:szCs w:val="13"/>
                <w:color w:val="auto"/>
              </w:rPr>
            </w:pPr>
          </w:p>
        </w:tc>
        <w:tc>
          <w:tcPr>
            <w:tcW w:w="4260" w:type="dxa"/>
            <w:vAlign w:val="bottom"/>
            <w:gridSpan w:val="6"/>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4.</w:t>
            </w:r>
          </w:p>
        </w:tc>
        <w:tc>
          <w:tcPr>
            <w:tcW w:w="1680" w:type="dxa"/>
            <w:vAlign w:val="bottom"/>
            <w:tcBorders>
              <w:bottom w:val="single" w:sz="8" w:color="0000EE"/>
            </w:tcBorders>
            <w:gridSpan w:val="9"/>
          </w:tcPr>
          <w:p>
            <w:pPr>
              <w:spacing w:after="0" w:line="160" w:lineRule="exact"/>
              <w:rPr>
                <w:rFonts w:ascii="Arial" w:cs="Arial" w:eastAsia="Arial" w:hAnsi="Arial"/>
                <w:sz w:val="16"/>
                <w:szCs w:val="16"/>
                <w:color w:val="0000FF"/>
                <w:w w:val="96"/>
              </w:rPr>
            </w:pPr>
            <w:hyperlink w:anchor="page78">
              <w:r>
                <w:rPr>
                  <w:rFonts w:ascii="Arial" w:cs="Arial" w:eastAsia="Arial" w:hAnsi="Arial"/>
                  <w:sz w:val="16"/>
                  <w:szCs w:val="16"/>
                  <w:color w:val="0000FF"/>
                  <w:w w:val="96"/>
                </w:rPr>
                <w:t>Mine Safety Disclosures</w:t>
              </w:r>
            </w:hyperlink>
          </w:p>
        </w:tc>
        <w:tc>
          <w:tcPr>
            <w:tcW w:w="6780" w:type="dxa"/>
            <w:vAlign w:val="bottom"/>
            <w:gridSpan w:val="10"/>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5.</w:t>
            </w:r>
          </w:p>
        </w:tc>
        <w:tc>
          <w:tcPr>
            <w:tcW w:w="1220" w:type="dxa"/>
            <w:vAlign w:val="bottom"/>
            <w:tcBorders>
              <w:bottom w:val="single" w:sz="8" w:color="0000EE"/>
            </w:tcBorders>
            <w:gridSpan w:val="6"/>
          </w:tcPr>
          <w:p>
            <w:pPr>
              <w:spacing w:after="0" w:line="160" w:lineRule="exact"/>
              <w:rPr>
                <w:rFonts w:ascii="Arial" w:cs="Arial" w:eastAsia="Arial" w:hAnsi="Arial"/>
                <w:sz w:val="16"/>
                <w:szCs w:val="16"/>
                <w:color w:val="0000FF"/>
                <w:w w:val="96"/>
              </w:rPr>
            </w:pPr>
            <w:hyperlink w:anchor="page78">
              <w:r>
                <w:rPr>
                  <w:rFonts w:ascii="Arial" w:cs="Arial" w:eastAsia="Arial" w:hAnsi="Arial"/>
                  <w:sz w:val="16"/>
                  <w:szCs w:val="16"/>
                  <w:color w:val="0000FF"/>
                  <w:w w:val="96"/>
                </w:rPr>
                <w:t>Other Information</w:t>
              </w:r>
            </w:hyperlink>
          </w:p>
        </w:tc>
        <w:tc>
          <w:tcPr>
            <w:tcW w:w="7240" w:type="dxa"/>
            <w:vAlign w:val="bottom"/>
            <w:gridSpan w:val="13"/>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6.</w:t>
            </w:r>
          </w:p>
        </w:tc>
        <w:tc>
          <w:tcPr>
            <w:tcW w:w="580" w:type="dxa"/>
            <w:vAlign w:val="bottom"/>
            <w:tcBorders>
              <w:bottom w:val="single" w:sz="8" w:color="0000EE"/>
            </w:tcBorders>
            <w:gridSpan w:val="2"/>
          </w:tcPr>
          <w:p>
            <w:pPr>
              <w:spacing w:after="0" w:line="160" w:lineRule="exact"/>
              <w:rPr>
                <w:rFonts w:ascii="Arial" w:cs="Arial" w:eastAsia="Arial" w:hAnsi="Arial"/>
                <w:sz w:val="16"/>
                <w:szCs w:val="16"/>
                <w:color w:val="0000FF"/>
                <w:w w:val="96"/>
              </w:rPr>
            </w:pPr>
            <w:hyperlink w:anchor="page80">
              <w:r>
                <w:rPr>
                  <w:rFonts w:ascii="Arial" w:cs="Arial" w:eastAsia="Arial" w:hAnsi="Arial"/>
                  <w:sz w:val="16"/>
                  <w:szCs w:val="16"/>
                  <w:color w:val="0000FF"/>
                  <w:w w:val="96"/>
                </w:rPr>
                <w:t>Exhibits</w:t>
              </w:r>
            </w:hyperlink>
          </w:p>
        </w:tc>
        <w:tc>
          <w:tcPr>
            <w:tcW w:w="7880" w:type="dxa"/>
            <w:vAlign w:val="bottom"/>
            <w:gridSpan w:val="17"/>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760" w:type="dxa"/>
            <w:vAlign w:val="bottom"/>
            <w:tcBorders>
              <w:bottom w:val="single" w:sz="8" w:color="0000EE"/>
            </w:tcBorders>
            <w:gridSpan w:val="3"/>
          </w:tcPr>
          <w:p>
            <w:pPr>
              <w:spacing w:after="0" w:line="160" w:lineRule="exact"/>
              <w:rPr>
                <w:rFonts w:ascii="Arial" w:cs="Arial" w:eastAsia="Arial" w:hAnsi="Arial"/>
                <w:sz w:val="16"/>
                <w:szCs w:val="16"/>
                <w:color w:val="0000FF"/>
                <w:w w:val="96"/>
              </w:rPr>
            </w:pPr>
            <w:hyperlink w:anchor="page83">
              <w:r>
                <w:rPr>
                  <w:rFonts w:ascii="Arial" w:cs="Arial" w:eastAsia="Arial" w:hAnsi="Arial"/>
                  <w:sz w:val="16"/>
                  <w:szCs w:val="16"/>
                  <w:color w:val="0000FF"/>
                  <w:w w:val="96"/>
                </w:rPr>
                <w:t>Signatures</w:t>
              </w:r>
            </w:hyperlink>
          </w:p>
        </w:tc>
        <w:tc>
          <w:tcPr>
            <w:tcW w:w="7700" w:type="dxa"/>
            <w:vAlign w:val="bottom"/>
            <w:gridSpan w:val="16"/>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570"/>
        </w:trPr>
        <w:tc>
          <w:tcPr>
            <w:tcW w:w="1380" w:type="dxa"/>
            <w:vAlign w:val="bottom"/>
          </w:tcPr>
          <w:p>
            <w:pPr>
              <w:spacing w:after="0"/>
              <w:rPr>
                <w:sz w:val="24"/>
                <w:szCs w:val="24"/>
                <w:color w:val="auto"/>
              </w:rPr>
            </w:pPr>
          </w:p>
        </w:tc>
        <w:tc>
          <w:tcPr>
            <w:tcW w:w="4000" w:type="dxa"/>
            <w:vAlign w:val="bottom"/>
            <w:gridSpan w:val="12"/>
          </w:tcPr>
          <w:p>
            <w:pPr>
              <w:ind w:left="386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1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7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 w:name="page3"/>
    <w:bookmarkEnd w:id="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0" w:lineRule="exact"/>
        <w:rPr>
          <w:sz w:val="20"/>
          <w:szCs w:val="20"/>
          <w:color w:val="auto"/>
        </w:rPr>
      </w:pPr>
    </w:p>
    <w:p>
      <w:pPr>
        <w:ind w:right="100" w:firstLine="708"/>
        <w:spacing w:after="0" w:line="271" w:lineRule="auto"/>
        <w:rPr>
          <w:sz w:val="20"/>
          <w:szCs w:val="20"/>
          <w:color w:val="auto"/>
        </w:rPr>
      </w:pPr>
      <w:r>
        <w:rPr>
          <w:rFonts w:ascii="Arial" w:cs="Arial" w:eastAsia="Arial" w:hAnsi="Arial"/>
          <w:sz w:val="14"/>
          <w:szCs w:val="14"/>
          <w:color w:val="auto"/>
        </w:rPr>
        <w:t>This Quarterly Report on Form 10 -Q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the impact of macroeconomic and geopolitical factors including tariffs and other trade restrictions, the impact of the Prepackaged Chapter 11 Case (as defined herein), our ability to continue as a going concern, our future results of operations and financial condition, business strategy, and plans and objectives of management for future operations, including our Value Maximization Plan (as defined herein) and the ongoing activities of and potential growth of our UACC and CarStory businesses, our Long-Term Strategic Plan (as defined herein), including our base, growth, and aggressive growth models, the amendment and renewal of the Warehouse Credit Facilities (as defined herein), and the timing of any of the foregoing are forward-looking statements. In some cases, forward-looking statements may be identified by words such as "anticipate," "believe,"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"contemplate," "continue," "could," "design," "estimate," "expect," "intend," "may," "plan," "potentially," "predict," "project," "should," </w:t>
      </w:r>
      <w:r>
        <w:rPr>
          <w:rFonts w:ascii="Arial" w:cs="Arial" w:eastAsia="Arial" w:hAnsi="Arial"/>
          <w:sz w:val="18"/>
          <w:szCs w:val="18"/>
          <w:color w:val="auto"/>
        </w:rPr>
        <w:t>"</w:t>
      </w:r>
      <w:r>
        <w:rPr>
          <w:rFonts w:ascii="Arial" w:cs="Arial" w:eastAsia="Arial" w:hAnsi="Arial"/>
          <w:sz w:val="16"/>
          <w:szCs w:val="16"/>
          <w:color w:val="auto"/>
        </w:rPr>
        <w:t>target,"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would," or the negative of these terms or other similar terms or expressions, although not all forward-looking statements contain these identifying words.</w:t>
      </w:r>
    </w:p>
    <w:p>
      <w:pPr>
        <w:spacing w:after="0" w:line="185" w:lineRule="exact"/>
        <w:rPr>
          <w:sz w:val="20"/>
          <w:szCs w:val="20"/>
          <w:color w:val="auto"/>
        </w:rPr>
      </w:pPr>
    </w:p>
    <w:p>
      <w:pPr>
        <w:ind w:right="60" w:firstLine="708"/>
        <w:spacing w:after="0" w:line="244" w:lineRule="auto"/>
        <w:rPr>
          <w:sz w:val="20"/>
          <w:szCs w:val="20"/>
          <w:color w:val="auto"/>
        </w:rPr>
      </w:pPr>
      <w:r>
        <w:rPr>
          <w:rFonts w:ascii="Arial" w:cs="Arial" w:eastAsia="Arial" w:hAnsi="Arial"/>
          <w:sz w:val="16"/>
          <w:szCs w:val="16"/>
          <w:color w:val="auto"/>
        </w:rPr>
        <w:t>The forward -looking statements in this Quarterly Report on Form 10- 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p>
    <w:p>
      <w:pPr>
        <w:spacing w:after="0" w:line="66" w:lineRule="exact"/>
        <w:rPr>
          <w:sz w:val="20"/>
          <w:szCs w:val="20"/>
          <w:color w:val="auto"/>
        </w:rPr>
      </w:pPr>
    </w:p>
    <w:p>
      <w:pPr>
        <w:ind w:left="480" w:right="3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recently emerged from the Prepackaged Chapter 11 Case, which could adversely affect our business and relationships, and subject us to</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risks and uncertainties;</w:t>
      </w:r>
    </w:p>
    <w:p>
      <w:pPr>
        <w:spacing w:after="0" w:line="51" w:lineRule="exact"/>
        <w:rPr>
          <w:sz w:val="20"/>
          <w:szCs w:val="20"/>
          <w:color w:val="auto"/>
        </w:rPr>
      </w:pPr>
    </w:p>
    <w:p>
      <w:pPr>
        <w:ind w:left="4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our emergence from the Prepackaged Chapter 11 Case and its impact has consumed and may continue to consume a substantial portion of time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and attention of our management;</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there are risks associated with the discontinuance of our ecommerce operations and wind-down of our used vehicle dealership business;</w:t>
      </w:r>
    </w:p>
    <w:p>
      <w:pPr>
        <w:spacing w:after="0" w:line="91" w:lineRule="exact"/>
        <w:rPr>
          <w:sz w:val="20"/>
          <w:szCs w:val="20"/>
          <w:color w:val="auto"/>
        </w:rPr>
      </w:pPr>
    </w:p>
    <w:p>
      <w:pPr>
        <w:ind w:left="480" w:right="76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our Long-Term Strategic Plan may not be successful, and may not lead to growth and enhanced profitability for our UACC or CarStory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businesses;</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may not generate sufficient liquidity to operate our business;</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general business and economic conditions and risks related to the larger automotive ecosystem, including consumer demand;</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have a history of losses and we may not achieve or maintain profitability in the future;</w:t>
      </w:r>
    </w:p>
    <w:p>
      <w:pPr>
        <w:spacing w:after="0" w:line="91" w:lineRule="exact"/>
        <w:rPr>
          <w:sz w:val="20"/>
          <w:szCs w:val="20"/>
          <w:color w:val="auto"/>
        </w:rPr>
      </w:pPr>
    </w:p>
    <w:p>
      <w:pPr>
        <w:ind w:left="480" w:right="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our indebtedness and liabilities could limit the cash flow available for our operations, expose us to risks that could adversely affect our business,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financial condition, and results of operations and impair our ability to satisfy our debt obligations;</w:t>
      </w:r>
    </w:p>
    <w:p>
      <w:pPr>
        <w:spacing w:after="0" w:line="51" w:lineRule="exact"/>
        <w:rPr>
          <w:sz w:val="20"/>
          <w:szCs w:val="20"/>
          <w:color w:val="auto"/>
        </w:rPr>
      </w:pPr>
    </w:p>
    <w:p>
      <w:pPr>
        <w:ind w:left="480" w:right="32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geographic concentration of UACC's borrowers or dealerships creates an exposure to local and regional downturns or severe weather 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catastrophic occurrences that may materially and adversely affect our business, financial condition and results of operations;</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may be unable to satisfy a Nasdaq listing rule or that of another national securities exchange;</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UACC may be unable to continue to access or renew funding sources and obtain capital needed to maintain and grow its business;</w:t>
      </w:r>
    </w:p>
    <w:p>
      <w:pPr>
        <w:spacing w:after="0" w:line="91" w:lineRule="exact"/>
        <w:rPr>
          <w:sz w:val="20"/>
          <w:szCs w:val="20"/>
          <w:color w:val="auto"/>
        </w:rPr>
      </w:pPr>
    </w:p>
    <w:p>
      <w:pPr>
        <w:ind w:left="480" w:right="3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UACC may be unable to sell automotive finance receivables and generate gains on sales of those finance receivables, which could harm our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business, results of operations, and financial condition;</w:t>
      </w:r>
    </w:p>
    <w:p>
      <w:pPr>
        <w:spacing w:after="0" w:line="51" w:lineRule="exact"/>
        <w:rPr>
          <w:sz w:val="20"/>
          <w:szCs w:val="20"/>
          <w:color w:val="auto"/>
        </w:rPr>
      </w:pPr>
    </w:p>
    <w:p>
      <w:pPr>
        <w:ind w:left="480" w:right="1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UACC's securitizations may expose it to financing and other risks, and there can be no assurance that it will be able to access the securitization</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market in the future, which may require it to seek more costly financing;</w:t>
      </w:r>
    </w:p>
    <w:p>
      <w:pPr>
        <w:spacing w:after="0" w:line="51" w:lineRule="exact"/>
        <w:rPr>
          <w:sz w:val="20"/>
          <w:szCs w:val="20"/>
          <w:color w:val="auto"/>
        </w:rPr>
      </w:pPr>
    </w:p>
    <w:p>
      <w:pPr>
        <w:ind w:left="48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UACC is currently experiencing increasing credit losses in interests it holds in automotive finance receivables, and its credit scoring systems may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not effectively forecast its automotive receivables loss rates. Higher than anticipated credit losses or prepayments or the inability to effectively forecast loss rates may negatively impact our operating results;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3" w:name="page4"/>
    <w:bookmarkEnd w:id="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hanging="66"/>
        <w:spacing w:after="0"/>
        <w:tabs>
          <w:tab w:leader="none" w:pos="5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if UACC loses servicing rights on its automobile contracts, our results of operations would be negatively impacted;</w:t>
      </w:r>
    </w:p>
    <w:p>
      <w:pPr>
        <w:spacing w:after="0" w:line="89" w:lineRule="exact"/>
        <w:rPr>
          <w:rFonts w:ascii="Times New Roman" w:cs="Times New Roman" w:eastAsia="Times New Roman" w:hAnsi="Times New Roman"/>
          <w:sz w:val="16"/>
          <w:szCs w:val="16"/>
          <w:color w:val="auto"/>
        </w:rPr>
      </w:pPr>
    </w:p>
    <w:p>
      <w:pPr>
        <w:ind w:left="480" w:right="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if we or our third-party providers sustain cyber-attacks or other privacy or data security incidents that result in security breaches, we could suffer a</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loss of sales and increased costs, exposure to significant liability, reputational harm and other negative consequences;</w:t>
      </w:r>
    </w:p>
    <w:p>
      <w:pPr>
        <w:spacing w:after="0" w:line="51" w:lineRule="exact"/>
        <w:rPr>
          <w:sz w:val="20"/>
          <w:szCs w:val="20"/>
          <w:color w:val="auto"/>
        </w:rPr>
      </w:pPr>
    </w:p>
    <w:p>
      <w:pPr>
        <w:ind w:left="480" w:right="24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operate in a highly regulated industry and are subject to a wide range of federal, state and local laws and regulations, and failure to comply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with these laws and regulations could have a material adverse effect on our business, financial condition and results of operations;</w:t>
      </w:r>
    </w:p>
    <w:p>
      <w:pPr>
        <w:spacing w:after="0" w:line="51" w:lineRule="exact"/>
        <w:rPr>
          <w:sz w:val="20"/>
          <w:szCs w:val="20"/>
          <w:color w:val="auto"/>
        </w:rPr>
      </w:pPr>
    </w:p>
    <w:p>
      <w:pPr>
        <w:ind w:left="480" w:right="22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are, and may in the future be, subject to legal proceedings in the ordinary course of our business. If the outcomes of these proceedings are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adverse to us, it could have a material adverse effect on our business, financial condition and results of operations;</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our actual operating results may differ significantly from our guidance; and</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risks described in the section titled "Risk Factors" in our Annual Report on Form 10-K for the year ended December 31, 2024.</w:t>
      </w:r>
    </w:p>
    <w:p>
      <w:pPr>
        <w:spacing w:after="0" w:line="189" w:lineRule="exact"/>
        <w:rPr>
          <w:sz w:val="20"/>
          <w:szCs w:val="20"/>
          <w:color w:val="auto"/>
        </w:rPr>
      </w:pPr>
    </w:p>
    <w:p>
      <w:pPr>
        <w:ind w:right="220" w:firstLine="708"/>
        <w:spacing w:after="0" w:line="244" w:lineRule="auto"/>
        <w:rPr>
          <w:sz w:val="20"/>
          <w:szCs w:val="20"/>
          <w:color w:val="auto"/>
        </w:rPr>
      </w:pPr>
      <w:r>
        <w:rPr>
          <w:rFonts w:ascii="Arial" w:cs="Arial" w:eastAsia="Arial" w:hAnsi="Arial"/>
          <w:sz w:val="16"/>
          <w:szCs w:val="16"/>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4" w:lineRule="exact"/>
        <w:rPr>
          <w:sz w:val="20"/>
          <w:szCs w:val="20"/>
          <w:color w:val="auto"/>
        </w:rPr>
      </w:pPr>
    </w:p>
    <w:p>
      <w:pPr>
        <w:ind w:firstLine="708"/>
        <w:spacing w:after="0" w:line="278" w:lineRule="auto"/>
        <w:rPr>
          <w:sz w:val="20"/>
          <w:szCs w:val="20"/>
          <w:color w:val="auto"/>
        </w:rPr>
      </w:pPr>
      <w:r>
        <w:rPr>
          <w:rFonts w:ascii="Arial" w:cs="Arial" w:eastAsia="Arial" w:hAnsi="Arial"/>
          <w:sz w:val="14"/>
          <w:szCs w:val="14"/>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 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 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327" w:lineRule="exact"/>
        <w:rPr>
          <w:sz w:val="20"/>
          <w:szCs w:val="20"/>
          <w:color w:val="auto"/>
        </w:rPr>
      </w:pPr>
    </w:p>
    <w:p>
      <w:pPr>
        <w:ind w:right="320" w:firstLine="708"/>
        <w:spacing w:after="0" w:line="262" w:lineRule="auto"/>
        <w:rPr>
          <w:sz w:val="20"/>
          <w:szCs w:val="20"/>
          <w:color w:val="auto"/>
        </w:rPr>
      </w:pPr>
      <w:r>
        <w:rPr>
          <w:rFonts w:ascii="Arial" w:cs="Arial" w:eastAsia="Arial" w:hAnsi="Arial"/>
          <w:sz w:val="16"/>
          <w:szCs w:val="16"/>
          <w:color w:val="auto"/>
        </w:rPr>
        <w:t>As used in this Quarterly Report on Form 10-Q, “Prepackaged Chapter 11 Case” refers to our anticipated filing of the voluntary proceeding under the Bankruptcy Code to be commenced by us in the United States Bankruptcy Court for the Southern District of Texas.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 w:name="page5"/>
    <w:bookmarkEnd w:id="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jc w:val="center"/>
        <w:ind w:right="-19"/>
        <w:spacing w:after="0" w:line="234" w:lineRule="auto"/>
        <w:rPr>
          <w:sz w:val="20"/>
          <w:szCs w:val="20"/>
          <w:color w:val="auto"/>
        </w:rPr>
      </w:pPr>
      <w:r>
        <w:rPr>
          <w:rFonts w:ascii="Arial" w:cs="Arial" w:eastAsia="Arial" w:hAnsi="Arial"/>
          <w:sz w:val="16"/>
          <w:szCs w:val="16"/>
          <w:b w:val="1"/>
          <w:bCs w:val="1"/>
          <w:color w:val="auto"/>
        </w:rPr>
        <w:t>VROOM, INC.</w:t>
      </w:r>
    </w:p>
    <w:p>
      <w:pPr>
        <w:jc w:val="center"/>
        <w:ind w:right="-19"/>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35" w:lineRule="auto"/>
        <w:rPr>
          <w:sz w:val="20"/>
          <w:szCs w:val="20"/>
          <w:color w:val="auto"/>
        </w:rPr>
      </w:pPr>
      <w:r>
        <w:rPr>
          <w:rFonts w:ascii="Arial" w:cs="Arial" w:eastAsia="Arial" w:hAnsi="Arial"/>
          <w:sz w:val="16"/>
          <w:szCs w:val="16"/>
          <w:b w:val="1"/>
          <w:bCs w:val="1"/>
          <w:color w:val="auto"/>
        </w:rPr>
        <w:t>(in thousands, except share and per share amounts)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289"/>
              <w:spacing w:after="0"/>
              <w:rPr>
                <w:sz w:val="20"/>
                <w:szCs w:val="20"/>
                <w:color w:val="auto"/>
              </w:rPr>
            </w:pPr>
            <w:r>
              <w:rPr>
                <w:rFonts w:ascii="Arial" w:cs="Arial" w:eastAsia="Arial" w:hAnsi="Arial"/>
                <w:sz w:val="13"/>
                <w:szCs w:val="13"/>
                <w:b w:val="1"/>
                <w:bCs w:val="1"/>
                <w:color w:val="auto"/>
              </w:rPr>
              <w:t>Successor</w:t>
            </w: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229"/>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329"/>
              <w:spacing w:after="0"/>
              <w:rPr>
                <w:sz w:val="20"/>
                <w:szCs w:val="20"/>
                <w:color w:val="auto"/>
              </w:rPr>
            </w:pPr>
            <w:r>
              <w:rPr>
                <w:rFonts w:ascii="Arial" w:cs="Arial" w:eastAsia="Arial" w:hAnsi="Arial"/>
                <w:sz w:val="13"/>
                <w:szCs w:val="13"/>
                <w:b w:val="1"/>
                <w:bCs w:val="1"/>
                <w:color w:val="auto"/>
              </w:rPr>
              <w:t>As of</w:t>
            </w: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649"/>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289"/>
              <w:spacing w:after="0"/>
              <w:rPr>
                <w:sz w:val="20"/>
                <w:szCs w:val="20"/>
                <w:color w:val="auto"/>
              </w:rPr>
            </w:pPr>
            <w:r>
              <w:rPr>
                <w:rFonts w:ascii="Arial" w:cs="Arial" w:eastAsia="Arial" w:hAnsi="Arial"/>
                <w:sz w:val="13"/>
                <w:szCs w:val="13"/>
                <w:b w:val="1"/>
                <w:bCs w:val="1"/>
                <w:color w:val="auto"/>
              </w:rPr>
              <w:t>March 31,</w:t>
            </w: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29"/>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269"/>
              <w:spacing w:after="0"/>
              <w:rPr>
                <w:sz w:val="20"/>
                <w:szCs w:val="20"/>
                <w:color w:val="auto"/>
              </w:rPr>
            </w:pPr>
            <w:r>
              <w:rPr>
                <w:rFonts w:ascii="Arial" w:cs="Arial" w:eastAsia="Arial" w:hAnsi="Arial"/>
                <w:sz w:val="13"/>
                <w:szCs w:val="13"/>
                <w:b w:val="1"/>
                <w:bCs w:val="1"/>
                <w:color w:val="auto"/>
                <w:w w:val="96"/>
              </w:rPr>
              <w:t>2025</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29"/>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14,565</w:t>
            </w:r>
          </w:p>
        </w:tc>
        <w:tc>
          <w:tcPr>
            <w:tcW w:w="160" w:type="dxa"/>
            <w:vAlign w:val="bottom"/>
            <w:tcBorders>
              <w:right w:val="single" w:sz="8" w:color="auto"/>
            </w:tcBorders>
          </w:tcPr>
          <w:p>
            <w:pPr>
              <w:spacing w:after="0"/>
              <w:rPr>
                <w:sz w:val="14"/>
                <w:szCs w:val="14"/>
                <w:color w:val="auto"/>
              </w:rPr>
            </w:pP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29,343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Restricted cash (including restricted cash of consolidated VIEs of $52.1 million and $48.1 million,</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respectively)</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53,003</w:t>
            </w:r>
          </w:p>
        </w:tc>
        <w:tc>
          <w:tcPr>
            <w:tcW w:w="16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49,026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line="156" w:lineRule="exact"/>
              <w:rPr>
                <w:sz w:val="20"/>
                <w:szCs w:val="20"/>
                <w:color w:val="auto"/>
              </w:rPr>
            </w:pPr>
            <w:r>
              <w:rPr>
                <w:rFonts w:ascii="Arial" w:cs="Arial" w:eastAsia="Arial" w:hAnsi="Arial"/>
                <w:sz w:val="14"/>
                <w:szCs w:val="14"/>
                <w:color w:val="auto"/>
              </w:rPr>
              <w:t>Finance receivables at fair value (including finance receivables of consolidated VIEs of $810.4 million and</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Arial" w:cs="Arial" w:eastAsia="Arial" w:hAnsi="Arial"/>
                <w:sz w:val="14"/>
                <w:szCs w:val="14"/>
                <w:color w:val="auto"/>
              </w:rPr>
              <w:t>$467.3 million, respectively)</w:t>
            </w:r>
          </w:p>
        </w:tc>
        <w:tc>
          <w:tcPr>
            <w:tcW w:w="26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858,200</w:t>
            </w:r>
          </w:p>
        </w:tc>
        <w:tc>
          <w:tcPr>
            <w:tcW w:w="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503,848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Finance receivables held for sale, net (including finance receivables of consolidated VIEs of $0.0 and</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$310.0 million, respectively)</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318,192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line="156" w:lineRule="exact"/>
              <w:rPr>
                <w:sz w:val="20"/>
                <w:szCs w:val="20"/>
                <w:color w:val="auto"/>
              </w:rPr>
            </w:pPr>
            <w:r>
              <w:rPr>
                <w:rFonts w:ascii="Arial" w:cs="Arial" w:eastAsia="Arial" w:hAnsi="Arial"/>
                <w:sz w:val="14"/>
                <w:szCs w:val="14"/>
                <w:color w:val="auto"/>
              </w:rPr>
              <w:t>Interest receivable (including interest receivables of consolidated VIEs of $11.7 million and $13.3 million,</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12,788</w:t>
            </w:r>
          </w:p>
        </w:tc>
        <w:tc>
          <w:tcPr>
            <w:tcW w:w="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14,067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2,501</w:t>
            </w: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13,796</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104,869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6,605</w:t>
            </w: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6,872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Other assets (including other assets of consolidated VIEs of $9.4 million and $10.8 million, respectively)</w:t>
            </w:r>
          </w:p>
        </w:tc>
        <w:tc>
          <w:tcPr>
            <w:tcW w:w="2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28,490</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35,472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Assets from discontinued operations</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8</w:t>
            </w: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989,956</w:t>
            </w:r>
          </w:p>
        </w:tc>
        <w:tc>
          <w:tcPr>
            <w:tcW w:w="160" w:type="dxa"/>
            <w:vAlign w:val="bottom"/>
            <w:tcBorders>
              <w:right w:val="single" w:sz="8" w:color="auto"/>
            </w:tcBorders>
          </w:tcPr>
          <w:p>
            <w:pPr>
              <w:spacing w:after="0"/>
              <w:rPr>
                <w:sz w:val="14"/>
                <w:szCs w:val="14"/>
                <w:color w:val="auto"/>
              </w:rPr>
            </w:pP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1,066,696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6880" w:type="dxa"/>
            <w:vAlign w:val="bottom"/>
            <w:shd w:val="clear" w:color="auto" w:fill="CFF0FC"/>
          </w:tcPr>
          <w:p>
            <w:pPr>
              <w:spacing w:after="0" w:line="144" w:lineRule="exact"/>
              <w:rPr>
                <w:sz w:val="20"/>
                <w:szCs w:val="20"/>
                <w:color w:val="auto"/>
              </w:rPr>
            </w:pPr>
            <w:r>
              <w:rPr>
                <w:rFonts w:ascii="Arial" w:cs="Arial" w:eastAsia="Arial" w:hAnsi="Arial"/>
                <w:sz w:val="14"/>
                <w:szCs w:val="14"/>
                <w:b w:val="1"/>
                <w:bCs w:val="1"/>
                <w:color w:val="auto"/>
              </w:rPr>
              <w:t>LIABILITIES AND STOCKHOLDERS’ EQUITY (DEFICIT)</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Warehouse credit facilities of consolidated VIEs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114,187</w:t>
            </w:r>
          </w:p>
        </w:tc>
        <w:tc>
          <w:tcPr>
            <w:tcW w:w="160" w:type="dxa"/>
            <w:vAlign w:val="bottom"/>
            <w:tcBorders>
              <w:right w:val="single" w:sz="8" w:color="auto"/>
            </w:tcBorders>
          </w:tcPr>
          <w:p>
            <w:pPr>
              <w:spacing w:after="0"/>
              <w:rPr>
                <w:sz w:val="14"/>
                <w:szCs w:val="14"/>
                <w:color w:val="auto"/>
              </w:rPr>
            </w:pP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359,912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Long-term debt (including securitization debt of consolidated VIEs of $613.9 million at fair value as of</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March 31, 2025 and $210.7 million at amortized cost and $142.6 million at fair value as of December 31,</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2024)</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655,430</w:t>
            </w:r>
          </w:p>
        </w:tc>
        <w:tc>
          <w:tcPr>
            <w:tcW w:w="16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381,366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10,198</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11,065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Other liabilities (including other liabilities of consolidated VIEs of $16.4 million and $13.8 million,</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respectively)</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48,544</w:t>
            </w:r>
          </w:p>
        </w:tc>
        <w:tc>
          <w:tcPr>
            <w:tcW w:w="16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49,699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Liabilities subject to compromise (Note 6)</w:t>
            </w:r>
          </w:p>
        </w:tc>
        <w:tc>
          <w:tcPr>
            <w:tcW w:w="260" w:type="dxa"/>
            <w:vAlign w:val="bottom"/>
          </w:tcPr>
          <w:p>
            <w:pPr>
              <w:spacing w:after="0"/>
              <w:rPr>
                <w:sz w:val="14"/>
                <w:szCs w:val="14"/>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291,577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Liabilities from discontinued operations</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2,970</w:t>
            </w: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4,022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6"/>
                <w:szCs w:val="16"/>
                <w:color w:val="auto"/>
              </w:rPr>
            </w:pPr>
          </w:p>
        </w:tc>
        <w:tc>
          <w:tcPr>
            <w:tcW w:w="1420" w:type="dxa"/>
            <w:vAlign w:val="bottom"/>
            <w:vMerge w:val="restart"/>
          </w:tcPr>
          <w:p>
            <w:pPr>
              <w:jc w:val="right"/>
              <w:ind w:right="9"/>
              <w:spacing w:after="0"/>
              <w:rPr>
                <w:sz w:val="20"/>
                <w:szCs w:val="20"/>
                <w:color w:val="auto"/>
              </w:rPr>
            </w:pPr>
            <w:r>
              <w:rPr>
                <w:rFonts w:ascii="Arial" w:cs="Arial" w:eastAsia="Arial" w:hAnsi="Arial"/>
                <w:sz w:val="14"/>
                <w:szCs w:val="14"/>
                <w:color w:val="auto"/>
              </w:rPr>
              <w:t>831,329</w:t>
            </w:r>
          </w:p>
        </w:tc>
        <w:tc>
          <w:tcPr>
            <w:tcW w:w="1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1,097,641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(Note 12)</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Stockholders’ equity (deficit) :</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Common stock, $0.001 par value; 250,000,000 shares authorized as of March 31, 2025 and</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500,000,000 shares authorized as of December 31, 2024; 5,163,109 and 1,822,532 shares issued and</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outstanding as of March 31, 2025 and December 31, 2024, respectively</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5</w:t>
            </w:r>
          </w:p>
        </w:tc>
        <w:tc>
          <w:tcPr>
            <w:tcW w:w="16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Additional paid-in-capital</w:t>
            </w:r>
          </w:p>
        </w:tc>
        <w:tc>
          <w:tcPr>
            <w:tcW w:w="260" w:type="dxa"/>
            <w:vAlign w:val="bottom"/>
          </w:tcPr>
          <w:p>
            <w:pPr>
              <w:spacing w:after="0"/>
              <w:rPr>
                <w:sz w:val="14"/>
                <w:szCs w:val="14"/>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164,973</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2,094,889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(6,351)</w:t>
            </w:r>
          </w:p>
        </w:tc>
        <w:tc>
          <w:tcPr>
            <w:tcW w:w="1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(2,125,836)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260" w:type="dxa"/>
            <w:vAlign w:val="bottom"/>
          </w:tcPr>
          <w:p>
            <w:pPr>
              <w:spacing w:after="0"/>
              <w:rPr>
                <w:sz w:val="14"/>
                <w:szCs w:val="14"/>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158,627</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liabilities and stockholders’ equity (deficit)</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989,956</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1,066,696</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r>
        <w:rPr>
          <w:rFonts w:ascii="Arial" w:cs="Arial" w:eastAsia="Arial" w:hAnsi="Arial"/>
          <w:sz w:val="16"/>
          <w:szCs w:val="16"/>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 w:name="page6"/>
    <w:bookmarkEnd w:id="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CONDENSED CONSOLIDATED STATEMENTS OF OPERATIONS</w:t>
      </w:r>
    </w:p>
    <w:p>
      <w:pPr>
        <w:jc w:val="center"/>
        <w:ind w:right="-59"/>
        <w:spacing w:after="0" w:line="234" w:lineRule="auto"/>
        <w:rPr>
          <w:sz w:val="20"/>
          <w:szCs w:val="20"/>
          <w:color w:val="auto"/>
        </w:rPr>
      </w:pPr>
      <w:r>
        <w:rPr>
          <w:rFonts w:ascii="Arial" w:cs="Arial" w:eastAsia="Arial" w:hAnsi="Arial"/>
          <w:sz w:val="16"/>
          <w:szCs w:val="16"/>
          <w:b w:val="1"/>
          <w:bCs w:val="1"/>
          <w:color w:val="auto"/>
        </w:rPr>
        <w:t>(in thousands, except share and per share amounts)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248"/>
              <w:spacing w:after="0"/>
              <w:rPr>
                <w:sz w:val="20"/>
                <w:szCs w:val="20"/>
                <w:color w:val="auto"/>
              </w:rPr>
            </w:pPr>
            <w:r>
              <w:rPr>
                <w:rFonts w:ascii="Arial" w:cs="Arial" w:eastAsia="Arial" w:hAnsi="Arial"/>
                <w:sz w:val="13"/>
                <w:szCs w:val="13"/>
                <w:b w:val="1"/>
                <w:bCs w:val="1"/>
                <w:color w:val="auto"/>
              </w:rPr>
              <w:t>Successor</w:t>
            </w: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3"/>
                <w:szCs w:val="13"/>
                <w:b w:val="1"/>
                <w:bCs w:val="1"/>
                <w:color w:val="auto"/>
              </w:rPr>
              <w:t>Predecessor</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60" w:type="dxa"/>
            <w:vAlign w:val="bottom"/>
            <w:gridSpan w:val="2"/>
          </w:tcPr>
          <w:p>
            <w:pPr>
              <w:jc w:val="center"/>
              <w:ind w:right="28"/>
              <w:spacing w:after="0"/>
              <w:rPr>
                <w:sz w:val="20"/>
                <w:szCs w:val="20"/>
                <w:color w:val="auto"/>
              </w:rPr>
            </w:pPr>
            <w:r>
              <w:rPr>
                <w:rFonts w:ascii="Arial" w:cs="Arial" w:eastAsia="Arial" w:hAnsi="Arial"/>
                <w:sz w:val="13"/>
                <w:szCs w:val="13"/>
                <w:b w:val="1"/>
                <w:bCs w:val="1"/>
                <w:color w:val="auto"/>
              </w:rPr>
              <w:t>Period from January</w:t>
            </w: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Period from January</w:t>
            </w:r>
          </w:p>
        </w:tc>
        <w:tc>
          <w:tcPr>
            <w:tcW w:w="160" w:type="dxa"/>
            <w:vAlign w:val="bottom"/>
          </w:tcPr>
          <w:p>
            <w:pPr>
              <w:spacing w:after="0"/>
              <w:rPr>
                <w:sz w:val="13"/>
                <w:szCs w:val="13"/>
                <w:color w:val="auto"/>
              </w:rPr>
            </w:pPr>
          </w:p>
        </w:tc>
        <w:tc>
          <w:tcPr>
            <w:tcW w:w="1460" w:type="dxa"/>
            <w:vAlign w:val="bottom"/>
            <w:gridSpan w:val="2"/>
          </w:tcPr>
          <w:p>
            <w:pPr>
              <w:jc w:val="center"/>
              <w:ind w:right="48"/>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15 through March 31,</w:t>
            </w:r>
          </w:p>
        </w:tc>
        <w:tc>
          <w:tcPr>
            <w:tcW w:w="140" w:type="dxa"/>
            <w:vAlign w:val="bottom"/>
            <w:tcBorders>
              <w:right w:val="single" w:sz="8" w:color="auto"/>
            </w:tcBorders>
          </w:tcPr>
          <w:p>
            <w:pPr>
              <w:spacing w:after="0"/>
              <w:rPr>
                <w:sz w:val="14"/>
                <w:szCs w:val="14"/>
                <w:color w:val="auto"/>
              </w:rPr>
            </w:pPr>
          </w:p>
        </w:tc>
        <w:tc>
          <w:tcPr>
            <w:tcW w:w="1600" w:type="dxa"/>
            <w:vAlign w:val="bottom"/>
            <w:gridSpan w:val="3"/>
          </w:tcPr>
          <w:p>
            <w:pPr>
              <w:ind w:left="140"/>
              <w:spacing w:after="0"/>
              <w:rPr>
                <w:sz w:val="20"/>
                <w:szCs w:val="20"/>
                <w:color w:val="auto"/>
              </w:rPr>
            </w:pPr>
            <w:r>
              <w:rPr>
                <w:rFonts w:ascii="Arial" w:cs="Arial" w:eastAsia="Arial" w:hAnsi="Arial"/>
                <w:sz w:val="13"/>
                <w:szCs w:val="13"/>
                <w:b w:val="1"/>
                <w:bCs w:val="1"/>
                <w:color w:val="auto"/>
              </w:rPr>
              <w:t>1 through January 14,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ind w:right="348"/>
              <w:spacing w:after="0"/>
              <w:rPr>
                <w:sz w:val="20"/>
                <w:szCs w:val="20"/>
                <w:color w:val="auto"/>
              </w:rPr>
            </w:pPr>
            <w:r>
              <w:rPr>
                <w:rFonts w:ascii="Arial" w:cs="Arial" w:eastAsia="Arial" w:hAnsi="Arial"/>
                <w:sz w:val="13"/>
                <w:szCs w:val="13"/>
                <w:b w:val="1"/>
                <w:bCs w:val="1"/>
                <w:color w:val="auto"/>
                <w:w w:val="99"/>
              </w:rPr>
              <w:t>March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228"/>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ind w:right="348"/>
              <w:spacing w:after="0"/>
              <w:rPr>
                <w:sz w:val="20"/>
                <w:szCs w:val="20"/>
                <w:color w:val="auto"/>
              </w:rPr>
            </w:pPr>
            <w:r>
              <w:rPr>
                <w:rFonts w:ascii="Arial" w:cs="Arial" w:eastAsia="Arial" w:hAnsi="Arial"/>
                <w:sz w:val="13"/>
                <w:szCs w:val="13"/>
                <w:b w:val="1"/>
                <w:bCs w:val="1"/>
                <w:color w:val="auto"/>
                <w:w w:val="96"/>
              </w:rPr>
              <w:t>2024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37,157</w:t>
            </w:r>
          </w:p>
        </w:tc>
        <w:tc>
          <w:tcPr>
            <w:tcW w:w="140" w:type="dxa"/>
            <w:vAlign w:val="bottom"/>
            <w:tcBorders>
              <w:right w:val="single" w:sz="8" w:color="auto"/>
            </w:tcBorders>
            <w:shd w:val="clear" w:color="auto" w:fill="CFF0FC"/>
          </w:tcPr>
          <w:p>
            <w:pPr>
              <w:spacing w:after="0"/>
              <w:rPr>
                <w:sz w:val="14"/>
                <w:szCs w:val="14"/>
                <w:color w:val="auto"/>
              </w:rPr>
            </w:pPr>
          </w:p>
        </w:tc>
        <w:tc>
          <w:tcPr>
            <w:tcW w:w="4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7,183</w:t>
            </w:r>
          </w:p>
        </w:tc>
        <w:tc>
          <w:tcPr>
            <w:tcW w:w="480" w:type="dxa"/>
            <w:vAlign w:val="bottom"/>
            <w:gridSpan w:val="2"/>
            <w:shd w:val="clear" w:color="auto" w:fill="CFF0FC"/>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51,077</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4,618</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1,017</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9,471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6,548</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1,178</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4,869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Total interest expense</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11,166</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2,195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14,340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25,991</w:t>
            </w:r>
          </w:p>
        </w:tc>
        <w:tc>
          <w:tcPr>
            <w:tcW w:w="14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4,988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36,737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11,100</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6,792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30,819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Net interest income (loss) after losses and recoveries</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14,891</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(1,804)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5,918</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1,254</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Warranties and GAP income (loss), net</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4,079</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(9,642)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CarStory revenue</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2,392</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432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2,481</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Total noninterest income (loss)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10,206</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16,067</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2,823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24,110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5,347</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297</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2,402</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457</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575</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1,057</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7,626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Interest expense on corporate debt</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Impairment charges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4,156</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2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2,370</w:t>
            </w: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371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Total expenses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31,397</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5,181</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48,298</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6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Loss from continuing operations before reorganization items and provision for income</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taxes</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(6,300)</w:t>
            </w:r>
          </w:p>
        </w:tc>
        <w:tc>
          <w:tcPr>
            <w:tcW w:w="14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Reorganization items, net</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51,036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(Loss) income from continuing operations before provision for income taxes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(6,300)</w:t>
            </w:r>
          </w:p>
        </w:tc>
        <w:tc>
          <w:tcPr>
            <w:tcW w:w="1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45,095</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Provision for income taxes from continuing operations</w:t>
            </w:r>
          </w:p>
        </w:tc>
        <w:tc>
          <w:tcPr>
            <w:tcW w:w="22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 from continuing operations</w:t>
            </w: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(6,450)</w:t>
            </w:r>
          </w:p>
        </w:tc>
        <w:tc>
          <w:tcPr>
            <w:tcW w:w="14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45,090</w:t>
            </w:r>
          </w:p>
        </w:tc>
        <w:tc>
          <w:tcPr>
            <w:tcW w:w="480" w:type="dxa"/>
            <w:vAlign w:val="bottom"/>
            <w:gridSpan w:val="2"/>
            <w:shd w:val="clear" w:color="auto" w:fill="CFF0FC"/>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00" w:type="dxa"/>
            <w:vAlign w:val="bottom"/>
          </w:tcPr>
          <w:p>
            <w:pPr>
              <w:spacing w:after="0" w:line="144" w:lineRule="exact"/>
              <w:rPr>
                <w:sz w:val="20"/>
                <w:szCs w:val="20"/>
                <w:color w:val="auto"/>
              </w:rPr>
            </w:pPr>
            <w:r>
              <w:rPr>
                <w:rFonts w:ascii="Arial" w:cs="Arial" w:eastAsia="Arial" w:hAnsi="Arial"/>
                <w:sz w:val="14"/>
                <w:szCs w:val="14"/>
                <w:color w:val="auto"/>
              </w:rPr>
              <w:t>Net income (loss) from discontinued operations</w:t>
            </w:r>
          </w:p>
        </w:tc>
        <w:tc>
          <w:tcPr>
            <w:tcW w:w="220" w:type="dxa"/>
            <w:vAlign w:val="bottom"/>
          </w:tcPr>
          <w:p>
            <w:pPr>
              <w:spacing w:after="0" w:line="144"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line="144" w:lineRule="exact"/>
              <w:rPr>
                <w:sz w:val="20"/>
                <w:szCs w:val="20"/>
                <w:color w:val="auto"/>
              </w:rPr>
            </w:pPr>
            <w:r>
              <w:rPr>
                <w:rFonts w:ascii="Arial" w:cs="Arial" w:eastAsia="Arial" w:hAnsi="Arial"/>
                <w:sz w:val="14"/>
                <w:szCs w:val="14"/>
                <w:color w:val="auto"/>
              </w:rPr>
              <w:t>99</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line="144"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4" w:lineRule="exact"/>
              <w:rPr>
                <w:sz w:val="20"/>
                <w:szCs w:val="20"/>
                <w:color w:val="auto"/>
              </w:rPr>
            </w:pPr>
            <w:r>
              <w:rPr>
                <w:rFonts w:ascii="Arial" w:cs="Arial" w:eastAsia="Arial" w:hAnsi="Arial"/>
                <w:sz w:val="14"/>
                <w:szCs w:val="14"/>
                <w:color w:val="auto"/>
              </w:rPr>
              <w:t>(4)</w:t>
            </w:r>
          </w:p>
        </w:tc>
        <w:tc>
          <w:tcPr>
            <w:tcW w:w="480" w:type="dxa"/>
            <w:vAlign w:val="bottom"/>
            <w:gridSpan w:val="2"/>
          </w:tcPr>
          <w:p>
            <w:pPr>
              <w:jc w:val="right"/>
              <w:ind w:right="171"/>
              <w:spacing w:after="0" w:line="144"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4" w:lineRule="exact"/>
              <w:rPr>
                <w:sz w:val="20"/>
                <w:szCs w:val="20"/>
                <w:color w:val="auto"/>
              </w:rPr>
            </w:pPr>
            <w:r>
              <w:rPr>
                <w:rFonts w:ascii="Arial" w:cs="Arial" w:eastAsia="Arial" w:hAnsi="Arial"/>
                <w:sz w:val="14"/>
                <w:szCs w:val="14"/>
                <w:color w:val="auto"/>
              </w:rPr>
              <w:t>(22,941)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5600" w:type="dxa"/>
            <w:vAlign w:val="bottom"/>
            <w:tcBorders>
              <w:bottom w:val="single" w:sz="8" w:color="CFF0FC"/>
            </w:tcBorders>
            <w:shd w:val="clear" w:color="auto" w:fill="CFF0FC"/>
          </w:tcPr>
          <w:p>
            <w:pPr>
              <w:spacing w:after="0" w:line="144" w:lineRule="exact"/>
              <w:rPr>
                <w:sz w:val="20"/>
                <w:szCs w:val="20"/>
                <w:color w:val="auto"/>
              </w:rPr>
            </w:pPr>
            <w:r>
              <w:rPr>
                <w:rFonts w:ascii="Arial" w:cs="Arial" w:eastAsia="Arial" w:hAnsi="Arial"/>
                <w:sz w:val="14"/>
                <w:szCs w:val="14"/>
                <w:color w:val="auto"/>
              </w:rPr>
              <w:t>Net (loss) income</w:t>
            </w:r>
          </w:p>
        </w:tc>
        <w:tc>
          <w:tcPr>
            <w:tcW w:w="220" w:type="dxa"/>
            <w:vAlign w:val="bottom"/>
            <w:tcBorders>
              <w:bottom w:val="single" w:sz="8" w:color="auto"/>
            </w:tcBorders>
            <w:shd w:val="clear" w:color="auto" w:fill="CFF0FC"/>
          </w:tcPr>
          <w:p>
            <w:pPr>
              <w:spacing w:after="0" w:line="144"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rPr>
              <w:t>(6,351)</w:t>
            </w:r>
          </w:p>
        </w:tc>
        <w:tc>
          <w:tcPr>
            <w:tcW w:w="140" w:type="dxa"/>
            <w:vAlign w:val="bottom"/>
            <w:tcBorders>
              <w:bottom w:val="single" w:sz="8" w:color="CFF0FC"/>
              <w:right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line="144"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28"/>
              <w:spacing w:after="0" w:line="144" w:lineRule="exact"/>
              <w:rPr>
                <w:sz w:val="20"/>
                <w:szCs w:val="20"/>
                <w:color w:val="auto"/>
              </w:rPr>
            </w:pPr>
            <w:r>
              <w:rPr>
                <w:rFonts w:ascii="Arial" w:cs="Arial" w:eastAsia="Arial" w:hAnsi="Arial"/>
                <w:sz w:val="14"/>
                <w:szCs w:val="14"/>
                <w:color w:val="auto"/>
              </w:rPr>
              <w:t>45,086</w:t>
            </w: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171"/>
              <w:spacing w:after="0" w:line="144"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rPr>
              <w:t>(67,617)</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(Continued on following page)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5" w:right="740" w:bottom="1440" w:gutter="0" w:footer="0" w:header="0"/>
        </w:sectPr>
      </w:pPr>
    </w:p>
    <w:bookmarkStart w:id="6" w:name="page7"/>
    <w:bookmarkEnd w:id="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VROOM,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CONDENSED CONSOLIDATED STATEMENTS OF OPERATIONS (continued)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 thousands, except share and per share amounts)</w:t>
      </w:r>
    </w:p>
    <w:p>
      <w:pPr>
        <w:jc w:val="center"/>
        <w:ind w:right="-79"/>
        <w:spacing w:after="0"/>
        <w:rPr>
          <w:sz w:val="20"/>
          <w:szCs w:val="20"/>
          <w:color w:val="auto"/>
        </w:rPr>
      </w:pPr>
      <w:r>
        <w:rPr>
          <w:rFonts w:ascii="Arial" w:cs="Arial" w:eastAsia="Arial" w:hAnsi="Arial"/>
          <w:sz w:val="16"/>
          <w:szCs w:val="16"/>
          <w:b w:val="1"/>
          <w:bCs w:val="1"/>
          <w:color w:val="auto"/>
        </w:rPr>
        <w:t>(unaudited)</w:t>
      </w:r>
    </w:p>
    <w:p>
      <w:pPr>
        <w:sectPr>
          <w:pgSz w:w="11900" w:h="16840" w:orient="portrait"/>
          <w:cols w:equalWidth="0" w:num="1">
            <w:col w:w="10500"/>
          </w:cols>
          <w:pgMar w:left="660" w:top="555" w:right="740" w:bottom="1440" w:gutter="0" w:footer="0" w:header="0"/>
        </w:sect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 attributable to common stockholders,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707505" cy="106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0668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Continuing operations</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70750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Basic</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 attributable to common stockholders,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707505" cy="106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1066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Continuing operations</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707505" cy="129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Diluted</w:t>
      </w:r>
    </w:p>
    <w:p>
      <w:pPr>
        <w:spacing w:after="0" w:line="21" w:lineRule="exact"/>
        <w:rPr>
          <w:sz w:val="20"/>
          <w:szCs w:val="20"/>
          <w:color w:val="auto"/>
        </w:rPr>
      </w:pPr>
    </w:p>
    <w:p>
      <w:pPr>
        <w:ind w:firstLine="40"/>
        <w:spacing w:after="0" w:line="250" w:lineRule="auto"/>
        <w:rPr>
          <w:sz w:val="20"/>
          <w:szCs w:val="20"/>
          <w:color w:val="auto"/>
        </w:rPr>
      </w:pPr>
      <w:r>
        <w:rPr>
          <w:rFonts w:ascii="Arial" w:cs="Arial" w:eastAsia="Arial" w:hAnsi="Arial"/>
          <w:sz w:val="14"/>
          <w:szCs w:val="14"/>
          <w:color w:val="auto"/>
        </w:rPr>
        <w:t>Weighted -average number of shares outstanding used to compute net (loss) income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707505" cy="106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066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Basic</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
        </w:trPr>
        <w:tc>
          <w:tcPr>
            <w:tcW w:w="4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420" w:type="dxa"/>
            <w:vAlign w:val="bottom"/>
          </w:tcPr>
          <w:p>
            <w:pPr>
              <w:spacing w:after="0"/>
              <w:rPr>
                <w:sz w:val="24"/>
                <w:szCs w:val="24"/>
                <w:color w:val="auto"/>
              </w:rPr>
            </w:pPr>
          </w:p>
        </w:tc>
        <w:tc>
          <w:tcPr>
            <w:tcW w:w="12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24.74</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(24.90)</w:t>
            </w:r>
          </w:p>
        </w:tc>
        <w:tc>
          <w:tcPr>
            <w:tcW w:w="0" w:type="dxa"/>
            <w:vAlign w:val="bottom"/>
          </w:tcPr>
          <w:p>
            <w:pPr>
              <w:spacing w:after="0"/>
              <w:rPr>
                <w:sz w:val="1"/>
                <w:szCs w:val="1"/>
                <w:color w:val="auto"/>
              </w:rPr>
            </w:pPr>
          </w:p>
        </w:tc>
      </w:tr>
      <w:tr>
        <w:trPr>
          <w:trHeight w:val="180"/>
        </w:trPr>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0.02</w:t>
            </w:r>
          </w:p>
        </w:tc>
        <w:tc>
          <w:tcPr>
            <w:tcW w:w="2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(0.00)</w:t>
            </w: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80"/>
        </w:trPr>
        <w:tc>
          <w:tcPr>
            <w:tcW w:w="420" w:type="dxa"/>
            <w:vAlign w:val="bottom"/>
            <w:vMerge w:val="continue"/>
          </w:tcPr>
          <w:p>
            <w:pPr>
              <w:spacing w:after="0"/>
              <w:rPr>
                <w:sz w:val="15"/>
                <w:szCs w:val="15"/>
                <w:color w:val="auto"/>
              </w:rPr>
            </w:pPr>
          </w:p>
        </w:tc>
        <w:tc>
          <w:tcPr>
            <w:tcW w:w="1200" w:type="dxa"/>
            <w:vAlign w:val="bottom"/>
            <w:tcBorders>
              <w:right w:val="single" w:sz="8" w:color="auto"/>
            </w:tcBorders>
            <w:gridSpan w:val="3"/>
          </w:tcPr>
          <w:p>
            <w:pPr>
              <w:jc w:val="right"/>
              <w:ind w:right="200"/>
              <w:spacing w:after="0" w:line="160" w:lineRule="exact"/>
              <w:rPr>
                <w:sz w:val="20"/>
                <w:szCs w:val="20"/>
                <w:color w:val="auto"/>
              </w:rPr>
            </w:pPr>
            <w:r>
              <w:rPr>
                <w:rFonts w:ascii="Arial" w:cs="Arial" w:eastAsia="Arial" w:hAnsi="Arial"/>
                <w:sz w:val="11"/>
                <w:szCs w:val="11"/>
                <w:color w:val="auto"/>
              </w:rPr>
              <w:t>(1.23</w:t>
            </w:r>
            <w:r>
              <w:rPr>
                <w:rFonts w:ascii="Arial" w:cs="Arial" w:eastAsia="Arial" w:hAnsi="Arial"/>
                <w:sz w:val="18"/>
                <w:szCs w:val="18"/>
                <w:color w:val="auto"/>
                <w:vertAlign w:val="subscript"/>
              </w:rPr>
              <w:t>)</w:t>
            </w:r>
          </w:p>
        </w:tc>
        <w:tc>
          <w:tcPr>
            <w:tcW w:w="1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24.74</w:t>
            </w:r>
          </w:p>
        </w:tc>
        <w:tc>
          <w:tcPr>
            <w:tcW w:w="2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1"/>
                <w:szCs w:val="11"/>
                <w:color w:val="auto"/>
              </w:rPr>
              <w:t>(37.68</w:t>
            </w:r>
            <w:r>
              <w:rPr>
                <w:rFonts w:ascii="Arial" w:cs="Arial" w:eastAsia="Arial" w:hAnsi="Arial"/>
                <w:sz w:val="18"/>
                <w:szCs w:val="18"/>
                <w:color w:val="auto"/>
                <w:vertAlign w:val="subscript"/>
              </w:rPr>
              <w:t>)</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20" w:type="dxa"/>
            <w:vAlign w:val="bottom"/>
          </w:tcPr>
          <w:p>
            <w:pPr>
              <w:spacing w:after="0"/>
              <w:rPr>
                <w:sz w:val="24"/>
                <w:szCs w:val="24"/>
                <w:color w:val="auto"/>
              </w:rPr>
            </w:pPr>
          </w:p>
        </w:tc>
        <w:tc>
          <w:tcPr>
            <w:tcW w:w="12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23.89</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(24.90)</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0.02</w:t>
            </w: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(0.00)</w:t>
            </w:r>
          </w:p>
        </w:tc>
        <w:tc>
          <w:tcPr>
            <w:tcW w:w="4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80"/>
        </w:trPr>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auto"/>
            </w:tcBorders>
            <w:gridSpan w:val="3"/>
          </w:tcPr>
          <w:p>
            <w:pPr>
              <w:jc w:val="right"/>
              <w:ind w:right="200"/>
              <w:spacing w:after="0" w:line="160" w:lineRule="exact"/>
              <w:rPr>
                <w:sz w:val="20"/>
                <w:szCs w:val="20"/>
                <w:color w:val="auto"/>
              </w:rPr>
            </w:pPr>
            <w:r>
              <w:rPr>
                <w:rFonts w:ascii="Arial" w:cs="Arial" w:eastAsia="Arial" w:hAnsi="Arial"/>
                <w:sz w:val="11"/>
                <w:szCs w:val="11"/>
                <w:color w:val="auto"/>
              </w:rPr>
              <w:t>(1.23</w:t>
            </w:r>
            <w:r>
              <w:rPr>
                <w:rFonts w:ascii="Arial" w:cs="Arial" w:eastAsia="Arial" w:hAnsi="Arial"/>
                <w:sz w:val="18"/>
                <w:szCs w:val="18"/>
                <w:color w:val="auto"/>
                <w:vertAlign w:val="subscript"/>
              </w:rPr>
              <w:t>)</w:t>
            </w:r>
          </w:p>
        </w:tc>
        <w:tc>
          <w:tcPr>
            <w:tcW w:w="14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23.89</w:t>
            </w:r>
          </w:p>
        </w:tc>
        <w:tc>
          <w:tcPr>
            <w:tcW w:w="24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spacing w:after="0" w:line="160" w:lineRule="exact"/>
              <w:rPr>
                <w:sz w:val="20"/>
                <w:szCs w:val="20"/>
                <w:color w:val="auto"/>
              </w:rPr>
            </w:pPr>
            <w:r>
              <w:rPr>
                <w:rFonts w:ascii="Arial" w:cs="Arial" w:eastAsia="Arial" w:hAnsi="Arial"/>
                <w:sz w:val="11"/>
                <w:szCs w:val="11"/>
                <w:color w:val="auto"/>
              </w:rPr>
              <w:t>(37.68</w:t>
            </w:r>
            <w:r>
              <w:rPr>
                <w:rFonts w:ascii="Arial" w:cs="Arial" w:eastAsia="Arial" w:hAnsi="Arial"/>
                <w:sz w:val="18"/>
                <w:szCs w:val="18"/>
                <w:color w:val="auto"/>
                <w:vertAlign w:val="subscript"/>
              </w:rPr>
              <w:t>)</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20" w:type="dxa"/>
            <w:vAlign w:val="bottom"/>
          </w:tcPr>
          <w:p>
            <w:pPr>
              <w:spacing w:after="0"/>
              <w:rPr>
                <w:sz w:val="24"/>
                <w:szCs w:val="24"/>
                <w:color w:val="auto"/>
              </w:rPr>
            </w:pPr>
          </w:p>
        </w:tc>
        <w:tc>
          <w:tcPr>
            <w:tcW w:w="120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5,163,109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1,822,541</w:t>
            </w:r>
          </w:p>
        </w:tc>
        <w:tc>
          <w:tcPr>
            <w:tcW w:w="4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1,794,303</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20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5,163,109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1,887,371</w:t>
            </w:r>
          </w:p>
        </w:tc>
        <w:tc>
          <w:tcPr>
            <w:tcW w:w="42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1,794,303</w:t>
            </w:r>
          </w:p>
        </w:tc>
        <w:tc>
          <w:tcPr>
            <w:tcW w:w="0" w:type="dxa"/>
            <w:vAlign w:val="bottom"/>
          </w:tcPr>
          <w:p>
            <w:pPr>
              <w:spacing w:after="0"/>
              <w:rPr>
                <w:sz w:val="1"/>
                <w:szCs w:val="1"/>
                <w:color w:val="auto"/>
              </w:rPr>
            </w:pPr>
          </w:p>
        </w:tc>
      </w:tr>
    </w:tbl>
    <w:p>
      <w:pPr>
        <w:spacing w:after="0" w:line="169" w:lineRule="exact"/>
        <w:rPr>
          <w:sz w:val="20"/>
          <w:szCs w:val="20"/>
          <w:color w:val="auto"/>
        </w:rPr>
      </w:pPr>
    </w:p>
    <w:p>
      <w:pPr>
        <w:sectPr>
          <w:pgSz w:w="11900" w:h="16840" w:orient="portrait"/>
          <w:cols w:equalWidth="0" w:num="2">
            <w:col w:w="5400" w:space="300"/>
            <w:col w:w="4800"/>
          </w:cols>
          <w:pgMar w:left="660" w:top="555" w:right="740" w:bottom="1440" w:gutter="0" w:footer="0" w:header="0"/>
          <w:type w:val="continuous"/>
        </w:sectPr>
      </w:pPr>
    </w:p>
    <w:p>
      <w:pPr>
        <w:jc w:val="center"/>
        <w:ind w:right="-79"/>
        <w:spacing w:after="0"/>
        <w:rPr>
          <w:sz w:val="20"/>
          <w:szCs w:val="20"/>
          <w:color w:val="auto"/>
        </w:rPr>
      </w:pPr>
      <w:r>
        <w:rPr>
          <w:rFonts w:ascii="Arial" w:cs="Arial" w:eastAsia="Arial" w:hAnsi="Arial"/>
          <w:sz w:val="14"/>
          <w:szCs w:val="14"/>
          <w:i w:val="1"/>
          <w:iCs w:val="1"/>
          <w:color w:val="auto"/>
        </w:rPr>
        <w:t>See accompanying notes to these unaudited condensed consolidated financial statements.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5" w:right="740" w:bottom="1440" w:gutter="0" w:footer="0" w:header="0"/>
          <w:type w:val="continuous"/>
        </w:sectPr>
      </w:pPr>
    </w:p>
    <w:bookmarkStart w:id="7" w:name="page8"/>
    <w:bookmarkEnd w:id="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jc w:val="center"/>
        <w:ind w:right="-19"/>
        <w:spacing w:after="0" w:line="234" w:lineRule="auto"/>
        <w:rPr>
          <w:sz w:val="20"/>
          <w:szCs w:val="20"/>
          <w:color w:val="auto"/>
        </w:rPr>
      </w:pPr>
      <w:r>
        <w:rPr>
          <w:rFonts w:ascii="Arial" w:cs="Arial" w:eastAsia="Arial" w:hAnsi="Arial"/>
          <w:sz w:val="16"/>
          <w:szCs w:val="16"/>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22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140" w:type="dxa"/>
            <w:vAlign w:val="bottom"/>
            <w:gridSpan w:val="3"/>
          </w:tcPr>
          <w:p>
            <w:pPr>
              <w:jc w:val="right"/>
              <w:ind w:right="410"/>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89"/>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5"/>
                <w:szCs w:val="15"/>
                <w:color w:val="auto"/>
              </w:rPr>
            </w:pPr>
          </w:p>
        </w:tc>
        <w:tc>
          <w:tcPr>
            <w:tcW w:w="1100" w:type="dxa"/>
            <w:vAlign w:val="bottom"/>
            <w:gridSpan w:val="2"/>
          </w:tcPr>
          <w:p>
            <w:pPr>
              <w:jc w:val="center"/>
              <w:ind w:right="9"/>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1200" w:type="dxa"/>
            <w:vAlign w:val="bottom"/>
          </w:tcPr>
          <w:p>
            <w:pPr>
              <w:jc w:val="right"/>
              <w:ind w:right="36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9"/>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09"/>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100" w:type="dxa"/>
            <w:vAlign w:val="bottom"/>
            <w:gridSpan w:val="2"/>
          </w:tcPr>
          <w:p>
            <w:pPr>
              <w:jc w:val="center"/>
              <w:ind w:right="9"/>
              <w:spacing w:after="0"/>
              <w:rPr>
                <w:sz w:val="20"/>
                <w:szCs w:val="20"/>
                <w:color w:val="auto"/>
              </w:rPr>
            </w:pPr>
            <w:r>
              <w:rPr>
                <w:rFonts w:ascii="Arial" w:cs="Arial" w:eastAsia="Arial" w:hAnsi="Arial"/>
                <w:sz w:val="13"/>
                <w:szCs w:val="13"/>
                <w:b w:val="1"/>
                <w:bCs w:val="1"/>
                <w:color w:val="auto"/>
              </w:rPr>
              <w:t>Equity (Deficit)</w:t>
            </w: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2023 (Predecessor)</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1,791,286</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7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2,088,381</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(1,960,712)</w:t>
            </w:r>
          </w:p>
        </w:tc>
        <w:tc>
          <w:tcPr>
            <w:tcW w:w="340" w:type="dxa"/>
            <w:vAlign w:val="bottom"/>
            <w:gridSpan w:val="2"/>
            <w:shd w:val="clear" w:color="auto" w:fill="CFF0FC"/>
          </w:tcPr>
          <w:p>
            <w:pPr>
              <w:jc w:val="right"/>
              <w:ind w:right="74"/>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127,671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40" w:type="dxa"/>
            <w:vAlign w:val="bottom"/>
          </w:tcPr>
          <w:p>
            <w:pPr>
              <w:spacing w:after="0" w:line="144" w:lineRule="exact"/>
              <w:rPr>
                <w:sz w:val="20"/>
                <w:szCs w:val="20"/>
                <w:color w:val="auto"/>
              </w:rPr>
            </w:pPr>
            <w:r>
              <w:rPr>
                <w:rFonts w:ascii="Arial" w:cs="Arial" w:eastAsia="Arial" w:hAnsi="Arial"/>
                <w:sz w:val="14"/>
                <w:szCs w:val="14"/>
                <w:color w:val="auto"/>
              </w:rPr>
              <w:t>Stock-based compensation</w:t>
            </w:r>
          </w:p>
        </w:tc>
        <w:tc>
          <w:tcPr>
            <w:tcW w:w="1200" w:type="dxa"/>
            <w:vAlign w:val="bottom"/>
          </w:tcPr>
          <w:p>
            <w:pPr>
              <w:jc w:val="right"/>
              <w:ind w:right="49"/>
              <w:spacing w:after="0" w:line="14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tcPr>
          <w:p>
            <w:pPr>
              <w:jc w:val="right"/>
              <w:ind w:right="670"/>
              <w:spacing w:after="0" w:line="144"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ind w:right="28"/>
              <w:spacing w:after="0" w:line="144"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line="144" w:lineRule="exact"/>
              <w:rPr>
                <w:sz w:val="20"/>
                <w:szCs w:val="20"/>
                <w:color w:val="auto"/>
              </w:rPr>
            </w:pPr>
            <w:r>
              <w:rPr>
                <w:rFonts w:ascii="Arial" w:cs="Arial" w:eastAsia="Arial" w:hAnsi="Arial"/>
                <w:sz w:val="14"/>
                <w:szCs w:val="14"/>
                <w:color w:val="auto"/>
              </w:rPr>
              <w:t>1,433</w:t>
            </w:r>
          </w:p>
        </w:tc>
        <w:tc>
          <w:tcPr>
            <w:tcW w:w="22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line="144"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4"/>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line="144" w:lineRule="exact"/>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units</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4,340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(67,617)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(67,617)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2024 (Predecessor)</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1,795,626</w:t>
            </w:r>
          </w:p>
        </w:tc>
        <w:tc>
          <w:tcPr>
            <w:tcW w:w="940" w:type="dxa"/>
            <w:vAlign w:val="bottom"/>
            <w:gridSpan w:val="2"/>
            <w:shd w:val="clear" w:color="auto" w:fill="CFF0FC"/>
          </w:tcPr>
          <w:p>
            <w:pPr>
              <w:jc w:val="right"/>
              <w:ind w:right="67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2,089,814</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(2,028,329)</w:t>
            </w:r>
          </w:p>
        </w:tc>
        <w:tc>
          <w:tcPr>
            <w:tcW w:w="340" w:type="dxa"/>
            <w:vAlign w:val="bottom"/>
            <w:gridSpan w:val="2"/>
            <w:shd w:val="clear" w:color="auto" w:fill="CFF0FC"/>
          </w:tcPr>
          <w:p>
            <w:pPr>
              <w:jc w:val="right"/>
              <w:ind w:right="74"/>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61,487</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34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140" w:type="dxa"/>
            <w:vAlign w:val="bottom"/>
            <w:gridSpan w:val="3"/>
          </w:tcPr>
          <w:p>
            <w:pPr>
              <w:jc w:val="right"/>
              <w:ind w:right="410"/>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89"/>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5"/>
                <w:szCs w:val="15"/>
                <w:color w:val="auto"/>
              </w:rPr>
            </w:pPr>
          </w:p>
        </w:tc>
        <w:tc>
          <w:tcPr>
            <w:tcW w:w="1100" w:type="dxa"/>
            <w:vAlign w:val="bottom"/>
            <w:gridSpan w:val="2"/>
          </w:tcPr>
          <w:p>
            <w:pPr>
              <w:jc w:val="center"/>
              <w:ind w:right="9"/>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1200" w:type="dxa"/>
            <w:vAlign w:val="bottom"/>
          </w:tcPr>
          <w:p>
            <w:pPr>
              <w:jc w:val="right"/>
              <w:ind w:right="36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9"/>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09"/>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100" w:type="dxa"/>
            <w:vAlign w:val="bottom"/>
            <w:gridSpan w:val="2"/>
          </w:tcPr>
          <w:p>
            <w:pPr>
              <w:jc w:val="center"/>
              <w:ind w:right="9"/>
              <w:spacing w:after="0"/>
              <w:rPr>
                <w:sz w:val="20"/>
                <w:szCs w:val="20"/>
                <w:color w:val="auto"/>
              </w:rPr>
            </w:pPr>
            <w:r>
              <w:rPr>
                <w:rFonts w:ascii="Arial" w:cs="Arial" w:eastAsia="Arial" w:hAnsi="Arial"/>
                <w:sz w:val="13"/>
                <w:szCs w:val="13"/>
                <w:b w:val="1"/>
                <w:bCs w:val="1"/>
                <w:color w:val="auto"/>
              </w:rPr>
              <w:t>Equity (Deficit)</w:t>
            </w: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2024 (Predecessor)</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1,822,532</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7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2,094,889</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(2,125,836)</w:t>
            </w:r>
          </w:p>
        </w:tc>
        <w:tc>
          <w:tcPr>
            <w:tcW w:w="340" w:type="dxa"/>
            <w:vAlign w:val="bottom"/>
            <w:gridSpan w:val="2"/>
            <w:shd w:val="clear" w:color="auto" w:fill="CFF0FC"/>
          </w:tcPr>
          <w:p>
            <w:pPr>
              <w:jc w:val="right"/>
              <w:ind w:right="74"/>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40" w:type="dxa"/>
            <w:vAlign w:val="bottom"/>
          </w:tcPr>
          <w:p>
            <w:pPr>
              <w:spacing w:after="0" w:line="144" w:lineRule="exact"/>
              <w:rPr>
                <w:sz w:val="20"/>
                <w:szCs w:val="20"/>
                <w:color w:val="auto"/>
              </w:rPr>
            </w:pPr>
            <w:r>
              <w:rPr>
                <w:rFonts w:ascii="Arial" w:cs="Arial" w:eastAsia="Arial" w:hAnsi="Arial"/>
                <w:sz w:val="14"/>
                <w:szCs w:val="14"/>
                <w:color w:val="auto"/>
              </w:rPr>
              <w:t>Stock-based compensation</w:t>
            </w:r>
          </w:p>
        </w:tc>
        <w:tc>
          <w:tcPr>
            <w:tcW w:w="1200" w:type="dxa"/>
            <w:vAlign w:val="bottom"/>
          </w:tcPr>
          <w:p>
            <w:pPr>
              <w:jc w:val="right"/>
              <w:ind w:right="49"/>
              <w:spacing w:after="0" w:line="14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tcPr>
          <w:p>
            <w:pPr>
              <w:jc w:val="right"/>
              <w:ind w:right="670"/>
              <w:spacing w:after="0" w:line="144"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ind w:right="28"/>
              <w:spacing w:after="0" w:line="144"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line="144" w:lineRule="exact"/>
              <w:rPr>
                <w:sz w:val="20"/>
                <w:szCs w:val="20"/>
                <w:color w:val="auto"/>
              </w:rPr>
            </w:pPr>
            <w:r>
              <w:rPr>
                <w:rFonts w:ascii="Arial" w:cs="Arial" w:eastAsia="Arial" w:hAnsi="Arial"/>
                <w:sz w:val="14"/>
                <w:szCs w:val="14"/>
                <w:color w:val="auto"/>
              </w:rPr>
              <w:t>144</w:t>
            </w:r>
          </w:p>
        </w:tc>
        <w:tc>
          <w:tcPr>
            <w:tcW w:w="22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line="144"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4"/>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line="144"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units</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Net income</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45,086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45,086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Elimination of Predecessor equity balances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(1,822,558)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(2,095,033)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2,080,750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(14,285)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Issuance of Successor equity</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5,163,109</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161,657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161,662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warrants</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2,825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2,825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Balance at January 14, 2025 (Predecessor)</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5,163,109</w:t>
            </w:r>
          </w:p>
        </w:tc>
        <w:tc>
          <w:tcPr>
            <w:tcW w:w="940" w:type="dxa"/>
            <w:vAlign w:val="bottom"/>
            <w:gridSpan w:val="2"/>
          </w:tcPr>
          <w:p>
            <w:pPr>
              <w:jc w:val="right"/>
              <w:ind w:right="67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164,482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4"/>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164,487</w:t>
            </w: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Successor:</w:t>
            </w: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Balance at January 15, 2025 (Successor)</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5,163,109</w:t>
            </w:r>
          </w:p>
        </w:tc>
        <w:tc>
          <w:tcPr>
            <w:tcW w:w="940" w:type="dxa"/>
            <w:vAlign w:val="bottom"/>
            <w:gridSpan w:val="2"/>
          </w:tcPr>
          <w:p>
            <w:pPr>
              <w:jc w:val="right"/>
              <w:ind w:right="67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164,482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4"/>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164,487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19,914</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Balance at March 31, 2025 (Successor)</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5,183,023</w:t>
            </w:r>
          </w:p>
        </w:tc>
        <w:tc>
          <w:tcPr>
            <w:tcW w:w="940" w:type="dxa"/>
            <w:vAlign w:val="bottom"/>
            <w:gridSpan w:val="2"/>
          </w:tcPr>
          <w:p>
            <w:pPr>
              <w:jc w:val="right"/>
              <w:ind w:right="67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164,973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(6,351)</w:t>
            </w:r>
          </w:p>
        </w:tc>
        <w:tc>
          <w:tcPr>
            <w:tcW w:w="340" w:type="dxa"/>
            <w:vAlign w:val="bottom"/>
            <w:gridSpan w:val="2"/>
          </w:tcPr>
          <w:p>
            <w:pPr>
              <w:jc w:val="right"/>
              <w:ind w:right="74"/>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158,627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r>
        <w:rPr>
          <w:rFonts w:ascii="Arial" w:cs="Arial" w:eastAsia="Arial" w:hAnsi="Arial"/>
          <w:sz w:val="16"/>
          <w:szCs w:val="16"/>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 w:name="page9"/>
    <w:bookmarkEnd w:id="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6"/>
          <w:szCs w:val="16"/>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234"/>
              <w:spacing w:after="0"/>
              <w:rPr>
                <w:sz w:val="20"/>
                <w:szCs w:val="20"/>
                <w:color w:val="auto"/>
              </w:rPr>
            </w:pPr>
            <w:r>
              <w:rPr>
                <w:rFonts w:ascii="Arial" w:cs="Arial" w:eastAsia="Arial" w:hAnsi="Arial"/>
                <w:sz w:val="13"/>
                <w:szCs w:val="13"/>
                <w:b w:val="1"/>
                <w:bCs w:val="1"/>
                <w:color w:val="auto"/>
              </w:rPr>
              <w:t>Successor</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980"/>
              <w:spacing w:after="0"/>
              <w:rPr>
                <w:sz w:val="20"/>
                <w:szCs w:val="20"/>
                <w:color w:val="auto"/>
              </w:rPr>
            </w:pPr>
            <w:r>
              <w:rPr>
                <w:rFonts w:ascii="Arial" w:cs="Arial" w:eastAsia="Arial" w:hAnsi="Arial"/>
                <w:sz w:val="13"/>
                <w:szCs w:val="13"/>
                <w:b w:val="1"/>
                <w:bCs w:val="1"/>
                <w:color w:val="auto"/>
              </w:rPr>
              <w:t>Predecessor</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Period from January</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0" w:type="dxa"/>
            <w:vAlign w:val="bottom"/>
            <w:gridSpan w:val="2"/>
          </w:tcPr>
          <w:p>
            <w:pPr>
              <w:jc w:val="center"/>
              <w:ind w:right="34"/>
              <w:spacing w:after="0"/>
              <w:rPr>
                <w:sz w:val="20"/>
                <w:szCs w:val="20"/>
                <w:color w:val="auto"/>
              </w:rPr>
            </w:pPr>
            <w:r>
              <w:rPr>
                <w:rFonts w:ascii="Arial" w:cs="Arial" w:eastAsia="Arial" w:hAnsi="Arial"/>
                <w:sz w:val="13"/>
                <w:szCs w:val="13"/>
                <w:b w:val="1"/>
                <w:bCs w:val="1"/>
                <w:color w:val="auto"/>
              </w:rPr>
              <w:t>Period from January</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134"/>
              <w:spacing w:after="0"/>
              <w:rPr>
                <w:sz w:val="20"/>
                <w:szCs w:val="20"/>
                <w:color w:val="auto"/>
              </w:rPr>
            </w:pPr>
            <w:r>
              <w:rPr>
                <w:rFonts w:ascii="Arial" w:cs="Arial" w:eastAsia="Arial" w:hAnsi="Arial"/>
                <w:sz w:val="13"/>
                <w:szCs w:val="13"/>
                <w:b w:val="1"/>
                <w:bCs w:val="1"/>
                <w:color w:val="auto"/>
              </w:rPr>
              <w:t>1 through January</w:t>
            </w:r>
          </w:p>
        </w:tc>
        <w:tc>
          <w:tcPr>
            <w:tcW w:w="12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880" w:type="dxa"/>
            <w:vAlign w:val="bottom"/>
            <w:gridSpan w:val="3"/>
          </w:tcPr>
          <w:p>
            <w:pPr>
              <w:jc w:val="center"/>
              <w:ind w:left="334"/>
              <w:spacing w:after="0"/>
              <w:rPr>
                <w:sz w:val="20"/>
                <w:szCs w:val="20"/>
                <w:color w:val="auto"/>
              </w:rPr>
            </w:pPr>
            <w:r>
              <w:rPr>
                <w:rFonts w:ascii="Arial" w:cs="Arial" w:eastAsia="Arial" w:hAnsi="Arial"/>
                <w:sz w:val="13"/>
                <w:szCs w:val="13"/>
                <w:b w:val="1"/>
                <w:bCs w:val="1"/>
                <w:color w:val="auto"/>
              </w:rPr>
              <w:t>15 through March 31,</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614"/>
              <w:spacing w:after="0"/>
              <w:rPr>
                <w:sz w:val="20"/>
                <w:szCs w:val="20"/>
                <w:color w:val="auto"/>
              </w:rPr>
            </w:pPr>
            <w:r>
              <w:rPr>
                <w:rFonts w:ascii="Arial" w:cs="Arial" w:eastAsia="Arial" w:hAnsi="Arial"/>
                <w:sz w:val="13"/>
                <w:szCs w:val="13"/>
                <w:b w:val="1"/>
                <w:bCs w:val="1"/>
                <w:color w:val="auto"/>
              </w:rPr>
              <w:t>14,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94"/>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68"/>
        </w:trPr>
        <w:tc>
          <w:tcPr>
            <w:tcW w:w="5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234"/>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55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34"/>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activities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Net (loss) income from continuing operations</w:t>
            </w:r>
          </w:p>
        </w:tc>
        <w:tc>
          <w:tcPr>
            <w:tcW w:w="68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(6,450)</w:t>
            </w:r>
          </w:p>
        </w:tc>
        <w:tc>
          <w:tcPr>
            <w:tcW w:w="140" w:type="dxa"/>
            <w:vAlign w:val="bottom"/>
            <w:tcBorders>
              <w:right w:val="single" w:sz="8" w:color="auto"/>
            </w:tcBorders>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45,090</w:t>
            </w:r>
          </w:p>
        </w:tc>
        <w:tc>
          <w:tcPr>
            <w:tcW w:w="4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(44,676)</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income to net cash used in operating activities: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Impairment charges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color w:val="auto"/>
              </w:rPr>
              <w:t>4,156</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2,752</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Profit share receivable</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9,642</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color w:val="auto"/>
              </w:rPr>
              <w:t>575</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1,057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7,626</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Losses on finance receivables and securitization debt, net</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17,575</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4,762</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35,323</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Losses on Warranties and GAP</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color w:val="auto"/>
              </w:rPr>
              <w:t>1,780</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expense</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491</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1,324</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20"/>
                <w:szCs w:val="20"/>
                <w:color w:val="auto"/>
              </w:rPr>
            </w:pPr>
            <w:r>
              <w:rPr>
                <w:rFonts w:ascii="Arial" w:cs="Arial" w:eastAsia="Arial" w:hAnsi="Arial"/>
                <w:sz w:val="13"/>
                <w:szCs w:val="13"/>
                <w:color w:val="auto"/>
              </w:rPr>
              <w:t>Provision to record finance receivables held for sale at lower of cost or fair value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03"/>
        </w:trPr>
        <w:tc>
          <w:tcPr>
            <w:tcW w:w="5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Amortization of unearned discounts on finance receivables at fair value</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(4,792)</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Non-cash reorganization items, net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(51,741)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(652)</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193</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(1,078)</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Finance receivables, held for sale</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ind w:left="60"/>
              <w:spacing w:after="0"/>
              <w:rPr>
                <w:sz w:val="20"/>
                <w:szCs w:val="20"/>
                <w:color w:val="auto"/>
              </w:rPr>
            </w:pPr>
            <w:r>
              <w:rPr>
                <w:rFonts w:ascii="Arial" w:cs="Arial" w:eastAsia="Arial" w:hAnsi="Arial"/>
                <w:sz w:val="13"/>
                <w:szCs w:val="13"/>
                <w:color w:val="auto"/>
              </w:rPr>
              <w:t>Originations of finance receivables, held for sale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(14,337)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(130,404)</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60"/>
              <w:spacing w:after="0"/>
              <w:rPr>
                <w:sz w:val="20"/>
                <w:szCs w:val="20"/>
                <w:color w:val="auto"/>
              </w:rPr>
            </w:pPr>
            <w:r>
              <w:rPr>
                <w:rFonts w:ascii="Arial" w:cs="Arial" w:eastAsia="Arial" w:hAnsi="Arial"/>
                <w:sz w:val="13"/>
                <w:szCs w:val="13"/>
                <w:color w:val="auto"/>
              </w:rPr>
              <w:t>Principal payments received on finance receivables, held for sale</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6,481</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40,387</w:t>
            </w:r>
          </w:p>
        </w:tc>
        <w:tc>
          <w:tcPr>
            <w:tcW w:w="0" w:type="dxa"/>
            <w:vAlign w:val="bottom"/>
          </w:tcPr>
          <w:p>
            <w:pPr>
              <w:spacing w:after="0"/>
              <w:rPr>
                <w:sz w:val="1"/>
                <w:szCs w:val="1"/>
                <w:color w:val="auto"/>
              </w:rPr>
            </w:pPr>
          </w:p>
        </w:tc>
      </w:tr>
      <w:tr>
        <w:trPr>
          <w:trHeight w:val="156"/>
        </w:trPr>
        <w:tc>
          <w:tcPr>
            <w:tcW w:w="5440" w:type="dxa"/>
            <w:vAlign w:val="bottom"/>
          </w:tcPr>
          <w:p>
            <w:pPr>
              <w:ind w:left="60"/>
              <w:spacing w:after="0"/>
              <w:rPr>
                <w:sz w:val="20"/>
                <w:szCs w:val="20"/>
                <w:color w:val="auto"/>
              </w:rPr>
            </w:pPr>
            <w:r>
              <w:rPr>
                <w:rFonts w:ascii="Arial" w:cs="Arial" w:eastAsia="Arial" w:hAnsi="Arial"/>
                <w:sz w:val="13"/>
                <w:szCs w:val="13"/>
                <w:color w:val="auto"/>
              </w:rPr>
              <w:t>Other</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Interest receivable</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1,443</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Other assets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(3,301)</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5,178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4,991</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Other liabilities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1,946</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(2,627)</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Net cash provided by (used in) operating activities from continuing operations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17,289</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(5,804)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(75,043)</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provided by operating activities from discontinued operations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98,167</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Net cash provided by (used in) operating activities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16,837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(6,011)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23,124</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Investing activities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i w:val="1"/>
                <w:iCs w:val="1"/>
                <w:color w:val="auto"/>
              </w:rPr>
              <w:t>Finance receivables, held for investment at fair value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ind w:left="60"/>
              <w:spacing w:after="0"/>
              <w:rPr>
                <w:sz w:val="20"/>
                <w:szCs w:val="20"/>
                <w:color w:val="auto"/>
              </w:rPr>
            </w:pPr>
            <w:r>
              <w:rPr>
                <w:rFonts w:ascii="Arial" w:cs="Arial" w:eastAsia="Arial" w:hAnsi="Arial"/>
                <w:sz w:val="13"/>
                <w:szCs w:val="13"/>
                <w:color w:val="auto"/>
              </w:rPr>
              <w:t>Purchases of finance receivables, held for investment at fair value</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(120,528)</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440" w:type="dxa"/>
            <w:vAlign w:val="bottom"/>
          </w:tcPr>
          <w:p>
            <w:pPr>
              <w:ind w:left="60"/>
              <w:spacing w:after="0"/>
              <w:rPr>
                <w:sz w:val="20"/>
                <w:szCs w:val="20"/>
                <w:color w:val="auto"/>
              </w:rPr>
            </w:pPr>
            <w:r>
              <w:rPr>
                <w:rFonts w:ascii="Arial" w:cs="Arial" w:eastAsia="Arial" w:hAnsi="Arial"/>
                <w:sz w:val="13"/>
                <w:szCs w:val="13"/>
                <w:color w:val="auto"/>
              </w:rPr>
              <w:t>Principal payments received on finance receivables, held for investment at fair value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73,217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2,985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35,195</w:t>
            </w:r>
          </w:p>
        </w:tc>
        <w:tc>
          <w:tcPr>
            <w:tcW w:w="0" w:type="dxa"/>
            <w:vAlign w:val="bottom"/>
          </w:tcPr>
          <w:p>
            <w:pPr>
              <w:spacing w:after="0"/>
              <w:rPr>
                <w:sz w:val="1"/>
                <w:szCs w:val="1"/>
                <w:color w:val="auto"/>
              </w:rPr>
            </w:pPr>
          </w:p>
        </w:tc>
      </w:tr>
      <w:tr>
        <w:trPr>
          <w:trHeight w:val="173"/>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Principal payments received on beneficial interests</w:t>
            </w: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ind w:right="14"/>
              <w:spacing w:after="0"/>
              <w:rPr>
                <w:sz w:val="20"/>
                <w:szCs w:val="20"/>
                <w:color w:val="auto"/>
              </w:rPr>
            </w:pPr>
            <w:r>
              <w:rPr>
                <w:rFonts w:ascii="Arial" w:cs="Arial" w:eastAsia="Arial" w:hAnsi="Arial"/>
                <w:sz w:val="13"/>
                <w:szCs w:val="13"/>
                <w:color w:val="auto"/>
              </w:rPr>
              <w:t>446</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ind w:right="34"/>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ind w:right="14"/>
              <w:spacing w:after="0"/>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15"/>
        </w:trPr>
        <w:tc>
          <w:tcPr>
            <w:tcW w:w="54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0" w:type="dxa"/>
            <w:vAlign w:val="bottom"/>
            <w:vMerge w:val="continue"/>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Purchase of property and equipment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(1,469)</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provided by investing activities from continuing operations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(48,334)</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2,981</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35,324</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Net cash provided by investing activities from discontinued operations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color w:val="auto"/>
              </w:rPr>
              <w:t>637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14"/>
              <w:spacing w:after="0"/>
              <w:rPr>
                <w:sz w:val="20"/>
                <w:szCs w:val="20"/>
                <w:color w:val="auto"/>
              </w:rPr>
            </w:pPr>
            <w:r>
              <w:rPr>
                <w:rFonts w:ascii="Arial" w:cs="Arial" w:eastAsia="Arial" w:hAnsi="Arial"/>
                <w:sz w:val="13"/>
                <w:szCs w:val="13"/>
                <w:color w:val="auto"/>
              </w:rPr>
              <w:t>5,747</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provided by investing activities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(47,697)</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2,981</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41,071</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borrowings under secured financing agreements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307,780</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Principal repayment under secured financing agreements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(34,281)</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(16,676)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(73,647)</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financing of beneficial interests in securitizations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16,223</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Principal repayments of financing of beneficial interests in securitizations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(2,045)</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(1,028)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(2,651)</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warehouse credit facilities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88,500</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11,900</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125,100</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Repayments of warehouse credit facilities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(338,031)</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(8,094)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(30,092)</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Other financing activities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(1,159)</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Net cash provided by (used in) financing activities from continuing operations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36,987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(13,898)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18,670</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financing activities from discontinued operations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(151,178)</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Net cash provided by (used in) financing activities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36,987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(13,898)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(132,508)</w:t>
            </w: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6,127</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(16,928)</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(68,313)</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20"/>
                <w:szCs w:val="20"/>
                <w:color w:val="auto"/>
              </w:rPr>
            </w:pPr>
            <w:r>
              <w:rPr>
                <w:rFonts w:ascii="Arial" w:cs="Arial" w:eastAsia="Arial" w:hAnsi="Arial"/>
                <w:sz w:val="13"/>
                <w:szCs w:val="13"/>
                <w:color w:val="auto"/>
              </w:rPr>
              <w:t>Cash, cash equivalents and restricted cash at the beginning of period</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Arial" w:cs="Arial" w:eastAsia="Arial" w:hAnsi="Arial"/>
                <w:sz w:val="13"/>
                <w:szCs w:val="13"/>
                <w:color w:val="auto"/>
              </w:rPr>
              <w:t>61,441</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Arial" w:cs="Arial" w:eastAsia="Arial" w:hAnsi="Arial"/>
                <w:sz w:val="13"/>
                <w:szCs w:val="13"/>
                <w:color w:val="auto"/>
              </w:rPr>
              <w:t>78,369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208,819</w:t>
            </w:r>
          </w:p>
        </w:tc>
        <w:tc>
          <w:tcPr>
            <w:tcW w:w="0" w:type="dxa"/>
            <w:vAlign w:val="bottom"/>
          </w:tcPr>
          <w:p>
            <w:pPr>
              <w:spacing w:after="0"/>
              <w:rPr>
                <w:sz w:val="1"/>
                <w:szCs w:val="1"/>
                <w:color w:val="auto"/>
              </w:rPr>
            </w:pPr>
          </w:p>
        </w:tc>
      </w:tr>
      <w:tr>
        <w:trPr>
          <w:trHeight w:val="176"/>
        </w:trPr>
        <w:tc>
          <w:tcPr>
            <w:tcW w:w="54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cash equivalents and restricted cash at the end of period</w:t>
            </w:r>
          </w:p>
        </w:tc>
        <w:tc>
          <w:tcPr>
            <w:tcW w:w="680" w:type="dxa"/>
            <w:vAlign w:val="bottom"/>
            <w:gridSpan w:val="2"/>
            <w:shd w:val="clear" w:color="auto" w:fill="CFF0FC"/>
          </w:tcPr>
          <w:p>
            <w:pPr>
              <w:jc w:val="right"/>
              <w:ind w:right="74"/>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67,568</w:t>
            </w:r>
          </w:p>
        </w:tc>
        <w:tc>
          <w:tcPr>
            <w:tcW w:w="140" w:type="dxa"/>
            <w:vAlign w:val="bottom"/>
            <w:tcBorders>
              <w:right w:val="single" w:sz="8" w:color="auto"/>
            </w:tcBorders>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61,441</w:t>
            </w: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140,506</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6"/>
          <w:szCs w:val="16"/>
          <w:i w:val="1"/>
          <w:iCs w:val="1"/>
          <w:color w:val="auto"/>
        </w:rPr>
        <w:t>(Continued on following page)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 w:name="page10"/>
    <w:bookmarkEnd w:id="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20" w:type="dxa"/>
            <w:vAlign w:val="bottom"/>
            <w:gridSpan w:val="2"/>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paid for interest</w:t>
            </w:r>
          </w:p>
        </w:tc>
        <w:tc>
          <w:tcPr>
            <w:tcW w:w="5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9,221</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9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4,534</w:t>
            </w:r>
          </w:p>
        </w:tc>
        <w:tc>
          <w:tcPr>
            <w:tcW w:w="1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5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13,497</w:t>
            </w:r>
          </w:p>
        </w:tc>
      </w:tr>
      <w:tr>
        <w:trPr>
          <w:trHeight w:val="132"/>
        </w:trPr>
        <w:tc>
          <w:tcPr>
            <w:tcW w:w="20" w:type="dxa"/>
            <w:vAlign w:val="bottom"/>
          </w:tcPr>
          <w:p>
            <w:pPr>
              <w:spacing w:after="0"/>
              <w:rPr>
                <w:sz w:val="11"/>
                <w:szCs w:val="11"/>
                <w:color w:val="auto"/>
              </w:rPr>
            </w:pPr>
          </w:p>
        </w:tc>
        <w:tc>
          <w:tcPr>
            <w:tcW w:w="5900" w:type="dxa"/>
            <w:vAlign w:val="bottom"/>
          </w:tcPr>
          <w:p>
            <w:pPr>
              <w:spacing w:after="0" w:line="133" w:lineRule="exact"/>
              <w:rPr>
                <w:sz w:val="20"/>
                <w:szCs w:val="20"/>
                <w:color w:val="auto"/>
              </w:rPr>
            </w:pPr>
            <w:r>
              <w:rPr>
                <w:rFonts w:ascii="Arial" w:cs="Arial" w:eastAsia="Arial" w:hAnsi="Arial"/>
                <w:sz w:val="13"/>
                <w:szCs w:val="13"/>
                <w:color w:val="auto"/>
              </w:rPr>
              <w:t>Cash paid for reorganization items, net</w:t>
            </w: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jc w:val="right"/>
              <w:ind w:right="394"/>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34"/>
              <w:spacing w:after="0" w:line="133" w:lineRule="exact"/>
              <w:rPr>
                <w:sz w:val="20"/>
                <w:szCs w:val="20"/>
                <w:color w:val="auto"/>
              </w:rPr>
            </w:pPr>
            <w:r>
              <w:rPr>
                <w:rFonts w:ascii="Arial" w:cs="Arial" w:eastAsia="Arial" w:hAnsi="Arial"/>
                <w:sz w:val="13"/>
                <w:szCs w:val="13"/>
                <w:color w:val="auto"/>
              </w:rPr>
              <w:t>1,705</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354"/>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4"/>
              <w:spacing w:after="0" w:line="133" w:lineRule="exact"/>
              <w:rPr>
                <w:sz w:val="20"/>
                <w:szCs w:val="20"/>
                <w:color w:val="auto"/>
              </w:rPr>
            </w:pPr>
            <w:r>
              <w:rPr>
                <w:rFonts w:ascii="Arial" w:cs="Arial" w:eastAsia="Arial" w:hAnsi="Arial"/>
                <w:sz w:val="13"/>
                <w:szCs w:val="13"/>
                <w:color w:val="auto"/>
              </w:rPr>
              <w:t>—</w:t>
            </w:r>
          </w:p>
        </w:tc>
      </w:tr>
      <w:tr>
        <w:trPr>
          <w:trHeight w:val="20"/>
        </w:trPr>
        <w:tc>
          <w:tcPr>
            <w:tcW w:w="5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tcBorders>
              <w:bottom w:val="single" w:sz="8" w:color="CFF0FC"/>
            </w:tcBorders>
            <w:shd w:val="clear" w:color="auto" w:fill="CFF0FC"/>
          </w:tcPr>
          <w:p>
            <w:pPr>
              <w:spacing w:after="0" w:line="133" w:lineRule="exact"/>
              <w:rPr>
                <w:sz w:val="20"/>
                <w:szCs w:val="20"/>
                <w:color w:val="auto"/>
              </w:rPr>
            </w:pPr>
            <w:r>
              <w:rPr>
                <w:rFonts w:ascii="Arial" w:cs="Arial" w:eastAsia="Arial" w:hAnsi="Arial"/>
                <w:sz w:val="13"/>
                <w:szCs w:val="13"/>
                <w:color w:val="auto"/>
              </w:rPr>
              <w:t>Cash paid for income taxes</w:t>
            </w:r>
          </w:p>
        </w:tc>
        <w:tc>
          <w:tcPr>
            <w:tcW w:w="52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ind w:right="14"/>
              <w:spacing w:after="0" w:line="133" w:lineRule="exact"/>
              <w:rPr>
                <w:sz w:val="20"/>
                <w:szCs w:val="20"/>
                <w:color w:val="auto"/>
              </w:rPr>
            </w:pPr>
            <w:r>
              <w:rPr>
                <w:rFonts w:ascii="Arial" w:cs="Arial" w:eastAsia="Arial" w:hAnsi="Arial"/>
                <w:sz w:val="13"/>
                <w:szCs w:val="13"/>
                <w:color w:val="auto"/>
              </w:rPr>
              <w:t>137</w:t>
            </w:r>
          </w:p>
        </w:tc>
        <w:tc>
          <w:tcPr>
            <w:tcW w:w="14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ind w:right="394"/>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ind w:right="34"/>
              <w:spacing w:after="0" w:line="133"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ind w:right="354"/>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FF0FC"/>
          </w:tcPr>
          <w:p>
            <w:pPr>
              <w:jc w:val="right"/>
              <w:ind w:right="14"/>
              <w:spacing w:after="0" w:line="133" w:lineRule="exact"/>
              <w:rPr>
                <w:sz w:val="20"/>
                <w:szCs w:val="20"/>
                <w:color w:val="auto"/>
              </w:rPr>
            </w:pPr>
            <w:r>
              <w:rPr>
                <w:rFonts w:ascii="Arial" w:cs="Arial" w:eastAsia="Arial" w:hAnsi="Arial"/>
                <w:sz w:val="13"/>
                <w:szCs w:val="13"/>
                <w:color w:val="auto"/>
              </w:rPr>
              <w:t>—</w:t>
            </w: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r>
        <w:rPr>
          <w:rFonts w:ascii="Arial" w:cs="Arial" w:eastAsia="Arial" w:hAnsi="Arial"/>
          <w:sz w:val="16"/>
          <w:szCs w:val="16"/>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0" w:name="page11"/>
    <w:bookmarkEnd w:id="1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Business and Organization</w:t>
      </w:r>
    </w:p>
    <w:p>
      <w:pPr>
        <w:spacing w:after="0" w:line="176" w:lineRule="exact"/>
        <w:rPr>
          <w:sz w:val="20"/>
          <w:szCs w:val="20"/>
          <w:color w:val="auto"/>
        </w:rPr>
      </w:pPr>
    </w:p>
    <w:p>
      <w:pPr>
        <w:ind w:right="440" w:firstLine="696"/>
        <w:spacing w:after="0" w:line="262" w:lineRule="auto"/>
        <w:rPr>
          <w:sz w:val="20"/>
          <w:szCs w:val="20"/>
          <w:color w:val="auto"/>
        </w:rPr>
      </w:pPr>
      <w:r>
        <w:rPr>
          <w:rFonts w:ascii="Arial" w:cs="Arial" w:eastAsia="Arial" w:hAnsi="Arial"/>
          <w:sz w:val="16"/>
          <w:szCs w:val="16"/>
          <w:color w:val="auto"/>
        </w:rPr>
        <w:t>Vroom, Inc. is a holding company that conducts its operations through its subsidiaries. Unless the context otherwise requires, references herein to “Vroom”, the "Company”, “we”, “us” or “our” refer to Vroom and its consolidated subsidiaries.</w:t>
      </w:r>
    </w:p>
    <w:p>
      <w:pPr>
        <w:spacing w:after="0" w:line="138" w:lineRule="exact"/>
        <w:rPr>
          <w:sz w:val="20"/>
          <w:szCs w:val="20"/>
          <w:color w:val="auto"/>
        </w:rPr>
      </w:pPr>
    </w:p>
    <w:p>
      <w:pPr>
        <w:ind w:right="160" w:firstLine="696"/>
        <w:spacing w:after="0" w:line="262" w:lineRule="auto"/>
        <w:rPr>
          <w:sz w:val="20"/>
          <w:szCs w:val="20"/>
          <w:color w:val="auto"/>
        </w:rPr>
      </w:pPr>
      <w:r>
        <w:rPr>
          <w:rFonts w:ascii="Arial" w:cs="Arial" w:eastAsia="Arial" w:hAnsi="Arial"/>
          <w:sz w:val="16"/>
          <w:szCs w:val="16"/>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38" w:lineRule="exact"/>
        <w:rPr>
          <w:sz w:val="20"/>
          <w:szCs w:val="20"/>
          <w:color w:val="auto"/>
        </w:rPr>
      </w:pPr>
    </w:p>
    <w:p>
      <w:pPr>
        <w:ind w:right="220" w:firstLine="696"/>
        <w:spacing w:after="0" w:line="244" w:lineRule="auto"/>
        <w:rPr>
          <w:sz w:val="20"/>
          <w:szCs w:val="20"/>
          <w:color w:val="auto"/>
        </w:rPr>
      </w:pPr>
      <w:r>
        <w:rPr>
          <w:rFonts w:ascii="Arial" w:cs="Arial" w:eastAsia="Arial" w:hAnsi="Arial"/>
          <w:sz w:val="16"/>
          <w:szCs w:val="16"/>
          <w:color w:val="auto"/>
        </w:rPr>
        <w:t>In January 2021, the Company completed the acquisition of Vast Holdings, Inc. (d/b/a CarStory)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spacing w:after="0" w:line="92" w:lineRule="exact"/>
        <w:rPr>
          <w:sz w:val="20"/>
          <w:szCs w:val="20"/>
          <w:color w:val="auto"/>
        </w:rPr>
      </w:pPr>
    </w:p>
    <w:p>
      <w:pPr>
        <w:ind w:right="20" w:firstLine="696"/>
        <w:spacing w:after="0" w:line="248" w:lineRule="auto"/>
        <w:rPr>
          <w:sz w:val="20"/>
          <w:szCs w:val="20"/>
          <w:color w:val="auto"/>
        </w:rPr>
      </w:pPr>
      <w:r>
        <w:rPr>
          <w:rFonts w:ascii="Arial" w:cs="Arial" w:eastAsia="Arial" w:hAnsi="Arial"/>
          <w:sz w:val="16"/>
          <w:szCs w:val="16"/>
          <w:color w:val="auto"/>
        </w:rPr>
        <w:t>UACC, a leading automotive finance company, offers vehicle financing to consumers through third-party dealers under the UACC brand, and CarStory, is an AI-powered analytics and digital services platform for automotive retail. The UACC and CarStory businesses continue to serve their third-party customers, with their operations substantially unaffected by the Ecommerce Wind-Down (as defined herein).</w:t>
      </w:r>
    </w:p>
    <w:p>
      <w:pPr>
        <w:spacing w:after="0" w:line="150"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The Company previously operated an end-to-end ecommerce platform to buy and sell used vehicles through its subsidiary Vroom Automotive, LLC. On January 22, 2024, the Company announced that its Board of Directors (“Board”) had approved a value maximization plan, pursuant to which the Company wound down its used vehicle dealership business in order to preserve liquidity and enable the Company to maximize stakeholder value through its remaining businesses (the “Value Maximization Plan”). As of March 29, 2024, the Company substantially completed the wind-down of its ecommerce operations and used vehicle dealership business (the “Ecommerce Wind-Down”).</w:t>
      </w:r>
    </w:p>
    <w:p>
      <w:pPr>
        <w:spacing w:after="0" w:line="157" w:lineRule="exact"/>
        <w:rPr>
          <w:sz w:val="20"/>
          <w:szCs w:val="20"/>
          <w:color w:val="auto"/>
        </w:rPr>
      </w:pPr>
    </w:p>
    <w:p>
      <w:pPr>
        <w:ind w:firstLine="708"/>
        <w:spacing w:after="0" w:line="238" w:lineRule="auto"/>
        <w:rPr>
          <w:sz w:val="20"/>
          <w:szCs w:val="20"/>
          <w:color w:val="auto"/>
        </w:rPr>
      </w:pPr>
      <w:r>
        <w:rPr>
          <w:rFonts w:ascii="Arial" w:cs="Arial" w:eastAsia="Arial" w:hAnsi="Arial"/>
          <w:sz w:val="16"/>
          <w:szCs w:val="16"/>
          <w:color w:val="auto"/>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 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 -powered analytics and digital services to automotive dealers, automotive financial services companies and others in the automotive industry. Refer to Note 16 — Segment Information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Prepackaged Chapter 11 Case</w:t>
      </w:r>
    </w:p>
    <w:p>
      <w:pPr>
        <w:spacing w:after="0" w:line="176" w:lineRule="exact"/>
        <w:rPr>
          <w:sz w:val="20"/>
          <w:szCs w:val="20"/>
          <w:color w:val="auto"/>
        </w:rPr>
      </w:pPr>
    </w:p>
    <w:p>
      <w:pPr>
        <w:ind w:right="20" w:firstLine="708"/>
        <w:spacing w:after="0"/>
        <w:rPr>
          <w:sz w:val="20"/>
          <w:szCs w:val="20"/>
          <w:color w:val="auto"/>
        </w:rPr>
      </w:pPr>
      <w:r>
        <w:rPr>
          <w:rFonts w:ascii="Arial" w:cs="Arial" w:eastAsia="Arial" w:hAnsi="Arial"/>
          <w:sz w:val="16"/>
          <w:szCs w:val="16"/>
          <w:color w:val="auto"/>
        </w:rPr>
        <w:t>On November 12, 2024, the Company (in the context of the Prepackaged Chapter 11 Case, the “Debtor”) entered into a Restructuring Support Agreement (together with all exhibits and schedules thereto, the “RSA”) with creditors holding the overwhelming majority of the aggregate outstanding principal amount of the Notes (as defined in Note 11 — Long Term Debt) and the largest shareholder. The RSA contemplated a comprehensive restructuring of the Company’s debt obligations and capital structure to be implemented through a prepackaged plan of reorganization (the “Plan”) to be implemented through the filing of the Prepackaged Chapter 11 Case (as defined below). Capitalized terms used in this section but not defined herein have the meanings ascribed to them in the RSA.</w:t>
      </w:r>
    </w:p>
    <w:p>
      <w:pPr>
        <w:spacing w:after="0" w:line="156" w:lineRule="exact"/>
        <w:rPr>
          <w:sz w:val="20"/>
          <w:szCs w:val="20"/>
          <w:color w:val="auto"/>
        </w:rPr>
      </w:pPr>
    </w:p>
    <w:p>
      <w:pPr>
        <w:ind w:firstLine="708"/>
        <w:spacing w:after="0" w:line="244" w:lineRule="auto"/>
        <w:rPr>
          <w:sz w:val="20"/>
          <w:szCs w:val="20"/>
          <w:color w:val="auto"/>
        </w:rPr>
      </w:pPr>
      <w:r>
        <w:rPr>
          <w:rFonts w:ascii="Arial" w:cs="Arial" w:eastAsia="Arial" w:hAnsi="Arial"/>
          <w:sz w:val="16"/>
          <w:szCs w:val="16"/>
          <w:color w:val="auto"/>
        </w:rPr>
        <w:t>On November 13, 2024, the Company commenced a voluntary proceeding (the “Prepackaged Chapter 11 Case”) under Chapter 11 of the United States Code, 11 U.S.C. §§ 101-1532, as amended from time to (the “Bankruptcy Code”) in the United States Bankruptcy Court for the Southern District of Texas (the “Bankruptcy Court”) under the name “In re Vroom, Inc.” Case No. 24-90571 (CML). None of Vroom, Inc.’s subsidiaries were debtors in the Chapter 11 proceedings.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11" w:name="page12"/>
    <w:bookmarkEnd w:id="1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460" w:firstLine="708"/>
        <w:spacing w:after="0" w:line="262" w:lineRule="auto"/>
        <w:rPr>
          <w:sz w:val="20"/>
          <w:szCs w:val="20"/>
          <w:color w:val="auto"/>
        </w:rPr>
      </w:pPr>
      <w:r>
        <w:rPr>
          <w:rFonts w:ascii="Arial" w:cs="Arial" w:eastAsia="Arial" w:hAnsi="Arial"/>
          <w:sz w:val="16"/>
          <w:szCs w:val="16"/>
          <w:color w:val="auto"/>
        </w:rPr>
        <w:t>On January 14, 2025 (the “Effective Date”), the conditions to the effectiveness of the Plan were satisfied or waived and the Plan became effective. The Company emerged from the Prepackaged Chapter 11 Case on January 14,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of Common Stock</w:t>
      </w:r>
    </w:p>
    <w:p>
      <w:pPr>
        <w:spacing w:after="0" w:line="176" w:lineRule="exact"/>
        <w:rPr>
          <w:sz w:val="20"/>
          <w:szCs w:val="20"/>
          <w:color w:val="auto"/>
        </w:rPr>
      </w:pPr>
    </w:p>
    <w:p>
      <w:pPr>
        <w:ind w:right="40" w:firstLine="708"/>
        <w:spacing w:after="0" w:line="241" w:lineRule="auto"/>
        <w:rPr>
          <w:sz w:val="20"/>
          <w:szCs w:val="20"/>
          <w:color w:val="auto"/>
        </w:rPr>
      </w:pPr>
      <w:r>
        <w:rPr>
          <w:rFonts w:ascii="Arial" w:cs="Arial" w:eastAsia="Arial" w:hAnsi="Arial"/>
          <w:sz w:val="16"/>
          <w:szCs w:val="16"/>
          <w:color w:val="auto"/>
        </w:rPr>
        <w:t>Immediately prior to the Effective Date, there were 1,822,577 outstanding shares of the Company’s common stock, $0.001 par value per share (the “Common Stock”). The Company has adopted an Amended and Restated Certificate of Incorporation (the “Certificate of Incorporation”) to, among other changes to the Company’s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"New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Going Concern</w:t>
      </w:r>
    </w:p>
    <w:p>
      <w:pPr>
        <w:spacing w:after="0" w:line="176" w:lineRule="exact"/>
        <w:rPr>
          <w:sz w:val="20"/>
          <w:szCs w:val="20"/>
          <w:color w:val="auto"/>
        </w:rPr>
      </w:pPr>
    </w:p>
    <w:p>
      <w:pPr>
        <w:ind w:right="120" w:firstLine="696"/>
        <w:spacing w:after="0" w:line="262" w:lineRule="auto"/>
        <w:rPr>
          <w:sz w:val="20"/>
          <w:szCs w:val="20"/>
          <w:color w:val="auto"/>
        </w:rPr>
      </w:pPr>
      <w:r>
        <w:rPr>
          <w:rFonts w:ascii="Arial" w:cs="Arial" w:eastAsia="Arial" w:hAnsi="Arial"/>
          <w:sz w:val="16"/>
          <w:szCs w:val="16"/>
          <w:color w:val="auto"/>
        </w:rPr>
        <w:t>As described above, the Company filed the Prepackaged Chapter 11 Case to implement the transactions described herein. As of January 14, 2025, the Company emerged from the Prepackaged Chapter 11 Case and continues to operate as a viable going concern.</w:t>
      </w:r>
    </w:p>
    <w:p>
      <w:pPr>
        <w:spacing w:after="0" w:line="138" w:lineRule="exact"/>
        <w:rPr>
          <w:sz w:val="20"/>
          <w:szCs w:val="20"/>
          <w:color w:val="auto"/>
        </w:rPr>
      </w:pPr>
    </w:p>
    <w:p>
      <w:pPr>
        <w:ind w:firstLine="696"/>
        <w:spacing w:after="0" w:line="248" w:lineRule="auto"/>
        <w:rPr>
          <w:sz w:val="20"/>
          <w:szCs w:val="20"/>
          <w:color w:val="auto"/>
        </w:rPr>
      </w:pPr>
      <w:r>
        <w:rPr>
          <w:rFonts w:ascii="Arial" w:cs="Arial" w:eastAsia="Arial" w:hAnsi="Arial"/>
          <w:sz w:val="16"/>
          <w:szCs w:val="16"/>
          <w:color w:val="auto"/>
        </w:rPr>
        <w:t>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twelve months following the issuance date.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6" w:lineRule="exact"/>
        <w:rPr>
          <w:sz w:val="20"/>
          <w:szCs w:val="20"/>
          <w:color w:val="auto"/>
        </w:rPr>
      </w:pPr>
    </w:p>
    <w:p>
      <w:pPr>
        <w:jc w:val="both"/>
        <w:ind w:right="20" w:firstLine="708"/>
        <w:spacing w:after="0" w:line="275" w:lineRule="auto"/>
        <w:rPr>
          <w:sz w:val="20"/>
          <w:szCs w:val="20"/>
          <w:color w:val="auto"/>
        </w:rPr>
      </w:pPr>
      <w:r>
        <w:rPr>
          <w:rFonts w:ascii="Arial" w:cs="Arial" w:eastAsia="Arial" w:hAnsi="Arial"/>
          <w:sz w:val="14"/>
          <w:szCs w:val="14"/>
          <w:color w:val="auto"/>
        </w:rPr>
        <w:t>The condensed consolidated financial statements of the Company have been prepared in accordance with U.S. generally accepted accounting principles (“U.S. GAAP”) and applicable rules and regulations of the U.S. Securities and Exchange Commission regarding interim financial reporting. The consolidated balance sheet as of December 31, 2024, included herein, was derived from the audited consolidated financial statements as of that date.</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notes included in the Annual Report on Form 10-K for the year ended December 31, 2024.</w:t>
      </w:r>
    </w:p>
    <w:p>
      <w:pPr>
        <w:spacing w:after="0" w:line="123" w:lineRule="exact"/>
        <w:rPr>
          <w:sz w:val="20"/>
          <w:szCs w:val="20"/>
          <w:color w:val="auto"/>
        </w:rPr>
      </w:pPr>
    </w:p>
    <w:p>
      <w:pPr>
        <w:ind w:firstLine="752"/>
        <w:spacing w:after="0" w:line="279" w:lineRule="auto"/>
        <w:rPr>
          <w:sz w:val="20"/>
          <w:szCs w:val="20"/>
          <w:color w:val="auto"/>
        </w:rPr>
      </w:pPr>
      <w:r>
        <w:rPr>
          <w:rFonts w:ascii="Arial" w:cs="Arial" w:eastAsia="Arial" w:hAnsi="Arial"/>
          <w:sz w:val="14"/>
          <w:szCs w:val="14"/>
          <w:color w:val="auto"/>
        </w:rPr>
        <w:t>Upon emergence from the Prepackaged Chapter 11 Case, the Company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References to “Successor” relate to the Company's financial position and results of operations after the Effective Date. References to “Predecessor” refer to the Company's financial position and results of operations on or before</w:t>
      </w:r>
    </w:p>
    <w:p>
      <w:pPr>
        <w:spacing w:after="0"/>
        <w:rPr>
          <w:sz w:val="20"/>
          <w:szCs w:val="20"/>
          <w:color w:val="auto"/>
        </w:rPr>
      </w:pPr>
      <w:r>
        <w:rPr>
          <w:rFonts w:ascii="Arial" w:cs="Arial" w:eastAsia="Arial" w:hAnsi="Arial"/>
          <w:sz w:val="16"/>
          <w:szCs w:val="16"/>
          <w:color w:val="auto"/>
        </w:rPr>
        <w:t>the Effective Date. Refer to Note 6 — Fresh Start Accounting for further details.</w:t>
      </w:r>
    </w:p>
    <w:p>
      <w:pPr>
        <w:spacing w:after="0" w:line="188" w:lineRule="exact"/>
        <w:rPr>
          <w:sz w:val="20"/>
          <w:szCs w:val="20"/>
          <w:color w:val="auto"/>
        </w:rPr>
      </w:pPr>
    </w:p>
    <w:p>
      <w:pPr>
        <w:ind w:right="20" w:firstLine="708"/>
        <w:spacing w:after="0" w:line="241" w:lineRule="auto"/>
        <w:rPr>
          <w:sz w:val="20"/>
          <w:szCs w:val="20"/>
          <w:color w:val="auto"/>
        </w:rPr>
      </w:pPr>
      <w:r>
        <w:rPr>
          <w:rFonts w:ascii="Arial" w:cs="Arial" w:eastAsia="Arial" w:hAnsi="Arial"/>
          <w:sz w:val="16"/>
          <w:szCs w:val="16"/>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March 31, 2025, and its results of operations for the periods presented. The results for the period from January 1, 2025, to January 14, 2025, and from January 15, 2025, to March 31, 2025, are not necessarily indicative of the results expected for the current fiscal year or any other future periods.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 w:name="page13"/>
    <w:bookmarkEnd w:id="1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76" w:lineRule="exact"/>
        <w:rPr>
          <w:sz w:val="20"/>
          <w:szCs w:val="20"/>
          <w:color w:val="auto"/>
        </w:rPr>
      </w:pPr>
    </w:p>
    <w:p>
      <w:pPr>
        <w:ind w:right="200" w:firstLine="708"/>
        <w:spacing w:after="0" w:line="262"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 owned subsidiaries. All intercompany accounts and transactions have been eliminated in consolidation.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6" w:lineRule="exact"/>
        <w:rPr>
          <w:sz w:val="20"/>
          <w:szCs w:val="20"/>
          <w:color w:val="auto"/>
        </w:rPr>
      </w:pPr>
    </w:p>
    <w:p>
      <w:pPr>
        <w:ind w:firstLine="708"/>
        <w:spacing w:after="0"/>
        <w:rPr>
          <w:sz w:val="20"/>
          <w:szCs w:val="20"/>
          <w:color w:val="auto"/>
        </w:rPr>
      </w:pPr>
      <w:r>
        <w:rPr>
          <w:rFonts w:ascii="Arial" w:cs="Arial" w:eastAsia="Arial" w:hAnsi="Arial"/>
          <w:sz w:val="16"/>
          <w:szCs w:val="16"/>
          <w:color w:val="auto"/>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Income and Loss</w:t>
      </w:r>
    </w:p>
    <w:p>
      <w:pPr>
        <w:spacing w:after="0" w:line="176" w:lineRule="exact"/>
        <w:rPr>
          <w:sz w:val="20"/>
          <w:szCs w:val="20"/>
          <w:color w:val="auto"/>
        </w:rPr>
      </w:pPr>
    </w:p>
    <w:p>
      <w:pPr>
        <w:ind w:right="740" w:firstLine="708"/>
        <w:spacing w:after="0" w:line="262" w:lineRule="auto"/>
        <w:rPr>
          <w:sz w:val="20"/>
          <w:szCs w:val="20"/>
          <w:color w:val="auto"/>
        </w:rPr>
      </w:pPr>
      <w:r>
        <w:rPr>
          <w:rFonts w:ascii="Arial" w:cs="Arial" w:eastAsia="Arial" w:hAnsi="Arial"/>
          <w:sz w:val="16"/>
          <w:szCs w:val="16"/>
          <w:color w:val="auto"/>
        </w:rPr>
        <w:t>The Company did not have any other comprehensive income or loss for the periods presented. Accordingly, net income and loss and comprehensive income and loss are the same for the periods presented.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76" w:lineRule="exact"/>
        <w:rPr>
          <w:sz w:val="20"/>
          <w:szCs w:val="20"/>
          <w:color w:val="auto"/>
        </w:rPr>
      </w:pPr>
    </w:p>
    <w:p>
      <w:pPr>
        <w:ind w:right="160" w:firstLine="708"/>
        <w:spacing w:after="0" w:line="248" w:lineRule="auto"/>
        <w:rPr>
          <w:sz w:val="20"/>
          <w:szCs w:val="20"/>
          <w:color w:val="auto"/>
        </w:rPr>
      </w:pPr>
      <w:r>
        <w:rPr>
          <w:rFonts w:ascii="Arial" w:cs="Arial" w:eastAsia="Arial" w:hAnsi="Arial"/>
          <w:sz w:val="16"/>
          <w:szCs w:val="16"/>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“Other liabilities” in the consolidated balance sheets and changes in these amounts are reflected in operating cash flows in the consolidated statements of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176" w:lineRule="exact"/>
        <w:rPr>
          <w:sz w:val="20"/>
          <w:szCs w:val="20"/>
          <w:color w:val="auto"/>
        </w:rPr>
      </w:pPr>
    </w:p>
    <w:p>
      <w:pPr>
        <w:ind w:right="100" w:firstLine="708"/>
        <w:spacing w:after="0" w:line="244" w:lineRule="auto"/>
        <w:rPr>
          <w:sz w:val="20"/>
          <w:szCs w:val="20"/>
          <w:color w:val="auto"/>
        </w:rPr>
      </w:pPr>
      <w:r>
        <w:rPr>
          <w:rFonts w:ascii="Arial" w:cs="Arial" w:eastAsia="Arial" w:hAnsi="Arial"/>
          <w:sz w:val="16"/>
          <w:szCs w:val="16"/>
          <w:color w:val="auto"/>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 securitization and warehouse credit facility to provide additional collateral for the borrowings. Refer to Note 10 — Warehouse Credit Facilities of Consolidated VIEs and Note 11 — Long Term Debt for further details.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Receivables</w:t>
      </w:r>
    </w:p>
    <w:p>
      <w:pPr>
        <w:spacing w:after="0" w:line="176" w:lineRule="exact"/>
        <w:rPr>
          <w:sz w:val="20"/>
          <w:szCs w:val="20"/>
          <w:color w:val="auto"/>
        </w:rPr>
      </w:pPr>
    </w:p>
    <w:p>
      <w:pPr>
        <w:ind w:right="120" w:firstLine="708"/>
        <w:spacing w:after="0" w:line="248" w:lineRule="auto"/>
        <w:rPr>
          <w:sz w:val="20"/>
          <w:szCs w:val="20"/>
          <w:color w:val="auto"/>
        </w:rPr>
      </w:pPr>
      <w:r>
        <w:rPr>
          <w:rFonts w:ascii="Arial" w:cs="Arial" w:eastAsia="Arial" w:hAnsi="Arial"/>
          <w:sz w:val="16"/>
          <w:szCs w:val="16"/>
          <w:color w:val="auto"/>
        </w:rPr>
        <w:t>Finance receivables consist of retail installment sale contracts purchased or acquired by UACC from its existing network of third- party dealership customers at a discount as well as retail installment sale contracts UACC offered to Vroom’s customers through its ecommerce platform prior to the Ecommerce Wind-Down.</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Company's finance receivables are generally secured by the vehicles being financed.</w:t>
      </w:r>
    </w:p>
    <w:p>
      <w:pPr>
        <w:spacing w:after="0" w:line="176" w:lineRule="exact"/>
        <w:rPr>
          <w:sz w:val="20"/>
          <w:szCs w:val="20"/>
          <w:color w:val="auto"/>
        </w:rPr>
      </w:pPr>
    </w:p>
    <w:p>
      <w:pPr>
        <w:ind w:right="140" w:firstLine="708"/>
        <w:spacing w:after="0" w:line="248" w:lineRule="auto"/>
        <w:rPr>
          <w:sz w:val="20"/>
          <w:szCs w:val="20"/>
          <w:color w:val="auto"/>
        </w:rPr>
      </w:pPr>
      <w:r>
        <w:rPr>
          <w:rFonts w:ascii="Arial" w:cs="Arial" w:eastAsia="Arial" w:hAnsi="Arial"/>
          <w:sz w:val="16"/>
          <w:szCs w:val="16"/>
          <w:color w:val="auto"/>
        </w:rPr>
        <w:t>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Receivables at Fair Value</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Finance receivables for which the fair value option was elected under ASC 825 are classified as finance receivables at fair value.</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3" w:name="page14"/>
    <w:bookmarkEnd w:id="1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20" w:firstLine="708"/>
        <w:spacing w:after="0" w:line="238" w:lineRule="auto"/>
        <w:rPr>
          <w:sz w:val="20"/>
          <w:szCs w:val="20"/>
          <w:color w:val="auto"/>
        </w:rPr>
      </w:pPr>
      <w:r>
        <w:rPr>
          <w:rFonts w:ascii="Arial" w:cs="Arial" w:eastAsia="Arial" w:hAnsi="Arial"/>
          <w:sz w:val="16"/>
          <w:szCs w:val="16"/>
          <w:color w:val="auto"/>
        </w:rPr>
        <w:t>Upon emergence from the Prepackaged Chapter 11 Case, and application of fresh start accounting, the Company made an accounting policy election to account for all finance receivables as finance receivables held for investment at fair value. Prior to the accounting policy change, the Company's finance receivables at fair value included both finance receivables held for sale at fair value as well as finance receivables held for investment at fair value. The Company did not have any finance receivables held for sale at fair value as of March 31, 2025, and the aggregate principal balance and the fair value of the finance receivables held for investment was $965.4 million and $858.2 million, respectively as of March 31, 2025. The aggregate principal balance and the fair value of the finance receivables held for sale at fair value was $365.0 million and $320.6 million, respectively, and the aggregate principal balance and the fair value of the finance receivables held for investment at fair value was $211.2 million and $183.2 million, respectively as of December 31, 2024.</w:t>
      </w:r>
    </w:p>
    <w:p>
      <w:pPr>
        <w:spacing w:after="0" w:line="161" w:lineRule="exact"/>
        <w:rPr>
          <w:sz w:val="20"/>
          <w:szCs w:val="20"/>
          <w:color w:val="auto"/>
        </w:rPr>
      </w:pPr>
    </w:p>
    <w:p>
      <w:pPr>
        <w:ind w:firstLine="708"/>
        <w:spacing w:after="0"/>
        <w:rPr>
          <w:sz w:val="20"/>
          <w:szCs w:val="20"/>
          <w:color w:val="auto"/>
        </w:rPr>
      </w:pPr>
      <w:r>
        <w:rPr>
          <w:rFonts w:ascii="Arial" w:cs="Arial" w:eastAsia="Arial" w:hAnsi="Arial"/>
          <w:sz w:val="16"/>
          <w:szCs w:val="16"/>
          <w:color w:val="auto"/>
        </w:rPr>
        <w:t>The Company reassesses the estimate for fair value at each reporting period with any changes reflected as a fair value adjustment and recorded in "Realized and unrealized losses, net of recoveries" in the condensed consolidated statements of operations. For all finance receivables at fair value, the Company recognizes the fees it charges to dealers upon acquisition as other income at the time of issuance of the finance receivables and recognizes the acquisition costs to underwrite the finance receivables as an expense in the period incurred. For finance receivables held for investment at fair value, any discounts are amortized over the contractual life of the underlying finance receivables and is recognized in realized and unrealized loss, net of recoveries on the condensed consolidated statement of operations.</w:t>
      </w:r>
    </w:p>
    <w:p>
      <w:pPr>
        <w:spacing w:after="0" w:line="15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Refer to Note 15 — Financial Instruments and Fair Value Measurements for further details.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Receivables Held for Sale, Net</w:t>
      </w:r>
    </w:p>
    <w:p>
      <w:pPr>
        <w:spacing w:after="0" w:line="176" w:lineRule="exact"/>
        <w:rPr>
          <w:sz w:val="20"/>
          <w:szCs w:val="20"/>
          <w:color w:val="auto"/>
        </w:rPr>
      </w:pPr>
    </w:p>
    <w:p>
      <w:pPr>
        <w:jc w:val="both"/>
        <w:ind w:right="120" w:firstLine="708"/>
        <w:spacing w:after="0" w:line="248" w:lineRule="auto"/>
        <w:rPr>
          <w:sz w:val="20"/>
          <w:szCs w:val="20"/>
          <w:color w:val="auto"/>
        </w:rPr>
      </w:pPr>
      <w:r>
        <w:rPr>
          <w:rFonts w:ascii="Arial" w:cs="Arial" w:eastAsia="Arial" w:hAnsi="Arial"/>
          <w:sz w:val="16"/>
          <w:szCs w:val="16"/>
          <w:color w:val="auto"/>
        </w:rPr>
        <w:t>Upon emergence from the Prepackaged Chapter 11 Case, and application of fresh start accounting, the Company made an accounting policy election to elect the fair value option for all finance receivables held for sale, net. The Company will report all finance receivables on a prospective basis as Finance Receivables at Fair Value. Refer to Note 6 — Fresh Start Accounting for further details.</w:t>
      </w:r>
    </w:p>
    <w:p>
      <w:pPr>
        <w:spacing w:after="0" w:line="150" w:lineRule="exact"/>
        <w:rPr>
          <w:sz w:val="20"/>
          <w:szCs w:val="20"/>
          <w:color w:val="auto"/>
        </w:rPr>
      </w:pPr>
    </w:p>
    <w:p>
      <w:pPr>
        <w:ind w:right="160" w:firstLine="708"/>
        <w:spacing w:after="0" w:line="244" w:lineRule="auto"/>
        <w:rPr>
          <w:sz w:val="20"/>
          <w:szCs w:val="20"/>
          <w:color w:val="auto"/>
        </w:rPr>
      </w:pPr>
      <w:r>
        <w:rPr>
          <w:rFonts w:ascii="Arial" w:cs="Arial" w:eastAsia="Arial" w:hAnsi="Arial"/>
          <w:sz w:val="16"/>
          <w:szCs w:val="16"/>
          <w:color w:val="auto"/>
        </w:rPr>
        <w:t>The finance receivables that the Company intended to sell were classified as held for sale and recorded at the lower of cost or fair value. The Company intended to sell finance receivables through securitization transactions. Deferred acquisition costs and any discounts were deferred until the finance receivables were sold and were then recognized as part of the total gain or loss on sale. Refer to Note 3 — Revenue Recognition for further details.</w:t>
      </w:r>
    </w:p>
    <w:p>
      <w:pPr>
        <w:spacing w:after="0" w:line="152" w:lineRule="exact"/>
        <w:rPr>
          <w:sz w:val="20"/>
          <w:szCs w:val="20"/>
          <w:color w:val="auto"/>
        </w:rPr>
      </w:pPr>
    </w:p>
    <w:p>
      <w:pPr>
        <w:ind w:firstLine="708"/>
        <w:spacing w:after="0" w:line="238" w:lineRule="auto"/>
        <w:rPr>
          <w:sz w:val="20"/>
          <w:szCs w:val="20"/>
          <w:color w:val="auto"/>
        </w:rPr>
      </w:pPr>
      <w:r>
        <w:rPr>
          <w:rFonts w:ascii="Arial" w:cs="Arial" w:eastAsia="Arial" w:hAnsi="Arial"/>
          <w:sz w:val="16"/>
          <w:szCs w:val="16"/>
          <w:color w:val="auto"/>
        </w:rPr>
        <w:t>Prior to the Effective Date, the Company recorded a valuation allowance to report finance receivables held for sale at the lower of cost or fair value. To determine the valuation allowance, finance receivables were evaluated collectively as they represent a large group of smaller-balance homogeneous loans. To the extent that actual experience differed from estimates, significant adjustments to the Company's valuation allowance were needed. Fair value adjustments were recorded in "Realized and unrealized losses, net of recoveries" in the consolidated statements of operations. Principal balances and corresponding deferred acquisition costs and discounts of finance receivables were charged-off when the Company was unable to sell the finance receivable and the related vehicle had been repossessed and liquidated, or the receivable had otherwise been deemed uncollectible. As of March 31, 2025, the Company did not have any finance receivables classified as held for sale, net and therefore did not have a valuation allowance. As of December 31, 2024, the valuation allowance for finance receivables classified as held for sale was $31.1 million. Refer to Note 15 — Financial Instruments and Fair Value Measurements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CFEs</w:t>
      </w:r>
    </w:p>
    <w:p>
      <w:pPr>
        <w:spacing w:after="0" w:line="176" w:lineRule="exact"/>
        <w:rPr>
          <w:sz w:val="20"/>
          <w:szCs w:val="20"/>
          <w:color w:val="auto"/>
        </w:rPr>
      </w:pPr>
    </w:p>
    <w:p>
      <w:pPr>
        <w:ind w:right="340" w:firstLine="708"/>
        <w:spacing w:after="0" w:line="248" w:lineRule="auto"/>
        <w:rPr>
          <w:sz w:val="20"/>
          <w:szCs w:val="20"/>
          <w:color w:val="auto"/>
        </w:rPr>
      </w:pPr>
      <w:r>
        <w:rPr>
          <w:rFonts w:ascii="Arial" w:cs="Arial" w:eastAsia="Arial" w:hAnsi="Arial"/>
          <w:sz w:val="16"/>
          <w:szCs w:val="16"/>
          <w:color w:val="auto"/>
        </w:rPr>
        <w:t>The 2022-2, 2023-1, 2024-1, and 2025-1 securitization transactions are consolidated collateralized financing entities (CFEs) that are VIEs. Refer to Note 4 — Variable Interest Entities and Securitizations for further details. The Company recognized the following revenue and expenses associated with these CFEs in the condensed consolidated statements of operations (in thousands):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4" w:name="page15"/>
    <w:bookmarkEnd w:id="1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tcBorders>
              <w:right w:val="single" w:sz="8" w:color="auto"/>
            </w:tcBorders>
          </w:tcPr>
          <w:p>
            <w:pPr>
              <w:jc w:val="center"/>
              <w:ind w:right="406"/>
              <w:spacing w:after="0"/>
              <w:rPr>
                <w:sz w:val="20"/>
                <w:szCs w:val="20"/>
                <w:color w:val="auto"/>
              </w:rPr>
            </w:pPr>
            <w:r>
              <w:rPr>
                <w:rFonts w:ascii="Arial" w:cs="Arial" w:eastAsia="Arial" w:hAnsi="Arial"/>
                <w:sz w:val="13"/>
                <w:szCs w:val="13"/>
                <w:b w:val="1"/>
                <w:bCs w:val="1"/>
                <w:color w:val="auto"/>
              </w:rPr>
              <w:t>Successor</w:t>
            </w:r>
          </w:p>
        </w:tc>
        <w:tc>
          <w:tcPr>
            <w:tcW w:w="280" w:type="dxa"/>
            <w:vAlign w:val="bottom"/>
          </w:tcPr>
          <w:p>
            <w:pPr>
              <w:spacing w:after="0"/>
              <w:rPr>
                <w:sz w:val="17"/>
                <w:szCs w:val="17"/>
                <w:color w:val="auto"/>
              </w:rPr>
            </w:pPr>
          </w:p>
        </w:tc>
        <w:tc>
          <w:tcPr>
            <w:tcW w:w="3500" w:type="dxa"/>
            <w:vAlign w:val="bottom"/>
            <w:gridSpan w:val="3"/>
          </w:tcPr>
          <w:p>
            <w:pPr>
              <w:jc w:val="right"/>
              <w:ind w:right="1366"/>
              <w:spacing w:after="0"/>
              <w:rPr>
                <w:sz w:val="20"/>
                <w:szCs w:val="20"/>
                <w:color w:val="auto"/>
              </w:rPr>
            </w:pPr>
            <w:r>
              <w:rPr>
                <w:rFonts w:ascii="Arial" w:cs="Arial" w:eastAsia="Arial" w:hAnsi="Arial"/>
                <w:sz w:val="13"/>
                <w:szCs w:val="13"/>
                <w:b w:val="1"/>
                <w:bCs w:val="1"/>
                <w:color w:val="auto"/>
              </w:rPr>
              <w:t>Predecessor</w:t>
            </w:r>
          </w:p>
        </w:tc>
      </w:tr>
      <w:tr>
        <w:trPr>
          <w:trHeight w:val="156"/>
        </w:trPr>
        <w:tc>
          <w:tcPr>
            <w:tcW w:w="4120" w:type="dxa"/>
            <w:vAlign w:val="bottom"/>
          </w:tcPr>
          <w:p>
            <w:pPr>
              <w:spacing w:after="0"/>
              <w:rPr>
                <w:sz w:val="13"/>
                <w:szCs w:val="13"/>
                <w:color w:val="auto"/>
              </w:rPr>
            </w:pPr>
          </w:p>
        </w:tc>
        <w:tc>
          <w:tcPr>
            <w:tcW w:w="2660" w:type="dxa"/>
            <w:vAlign w:val="bottom"/>
            <w:tcBorders>
              <w:right w:val="single" w:sz="8" w:color="auto"/>
            </w:tcBorders>
            <w:gridSpan w:val="2"/>
          </w:tcPr>
          <w:p>
            <w:pPr>
              <w:jc w:val="center"/>
              <w:ind w:left="368"/>
              <w:spacing w:after="0"/>
              <w:rPr>
                <w:sz w:val="20"/>
                <w:szCs w:val="20"/>
                <w:color w:val="auto"/>
              </w:rPr>
            </w:pPr>
            <w:r>
              <w:rPr>
                <w:rFonts w:ascii="Arial" w:cs="Arial" w:eastAsia="Arial" w:hAnsi="Arial"/>
                <w:sz w:val="13"/>
                <w:szCs w:val="13"/>
                <w:b w:val="1"/>
                <w:bCs w:val="1"/>
                <w:color w:val="auto"/>
              </w:rPr>
              <w:t>Period from January 15</w:t>
            </w:r>
          </w:p>
        </w:tc>
        <w:tc>
          <w:tcPr>
            <w:tcW w:w="280" w:type="dxa"/>
            <w:vAlign w:val="bottom"/>
          </w:tcPr>
          <w:p>
            <w:pPr>
              <w:spacing w:after="0"/>
              <w:rPr>
                <w:sz w:val="13"/>
                <w:szCs w:val="13"/>
                <w:color w:val="auto"/>
              </w:rPr>
            </w:pPr>
          </w:p>
        </w:tc>
        <w:tc>
          <w:tcPr>
            <w:tcW w:w="1700" w:type="dxa"/>
            <w:vAlign w:val="bottom"/>
          </w:tcPr>
          <w:p>
            <w:pPr>
              <w:jc w:val="center"/>
              <w:ind w:right="187"/>
              <w:spacing w:after="0"/>
              <w:rPr>
                <w:sz w:val="20"/>
                <w:szCs w:val="20"/>
                <w:color w:val="auto"/>
              </w:rPr>
            </w:pPr>
            <w:r>
              <w:rPr>
                <w:rFonts w:ascii="Arial" w:cs="Arial" w:eastAsia="Arial" w:hAnsi="Arial"/>
                <w:sz w:val="13"/>
                <w:szCs w:val="13"/>
                <w:b w:val="1"/>
                <w:bCs w:val="1"/>
                <w:color w:val="auto"/>
              </w:rPr>
              <w:t>Period from January 1</w:t>
            </w:r>
          </w:p>
        </w:tc>
        <w:tc>
          <w:tcPr>
            <w:tcW w:w="240" w:type="dxa"/>
            <w:vAlign w:val="bottom"/>
          </w:tcPr>
          <w:p>
            <w:pPr>
              <w:spacing w:after="0"/>
              <w:rPr>
                <w:sz w:val="13"/>
                <w:szCs w:val="13"/>
                <w:color w:val="auto"/>
              </w:rPr>
            </w:pPr>
          </w:p>
        </w:tc>
        <w:tc>
          <w:tcPr>
            <w:tcW w:w="1560" w:type="dxa"/>
            <w:vAlign w:val="bottom"/>
          </w:tcPr>
          <w:p>
            <w:pPr>
              <w:jc w:val="center"/>
              <w:ind w:right="146"/>
              <w:spacing w:after="0"/>
              <w:rPr>
                <w:sz w:val="20"/>
                <w:szCs w:val="20"/>
                <w:color w:val="auto"/>
              </w:rPr>
            </w:pPr>
            <w:r>
              <w:rPr>
                <w:rFonts w:ascii="Arial" w:cs="Arial" w:eastAsia="Arial" w:hAnsi="Arial"/>
                <w:sz w:val="13"/>
                <w:szCs w:val="13"/>
                <w:b w:val="1"/>
                <w:bCs w:val="1"/>
                <w:color w:val="auto"/>
              </w:rPr>
              <w:t>Three Months Ended</w:t>
            </w:r>
          </w:p>
        </w:tc>
      </w:tr>
      <w:tr>
        <w:trPr>
          <w:trHeight w:val="156"/>
        </w:trPr>
        <w:tc>
          <w:tcPr>
            <w:tcW w:w="4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Borders>
              <w:right w:val="single" w:sz="8" w:color="auto"/>
            </w:tcBorders>
          </w:tcPr>
          <w:p>
            <w:pPr>
              <w:jc w:val="center"/>
              <w:ind w:right="386"/>
              <w:spacing w:after="0"/>
              <w:rPr>
                <w:sz w:val="20"/>
                <w:szCs w:val="20"/>
                <w:color w:val="auto"/>
              </w:rPr>
            </w:pPr>
            <w:r>
              <w:rPr>
                <w:rFonts w:ascii="Arial" w:cs="Arial" w:eastAsia="Arial" w:hAnsi="Arial"/>
                <w:sz w:val="13"/>
                <w:szCs w:val="13"/>
                <w:b w:val="1"/>
                <w:bCs w:val="1"/>
                <w:color w:val="auto"/>
              </w:rPr>
              <w:t>through March 31,</w:t>
            </w:r>
          </w:p>
        </w:tc>
        <w:tc>
          <w:tcPr>
            <w:tcW w:w="280" w:type="dxa"/>
            <w:vAlign w:val="bottom"/>
          </w:tcPr>
          <w:p>
            <w:pPr>
              <w:spacing w:after="0"/>
              <w:rPr>
                <w:sz w:val="13"/>
                <w:szCs w:val="13"/>
                <w:color w:val="auto"/>
              </w:rPr>
            </w:pPr>
          </w:p>
        </w:tc>
        <w:tc>
          <w:tcPr>
            <w:tcW w:w="1700" w:type="dxa"/>
            <w:vAlign w:val="bottom"/>
          </w:tcPr>
          <w:p>
            <w:pPr>
              <w:jc w:val="center"/>
              <w:ind w:right="207"/>
              <w:spacing w:after="0"/>
              <w:rPr>
                <w:sz w:val="20"/>
                <w:szCs w:val="20"/>
                <w:color w:val="auto"/>
              </w:rPr>
            </w:pPr>
            <w:r>
              <w:rPr>
                <w:rFonts w:ascii="Arial" w:cs="Arial" w:eastAsia="Arial" w:hAnsi="Arial"/>
                <w:sz w:val="13"/>
                <w:szCs w:val="13"/>
                <w:b w:val="1"/>
                <w:bCs w:val="1"/>
                <w:color w:val="auto"/>
              </w:rPr>
              <w:t>through January 14,</w:t>
            </w:r>
          </w:p>
        </w:tc>
        <w:tc>
          <w:tcPr>
            <w:tcW w:w="240" w:type="dxa"/>
            <w:vAlign w:val="bottom"/>
          </w:tcPr>
          <w:p>
            <w:pPr>
              <w:spacing w:after="0"/>
              <w:rPr>
                <w:sz w:val="13"/>
                <w:szCs w:val="13"/>
                <w:color w:val="auto"/>
              </w:rPr>
            </w:pPr>
          </w:p>
        </w:tc>
        <w:tc>
          <w:tcPr>
            <w:tcW w:w="1560" w:type="dxa"/>
            <w:vAlign w:val="bottom"/>
          </w:tcPr>
          <w:p>
            <w:pPr>
              <w:jc w:val="center"/>
              <w:ind w:right="146"/>
              <w:spacing w:after="0"/>
              <w:rPr>
                <w:sz w:val="20"/>
                <w:szCs w:val="20"/>
                <w:color w:val="auto"/>
              </w:rPr>
            </w:pPr>
            <w:r>
              <w:rPr>
                <w:rFonts w:ascii="Arial" w:cs="Arial" w:eastAsia="Arial" w:hAnsi="Arial"/>
                <w:sz w:val="13"/>
                <w:szCs w:val="13"/>
                <w:b w:val="1"/>
                <w:bCs w:val="1"/>
                <w:color w:val="auto"/>
              </w:rPr>
              <w:t>March 31,</w:t>
            </w:r>
          </w:p>
        </w:tc>
      </w:tr>
      <w:tr>
        <w:trPr>
          <w:trHeight w:val="168"/>
        </w:trPr>
        <w:tc>
          <w:tcPr>
            <w:tcW w:w="4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Borders>
              <w:right w:val="single" w:sz="8" w:color="auto"/>
            </w:tcBorders>
          </w:tcPr>
          <w:p>
            <w:pPr>
              <w:jc w:val="center"/>
              <w:ind w:right="386"/>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4"/>
                <w:szCs w:val="14"/>
                <w:color w:val="auto"/>
              </w:rPr>
            </w:pPr>
          </w:p>
        </w:tc>
        <w:tc>
          <w:tcPr>
            <w:tcW w:w="1700" w:type="dxa"/>
            <w:vAlign w:val="bottom"/>
          </w:tcPr>
          <w:p>
            <w:pPr>
              <w:jc w:val="center"/>
              <w:ind w:right="187"/>
              <w:spacing w:after="0"/>
              <w:rPr>
                <w:sz w:val="20"/>
                <w:szCs w:val="20"/>
                <w:color w:val="auto"/>
              </w:rPr>
            </w:pPr>
            <w:r>
              <w:rPr>
                <w:rFonts w:ascii="Arial" w:cs="Arial" w:eastAsia="Arial" w:hAnsi="Arial"/>
                <w:sz w:val="13"/>
                <w:szCs w:val="13"/>
                <w:b w:val="1"/>
                <w:bCs w:val="1"/>
                <w:color w:val="auto"/>
                <w:w w:val="96"/>
              </w:rPr>
              <w:t>2025</w:t>
            </w:r>
          </w:p>
        </w:tc>
        <w:tc>
          <w:tcPr>
            <w:tcW w:w="240" w:type="dxa"/>
            <w:vAlign w:val="bottom"/>
          </w:tcPr>
          <w:p>
            <w:pPr>
              <w:spacing w:after="0"/>
              <w:rPr>
                <w:sz w:val="14"/>
                <w:szCs w:val="14"/>
                <w:color w:val="auto"/>
              </w:rPr>
            </w:pPr>
          </w:p>
        </w:tc>
        <w:tc>
          <w:tcPr>
            <w:tcW w:w="156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2024</w:t>
            </w:r>
          </w:p>
        </w:tc>
      </w:tr>
      <w:tr>
        <w:trPr>
          <w:trHeight w:val="180"/>
        </w:trPr>
        <w:tc>
          <w:tcPr>
            <w:tcW w:w="41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Interest income</w:t>
            </w:r>
          </w:p>
        </w:tc>
        <w:tc>
          <w:tcPr>
            <w:tcW w:w="900" w:type="dxa"/>
            <w:vAlign w:val="bottom"/>
            <w:shd w:val="clear" w:color="auto" w:fill="CFF0FC"/>
          </w:tcPr>
          <w:p>
            <w:pPr>
              <w:jc w:val="right"/>
              <w:ind w:right="8"/>
              <w:spacing w:after="0" w:line="180" w:lineRule="exact"/>
              <w:rPr>
                <w:sz w:val="20"/>
                <w:szCs w:val="20"/>
                <w:color w:val="auto"/>
              </w:rPr>
            </w:pPr>
            <w:r>
              <w:rPr>
                <w:rFonts w:ascii="Arial" w:cs="Arial" w:eastAsia="Arial" w:hAnsi="Arial"/>
                <w:sz w:val="16"/>
                <w:szCs w:val="16"/>
                <w:color w:val="auto"/>
              </w:rPr>
              <w:t>$</w:t>
            </w:r>
          </w:p>
        </w:tc>
        <w:tc>
          <w:tcPr>
            <w:tcW w:w="1760" w:type="dxa"/>
            <w:vAlign w:val="bottom"/>
            <w:tcBorders>
              <w:right w:val="single" w:sz="8" w:color="auto"/>
            </w:tcBorders>
            <w:shd w:val="clear" w:color="auto" w:fill="CFF0FC"/>
          </w:tcPr>
          <w:p>
            <w:pPr>
              <w:jc w:val="right"/>
              <w:ind w:right="226"/>
              <w:spacing w:after="0" w:line="180" w:lineRule="exact"/>
              <w:rPr>
                <w:sz w:val="20"/>
                <w:szCs w:val="20"/>
                <w:color w:val="auto"/>
              </w:rPr>
            </w:pPr>
            <w:r>
              <w:rPr>
                <w:rFonts w:ascii="Arial" w:cs="Arial" w:eastAsia="Arial" w:hAnsi="Arial"/>
                <w:sz w:val="16"/>
                <w:szCs w:val="16"/>
                <w:color w:val="auto"/>
              </w:rPr>
              <w:t>22,315</w:t>
            </w:r>
          </w:p>
        </w:tc>
        <w:tc>
          <w:tcPr>
            <w:tcW w:w="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87"/>
              <w:spacing w:after="0" w:line="180" w:lineRule="exact"/>
              <w:rPr>
                <w:sz w:val="20"/>
                <w:szCs w:val="20"/>
                <w:color w:val="auto"/>
              </w:rPr>
            </w:pPr>
            <w:r>
              <w:rPr>
                <w:rFonts w:ascii="Arial" w:cs="Arial" w:eastAsia="Arial" w:hAnsi="Arial"/>
                <w:sz w:val="16"/>
                <w:szCs w:val="16"/>
                <w:color w:val="auto"/>
              </w:rPr>
              <w:t>3,314</w:t>
            </w:r>
          </w:p>
        </w:tc>
        <w:tc>
          <w:tcPr>
            <w:tcW w:w="2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18,117</w:t>
            </w:r>
          </w:p>
        </w:tc>
      </w:tr>
      <w:tr>
        <w:trPr>
          <w:trHeight w:val="180"/>
        </w:trPr>
        <w:tc>
          <w:tcPr>
            <w:tcW w:w="4120" w:type="dxa"/>
            <w:vAlign w:val="bottom"/>
          </w:tcPr>
          <w:p>
            <w:pPr>
              <w:spacing w:after="0" w:line="180" w:lineRule="exact"/>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5"/>
                <w:szCs w:val="15"/>
                <w:color w:val="auto"/>
              </w:rPr>
            </w:pPr>
          </w:p>
        </w:tc>
        <w:tc>
          <w:tcPr>
            <w:tcW w:w="1760" w:type="dxa"/>
            <w:vAlign w:val="bottom"/>
            <w:tcBorders>
              <w:right w:val="single" w:sz="8" w:color="auto"/>
            </w:tcBorders>
          </w:tcPr>
          <w:p>
            <w:pPr>
              <w:jc w:val="right"/>
              <w:ind w:right="186"/>
              <w:spacing w:after="0" w:line="180" w:lineRule="exact"/>
              <w:rPr>
                <w:sz w:val="20"/>
                <w:szCs w:val="20"/>
                <w:color w:val="auto"/>
              </w:rPr>
            </w:pPr>
            <w:r>
              <w:rPr>
                <w:rFonts w:ascii="Arial" w:cs="Arial" w:eastAsia="Arial" w:hAnsi="Arial"/>
                <w:sz w:val="16"/>
                <w:szCs w:val="16"/>
                <w:color w:val="auto"/>
              </w:rPr>
              <w:t>(6,594)</w:t>
            </w:r>
          </w:p>
        </w:tc>
        <w:tc>
          <w:tcPr>
            <w:tcW w:w="280" w:type="dxa"/>
            <w:vAlign w:val="bottom"/>
          </w:tcPr>
          <w:p>
            <w:pPr>
              <w:spacing w:after="0"/>
              <w:rPr>
                <w:sz w:val="15"/>
                <w:szCs w:val="15"/>
                <w:color w:val="auto"/>
              </w:rPr>
            </w:pPr>
          </w:p>
        </w:tc>
        <w:tc>
          <w:tcPr>
            <w:tcW w:w="1700" w:type="dxa"/>
            <w:vAlign w:val="bottom"/>
          </w:tcPr>
          <w:p>
            <w:pPr>
              <w:jc w:val="right"/>
              <w:ind w:right="47"/>
              <w:spacing w:after="0" w:line="180" w:lineRule="exact"/>
              <w:rPr>
                <w:sz w:val="20"/>
                <w:szCs w:val="20"/>
                <w:color w:val="auto"/>
              </w:rPr>
            </w:pPr>
            <w:r>
              <w:rPr>
                <w:rFonts w:ascii="Arial" w:cs="Arial" w:eastAsia="Arial" w:hAnsi="Arial"/>
                <w:sz w:val="16"/>
                <w:szCs w:val="16"/>
                <w:color w:val="auto"/>
              </w:rPr>
              <w:t>(1,185)</w:t>
            </w:r>
          </w:p>
        </w:tc>
        <w:tc>
          <w:tcPr>
            <w:tcW w:w="24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(4,906)</w:t>
            </w:r>
          </w:p>
        </w:tc>
      </w:tr>
      <w:tr>
        <w:trPr>
          <w:trHeight w:val="180"/>
        </w:trPr>
        <w:tc>
          <w:tcPr>
            <w:tcW w:w="41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Realized and unrealized losses, net of recoveries</w:t>
            </w:r>
          </w:p>
        </w:tc>
        <w:tc>
          <w:tcPr>
            <w:tcW w:w="900" w:type="dxa"/>
            <w:vAlign w:val="bottom"/>
            <w:shd w:val="clear" w:color="auto" w:fill="CFF0FC"/>
          </w:tcPr>
          <w:p>
            <w:pPr>
              <w:spacing w:after="0"/>
              <w:rPr>
                <w:sz w:val="15"/>
                <w:szCs w:val="15"/>
                <w:color w:val="auto"/>
              </w:rPr>
            </w:pPr>
          </w:p>
        </w:tc>
        <w:tc>
          <w:tcPr>
            <w:tcW w:w="1760" w:type="dxa"/>
            <w:vAlign w:val="bottom"/>
            <w:tcBorders>
              <w:right w:val="single" w:sz="8" w:color="auto"/>
            </w:tcBorders>
            <w:shd w:val="clear" w:color="auto" w:fill="CFF0FC"/>
          </w:tcPr>
          <w:p>
            <w:pPr>
              <w:jc w:val="right"/>
              <w:ind w:right="186"/>
              <w:spacing w:after="0" w:line="180" w:lineRule="exact"/>
              <w:rPr>
                <w:sz w:val="20"/>
                <w:szCs w:val="20"/>
                <w:color w:val="auto"/>
              </w:rPr>
            </w:pPr>
            <w:r>
              <w:rPr>
                <w:rFonts w:ascii="Arial" w:cs="Arial" w:eastAsia="Arial" w:hAnsi="Arial"/>
                <w:sz w:val="16"/>
                <w:szCs w:val="16"/>
                <w:color w:val="auto"/>
              </w:rPr>
              <w:t>(3,960)</w:t>
            </w:r>
          </w:p>
        </w:tc>
        <w:tc>
          <w:tcPr>
            <w:tcW w:w="28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(2,977)</w:t>
            </w: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(15,751)</w:t>
            </w:r>
          </w:p>
        </w:tc>
      </w:tr>
      <w:tr>
        <w:trPr>
          <w:trHeight w:val="180"/>
        </w:trPr>
        <w:tc>
          <w:tcPr>
            <w:tcW w:w="4120" w:type="dxa"/>
            <w:vAlign w:val="bottom"/>
          </w:tcPr>
          <w:p>
            <w:pPr>
              <w:spacing w:after="0" w:line="180" w:lineRule="exact"/>
              <w:rPr>
                <w:sz w:val="20"/>
                <w:szCs w:val="20"/>
                <w:color w:val="auto"/>
              </w:rPr>
            </w:pPr>
            <w:r>
              <w:rPr>
                <w:rFonts w:ascii="Arial" w:cs="Arial" w:eastAsia="Arial" w:hAnsi="Arial"/>
                <w:sz w:val="16"/>
                <w:szCs w:val="16"/>
                <w:color w:val="auto"/>
              </w:rPr>
              <w:t>Noninterest income (loss), net</w:t>
            </w:r>
          </w:p>
        </w:tc>
        <w:tc>
          <w:tcPr>
            <w:tcW w:w="900" w:type="dxa"/>
            <w:vAlign w:val="bottom"/>
          </w:tcPr>
          <w:p>
            <w:pPr>
              <w:spacing w:after="0"/>
              <w:rPr>
                <w:sz w:val="15"/>
                <w:szCs w:val="15"/>
                <w:color w:val="auto"/>
              </w:rPr>
            </w:pPr>
          </w:p>
        </w:tc>
        <w:tc>
          <w:tcPr>
            <w:tcW w:w="1760" w:type="dxa"/>
            <w:vAlign w:val="bottom"/>
            <w:tcBorders>
              <w:right w:val="single" w:sz="8" w:color="auto"/>
            </w:tcBorders>
          </w:tcPr>
          <w:p>
            <w:pPr>
              <w:jc w:val="right"/>
              <w:ind w:right="186"/>
              <w:spacing w:after="0" w:line="180" w:lineRule="exact"/>
              <w:rPr>
                <w:sz w:val="20"/>
                <w:szCs w:val="20"/>
                <w:color w:val="auto"/>
              </w:rPr>
            </w:pPr>
            <w:r>
              <w:rPr>
                <w:rFonts w:ascii="Arial" w:cs="Arial" w:eastAsia="Arial" w:hAnsi="Arial"/>
                <w:sz w:val="16"/>
                <w:szCs w:val="16"/>
                <w:color w:val="auto"/>
              </w:rPr>
              <w:t>(2,508)</w:t>
            </w:r>
          </w:p>
        </w:tc>
        <w:tc>
          <w:tcPr>
            <w:tcW w:w="280" w:type="dxa"/>
            <w:vAlign w:val="bottom"/>
          </w:tcPr>
          <w:p>
            <w:pPr>
              <w:spacing w:after="0"/>
              <w:rPr>
                <w:sz w:val="15"/>
                <w:szCs w:val="15"/>
                <w:color w:val="auto"/>
              </w:rPr>
            </w:pPr>
          </w:p>
        </w:tc>
        <w:tc>
          <w:tcPr>
            <w:tcW w:w="1700" w:type="dxa"/>
            <w:vAlign w:val="bottom"/>
          </w:tcPr>
          <w:p>
            <w:pPr>
              <w:jc w:val="right"/>
              <w:ind w:right="87"/>
              <w:spacing w:after="0" w:line="180" w:lineRule="exact"/>
              <w:rPr>
                <w:sz w:val="20"/>
                <w:szCs w:val="20"/>
                <w:color w:val="auto"/>
              </w:rPr>
            </w:pPr>
            <w:r>
              <w:rPr>
                <w:rFonts w:ascii="Arial" w:cs="Arial" w:eastAsia="Arial" w:hAnsi="Arial"/>
                <w:sz w:val="16"/>
                <w:szCs w:val="16"/>
                <w:color w:val="auto"/>
              </w:rPr>
              <w:t>6</w:t>
            </w:r>
          </w:p>
        </w:tc>
        <w:tc>
          <w:tcPr>
            <w:tcW w:w="240" w:type="dxa"/>
            <w:vAlign w:val="bottom"/>
          </w:tcPr>
          <w:p>
            <w:pPr>
              <w:spacing w:after="0"/>
              <w:rPr>
                <w:sz w:val="15"/>
                <w:szCs w:val="15"/>
                <w:color w:val="auto"/>
              </w:rPr>
            </w:pPr>
          </w:p>
        </w:tc>
        <w:tc>
          <w:tcPr>
            <w:tcW w:w="1560" w:type="dxa"/>
            <w:vAlign w:val="bottom"/>
          </w:tcPr>
          <w:p>
            <w:pPr>
              <w:jc w:val="right"/>
              <w:ind w:right="26"/>
              <w:spacing w:after="0" w:line="180" w:lineRule="exact"/>
              <w:rPr>
                <w:sz w:val="20"/>
                <w:szCs w:val="20"/>
                <w:color w:val="auto"/>
              </w:rPr>
            </w:pPr>
            <w:r>
              <w:rPr>
                <w:rFonts w:ascii="Arial" w:cs="Arial" w:eastAsia="Arial" w:hAnsi="Arial"/>
                <w:sz w:val="16"/>
                <w:szCs w:val="16"/>
                <w:color w:val="auto"/>
              </w:rPr>
              <w:t>273</w:t>
            </w:r>
          </w:p>
        </w:tc>
      </w:tr>
      <w:tr>
        <w:trPr>
          <w:trHeight w:val="180"/>
        </w:trPr>
        <w:tc>
          <w:tcPr>
            <w:tcW w:w="41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Reorganization items, net</w:t>
            </w:r>
          </w:p>
        </w:tc>
        <w:tc>
          <w:tcPr>
            <w:tcW w:w="900" w:type="dxa"/>
            <w:vAlign w:val="bottom"/>
            <w:shd w:val="clear" w:color="auto" w:fill="CFF0FC"/>
          </w:tcPr>
          <w:p>
            <w:pPr>
              <w:spacing w:after="0"/>
              <w:rPr>
                <w:sz w:val="15"/>
                <w:szCs w:val="15"/>
                <w:color w:val="auto"/>
              </w:rPr>
            </w:pPr>
          </w:p>
        </w:tc>
        <w:tc>
          <w:tcPr>
            <w:tcW w:w="1760" w:type="dxa"/>
            <w:vAlign w:val="bottom"/>
            <w:tcBorders>
              <w:right w:val="single" w:sz="8" w:color="auto"/>
            </w:tcBorders>
            <w:shd w:val="clear" w:color="auto" w:fill="CFF0FC"/>
          </w:tcPr>
          <w:p>
            <w:pPr>
              <w:jc w:val="right"/>
              <w:ind w:right="226"/>
              <w:spacing w:after="0" w:line="180" w:lineRule="exact"/>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87"/>
              <w:spacing w:after="0" w:line="180" w:lineRule="exact"/>
              <w:rPr>
                <w:sz w:val="20"/>
                <w:szCs w:val="20"/>
                <w:color w:val="auto"/>
              </w:rPr>
            </w:pPr>
            <w:r>
              <w:rPr>
                <w:rFonts w:ascii="Arial" w:cs="Arial" w:eastAsia="Arial" w:hAnsi="Arial"/>
                <w:sz w:val="16"/>
                <w:szCs w:val="16"/>
                <w:color w:val="auto"/>
              </w:rPr>
              <w:t>7,964</w:t>
            </w: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
              <w:spacing w:after="0" w:line="180" w:lineRule="exact"/>
              <w:rPr>
                <w:sz w:val="20"/>
                <w:szCs w:val="20"/>
                <w:color w:val="auto"/>
              </w:rPr>
            </w:pPr>
            <w:r>
              <w:rPr>
                <w:rFonts w:ascii="Arial" w:cs="Arial" w:eastAsia="Arial" w:hAnsi="Arial"/>
                <w:sz w:val="16"/>
                <w:szCs w:val="16"/>
                <w:color w:val="auto"/>
              </w:rPr>
              <w:t>—</w:t>
            </w:r>
          </w:p>
        </w:tc>
      </w:tr>
    </w:tbl>
    <w:p>
      <w:pPr>
        <w:spacing w:after="0" w:line="169" w:lineRule="exact"/>
        <w:rPr>
          <w:sz w:val="20"/>
          <w:szCs w:val="20"/>
          <w:color w:val="auto"/>
        </w:rPr>
      </w:pPr>
    </w:p>
    <w:p>
      <w:pPr>
        <w:ind w:right="280" w:firstLine="708"/>
        <w:spacing w:after="0" w:line="248" w:lineRule="auto"/>
        <w:rPr>
          <w:sz w:val="20"/>
          <w:szCs w:val="20"/>
          <w:color w:val="auto"/>
        </w:rPr>
      </w:pPr>
      <w:r>
        <w:rPr>
          <w:rFonts w:ascii="Arial" w:cs="Arial" w:eastAsia="Arial" w:hAnsi="Arial"/>
          <w:sz w:val="16"/>
          <w:szCs w:val="16"/>
          <w:color w:val="auto"/>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 Note 15 — Financial Instruments and Fair Value Measurements for further details.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76" w:lineRule="exact"/>
        <w:rPr>
          <w:sz w:val="20"/>
          <w:szCs w:val="20"/>
          <w:color w:val="auto"/>
        </w:rPr>
      </w:pPr>
    </w:p>
    <w:p>
      <w:pPr>
        <w:ind w:firstLine="708"/>
        <w:spacing w:after="0" w:line="248" w:lineRule="auto"/>
        <w:rPr>
          <w:sz w:val="20"/>
          <w:szCs w:val="20"/>
          <w:color w:val="auto"/>
        </w:rPr>
      </w:pPr>
      <w:r>
        <w:rPr>
          <w:rFonts w:ascii="Arial" w:cs="Arial" w:eastAsia="Arial" w:hAnsi="Arial"/>
          <w:sz w:val="16"/>
          <w:szCs w:val="16"/>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 are calculated using the straight-line method over the following estimated useful lives of the assets:</w:t>
      </w:r>
    </w:p>
    <w:p>
      <w:pPr>
        <w:sectPr>
          <w:pgSz w:w="11900" w:h="16840" w:orient="portrait"/>
          <w:cols w:equalWidth="0" w:num="1">
            <w:col w:w="10580"/>
          </w:cols>
          <w:pgMar w:left="660" w:top="555" w:right="660" w:bottom="1440" w:gutter="0" w:footer="0" w:header="0"/>
        </w:sectPr>
      </w:pP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Equipment</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Furniture and fixtures</w:t>
      </w:r>
    </w:p>
    <w:p>
      <w:pPr>
        <w:ind w:left="1060"/>
        <w:spacing w:after="0"/>
        <w:rPr>
          <w:sz w:val="20"/>
          <w:szCs w:val="20"/>
          <w:color w:val="auto"/>
        </w:rPr>
      </w:pPr>
      <w:r>
        <w:rPr>
          <w:rFonts w:ascii="Arial" w:cs="Arial" w:eastAsia="Arial" w:hAnsi="Arial"/>
          <w:sz w:val="14"/>
          <w:szCs w:val="14"/>
          <w:color w:val="auto"/>
        </w:rPr>
        <w:t>Leasehold improvements</w:t>
      </w:r>
    </w:p>
    <w:p>
      <w:pPr>
        <w:spacing w:after="0" w:line="1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Internal-use software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 to 10 years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 to 5 years</w:t>
      </w:r>
    </w:p>
    <w:p>
      <w:pPr>
        <w:spacing w:after="0"/>
        <w:rPr>
          <w:sz w:val="20"/>
          <w:szCs w:val="20"/>
          <w:color w:val="auto"/>
        </w:rPr>
      </w:pPr>
      <w:r>
        <w:rPr>
          <w:rFonts w:ascii="Arial" w:cs="Arial" w:eastAsia="Arial" w:hAnsi="Arial"/>
          <w:sz w:val="14"/>
          <w:szCs w:val="14"/>
          <w:color w:val="auto"/>
        </w:rPr>
        <w:t>Lesser of useful life or lease term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to 10 years</w:t>
      </w:r>
    </w:p>
    <w:p>
      <w:pPr>
        <w:spacing w:after="0" w:line="200" w:lineRule="exact"/>
        <w:rPr>
          <w:sz w:val="20"/>
          <w:szCs w:val="20"/>
          <w:color w:val="auto"/>
        </w:rPr>
      </w:pPr>
    </w:p>
    <w:p>
      <w:pPr>
        <w:sectPr>
          <w:pgSz w:w="11900" w:h="16840" w:orient="portrait"/>
          <w:cols w:equalWidth="0" w:num="2">
            <w:col w:w="3560" w:space="720"/>
            <w:col w:w="6300"/>
          </w:cols>
          <w:pgMar w:left="660" w:top="555" w:right="660" w:bottom="1440" w:gutter="0" w:footer="0" w:header="0"/>
          <w:type w:val="continuous"/>
        </w:sectPr>
      </w:pPr>
    </w:p>
    <w:p>
      <w:pPr>
        <w:spacing w:after="0" w:line="10" w:lineRule="exact"/>
        <w:rPr>
          <w:sz w:val="20"/>
          <w:szCs w:val="20"/>
          <w:color w:val="auto"/>
        </w:rPr>
      </w:pPr>
    </w:p>
    <w:p>
      <w:pPr>
        <w:ind w:right="40" w:firstLine="708"/>
        <w:spacing w:after="0" w:line="241" w:lineRule="auto"/>
        <w:rPr>
          <w:sz w:val="20"/>
          <w:szCs w:val="20"/>
          <w:color w:val="auto"/>
        </w:rPr>
      </w:pPr>
      <w:r>
        <w:rPr>
          <w:rFonts w:ascii="Arial" w:cs="Arial" w:eastAsia="Arial" w:hAnsi="Arial"/>
          <w:sz w:val="16"/>
          <w:szCs w:val="16"/>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p>
    <w:p>
      <w:pPr>
        <w:spacing w:after="0" w:line="157" w:lineRule="exact"/>
        <w:rPr>
          <w:sz w:val="20"/>
          <w:szCs w:val="20"/>
          <w:color w:val="auto"/>
        </w:rPr>
      </w:pPr>
    </w:p>
    <w:p>
      <w:pPr>
        <w:ind w:right="120" w:firstLine="708"/>
        <w:spacing w:after="0" w:line="244" w:lineRule="auto"/>
        <w:rPr>
          <w:sz w:val="20"/>
          <w:szCs w:val="20"/>
          <w:color w:val="auto"/>
        </w:rPr>
      </w:pPr>
      <w:r>
        <w:rPr>
          <w:rFonts w:ascii="Arial" w:cs="Arial" w:eastAsia="Arial" w:hAnsi="Arial"/>
          <w:sz w:val="16"/>
          <w:szCs w:val="16"/>
          <w:color w:val="auto"/>
        </w:rPr>
        <w:t>Additionally, the Company capitalizes implementation costs incurred in a cloud computing arrangement that is a service contract. The capitalized implementation costs related to a cloud computing arrangement are amortized over the term of the arrangement. Capitalized implementation costs are included in “Other assets” in the consolidated balance sheet and are amortized over the terms of the arrangements, which range between 1 and 10 years.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 net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Company's intangible assets are amortized on a straight-line basis over the following estimated weighted average useful lives:</w:t>
      </w:r>
    </w:p>
    <w:p>
      <w:pPr>
        <w:sectPr>
          <w:pgSz w:w="11900" w:h="16840" w:orient="portrait"/>
          <w:cols w:equalWidth="0" w:num="1">
            <w:col w:w="10580"/>
          </w:cols>
          <w:pgMar w:left="660" w:top="555" w:right="660" w:bottom="1440" w:gutter="0" w:footer="0" w:header="0"/>
          <w:type w:val="continuous"/>
        </w:sectPr>
      </w:pP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Developed technology</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Trademarks</w:t>
      </w:r>
    </w:p>
    <w:p>
      <w:pPr>
        <w:ind w:left="1060"/>
        <w:spacing w:after="0"/>
        <w:rPr>
          <w:sz w:val="20"/>
          <w:szCs w:val="20"/>
          <w:color w:val="auto"/>
        </w:rPr>
      </w:pPr>
      <w:r>
        <w:rPr>
          <w:rFonts w:ascii="Arial" w:cs="Arial" w:eastAsia="Arial" w:hAnsi="Arial"/>
          <w:sz w:val="14"/>
          <w:szCs w:val="14"/>
          <w:color w:val="auto"/>
        </w:rPr>
        <w:t>Customer relationships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7 years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9 years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8 years</w:t>
      </w:r>
    </w:p>
    <w:p>
      <w:pPr>
        <w:spacing w:after="0" w:line="185" w:lineRule="exact"/>
        <w:rPr>
          <w:sz w:val="20"/>
          <w:szCs w:val="20"/>
          <w:color w:val="auto"/>
        </w:rPr>
      </w:pPr>
    </w:p>
    <w:p>
      <w:pPr>
        <w:sectPr>
          <w:pgSz w:w="11900" w:h="16840" w:orient="portrait"/>
          <w:cols w:equalWidth="0" w:num="2">
            <w:col w:w="3560" w:space="720"/>
            <w:col w:w="6300"/>
          </w:cols>
          <w:pgMar w:left="660" w:top="555" w:right="660" w:bottom="1440" w:gutter="0" w:footer="0" w:header="0"/>
          <w:type w:val="continuous"/>
        </w:sectPr>
      </w:pPr>
    </w:p>
    <w:p>
      <w:pPr>
        <w:ind w:right="180" w:firstLine="708"/>
        <w:spacing w:after="0" w:line="262" w:lineRule="auto"/>
        <w:rPr>
          <w:sz w:val="20"/>
          <w:szCs w:val="20"/>
          <w:color w:val="auto"/>
        </w:rPr>
      </w:pPr>
      <w:r>
        <w:rPr>
          <w:rFonts w:ascii="Arial" w:cs="Arial" w:eastAsia="Arial" w:hAnsi="Arial"/>
          <w:sz w:val="16"/>
          <w:szCs w:val="16"/>
          <w:color w:val="auto"/>
        </w:rPr>
        <w:t>The Company periodically reassesses the useful lives of its definite-lived intangible assets when events or circumstances indicate that useful lives have significantly changed from the previous estimate.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type w:val="continuous"/>
        </w:sectPr>
      </w:pPr>
    </w:p>
    <w:bookmarkStart w:id="15" w:name="page16"/>
    <w:bookmarkEnd w:id="1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176" w:lineRule="exact"/>
        <w:rPr>
          <w:sz w:val="20"/>
          <w:szCs w:val="20"/>
          <w:color w:val="auto"/>
        </w:rPr>
      </w:pPr>
    </w:p>
    <w:p>
      <w:pPr>
        <w:ind w:firstLine="708"/>
        <w:spacing w:after="0" w:line="273" w:lineRule="auto"/>
        <w:rPr>
          <w:sz w:val="20"/>
          <w:szCs w:val="20"/>
          <w:color w:val="auto"/>
        </w:rPr>
      </w:pPr>
      <w:r>
        <w:rPr>
          <w:rFonts w:ascii="Arial" w:cs="Arial" w:eastAsia="Arial" w:hAnsi="Arial"/>
          <w:sz w:val="14"/>
          <w:szCs w:val="14"/>
          <w:color w:val="auto"/>
        </w:rPr>
        <w:t>The Company determines if an arrangement is a lease at inception by evaluating if the asset is explicitly or implicitly identified or distinct, if the Company will receive substantially all of the economic benefit or if the lessor has an economic benefit and the ability to substitute the asset. Right-of -use ("ROU") assets represent the Company's right to use an underlying asset for the lease term and lease liabilities represent the Company's obligation to make lease payments arising from the lease. The Company assesses whether the lease is an operating or finance lease at its inception. Operating lease liabilities are recognized at commencement date based on the present value of the lease payments over the lease term. 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 The operating lease ROU asset is the initial lease liability adjusted for any prepayments, initial indirect costs incurred by the Company, and lease incentives. The Company's operating leases are included in "Operating lease right -of-use assets," and "Operating lease liabilities" on the consolidated balance sheets. The Company does not have any material leases, individually or in the aggregate, classified as a finance leasing arrangement. Additionally, leases with an initial term of 12 months or less are not recorded on the Company’s consolidated balance sheet and expenses for these leases are recognized on a straight-line basis over the lease term.</w:t>
      </w:r>
    </w:p>
    <w:p>
      <w:pPr>
        <w:spacing w:after="0" w:line="320" w:lineRule="exact"/>
        <w:rPr>
          <w:sz w:val="20"/>
          <w:szCs w:val="20"/>
          <w:color w:val="auto"/>
        </w:rPr>
      </w:pPr>
    </w:p>
    <w:p>
      <w:pPr>
        <w:ind w:right="80" w:firstLine="696"/>
        <w:spacing w:after="0" w:line="248" w:lineRule="auto"/>
        <w:rPr>
          <w:sz w:val="20"/>
          <w:szCs w:val="20"/>
          <w:color w:val="auto"/>
        </w:rPr>
      </w:pPr>
      <w:r>
        <w:rPr>
          <w:rFonts w:ascii="Arial" w:cs="Arial" w:eastAsia="Arial" w:hAnsi="Arial"/>
          <w:sz w:val="16"/>
          <w:szCs w:val="16"/>
          <w:color w:val="auto"/>
        </w:rPr>
        <w:t>The Company incurred impairment charges related to operating lease right-of-use assets of $4.2 million for the period from January 15, 2025, to March 31, 2025, related to costs associated with planned facility closures that will continue to be incurred under the contract for its remaining term without economic benefit to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Long-lived asset impairment</w:t>
      </w:r>
    </w:p>
    <w:p>
      <w:pPr>
        <w:spacing w:after="0" w:line="176" w:lineRule="exact"/>
        <w:rPr>
          <w:sz w:val="20"/>
          <w:szCs w:val="20"/>
          <w:color w:val="auto"/>
        </w:rPr>
      </w:pPr>
    </w:p>
    <w:p>
      <w:pPr>
        <w:ind w:right="40" w:firstLine="708"/>
        <w:spacing w:after="0" w:line="241" w:lineRule="auto"/>
        <w:rPr>
          <w:sz w:val="20"/>
          <w:szCs w:val="20"/>
          <w:color w:val="auto"/>
        </w:rPr>
      </w:pPr>
      <w:r>
        <w:rPr>
          <w:rFonts w:ascii="Arial" w:cs="Arial" w:eastAsia="Arial" w:hAnsi="Arial"/>
          <w:sz w:val="16"/>
          <w:szCs w:val="16"/>
          <w:color w:val="auto"/>
        </w:rPr>
        <w:t>The Company regularly reviews long-lived assets for impairment when events or changes in circumstances indicate the carrying amount of an asset group may not be recoverable. The Company compares the sum of estimated undiscounted future cash flows expected to result from the use of the asset group to the carrying value of the asset group. When the carrying value of the asset group exceeds its estimated undiscounted future cash flows, the Company recognizes an impairment charge for the amount by which the carrying value of the asset group exceeds the fair value of the asset group.</w:t>
      </w:r>
    </w:p>
    <w:p>
      <w:pPr>
        <w:spacing w:after="0" w:line="157" w:lineRule="exact"/>
        <w:rPr>
          <w:sz w:val="20"/>
          <w:szCs w:val="20"/>
          <w:color w:val="auto"/>
        </w:rPr>
      </w:pPr>
    </w:p>
    <w:p>
      <w:pPr>
        <w:ind w:right="160" w:firstLine="708"/>
        <w:spacing w:after="0"/>
        <w:rPr>
          <w:sz w:val="20"/>
          <w:szCs w:val="20"/>
          <w:color w:val="auto"/>
        </w:rPr>
      </w:pPr>
      <w:r>
        <w:rPr>
          <w:rFonts w:ascii="Arial" w:cs="Arial" w:eastAsia="Arial" w:hAnsi="Arial"/>
          <w:sz w:val="16"/>
          <w:szCs w:val="16"/>
          <w:color w:val="auto"/>
        </w:rPr>
        <w:t>As a result of filing the Prepackaged Chapter 11 Case on November 13, 2024, the Company determined a triggering event existed as of December 31, 2024, indicating the carrying amount of the Company's asset groups may not be recoverable. Therefore, the Company performed an evaluation of its assets for impairment. For the UACC asset group, as the carrying value of the asset group did not exceed the estimated undiscounted future cash flows, the asset group was deemed recoverable, and no impairment charges were recognized. For the CarStory asset group, the carrying value of the asset group exceeded the estimated undiscounted future cash flows, however, it did not exceed the estimated fair value, as such, no impairment charges were recognized.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76" w:lineRule="exact"/>
        <w:rPr>
          <w:sz w:val="20"/>
          <w:szCs w:val="20"/>
          <w:color w:val="auto"/>
        </w:rPr>
      </w:pPr>
    </w:p>
    <w:p>
      <w:pPr>
        <w:ind w:firstLine="708"/>
        <w:spacing w:after="0" w:line="238" w:lineRule="auto"/>
        <w:rPr>
          <w:sz w:val="20"/>
          <w:szCs w:val="20"/>
          <w:color w:val="auto"/>
        </w:rPr>
      </w:pPr>
      <w:r>
        <w:rPr>
          <w:rFonts w:ascii="Arial" w:cs="Arial" w:eastAsia="Arial" w:hAnsi="Arial"/>
          <w:sz w:val="16"/>
          <w:szCs w:val="16"/>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6" w:name="page17"/>
    <w:bookmarkEnd w:id="1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76" w:lineRule="exact"/>
        <w:rPr>
          <w:sz w:val="20"/>
          <w:szCs w:val="20"/>
          <w:color w:val="auto"/>
        </w:rPr>
      </w:pPr>
    </w:p>
    <w:p>
      <w:pPr>
        <w:ind w:firstLine="708"/>
        <w:spacing w:after="0" w:line="241" w:lineRule="auto"/>
        <w:rPr>
          <w:sz w:val="20"/>
          <w:szCs w:val="20"/>
          <w:color w:val="auto"/>
        </w:rPr>
      </w:pPr>
      <w:r>
        <w:rPr>
          <w:rFonts w:ascii="Arial" w:cs="Arial" w:eastAsia="Arial" w:hAnsi="Arial"/>
          <w:sz w:val="16"/>
          <w:szCs w:val="16"/>
          <w:color w:val="auto"/>
        </w:rPr>
        <w:t>The Company recognizes the cost of employee services received in exchange for stock awards based on the fair value of those awards at the date of grant over the requisite service period. The Company accounts for forfeitures as they occur. For awards earned based on performance or upon occurrence of a contingent event, if the award is deemed probable of being earned, related compensation expense is recorded over the estimated service period. If an award is not considered probable of being earned, no amount of stock-based compensation is recognized. To the extent the estimate of awards considered probable of being earned changes, the amount of stock-based compensation recognized will also change.</w:t>
      </w:r>
    </w:p>
    <w:p>
      <w:pPr>
        <w:spacing w:after="0" w:line="157" w:lineRule="exact"/>
        <w:rPr>
          <w:sz w:val="20"/>
          <w:szCs w:val="20"/>
          <w:color w:val="auto"/>
        </w:rPr>
      </w:pPr>
    </w:p>
    <w:p>
      <w:pPr>
        <w:ind w:right="20" w:firstLine="708"/>
        <w:spacing w:after="0"/>
        <w:rPr>
          <w:sz w:val="20"/>
          <w:szCs w:val="20"/>
          <w:color w:val="auto"/>
        </w:rPr>
      </w:pPr>
      <w:r>
        <w:rPr>
          <w:rFonts w:ascii="Arial" w:cs="Arial" w:eastAsia="Arial" w:hAnsi="Arial"/>
          <w:sz w:val="16"/>
          <w:szCs w:val="16"/>
          <w:color w:val="auto"/>
        </w:rPr>
        <w:t>The Company uses the Black-Scholes-Merton (“Black-Scholes”) option pricing model to determine the fair value of its stock options. Estimating the fair value of stock options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 -Scholes option-pricing model represent management’s best estimates and involve a number of variables, uncertainties and assumptions and the application of management’s judgment, as they are inherently subjective.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Significant Customers</w:t>
      </w:r>
    </w:p>
    <w:p>
      <w:pPr>
        <w:spacing w:after="0" w:line="176" w:lineRule="exact"/>
        <w:rPr>
          <w:sz w:val="20"/>
          <w:szCs w:val="20"/>
          <w:color w:val="auto"/>
        </w:rPr>
      </w:pPr>
    </w:p>
    <w:p>
      <w:pPr>
        <w:ind w:firstLine="708"/>
        <w:spacing w:after="0" w:line="284" w:lineRule="auto"/>
        <w:rPr>
          <w:sz w:val="20"/>
          <w:szCs w:val="20"/>
          <w:color w:val="auto"/>
        </w:rPr>
      </w:pPr>
      <w:r>
        <w:rPr>
          <w:rFonts w:ascii="Arial" w:cs="Arial" w:eastAsia="Arial" w:hAnsi="Arial"/>
          <w:sz w:val="14"/>
          <w:szCs w:val="14"/>
          <w:color w:val="auto"/>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p>
    <w:p>
      <w:pPr>
        <w:spacing w:after="0" w:line="128" w:lineRule="exact"/>
        <w:rPr>
          <w:sz w:val="20"/>
          <w:szCs w:val="20"/>
          <w:color w:val="auto"/>
        </w:rPr>
      </w:pPr>
    </w:p>
    <w:p>
      <w:pPr>
        <w:ind w:right="20" w:firstLine="708"/>
        <w:spacing w:after="0" w:line="244" w:lineRule="auto"/>
        <w:rPr>
          <w:sz w:val="20"/>
          <w:szCs w:val="20"/>
          <w:color w:val="auto"/>
        </w:rPr>
      </w:pPr>
      <w:r>
        <w:rPr>
          <w:rFonts w:ascii="Arial" w:cs="Arial" w:eastAsia="Arial" w:hAnsi="Arial"/>
          <w:sz w:val="16"/>
          <w:szCs w:val="16"/>
          <w:color w:val="auto"/>
        </w:rPr>
        <w:t>UACC’s customers, in this instance, are the third- 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periods presented, no customer represented 10% or more of the Company’s income and no customer represented more than 10% of the Company’s finance receivables as of March 31, 2025, and December 31, 2024.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76" w:lineRule="exact"/>
        <w:rPr>
          <w:sz w:val="20"/>
          <w:szCs w:val="20"/>
          <w:color w:val="auto"/>
        </w:rPr>
      </w:pPr>
    </w:p>
    <w:p>
      <w:pPr>
        <w:ind w:right="80" w:firstLine="708"/>
        <w:spacing w:after="0" w:line="244" w:lineRule="auto"/>
        <w:rPr>
          <w:sz w:val="20"/>
          <w:szCs w:val="20"/>
          <w:color w:val="auto"/>
        </w:rPr>
      </w:pPr>
      <w:r>
        <w:rPr>
          <w:rFonts w:ascii="Arial" w:cs="Arial" w:eastAsia="Arial" w:hAnsi="Arial"/>
          <w:sz w:val="16"/>
          <w:szCs w:val="16"/>
          <w:color w:val="auto"/>
        </w:rPr>
        <w:t>On January 14, 2025, the Company emerged from the Prepackaged Chapter 11 Case, as discussed in Note 1 — Description of Business and Basis of Presentation. On the Effective Date, each holder of the Notes received a pro rata share of 92.94% of the New Common Stock (subject to dilution) and all of the Company’s outstanding obligations under the Notes and the Indenture were deemed fully satisfied and discharged. Vroom, Inc. no longer has long-term debt, but UACC has securitization debt and their trust preferred securities.</w:t>
      </w:r>
    </w:p>
    <w:p>
      <w:pPr>
        <w:spacing w:after="0" w:line="152" w:lineRule="exact"/>
        <w:rPr>
          <w:sz w:val="20"/>
          <w:szCs w:val="20"/>
          <w:color w:val="auto"/>
        </w:rPr>
      </w:pPr>
    </w:p>
    <w:p>
      <w:pPr>
        <w:ind w:right="140" w:firstLine="708"/>
        <w:spacing w:after="0" w:line="244" w:lineRule="auto"/>
        <w:rPr>
          <w:sz w:val="20"/>
          <w:szCs w:val="20"/>
          <w:color w:val="auto"/>
        </w:rPr>
      </w:pPr>
      <w:r>
        <w:rPr>
          <w:rFonts w:ascii="Arial" w:cs="Arial" w:eastAsia="Arial" w:hAnsi="Arial"/>
          <w:sz w:val="16"/>
          <w:szCs w:val="16"/>
          <w:color w:val="auto"/>
        </w:rPr>
        <w:t>As of March 31, 2025, the Company had cash and cash equivalents of $14.6 million and restricted cash of $53.0 million. Restricted cash primarily includes restricted cash required under UACC's securitization transactions and Warehouse Credit Facilities (as defined below) of $52.1 million. The Company has historically had negative cash flows and generated losses from operations and the Company’s primary source of liquidity has been cash generated through financing activities.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7" w:name="page18"/>
    <w:bookmarkEnd w:id="1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140" w:firstLine="708"/>
        <w:spacing w:after="0" w:line="238" w:lineRule="auto"/>
        <w:rPr>
          <w:sz w:val="20"/>
          <w:szCs w:val="20"/>
          <w:color w:val="auto"/>
        </w:rPr>
      </w:pPr>
      <w:r>
        <w:rPr>
          <w:rFonts w:ascii="Arial" w:cs="Arial" w:eastAsia="Arial" w:hAnsi="Arial"/>
          <w:sz w:val="16"/>
          <w:szCs w:val="16"/>
          <w:color w:val="auto"/>
        </w:rPr>
        <w:t>As of March 31, 2025, UACC has four warehouse credit facilities with an aggregate borrowing limit of $800.0 million and outstanding borrowings of $114.2 million with excess borrowing capacity of $27.3 million. The terms of the facilities generally mature within two years and the Company typically renews the facilities in the ordinary course. On March 8, 2025, the Company renewed one of its Warehouse Credit Facilities (as defined below), now expiring June 2026. The aggregate borrowing limit and other significant terms of the agreement remained unchanged except for an increase in the minimum liquidity covenant. On March 28, 2025, the Company renewed another one of its Warehouse Credit Facilities, now expiring in April 2027. The aggregate borrowing limit under this facility decreased from $225.0 million to $200.0 million and all other significant terms of the agreement remained unchanged. The remaining Warehouse Credit Facilities have terms expiring between July and August 2025. Refer to Note 10 — Warehouse Credit Facilities and Consolidated VIEs for further details. The Company is having ongoing discussions with the remaining lenders to extend the terms beyond the current expiration dates and expects facilities to be amended and renewed at sufficient borrowing capacity. As of March 31, 2025, the Company was in compliance with all covenants related to the Warehouse Credit Facilities.</w:t>
      </w:r>
    </w:p>
    <w:p>
      <w:pPr>
        <w:spacing w:after="0" w:line="156" w:lineRule="exact"/>
        <w:rPr>
          <w:sz w:val="20"/>
          <w:szCs w:val="20"/>
          <w:color w:val="auto"/>
        </w:rPr>
      </w:pPr>
    </w:p>
    <w:p>
      <w:pPr>
        <w:ind w:right="300" w:firstLine="708"/>
        <w:spacing w:after="0" w:line="241" w:lineRule="auto"/>
        <w:rPr>
          <w:sz w:val="20"/>
          <w:szCs w:val="20"/>
          <w:color w:val="auto"/>
        </w:rPr>
      </w:pPr>
      <w:r>
        <w:rPr>
          <w:rFonts w:ascii="Arial" w:cs="Arial" w:eastAsia="Arial" w:hAnsi="Arial"/>
          <w:sz w:val="16"/>
          <w:szCs w:val="16"/>
          <w:color w:val="auto"/>
        </w:rPr>
        <w:t>Failure to secure warehouse borrowing capacity beyond the expiration of the remaining facilities in 2025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10 — Warehouse Credit Facilities of Consolidated VIEs for further details.</w:t>
      </w:r>
    </w:p>
    <w:p>
      <w:pPr>
        <w:spacing w:after="0" w:line="157" w:lineRule="exact"/>
        <w:rPr>
          <w:sz w:val="20"/>
          <w:szCs w:val="20"/>
          <w:color w:val="auto"/>
        </w:rPr>
      </w:pPr>
    </w:p>
    <w:p>
      <w:pPr>
        <w:ind w:right="60" w:firstLine="708"/>
        <w:spacing w:after="0" w:line="244" w:lineRule="auto"/>
        <w:rPr>
          <w:sz w:val="20"/>
          <w:szCs w:val="20"/>
          <w:color w:val="auto"/>
        </w:rPr>
      </w:pPr>
      <w:r>
        <w:rPr>
          <w:rFonts w:ascii="Arial" w:cs="Arial" w:eastAsia="Arial" w:hAnsi="Arial"/>
          <w:sz w:val="16"/>
          <w:szCs w:val="16"/>
          <w:color w:val="auto"/>
        </w:rPr>
        <w:t>On March 8, 2025, Vroom, Inc., UACC and its indirect subsidiary Darkwater Funding LLC, as co- borrowers, entered into a credit agreement for a $25.0 million delayed draw term loan facility (“Delayed Draw Facility”) with Mudrick Capital Management, L.P. (“Lender”), who is a 76.5% shareholder of the Company, and as of January 14, 2025, became a related party. Refer to Note 19 — Related Party Transactions for further details. As of March 31, 2025, the Company did not have any drawdowns on the Delayed Draw Facility.</w:t>
      </w:r>
    </w:p>
    <w:p>
      <w:pPr>
        <w:spacing w:after="0" w:line="152" w:lineRule="exact"/>
        <w:rPr>
          <w:sz w:val="20"/>
          <w:szCs w:val="20"/>
          <w:color w:val="auto"/>
        </w:rPr>
      </w:pPr>
    </w:p>
    <w:p>
      <w:pPr>
        <w:ind w:firstLine="708"/>
        <w:spacing w:after="0" w:line="301" w:lineRule="auto"/>
        <w:rPr>
          <w:sz w:val="20"/>
          <w:szCs w:val="20"/>
          <w:color w:val="auto"/>
        </w:rPr>
      </w:pPr>
      <w:r>
        <w:rPr>
          <w:rFonts w:ascii="Arial" w:cs="Arial" w:eastAsia="Arial" w:hAnsi="Arial"/>
          <w:sz w:val="14"/>
          <w:szCs w:val="14"/>
          <w:color w:val="auto"/>
        </w:rPr>
        <w:t>The Company expects to use cash and cash equivalents to finance future capital requirements and UACC’s Warehouse Credit Facilities to fund finance receivables. Certain advance rates available to UACC on borrowings from the Warehouse Credit Facilities have decreased as a result of the increasing credit losses in UACC’s portfolio. Any future decreases on available advance rates may have an adverse impact on the Company's liquidity.</w:t>
      </w:r>
    </w:p>
    <w:p>
      <w:pPr>
        <w:spacing w:after="0" w:line="114" w:lineRule="exact"/>
        <w:rPr>
          <w:sz w:val="20"/>
          <w:szCs w:val="20"/>
          <w:color w:val="auto"/>
        </w:rPr>
      </w:pPr>
    </w:p>
    <w:p>
      <w:pPr>
        <w:ind w:right="360" w:firstLine="708"/>
        <w:spacing w:after="0" w:line="244" w:lineRule="auto"/>
        <w:rPr>
          <w:sz w:val="20"/>
          <w:szCs w:val="20"/>
          <w:color w:val="auto"/>
        </w:rPr>
      </w:pPr>
      <w:r>
        <w:rPr>
          <w:rFonts w:ascii="Arial" w:cs="Arial" w:eastAsia="Arial" w:hAnsi="Arial"/>
          <w:sz w:val="16"/>
          <w:szCs w:val="16"/>
          <w:color w:val="auto"/>
        </w:rPr>
        <w:t>Upon the Company's emergence from Prepackaged Chapter 11 Case on January 14, 2025, the Company continues to operate as a viable going concern. The accompanying condensed consolidated financial statements have been prepared on the basis that the Company will continue to operate as a going concern, which contemplates that it will be able to realize assets and settle liabilities and commitments in the normal course of business for twelve months following the issuance date.</w:t>
      </w:r>
    </w:p>
    <w:p>
      <w:pPr>
        <w:spacing w:after="0" w:line="152" w:lineRule="exact"/>
        <w:rPr>
          <w:sz w:val="20"/>
          <w:szCs w:val="20"/>
          <w:color w:val="auto"/>
        </w:rPr>
      </w:pPr>
    </w:p>
    <w:p>
      <w:pPr>
        <w:ind w:right="140" w:firstLine="708"/>
        <w:spacing w:after="0" w:line="239" w:lineRule="auto"/>
        <w:rPr>
          <w:sz w:val="20"/>
          <w:szCs w:val="20"/>
          <w:color w:val="auto"/>
        </w:rPr>
      </w:pPr>
      <w:r>
        <w:rPr>
          <w:rFonts w:ascii="Arial" w:cs="Arial" w:eastAsia="Arial" w:hAnsi="Arial"/>
          <w:sz w:val="16"/>
          <w:szCs w:val="16"/>
          <w:color w:val="auto"/>
        </w:rPr>
        <w:t>The Company’s future capital requirements will depend on many factors, including the ability to realize the intended benefits of the Value Maximization Plan, Prepackaged Chapter 11 Case, and Long -Term-Strategic Plan, available advance rates on and the amendment and renewal of the remaining Warehouse Credit Facilities, the ability to meet the requirements for continued listing on the Nasdaq Global Market, the ability to complete additional securitization transactions on terms favorable to the Company, and future credit losses. The Company anticipates that existing cash and cash equivalents, the credit agreement with Mudrick Capital Management, L.P., and UACC's Warehouse Credit Facilities will be sufficient to support the Company’s ongoing operations and obligations, for at least the next twelve months from the date of issuance of the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Income Per Share Attributable to Common Stockholders</w:t>
      </w:r>
    </w:p>
    <w:p>
      <w:pPr>
        <w:spacing w:after="0" w:line="176" w:lineRule="exact"/>
        <w:rPr>
          <w:sz w:val="20"/>
          <w:szCs w:val="20"/>
          <w:color w:val="auto"/>
        </w:rPr>
      </w:pPr>
    </w:p>
    <w:p>
      <w:pPr>
        <w:ind w:right="80" w:firstLine="708"/>
        <w:spacing w:after="0"/>
        <w:rPr>
          <w:sz w:val="20"/>
          <w:szCs w:val="20"/>
          <w:color w:val="auto"/>
        </w:rPr>
      </w:pPr>
      <w:r>
        <w:rPr>
          <w:rFonts w:ascii="Arial" w:cs="Arial" w:eastAsia="Arial" w:hAnsi="Arial"/>
          <w:sz w:val="16"/>
          <w:szCs w:val="16"/>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Under the two- class method, the net loss attributable to common stockholders is not allocated to the preferred stock as the holders of the Company’s preferred stock do not have a contractual obligation to share in the Company’s losses. Under the two -class method, basic net loss per share attributable to common stockholders is computed by dividing the net loss attributable to common stockholders by the weighted-average number of shares of common stock outstanding during the period. For periods in which the</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8" w:name="page19"/>
    <w:bookmarkEnd w:id="1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220"/>
        <w:spacing w:after="0" w:line="334" w:lineRule="auto"/>
        <w:rPr>
          <w:sz w:val="20"/>
          <w:szCs w:val="20"/>
          <w:color w:val="auto"/>
        </w:rPr>
      </w:pPr>
      <w:r>
        <w:rPr>
          <w:rFonts w:ascii="Arial" w:cs="Arial" w:eastAsia="Arial" w:hAnsi="Arial"/>
          <w:sz w:val="14"/>
          <w:szCs w:val="14"/>
          <w:color w:val="auto"/>
        </w:rPr>
        <w:t>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Standards Adopted</w:t>
      </w:r>
    </w:p>
    <w:p>
      <w:pPr>
        <w:spacing w:after="0" w:line="176" w:lineRule="exact"/>
        <w:rPr>
          <w:sz w:val="20"/>
          <w:szCs w:val="20"/>
          <w:color w:val="auto"/>
        </w:rPr>
      </w:pPr>
    </w:p>
    <w:p>
      <w:pPr>
        <w:ind w:right="20" w:firstLine="708"/>
        <w:spacing w:after="0" w:line="290" w:lineRule="auto"/>
        <w:rPr>
          <w:sz w:val="20"/>
          <w:szCs w:val="20"/>
          <w:color w:val="auto"/>
        </w:rPr>
      </w:pPr>
      <w:r>
        <w:rPr>
          <w:rFonts w:ascii="Arial" w:cs="Arial" w:eastAsia="Arial" w:hAnsi="Arial"/>
          <w:sz w:val="14"/>
          <w:szCs w:val="14"/>
          <w:color w:val="auto"/>
        </w:rPr>
        <w:t>In November 2023, the FASB issued ASU 2023- 07, Segment Reporting (Topic 280): Improvements to Reportable Segment Disclosures, which requires disclosure of incremental segment information on an annual and interim basis, primarily through enhanced disclosures of significant segment expenses. The Company adopted the guidance for fiscal year beginning January 1, 2024, on a retroactive basis, which did not have a material impact on the Company's condensed consolidated financial statements and related disclosures. Refer to Note 17 — Segment Information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Standards Issued but Not Yet Adopted</w:t>
      </w:r>
    </w:p>
    <w:p>
      <w:pPr>
        <w:spacing w:after="0" w:line="176" w:lineRule="exact"/>
        <w:rPr>
          <w:sz w:val="20"/>
          <w:szCs w:val="20"/>
          <w:color w:val="auto"/>
        </w:rPr>
      </w:pPr>
    </w:p>
    <w:p>
      <w:pPr>
        <w:ind w:right="40" w:firstLine="708"/>
        <w:spacing w:after="0" w:line="290" w:lineRule="auto"/>
        <w:rPr>
          <w:sz w:val="20"/>
          <w:szCs w:val="20"/>
          <w:color w:val="auto"/>
        </w:rPr>
      </w:pPr>
      <w:r>
        <w:rPr>
          <w:rFonts w:ascii="Arial" w:cs="Arial" w:eastAsia="Arial" w:hAnsi="Arial"/>
          <w:sz w:val="14"/>
          <w:szCs w:val="14"/>
          <w:color w:val="auto"/>
        </w:rPr>
        <w:t xml:space="preserve">In December 2023, the FASB issued ASU 2023- 09,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condensed consolidated financial statements and related disclosures.</w:t>
      </w:r>
    </w:p>
    <w:p>
      <w:pPr>
        <w:spacing w:after="0" w:line="122" w:lineRule="exact"/>
        <w:rPr>
          <w:sz w:val="20"/>
          <w:szCs w:val="20"/>
          <w:color w:val="auto"/>
        </w:rPr>
      </w:pPr>
    </w:p>
    <w:p>
      <w:pPr>
        <w:ind w:right="20" w:firstLine="708"/>
        <w:spacing w:after="0" w:line="239"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Disaggregation of Income Statement Expenses (DISE)</w:t>
      </w:r>
      <w:r>
        <w:rPr>
          <w:rFonts w:ascii="Arial" w:cs="Arial" w:eastAsia="Arial" w:hAnsi="Arial"/>
          <w:sz w:val="16"/>
          <w:szCs w:val="16"/>
          <w:color w:val="auto"/>
        </w:rPr>
        <w:t>,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its condensed consolidated financial statements and related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 Recognition</w:t>
      </w:r>
    </w:p>
    <w:p>
      <w:pPr>
        <w:spacing w:after="0" w:line="178" w:lineRule="exact"/>
        <w:rPr>
          <w:sz w:val="20"/>
          <w:szCs w:val="20"/>
          <w:color w:val="auto"/>
        </w:rPr>
      </w:pPr>
    </w:p>
    <w:p>
      <w:pPr>
        <w:ind w:right="420" w:firstLine="708"/>
        <w:spacing w:after="0" w:line="262" w:lineRule="auto"/>
        <w:rPr>
          <w:sz w:val="20"/>
          <w:szCs w:val="20"/>
          <w:color w:val="auto"/>
        </w:rPr>
      </w:pPr>
      <w:r>
        <w:rPr>
          <w:rFonts w:ascii="Arial" w:cs="Arial" w:eastAsia="Arial" w:hAnsi="Arial"/>
          <w:sz w:val="16"/>
          <w:szCs w:val="16"/>
          <w:color w:val="auto"/>
        </w:rPr>
        <w:t>The Company’s revenue is disaggregated within the condensed consolidated statements of operations and is generated from consumers throughout the United States.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76" w:lineRule="exact"/>
        <w:rPr>
          <w:sz w:val="20"/>
          <w:szCs w:val="20"/>
          <w:color w:val="auto"/>
        </w:rPr>
      </w:pPr>
    </w:p>
    <w:p>
      <w:pPr>
        <w:ind w:right="240" w:firstLine="708"/>
        <w:spacing w:after="0" w:line="262" w:lineRule="auto"/>
        <w:rPr>
          <w:sz w:val="20"/>
          <w:szCs w:val="20"/>
          <w:color w:val="auto"/>
        </w:rPr>
      </w:pPr>
      <w:r>
        <w:rPr>
          <w:rFonts w:ascii="Arial" w:cs="Arial" w:eastAsia="Arial" w:hAnsi="Arial"/>
          <w:sz w:val="16"/>
          <w:szCs w:val="16"/>
          <w:color w:val="auto"/>
        </w:rPr>
        <w:t>The Company’s interest income is related to finance receivables originated by UACC for its network of third-party dealership customers and vehicle financing UACC offered to Vroom’s customers through its ecommerce platform prior to the Ecommerce Wind-down.</w:t>
      </w:r>
    </w:p>
    <w:p>
      <w:pPr>
        <w:spacing w:after="0" w:line="138" w:lineRule="exact"/>
        <w:rPr>
          <w:sz w:val="20"/>
          <w:szCs w:val="20"/>
          <w:color w:val="auto"/>
        </w:rPr>
      </w:pPr>
    </w:p>
    <w:p>
      <w:pPr>
        <w:ind w:firstLine="708"/>
        <w:spacing w:after="0"/>
        <w:rPr>
          <w:sz w:val="20"/>
          <w:szCs w:val="20"/>
          <w:color w:val="auto"/>
        </w:rPr>
      </w:pPr>
      <w:r>
        <w:rPr>
          <w:rFonts w:ascii="Arial" w:cs="Arial" w:eastAsia="Arial" w:hAnsi="Arial"/>
          <w:sz w:val="16"/>
          <w:szCs w:val="16"/>
          <w:color w:val="auto"/>
        </w:rPr>
        <w:t>Upon emergence from the Prepackaged Chapter 11 Case, and application of fresh start accounting, the Company made an accounting policy election to recognize discount income on finance receivables held for investment at fair value as a component of "Realized and unrealized losses, net of recoveries". In the Predecessor periods discount income on finance receivables held for investment at fair value was recognized as a component of interest income on the Company’s condensed consolidated statement of operations. The discount income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spacing w:after="0" w:line="156" w:lineRule="exact"/>
        <w:rPr>
          <w:sz w:val="20"/>
          <w:szCs w:val="20"/>
          <w:color w:val="auto"/>
        </w:rPr>
      </w:pPr>
    </w:p>
    <w:p>
      <w:pPr>
        <w:ind w:right="140" w:firstLine="708"/>
        <w:spacing w:after="0" w:line="244" w:lineRule="auto"/>
        <w:rPr>
          <w:sz w:val="20"/>
          <w:szCs w:val="20"/>
          <w:color w:val="auto"/>
        </w:rPr>
      </w:pPr>
      <w:r>
        <w:rPr>
          <w:rFonts w:ascii="Arial" w:cs="Arial" w:eastAsia="Arial" w:hAnsi="Arial"/>
          <w:sz w:val="16"/>
          <w:szCs w:val="16"/>
          <w:color w:val="auto"/>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9" w:name="page20"/>
    <w:bookmarkEnd w:id="1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Income</w:t>
      </w:r>
    </w:p>
    <w:p>
      <w:pPr>
        <w:spacing w:after="0" w:line="176" w:lineRule="exact"/>
        <w:rPr>
          <w:sz w:val="20"/>
          <w:szCs w:val="20"/>
          <w:color w:val="auto"/>
        </w:rPr>
      </w:pPr>
    </w:p>
    <w:p>
      <w:pPr>
        <w:ind w:right="80" w:firstLine="708"/>
        <w:spacing w:after="0" w:line="241" w:lineRule="auto"/>
        <w:rPr>
          <w:sz w:val="20"/>
          <w:szCs w:val="20"/>
          <w:color w:val="auto"/>
        </w:rPr>
      </w:pPr>
      <w:r>
        <w:rPr>
          <w:rFonts w:ascii="Arial" w:cs="Arial" w:eastAsia="Arial" w:hAnsi="Arial"/>
          <w:sz w:val="16"/>
          <w:szCs w:val="16"/>
          <w:color w:val="auto"/>
        </w:rPr>
        <w:t>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of the outstanding principal balance of the finance receivables serviced. Late charges and other fees are calculated at predetermined amounts or percentages of overdue finance receivable balances and are recorded on a cash basis. Refer to Note 4 — Variable Interest Entities and Securitizations for further details.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Warranties and GAP income, net</w:t>
      </w:r>
    </w:p>
    <w:p>
      <w:pPr>
        <w:spacing w:after="0" w:line="176" w:lineRule="exact"/>
        <w:rPr>
          <w:sz w:val="20"/>
          <w:szCs w:val="20"/>
          <w:color w:val="auto"/>
        </w:rPr>
      </w:pPr>
    </w:p>
    <w:p>
      <w:pPr>
        <w:ind w:right="120" w:firstLine="708"/>
        <w:spacing w:after="0" w:line="248" w:lineRule="auto"/>
        <w:rPr>
          <w:sz w:val="20"/>
          <w:szCs w:val="20"/>
          <w:color w:val="auto"/>
        </w:rPr>
      </w:pPr>
      <w:r>
        <w:rPr>
          <w:rFonts w:ascii="Arial" w:cs="Arial" w:eastAsia="Arial" w:hAnsi="Arial"/>
          <w:sz w:val="16"/>
          <w:szCs w:val="16"/>
          <w:color w:val="auto"/>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administered these products and are responsible for their fulfillment.</w:t>
      </w:r>
    </w:p>
    <w:p>
      <w:pPr>
        <w:spacing w:after="0" w:line="150" w:lineRule="exact"/>
        <w:rPr>
          <w:sz w:val="20"/>
          <w:szCs w:val="20"/>
          <w:color w:val="auto"/>
        </w:rPr>
      </w:pPr>
    </w:p>
    <w:p>
      <w:pPr>
        <w:ind w:right="60" w:firstLine="708"/>
        <w:spacing w:after="0" w:line="241" w:lineRule="auto"/>
        <w:rPr>
          <w:sz w:val="20"/>
          <w:szCs w:val="20"/>
          <w:color w:val="auto"/>
        </w:rPr>
      </w:pPr>
      <w:r>
        <w:rPr>
          <w:rFonts w:ascii="Arial" w:cs="Arial" w:eastAsia="Arial" w:hAnsi="Arial"/>
          <w:sz w:val="16"/>
          <w:szCs w:val="16"/>
          <w:color w:val="auto"/>
        </w:rPr>
        <w:t>UACC also offers third- 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spacing w:after="0" w:line="157" w:lineRule="exact"/>
        <w:rPr>
          <w:sz w:val="20"/>
          <w:szCs w:val="20"/>
          <w:color w:val="auto"/>
        </w:rPr>
      </w:pPr>
    </w:p>
    <w:p>
      <w:pPr>
        <w:ind w:right="360" w:firstLine="708"/>
        <w:spacing w:after="0" w:line="334" w:lineRule="auto"/>
        <w:rPr>
          <w:sz w:val="20"/>
          <w:szCs w:val="20"/>
          <w:color w:val="auto"/>
        </w:rPr>
      </w:pPr>
      <w:r>
        <w:rPr>
          <w:rFonts w:ascii="Arial" w:cs="Arial" w:eastAsia="Arial" w:hAnsi="Arial"/>
          <w:sz w:val="14"/>
          <w:szCs w:val="14"/>
          <w:color w:val="auto"/>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p>
    <w:p>
      <w:pPr>
        <w:spacing w:after="0" w:line="92" w:lineRule="exact"/>
        <w:rPr>
          <w:sz w:val="20"/>
          <w:szCs w:val="20"/>
          <w:color w:val="auto"/>
        </w:rPr>
      </w:pPr>
    </w:p>
    <w:p>
      <w:pPr>
        <w:ind w:firstLine="708"/>
        <w:spacing w:after="0"/>
        <w:rPr>
          <w:sz w:val="20"/>
          <w:szCs w:val="20"/>
          <w:color w:val="auto"/>
        </w:rPr>
      </w:pPr>
      <w:r>
        <w:rPr>
          <w:rFonts w:ascii="Arial" w:cs="Arial" w:eastAsia="Arial" w:hAnsi="Arial"/>
          <w:sz w:val="16"/>
          <w:szCs w:val="16"/>
          <w:color w:val="auto"/>
        </w:rPr>
        <w:t>A portion of the fees earned on third-party financing and value-added products are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March 31, 2025, and December 31, 2024, the Company’s reserve for chargebacks was $10.0 million and $9.1 million, respectively, which are included within “Other liabilities.”</w:t>
      </w:r>
    </w:p>
    <w:p>
      <w:pPr>
        <w:spacing w:after="0" w:line="156" w:lineRule="exact"/>
        <w:rPr>
          <w:sz w:val="20"/>
          <w:szCs w:val="20"/>
          <w:color w:val="auto"/>
        </w:rPr>
      </w:pPr>
    </w:p>
    <w:p>
      <w:pPr>
        <w:ind w:right="80" w:firstLine="708"/>
        <w:spacing w:after="0"/>
        <w:rPr>
          <w:sz w:val="20"/>
          <w:szCs w:val="20"/>
          <w:color w:val="auto"/>
        </w:rPr>
      </w:pPr>
      <w:r>
        <w:rPr>
          <w:rFonts w:ascii="Arial" w:cs="Arial" w:eastAsia="Arial" w:hAnsi="Arial"/>
          <w:sz w:val="16"/>
          <w:szCs w:val="16"/>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March 31, 2025, and December 31, 2024, the Company recognized $9.3 million and $11.0 million, respectively, related to cumulative profit-sharing payments to which it expects to be entitled, which are included within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CarStory Revenue</w:t>
      </w:r>
    </w:p>
    <w:p>
      <w:pPr>
        <w:spacing w:after="0" w:line="176" w:lineRule="exact"/>
        <w:rPr>
          <w:sz w:val="20"/>
          <w:szCs w:val="20"/>
          <w:color w:val="auto"/>
        </w:rPr>
      </w:pPr>
    </w:p>
    <w:p>
      <w:pPr>
        <w:ind w:right="80" w:firstLine="708"/>
        <w:spacing w:after="0" w:line="244" w:lineRule="auto"/>
        <w:rPr>
          <w:sz w:val="20"/>
          <w:szCs w:val="20"/>
          <w:color w:val="auto"/>
        </w:rPr>
      </w:pPr>
      <w:r>
        <w:rPr>
          <w:rFonts w:ascii="Arial" w:cs="Arial" w:eastAsia="Arial" w:hAnsi="Arial"/>
          <w:sz w:val="16"/>
          <w:szCs w:val="16"/>
          <w:color w:val="auto"/>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revenue includes advances received from customers in excess of revenue recognized.</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20" w:name="page21"/>
    <w:bookmarkEnd w:id="2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140" w:firstLine="708"/>
        <w:spacing w:after="0" w:line="262" w:lineRule="auto"/>
        <w:rPr>
          <w:sz w:val="20"/>
          <w:szCs w:val="20"/>
          <w:color w:val="auto"/>
        </w:rPr>
      </w:pPr>
      <w:r>
        <w:rPr>
          <w:rFonts w:ascii="Arial" w:cs="Arial" w:eastAsia="Arial" w:hAnsi="Arial"/>
          <w:sz w:val="16"/>
          <w:szCs w:val="16"/>
          <w:color w:val="auto"/>
        </w:rPr>
        <w:t>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Variable Interest Entities and Securitizations</w:t>
      </w:r>
    </w:p>
    <w:p>
      <w:pPr>
        <w:spacing w:after="0" w:line="178" w:lineRule="exact"/>
        <w:rPr>
          <w:sz w:val="20"/>
          <w:szCs w:val="20"/>
          <w:color w:val="auto"/>
        </w:rPr>
      </w:pPr>
    </w:p>
    <w:p>
      <w:pPr>
        <w:ind w:firstLine="708"/>
        <w:spacing w:after="0" w:line="239" w:lineRule="auto"/>
        <w:rPr>
          <w:sz w:val="20"/>
          <w:szCs w:val="20"/>
          <w:color w:val="auto"/>
        </w:rPr>
      </w:pPr>
      <w:r>
        <w:rPr>
          <w:rFonts w:ascii="Arial" w:cs="Arial" w:eastAsia="Arial" w:hAnsi="Arial"/>
          <w:sz w:val="16"/>
          <w:szCs w:val="16"/>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58" w:lineRule="exact"/>
        <w:rPr>
          <w:sz w:val="20"/>
          <w:szCs w:val="20"/>
          <w:color w:val="auto"/>
        </w:rPr>
      </w:pPr>
    </w:p>
    <w:p>
      <w:pPr>
        <w:ind w:right="120" w:firstLine="696"/>
        <w:spacing w:after="0" w:line="248" w:lineRule="auto"/>
        <w:rPr>
          <w:sz w:val="20"/>
          <w:szCs w:val="20"/>
          <w:color w:val="auto"/>
        </w:rPr>
      </w:pPr>
      <w:r>
        <w:rPr>
          <w:rFonts w:ascii="Arial" w:cs="Arial" w:eastAsia="Arial" w:hAnsi="Arial"/>
          <w:sz w:val="16"/>
          <w:szCs w:val="16"/>
          <w:color w:val="auto"/>
        </w:rPr>
        <w:t>UACC has the power to direct significant activities of its VIEs when it has the ability to exercise discretion in the servicing of financial assets or control investment decisions. UACC generally retains a portion of the economic interests in UACC-sponsored asset- backed securitization transactions, which could be retained in the form of a portion of the senior interests, the subordinated interests, residual interests, or servicing rights.</w:t>
      </w:r>
    </w:p>
    <w:p>
      <w:pPr>
        <w:spacing w:after="0" w:line="150" w:lineRule="exact"/>
        <w:rPr>
          <w:sz w:val="20"/>
          <w:szCs w:val="20"/>
          <w:color w:val="auto"/>
        </w:rPr>
      </w:pPr>
    </w:p>
    <w:p>
      <w:pPr>
        <w:jc w:val="both"/>
        <w:ind w:right="180" w:firstLine="708"/>
        <w:spacing w:after="0" w:line="248" w:lineRule="auto"/>
        <w:rPr>
          <w:sz w:val="20"/>
          <w:szCs w:val="20"/>
          <w:color w:val="auto"/>
        </w:rPr>
      </w:pPr>
      <w:r>
        <w:rPr>
          <w:rFonts w:ascii="Arial" w:cs="Arial" w:eastAsia="Arial" w:hAnsi="Arial"/>
          <w:sz w:val="16"/>
          <w:szCs w:val="16"/>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p>
    <w:p>
      <w:pPr>
        <w:spacing w:after="0" w:line="150" w:lineRule="exact"/>
        <w:rPr>
          <w:sz w:val="20"/>
          <w:szCs w:val="20"/>
          <w:color w:val="auto"/>
        </w:rPr>
      </w:pPr>
    </w:p>
    <w:p>
      <w:pPr>
        <w:ind w:right="80" w:firstLine="708"/>
        <w:spacing w:after="0" w:line="334" w:lineRule="auto"/>
        <w:rPr>
          <w:sz w:val="20"/>
          <w:szCs w:val="20"/>
          <w:color w:val="auto"/>
        </w:rPr>
      </w:pPr>
      <w:r>
        <w:rPr>
          <w:rFonts w:ascii="Arial" w:cs="Arial" w:eastAsia="Arial" w:hAnsi="Arial"/>
          <w:sz w:val="14"/>
          <w:szCs w:val="14"/>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spacing w:after="0" w:line="92" w:lineRule="exact"/>
        <w:rPr>
          <w:sz w:val="20"/>
          <w:szCs w:val="20"/>
          <w:color w:val="auto"/>
        </w:rPr>
      </w:pPr>
    </w:p>
    <w:p>
      <w:pPr>
        <w:ind w:right="60" w:firstLine="708"/>
        <w:spacing w:after="0" w:line="241" w:lineRule="auto"/>
        <w:rPr>
          <w:sz w:val="20"/>
          <w:szCs w:val="20"/>
          <w:color w:val="auto"/>
        </w:rPr>
      </w:pPr>
      <w:r>
        <w:rPr>
          <w:rFonts w:ascii="Arial" w:cs="Arial" w:eastAsia="Arial" w:hAnsi="Arial"/>
          <w:sz w:val="16"/>
          <w:szCs w:val="16"/>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57" w:lineRule="exact"/>
        <w:rPr>
          <w:sz w:val="20"/>
          <w:szCs w:val="20"/>
          <w:color w:val="auto"/>
        </w:rPr>
      </w:pPr>
    </w:p>
    <w:p>
      <w:pPr>
        <w:ind w:right="80" w:firstLine="708"/>
        <w:spacing w:after="0"/>
        <w:rPr>
          <w:sz w:val="20"/>
          <w:szCs w:val="20"/>
          <w:color w:val="auto"/>
        </w:rPr>
      </w:pPr>
      <w:r>
        <w:rPr>
          <w:rFonts w:ascii="Arial" w:cs="Arial" w:eastAsia="Arial" w:hAnsi="Arial"/>
          <w:sz w:val="16"/>
          <w:szCs w:val="16"/>
          <w:color w:val="auto"/>
        </w:rPr>
        <w:t>During the three months ended March 31, 2025, UACC completed the 2025-1 securitization transaction, in which it sold approximately $307.8 million of rated asset-backed securities in an auto finance receivable securitization transaction from a securitization trust, established and sponsored by UACC for proceeds of $306.5 million. The trust is collateralized by finance receivables with an aggregate principal balance of $382.1 million as of March 12, 2025. These finance receivables are serviced by UACC and UACC receives an "at market" servicing fee. The Company retained the residual interests, which required the Company to account for the 2025-1 securitization as secured borrowings and the assets and liabilities of the trust remain on balance sheet.</w:t>
      </w:r>
    </w:p>
    <w:p>
      <w:pPr>
        <w:spacing w:after="0" w:line="156" w:lineRule="exact"/>
        <w:rPr>
          <w:sz w:val="20"/>
          <w:szCs w:val="20"/>
          <w:color w:val="auto"/>
        </w:rPr>
      </w:pPr>
    </w:p>
    <w:p>
      <w:pPr>
        <w:ind w:right="80" w:firstLine="708"/>
        <w:spacing w:after="0"/>
        <w:rPr>
          <w:sz w:val="20"/>
          <w:szCs w:val="20"/>
          <w:color w:val="auto"/>
        </w:rPr>
      </w:pPr>
      <w:r>
        <w:rPr>
          <w:rFonts w:ascii="Arial" w:cs="Arial" w:eastAsia="Arial" w:hAnsi="Arial"/>
          <w:sz w:val="16"/>
          <w:szCs w:val="16"/>
          <w:color w:val="auto"/>
        </w:rPr>
        <w:t>In 2024, UACC completed the 2024-1 securitization transaction, in which it sold rated asset-backed securities, for proceeds of $297.2 million. UACC still retains the residual interests related to the 2024-1 securitization transaction and therefore consolidated the 2024 -1 VIE and accounted for this transaction as secured borrowings. The trust is collateralized by finance receivables with an aggregate principal balance of $380.1 million as of April 30, 2024. These finance receivables are serviced by UACC. UACC retained the servicing rights to these finance receivables and receives an "at market" servicing fee. The Company also repurchased $4.2 million of the non-investment grade securities related to the 2022-2 securitization transaction for $4.8 million.</w:t>
      </w:r>
    </w:p>
    <w:p>
      <w:pPr>
        <w:spacing w:after="0" w:line="156" w:lineRule="exact"/>
        <w:rPr>
          <w:sz w:val="20"/>
          <w:szCs w:val="20"/>
          <w:color w:val="auto"/>
        </w:rPr>
      </w:pPr>
    </w:p>
    <w:p>
      <w:pPr>
        <w:ind w:right="80" w:firstLine="708"/>
        <w:spacing w:after="0" w:line="244" w:lineRule="auto"/>
        <w:rPr>
          <w:sz w:val="20"/>
          <w:szCs w:val="20"/>
          <w:color w:val="auto"/>
        </w:rPr>
      </w:pPr>
      <w:r>
        <w:rPr>
          <w:rFonts w:ascii="Arial" w:cs="Arial" w:eastAsia="Arial" w:hAnsi="Arial"/>
          <w:sz w:val="16"/>
          <w:szCs w:val="16"/>
          <w:color w:val="auto"/>
        </w:rPr>
        <w:t>UACC is the primary beneficiary of the 2025-1, 2024-1, 2023-1, and 2022-2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2025-1, 2024-1, and 2023-1, asset-backed securitization transactions,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1" w:name="page22"/>
    <w:bookmarkEnd w:id="2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form of residual interests in accordance with Regulation RR of the Dodd -Frank Wall Street Reform and Consumer Protection Act of 2010 (the "Risk Retention Rules"). The Risk Retention Rules require the Company to retain at least 5% of the beneficial interests issued by the securitization trusts. Refer to Note 11 — Long Term Debt for further details.</w:t>
      </w:r>
    </w:p>
    <w:p>
      <w:pPr>
        <w:spacing w:after="0" w:line="150" w:lineRule="exact"/>
        <w:rPr>
          <w:sz w:val="20"/>
          <w:szCs w:val="20"/>
          <w:color w:val="auto"/>
        </w:rPr>
      </w:pPr>
    </w:p>
    <w:p>
      <w:pPr>
        <w:ind w:right="140" w:firstLine="696"/>
        <w:spacing w:after="0" w:line="239" w:lineRule="auto"/>
        <w:rPr>
          <w:sz w:val="20"/>
          <w:szCs w:val="20"/>
          <w:color w:val="auto"/>
        </w:rPr>
      </w:pPr>
      <w:r>
        <w:rPr>
          <w:rFonts w:ascii="Arial" w:cs="Arial" w:eastAsia="Arial" w:hAnsi="Arial"/>
          <w:sz w:val="16"/>
          <w:szCs w:val="16"/>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 party financial liabilities in earnings and attributes those earnings to the controlling equity interest in the condensed consolidated income statement. The 2025-1, 2023-1, and 2022-2 securitization trusts consolidated by UACC meet the definition of a CFE and the Company has elected to apply the measurement alternative when consolidating these VIEs. Upon emergence from the Prepackaged Chapter 11 Case, and application of fresh start accounting, the Successor made an accounting policy election to apply the measurement alternative to the 2024-1 CFE. Refer to Note 15 — Financial Instruments and Fair Value Measurements for further details.</w:t>
      </w:r>
    </w:p>
    <w:p>
      <w:pPr>
        <w:spacing w:after="0" w:line="158" w:lineRule="exact"/>
        <w:rPr>
          <w:sz w:val="20"/>
          <w:szCs w:val="20"/>
          <w:color w:val="auto"/>
        </w:rPr>
      </w:pPr>
    </w:p>
    <w:p>
      <w:pPr>
        <w:ind w:right="100" w:firstLine="708"/>
        <w:spacing w:after="0" w:line="244" w:lineRule="auto"/>
        <w:rPr>
          <w:sz w:val="20"/>
          <w:szCs w:val="20"/>
          <w:color w:val="auto"/>
        </w:rPr>
      </w:pPr>
      <w:r>
        <w:rPr>
          <w:rFonts w:ascii="Arial" w:cs="Arial" w:eastAsia="Arial" w:hAnsi="Arial"/>
          <w:sz w:val="16"/>
          <w:szCs w:val="16"/>
          <w:color w:val="auto"/>
        </w:rPr>
        <w:t>UACC has four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 Refer to Note 10 — Warehouse Credit Facilities of Consolidated VIEs for further details.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2" w:name="page23"/>
    <w:bookmarkEnd w:id="2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firstLine="708"/>
        <w:spacing w:after="0" w:line="248" w:lineRule="auto"/>
        <w:rPr>
          <w:sz w:val="20"/>
          <w:szCs w:val="20"/>
          <w:color w:val="auto"/>
        </w:rPr>
      </w:pPr>
      <w:r>
        <w:rPr>
          <w:rFonts w:ascii="Arial" w:cs="Arial" w:eastAsia="Arial" w:hAnsi="Arial"/>
          <w:sz w:val="16"/>
          <w:szCs w:val="16"/>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Successor</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As of March 31, 2025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9"/>
              </w:rPr>
              <w:t>Warehouse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Securitization Vehicles</w:t>
            </w:r>
          </w:p>
        </w:tc>
        <w:tc>
          <w:tcPr>
            <w:tcW w:w="120" w:type="dxa"/>
            <w:vAlign w:val="bottom"/>
          </w:tcPr>
          <w:p>
            <w:pPr>
              <w:spacing w:after="0"/>
              <w:rPr>
                <w:sz w:val="15"/>
                <w:szCs w:val="15"/>
                <w:color w:val="auto"/>
              </w:rPr>
            </w:pPr>
          </w:p>
        </w:tc>
        <w:tc>
          <w:tcPr>
            <w:tcW w:w="1700" w:type="dxa"/>
            <w:vAlign w:val="bottom"/>
            <w:gridSpan w:val="2"/>
          </w:tcPr>
          <w:p>
            <w:pPr>
              <w:jc w:val="center"/>
              <w:ind w:right="280"/>
              <w:spacing w:after="0" w:line="180" w:lineRule="exact"/>
              <w:rPr>
                <w:sz w:val="20"/>
                <w:szCs w:val="20"/>
                <w:color w:val="auto"/>
              </w:rPr>
            </w:pPr>
            <w:r>
              <w:rPr>
                <w:rFonts w:ascii="Arial" w:cs="Arial" w:eastAsia="Arial" w:hAnsi="Arial"/>
                <w:sz w:val="13"/>
                <w:szCs w:val="13"/>
                <w:b w:val="1"/>
                <w:bCs w:val="1"/>
                <w:color w:val="auto"/>
              </w:rPr>
              <w:t>Facilities</w:t>
            </w:r>
            <w:r>
              <w:rPr>
                <w:rFonts w:ascii="Arial" w:cs="Arial" w:eastAsia="Arial" w:hAnsi="Arial"/>
                <w:sz w:val="16"/>
                <w:szCs w:val="16"/>
                <w:b w:val="1"/>
                <w:bCs w:val="1"/>
                <w:color w:val="auto"/>
                <w:vertAlign w:val="superscript"/>
              </w:rPr>
              <w:t>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Assets:</w:t>
            </w:r>
          </w:p>
        </w:tc>
        <w:tc>
          <w:tcPr>
            <w:tcW w:w="1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Restricted cash</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48,997</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3,089</w:t>
            </w:r>
          </w:p>
        </w:tc>
        <w:tc>
          <w:tcPr>
            <w:tcW w:w="540" w:type="dxa"/>
            <w:vAlign w:val="bottom"/>
            <w:gridSpan w:val="2"/>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52,086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Finance receivables at fair value</w:t>
            </w:r>
          </w:p>
        </w:tc>
        <w:tc>
          <w:tcPr>
            <w:tcW w:w="1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677,600</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132,792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810,392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Interest receivable</w:t>
            </w:r>
          </w:p>
        </w:tc>
        <w:tc>
          <w:tcPr>
            <w:tcW w:w="100" w:type="dxa"/>
            <w:vAlign w:val="bottom"/>
          </w:tcPr>
          <w:p>
            <w:pPr>
              <w:spacing w:after="0"/>
              <w:rPr>
                <w:sz w:val="15"/>
                <w:szCs w:val="15"/>
                <w:color w:val="auto"/>
              </w:rPr>
            </w:pPr>
          </w:p>
        </w:tc>
        <w:tc>
          <w:tcPr>
            <w:tcW w:w="1900" w:type="dxa"/>
            <w:vAlign w:val="bottom"/>
            <w:gridSpan w:val="2"/>
          </w:tcPr>
          <w:p>
            <w:pPr>
              <w:jc w:val="right"/>
              <w:ind w:right="340"/>
              <w:spacing w:after="0" w:line="180" w:lineRule="exact"/>
              <w:rPr>
                <w:sz w:val="20"/>
                <w:szCs w:val="20"/>
                <w:color w:val="auto"/>
              </w:rPr>
            </w:pPr>
            <w:r>
              <w:rPr>
                <w:rFonts w:ascii="Arial" w:cs="Arial" w:eastAsia="Arial" w:hAnsi="Arial"/>
                <w:sz w:val="16"/>
                <w:szCs w:val="16"/>
                <w:color w:val="auto"/>
              </w:rPr>
              <w:t>9,978</w:t>
            </w:r>
          </w:p>
        </w:tc>
        <w:tc>
          <w:tcPr>
            <w:tcW w:w="120" w:type="dxa"/>
            <w:vAlign w:val="bottom"/>
          </w:tcPr>
          <w:p>
            <w:pPr>
              <w:spacing w:after="0"/>
              <w:rPr>
                <w:sz w:val="15"/>
                <w:szCs w:val="15"/>
                <w:color w:val="auto"/>
              </w:rPr>
            </w:pPr>
          </w:p>
        </w:tc>
        <w:tc>
          <w:tcPr>
            <w:tcW w:w="17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1,694</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11,672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Other assets</w:t>
            </w:r>
          </w:p>
        </w:tc>
        <w:tc>
          <w:tcPr>
            <w:tcW w:w="10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7,711</w:t>
            </w:r>
          </w:p>
        </w:tc>
        <w:tc>
          <w:tcPr>
            <w:tcW w:w="1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1,721</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9,432</w:t>
            </w: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744,286</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line="180" w:lineRule="exact"/>
              <w:rPr>
                <w:sz w:val="20"/>
                <w:szCs w:val="20"/>
                <w:color w:val="auto"/>
              </w:rPr>
            </w:pPr>
            <w:r>
              <w:rPr>
                <w:rFonts w:ascii="Arial" w:cs="Arial" w:eastAsia="Arial" w:hAnsi="Arial"/>
                <w:sz w:val="16"/>
                <w:szCs w:val="16"/>
                <w:color w:val="auto"/>
              </w:rPr>
              <w:t>139,296</w:t>
            </w:r>
          </w:p>
        </w:tc>
        <w:tc>
          <w:tcPr>
            <w:tcW w:w="160" w:type="dxa"/>
            <w:vAlign w:val="bottom"/>
          </w:tcPr>
          <w:p>
            <w:pPr>
              <w:spacing w:after="0"/>
              <w:rPr>
                <w:sz w:val="15"/>
                <w:szCs w:val="15"/>
                <w:color w:val="auto"/>
              </w:rPr>
            </w:pPr>
          </w:p>
        </w:tc>
        <w:tc>
          <w:tcPr>
            <w:tcW w:w="540" w:type="dxa"/>
            <w:vAlign w:val="bottom"/>
            <w:gridSpan w:val="2"/>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883,582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40" w:type="dxa"/>
            <w:vAlign w:val="bottom"/>
            <w:shd w:val="clear" w:color="auto" w:fill="CFF0FC"/>
          </w:tcPr>
          <w:p>
            <w:pPr>
              <w:spacing w:after="0" w:line="156" w:lineRule="exact"/>
              <w:rPr>
                <w:sz w:val="20"/>
                <w:szCs w:val="20"/>
                <w:color w:val="auto"/>
              </w:rPr>
            </w:pPr>
            <w:r>
              <w:rPr>
                <w:rFonts w:ascii="Arial" w:cs="Arial" w:eastAsia="Arial" w:hAnsi="Arial"/>
                <w:sz w:val="16"/>
                <w:szCs w:val="16"/>
                <w:color w:val="auto"/>
              </w:rPr>
              <w:t>Liabilities:</w:t>
            </w:r>
          </w:p>
        </w:tc>
        <w:tc>
          <w:tcPr>
            <w:tcW w:w="1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Securitization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613,934</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613,934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Warehouse credit facilities</w:t>
            </w:r>
          </w:p>
        </w:tc>
        <w:tc>
          <w:tcPr>
            <w:tcW w:w="10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114,187</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114,187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Other liabilities</w:t>
            </w:r>
          </w:p>
        </w:tc>
        <w:tc>
          <w:tcPr>
            <w:tcW w:w="10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11,909</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4,508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16,417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4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625,843</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118,695</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744,538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Predecessor</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As of December 31, 2024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9"/>
              </w:rPr>
              <w:t>Warehouse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4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9"/>
                <w:szCs w:val="19"/>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Securitization Vehicles</w:t>
            </w:r>
          </w:p>
        </w:tc>
        <w:tc>
          <w:tcPr>
            <w:tcW w:w="12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Facilities</w:t>
            </w:r>
            <w:r>
              <w:rPr>
                <w:rFonts w:ascii="Arial" w:cs="Arial" w:eastAsia="Arial" w:hAnsi="Arial"/>
                <w:sz w:val="16"/>
                <w:szCs w:val="16"/>
                <w:b w:val="1"/>
                <w:bCs w:val="1"/>
                <w:color w:val="auto"/>
                <w:vertAlign w:val="superscript"/>
              </w:rPr>
              <w:t>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2"/>
        </w:trPr>
        <w:tc>
          <w:tcPr>
            <w:tcW w:w="4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Restricted cash</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29,213</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18,895</w:t>
            </w:r>
          </w:p>
        </w:tc>
        <w:tc>
          <w:tcPr>
            <w:tcW w:w="1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48,108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Finance receivables at fair value</w:t>
            </w:r>
          </w:p>
        </w:tc>
        <w:tc>
          <w:tcPr>
            <w:tcW w:w="10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214,420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Arial" w:cs="Arial" w:eastAsia="Arial" w:hAnsi="Arial"/>
                <w:sz w:val="16"/>
                <w:szCs w:val="16"/>
                <w:color w:val="auto"/>
              </w:rPr>
              <w:t>252,900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467,320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Finance receivables held for sale</w:t>
            </w:r>
          </w:p>
        </w:tc>
        <w:tc>
          <w:tcPr>
            <w:tcW w:w="1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178,845</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131,120</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309,965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Interest receivable</w:t>
            </w:r>
          </w:p>
        </w:tc>
        <w:tc>
          <w:tcPr>
            <w:tcW w:w="100" w:type="dxa"/>
            <w:vAlign w:val="bottom"/>
          </w:tcPr>
          <w:p>
            <w:pPr>
              <w:spacing w:after="0"/>
              <w:rPr>
                <w:sz w:val="15"/>
                <w:szCs w:val="15"/>
                <w:color w:val="auto"/>
              </w:rPr>
            </w:pPr>
          </w:p>
        </w:tc>
        <w:tc>
          <w:tcPr>
            <w:tcW w:w="1900" w:type="dxa"/>
            <w:vAlign w:val="bottom"/>
            <w:gridSpan w:val="2"/>
          </w:tcPr>
          <w:p>
            <w:pPr>
              <w:jc w:val="right"/>
              <w:ind w:right="340"/>
              <w:spacing w:after="0" w:line="180" w:lineRule="exact"/>
              <w:rPr>
                <w:sz w:val="20"/>
                <w:szCs w:val="20"/>
                <w:color w:val="auto"/>
              </w:rPr>
            </w:pPr>
            <w:r>
              <w:rPr>
                <w:rFonts w:ascii="Arial" w:cs="Arial" w:eastAsia="Arial" w:hAnsi="Arial"/>
                <w:sz w:val="16"/>
                <w:szCs w:val="16"/>
                <w:color w:val="auto"/>
              </w:rPr>
              <w:t>6,892</w:t>
            </w:r>
          </w:p>
        </w:tc>
        <w:tc>
          <w:tcPr>
            <w:tcW w:w="120" w:type="dxa"/>
            <w:vAlign w:val="bottom"/>
          </w:tcPr>
          <w:p>
            <w:pPr>
              <w:spacing w:after="0"/>
              <w:rPr>
                <w:sz w:val="15"/>
                <w:szCs w:val="15"/>
                <w:color w:val="auto"/>
              </w:rPr>
            </w:pPr>
          </w:p>
        </w:tc>
        <w:tc>
          <w:tcPr>
            <w:tcW w:w="17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6,370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13,262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Other assets</w:t>
            </w:r>
          </w:p>
        </w:tc>
        <w:tc>
          <w:tcPr>
            <w:tcW w:w="10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6,057</w:t>
            </w:r>
          </w:p>
        </w:tc>
        <w:tc>
          <w:tcPr>
            <w:tcW w:w="1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4,700</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10,757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435,427</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line="180" w:lineRule="exact"/>
              <w:rPr>
                <w:sz w:val="20"/>
                <w:szCs w:val="20"/>
                <w:color w:val="auto"/>
              </w:rPr>
            </w:pPr>
            <w:r>
              <w:rPr>
                <w:rFonts w:ascii="Arial" w:cs="Arial" w:eastAsia="Arial" w:hAnsi="Arial"/>
                <w:sz w:val="16"/>
                <w:szCs w:val="16"/>
                <w:color w:val="auto"/>
              </w:rPr>
              <w:t>413,985</w:t>
            </w:r>
          </w:p>
        </w:tc>
        <w:tc>
          <w:tcPr>
            <w:tcW w:w="160" w:type="dxa"/>
            <w:vAlign w:val="bottom"/>
          </w:tcPr>
          <w:p>
            <w:pPr>
              <w:spacing w:after="0"/>
              <w:rPr>
                <w:sz w:val="15"/>
                <w:szCs w:val="15"/>
                <w:color w:val="auto"/>
              </w:rPr>
            </w:pPr>
          </w:p>
        </w:tc>
        <w:tc>
          <w:tcPr>
            <w:tcW w:w="540" w:type="dxa"/>
            <w:vAlign w:val="bottom"/>
            <w:gridSpan w:val="2"/>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849,412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40" w:type="dxa"/>
            <w:vAlign w:val="bottom"/>
            <w:shd w:val="clear" w:color="auto" w:fill="CFF0FC"/>
          </w:tcPr>
          <w:p>
            <w:pPr>
              <w:spacing w:after="0" w:line="156" w:lineRule="exact"/>
              <w:rPr>
                <w:sz w:val="20"/>
                <w:szCs w:val="20"/>
                <w:color w:val="auto"/>
              </w:rPr>
            </w:pPr>
            <w:r>
              <w:rPr>
                <w:rFonts w:ascii="Arial" w:cs="Arial" w:eastAsia="Arial" w:hAnsi="Arial"/>
                <w:sz w:val="16"/>
                <w:szCs w:val="16"/>
                <w:color w:val="auto"/>
              </w:rPr>
              <w:t>Liabilities:</w:t>
            </w:r>
          </w:p>
        </w:tc>
        <w:tc>
          <w:tcPr>
            <w:tcW w:w="1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Securitization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353,356</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353,356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Warehouse credit facilities</w:t>
            </w:r>
          </w:p>
        </w:tc>
        <w:tc>
          <w:tcPr>
            <w:tcW w:w="10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359,912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359,912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line="180" w:lineRule="exact"/>
              <w:rPr>
                <w:sz w:val="20"/>
                <w:szCs w:val="20"/>
                <w:color w:val="auto"/>
              </w:rPr>
            </w:pPr>
            <w:r>
              <w:rPr>
                <w:rFonts w:ascii="Arial" w:cs="Arial" w:eastAsia="Arial" w:hAnsi="Arial"/>
                <w:sz w:val="16"/>
                <w:szCs w:val="16"/>
                <w:color w:val="auto"/>
              </w:rPr>
              <w:t>Other liabilities</w:t>
            </w:r>
          </w:p>
        </w:tc>
        <w:tc>
          <w:tcPr>
            <w:tcW w:w="100" w:type="dxa"/>
            <w:vAlign w:val="bottom"/>
          </w:tcPr>
          <w:p>
            <w:pPr>
              <w:spacing w:after="0"/>
              <w:rPr>
                <w:sz w:val="15"/>
                <w:szCs w:val="15"/>
                <w:color w:val="auto"/>
              </w:rPr>
            </w:pPr>
          </w:p>
        </w:tc>
        <w:tc>
          <w:tcPr>
            <w:tcW w:w="1900" w:type="dxa"/>
            <w:vAlign w:val="bottom"/>
            <w:gridSpan w:val="2"/>
          </w:tcPr>
          <w:p>
            <w:pPr>
              <w:jc w:val="right"/>
              <w:ind w:right="340"/>
              <w:spacing w:after="0" w:line="180" w:lineRule="exact"/>
              <w:rPr>
                <w:sz w:val="20"/>
                <w:szCs w:val="20"/>
                <w:color w:val="auto"/>
              </w:rPr>
            </w:pPr>
            <w:r>
              <w:rPr>
                <w:rFonts w:ascii="Arial" w:cs="Arial" w:eastAsia="Arial" w:hAnsi="Arial"/>
                <w:sz w:val="16"/>
                <w:szCs w:val="16"/>
                <w:color w:val="auto"/>
              </w:rPr>
              <w:t>3,597</w:t>
            </w:r>
          </w:p>
        </w:tc>
        <w:tc>
          <w:tcPr>
            <w:tcW w:w="120" w:type="dxa"/>
            <w:vAlign w:val="bottom"/>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Arial" w:cs="Arial" w:eastAsia="Arial" w:hAnsi="Arial"/>
                <w:sz w:val="16"/>
                <w:szCs w:val="16"/>
                <w:color w:val="auto"/>
              </w:rPr>
              <w:t>10,244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13,841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4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356,953</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370,156</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727,109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720"/>
        <w:spacing w:after="0"/>
        <w:rPr>
          <w:sz w:val="20"/>
          <w:szCs w:val="20"/>
          <w:color w:val="auto"/>
        </w:rPr>
      </w:pPr>
      <w:r>
        <w:rPr>
          <w:rFonts w:ascii="Arial" w:cs="Arial" w:eastAsia="Arial" w:hAnsi="Arial"/>
          <w:sz w:val="11"/>
          <w:szCs w:val="11"/>
          <w:color w:val="auto"/>
        </w:rPr>
        <w:t>1 Refer to Note 10 – Warehouse Credit Facilities of Consolidated VIEs for further details.</w:t>
      </w:r>
    </w:p>
    <w:p>
      <w:pPr>
        <w:spacing w:after="0" w:line="210" w:lineRule="exact"/>
        <w:rPr>
          <w:sz w:val="20"/>
          <w:szCs w:val="20"/>
          <w:color w:val="auto"/>
        </w:rPr>
      </w:pPr>
    </w:p>
    <w:p>
      <w:pPr>
        <w:ind w:right="140" w:firstLine="708"/>
        <w:spacing w:after="0" w:line="244" w:lineRule="auto"/>
        <w:rPr>
          <w:sz w:val="20"/>
          <w:szCs w:val="20"/>
          <w:color w:val="auto"/>
        </w:rPr>
      </w:pPr>
      <w:r>
        <w:rPr>
          <w:rFonts w:ascii="Arial" w:cs="Arial" w:eastAsia="Arial" w:hAnsi="Arial"/>
          <w:sz w:val="16"/>
          <w:szCs w:val="16"/>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 or accounts for these securitization transactions as secured borrowings when it is the primary beneficiary.</w:t>
      </w:r>
    </w:p>
    <w:p>
      <w:pPr>
        <w:spacing w:after="0" w:line="152" w:lineRule="exact"/>
        <w:rPr>
          <w:sz w:val="20"/>
          <w:szCs w:val="20"/>
          <w:color w:val="auto"/>
        </w:rPr>
      </w:pPr>
    </w:p>
    <w:p>
      <w:pPr>
        <w:ind w:firstLine="708"/>
        <w:spacing w:after="0" w:line="241" w:lineRule="auto"/>
        <w:rPr>
          <w:sz w:val="20"/>
          <w:szCs w:val="20"/>
          <w:color w:val="auto"/>
        </w:rPr>
      </w:pPr>
      <w:r>
        <w:rPr>
          <w:rFonts w:ascii="Arial" w:cs="Arial" w:eastAsia="Arial" w:hAnsi="Arial"/>
          <w:sz w:val="16"/>
          <w:szCs w:val="16"/>
          <w:color w:val="auto"/>
        </w:rPr>
        <w:t>In February 2022, UACC sold a pool of finance receivables in the 2022 -1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entities, however, the Company concluded that it is not the primary beneficiary of the 2022-1 securitization trust because UACC retained interests in the VIE are insignificant.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3" w:name="page24"/>
    <w:bookmarkEnd w:id="2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beneficial interest retained by UACC included rated notes and unrated residual certificates issued by the 2022-1 securitization trust.</w:t>
      </w:r>
    </w:p>
    <w:p>
      <w:pPr>
        <w:spacing w:after="0" w:line="224" w:lineRule="exact"/>
        <w:rPr>
          <w:sz w:val="20"/>
          <w:szCs w:val="20"/>
          <w:color w:val="auto"/>
        </w:rPr>
      </w:pPr>
    </w:p>
    <w:p>
      <w:pPr>
        <w:ind w:right="60" w:firstLine="708"/>
        <w:spacing w:after="0" w:line="241" w:lineRule="auto"/>
        <w:rPr>
          <w:sz w:val="20"/>
          <w:szCs w:val="20"/>
          <w:color w:val="auto"/>
        </w:rPr>
      </w:pPr>
      <w:r>
        <w:rPr>
          <w:rFonts w:ascii="Arial" w:cs="Arial" w:eastAsia="Arial" w:hAnsi="Arial"/>
          <w:sz w:val="16"/>
          <w:szCs w:val="16"/>
          <w:color w:val="auto"/>
        </w:rPr>
        <w:t>As of March 31, 2025, and December 31, 2024, the assets UACC retains in the unconsolidated VIEs were approximately $1.8 million and $2.2 million, respectively, and are included in "Other assets"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 During 2023, the Company entered into a Risk Retention Financing Facility to finance the majority of its retained beneficial interests in securitizations. Refer to Note 11 — Long Term Debt for further details.</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summarizes the amortized cost, the carrying amount, which is the fair value, and the maximum exposure to losses of</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UACC's assets related to the unconsolidated VIE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Arial" w:cs="Arial" w:eastAsia="Arial" w:hAnsi="Arial"/>
                <w:sz w:val="13"/>
                <w:szCs w:val="13"/>
                <w:b w:val="1"/>
                <w:bCs w:val="1"/>
                <w:color w:val="auto"/>
              </w:rPr>
              <w:t>As of March 31, 2025</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8"/>
          </w:tcPr>
          <w:p>
            <w:pPr>
              <w:jc w:val="center"/>
              <w:ind w:left="488"/>
              <w:spacing w:after="0"/>
              <w:rPr>
                <w:sz w:val="20"/>
                <w:szCs w:val="20"/>
                <w:color w:val="auto"/>
              </w:rPr>
            </w:pPr>
            <w:r>
              <w:rPr>
                <w:rFonts w:ascii="Arial" w:cs="Arial" w:eastAsia="Arial" w:hAnsi="Arial"/>
                <w:sz w:val="13"/>
                <w:szCs w:val="13"/>
                <w:b w:val="1"/>
                <w:bCs w:val="1"/>
                <w:color w:val="auto"/>
              </w:rPr>
              <w:t>As of December 31, 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Aggregate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44"/>
              <w:spacing w:after="0"/>
              <w:rPr>
                <w:sz w:val="20"/>
                <w:szCs w:val="20"/>
                <w:color w:val="auto"/>
              </w:rPr>
            </w:pPr>
            <w:r>
              <w:rPr>
                <w:rFonts w:ascii="Arial" w:cs="Arial" w:eastAsia="Arial" w:hAnsi="Arial"/>
                <w:sz w:val="13"/>
                <w:szCs w:val="13"/>
                <w:b w:val="1"/>
                <w:bCs w:val="1"/>
                <w:color w:val="auto"/>
              </w:rPr>
              <w:t>Aggregate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27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w w:val="99"/>
              </w:rPr>
              <w:t>Principal Balance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Carrying Value</w:t>
            </w:r>
          </w:p>
        </w:tc>
        <w:tc>
          <w:tcPr>
            <w:tcW w:w="13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Total Exposure</w:t>
            </w: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Carrying Value</w:t>
            </w:r>
          </w:p>
        </w:tc>
        <w:tc>
          <w:tcPr>
            <w:tcW w:w="1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 Exposure</w:t>
            </w:r>
          </w:p>
        </w:tc>
      </w:tr>
      <w:tr>
        <w:trPr>
          <w:trHeight w:val="180"/>
        </w:trPr>
        <w:tc>
          <w:tcPr>
            <w:tcW w:w="27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Rated notes</w:t>
            </w:r>
          </w:p>
        </w:tc>
        <w:tc>
          <w:tcPr>
            <w:tcW w:w="1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1,659</w:t>
            </w: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60"/>
              <w:spacing w:after="0" w:line="180" w:lineRule="exact"/>
              <w:rPr>
                <w:sz w:val="20"/>
                <w:szCs w:val="20"/>
                <w:color w:val="auto"/>
              </w:rPr>
            </w:pPr>
            <w:r>
              <w:rPr>
                <w:rFonts w:ascii="Arial" w:cs="Arial" w:eastAsia="Arial" w:hAnsi="Arial"/>
                <w:sz w:val="16"/>
                <w:szCs w:val="16"/>
                <w:color w:val="auto"/>
              </w:rPr>
              <w:t>1,621</w:t>
            </w:r>
          </w:p>
        </w:tc>
        <w:tc>
          <w:tcPr>
            <w:tcW w:w="400" w:type="dxa"/>
            <w:vAlign w:val="bottom"/>
            <w:shd w:val="clear" w:color="auto" w:fill="CFF0FC"/>
          </w:tcPr>
          <w:p>
            <w:pPr>
              <w:jc w:val="right"/>
              <w:ind w:right="250"/>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1,621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2,106</w:t>
            </w:r>
          </w:p>
        </w:tc>
        <w:tc>
          <w:tcPr>
            <w:tcW w:w="22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1,992</w:t>
            </w:r>
          </w:p>
        </w:tc>
        <w:tc>
          <w:tcPr>
            <w:tcW w:w="500" w:type="dxa"/>
            <w:vAlign w:val="bottom"/>
            <w:gridSpan w:val="2"/>
            <w:shd w:val="clear" w:color="auto" w:fill="CFF0FC"/>
          </w:tcPr>
          <w:p>
            <w:pPr>
              <w:jc w:val="right"/>
              <w:ind w:right="234"/>
              <w:spacing w:after="0" w:line="180"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1,992</w:t>
            </w:r>
          </w:p>
        </w:tc>
      </w:tr>
      <w:tr>
        <w:trPr>
          <w:trHeight w:val="180"/>
        </w:trPr>
        <w:tc>
          <w:tcPr>
            <w:tcW w:w="2720" w:type="dxa"/>
            <w:vAlign w:val="bottom"/>
          </w:tcPr>
          <w:p>
            <w:pPr>
              <w:spacing w:after="0" w:line="180" w:lineRule="exact"/>
              <w:rPr>
                <w:sz w:val="20"/>
                <w:szCs w:val="20"/>
                <w:color w:val="auto"/>
              </w:rPr>
            </w:pPr>
            <w:r>
              <w:rPr>
                <w:rFonts w:ascii="Arial" w:cs="Arial" w:eastAsia="Arial" w:hAnsi="Arial"/>
                <w:sz w:val="16"/>
                <w:szCs w:val="16"/>
                <w:color w:val="auto"/>
              </w:rPr>
              <w:t>Certificates</w:t>
            </w: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186</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186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192</w:t>
            </w:r>
          </w:p>
        </w:tc>
        <w:tc>
          <w:tcPr>
            <w:tcW w:w="80" w:type="dxa"/>
            <w:vAlign w:val="bottom"/>
          </w:tcPr>
          <w:p>
            <w:pPr>
              <w:spacing w:after="0"/>
              <w:rPr>
                <w:sz w:val="15"/>
                <w:szCs w:val="15"/>
                <w:color w:val="auto"/>
              </w:rPr>
            </w:pPr>
          </w:p>
        </w:tc>
      </w:tr>
      <w:tr>
        <w:trPr>
          <w:trHeight w:val="180"/>
        </w:trPr>
        <w:tc>
          <w:tcPr>
            <w:tcW w:w="27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Other assets</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310</w:t>
            </w: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310</w:t>
            </w:r>
          </w:p>
        </w:tc>
        <w:tc>
          <w:tcPr>
            <w:tcW w:w="80" w:type="dxa"/>
            <w:vAlign w:val="bottom"/>
            <w:shd w:val="clear" w:color="auto" w:fill="CFF0FC"/>
          </w:tcPr>
          <w:p>
            <w:pPr>
              <w:spacing w:after="0"/>
              <w:rPr>
                <w:sz w:val="15"/>
                <w:szCs w:val="15"/>
                <w:color w:val="auto"/>
              </w:rPr>
            </w:pPr>
          </w:p>
        </w:tc>
      </w:tr>
      <w:tr>
        <w:trPr>
          <w:trHeight w:val="180"/>
        </w:trPr>
        <w:tc>
          <w:tcPr>
            <w:tcW w:w="2720" w:type="dxa"/>
            <w:vAlign w:val="bottom"/>
          </w:tcPr>
          <w:p>
            <w:pPr>
              <w:spacing w:after="0" w:line="180" w:lineRule="exact"/>
              <w:rPr>
                <w:sz w:val="20"/>
                <w:szCs w:val="20"/>
                <w:color w:val="auto"/>
              </w:rPr>
            </w:pPr>
            <w:r>
              <w:rPr>
                <w:rFonts w:ascii="Arial" w:cs="Arial" w:eastAsia="Arial" w:hAnsi="Arial"/>
                <w:sz w:val="16"/>
                <w:szCs w:val="16"/>
                <w:color w:val="auto"/>
              </w:rPr>
              <w:t>Total unconsolidated VIEs</w:t>
            </w:r>
          </w:p>
        </w:tc>
        <w:tc>
          <w:tcPr>
            <w:tcW w:w="16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1,969</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auto"/>
              </w:rPr>
              <w:t>2,117</w:t>
            </w: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2,117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2,416</w:t>
            </w:r>
          </w:p>
        </w:tc>
        <w:tc>
          <w:tcPr>
            <w:tcW w:w="2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2,494</w:t>
            </w:r>
          </w:p>
        </w:tc>
        <w:tc>
          <w:tcPr>
            <w:tcW w:w="500" w:type="dxa"/>
            <w:vAlign w:val="bottom"/>
            <w:gridSpan w:val="2"/>
          </w:tcPr>
          <w:p>
            <w:pPr>
              <w:jc w:val="right"/>
              <w:ind w:right="234"/>
              <w:spacing w:after="0" w:line="180"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2,494</w:t>
            </w:r>
          </w:p>
        </w:tc>
      </w:tr>
      <w:tr>
        <w:trPr>
          <w:trHeight w:val="20"/>
        </w:trPr>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Discontinued Operations</w:t>
      </w:r>
    </w:p>
    <w:p>
      <w:pPr>
        <w:spacing w:after="0" w:line="178" w:lineRule="exact"/>
        <w:rPr>
          <w:sz w:val="20"/>
          <w:szCs w:val="20"/>
          <w:color w:val="auto"/>
        </w:rPr>
      </w:pPr>
    </w:p>
    <w:p>
      <w:pPr>
        <w:ind w:right="140" w:firstLine="708"/>
        <w:spacing w:after="0" w:line="244" w:lineRule="auto"/>
        <w:rPr>
          <w:sz w:val="20"/>
          <w:szCs w:val="20"/>
          <w:color w:val="auto"/>
        </w:rPr>
      </w:pPr>
      <w:r>
        <w:rPr>
          <w:rFonts w:ascii="Arial" w:cs="Arial" w:eastAsia="Arial" w:hAnsi="Arial"/>
          <w:sz w:val="16"/>
          <w:szCs w:val="16"/>
          <w:color w:val="auto"/>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ended March 31, 2024, the Company reported the ecommerce operations and used vehicle dealership business as discontinued operations.</w:t>
      </w:r>
    </w:p>
    <w:p>
      <w:pPr>
        <w:spacing w:after="0" w:line="152" w:lineRule="exact"/>
        <w:rPr>
          <w:sz w:val="20"/>
          <w:szCs w:val="20"/>
          <w:color w:val="auto"/>
        </w:rPr>
      </w:pPr>
    </w:p>
    <w:p>
      <w:pPr>
        <w:ind w:right="200" w:firstLine="696"/>
        <w:spacing w:after="0" w:line="248" w:lineRule="auto"/>
        <w:rPr>
          <w:sz w:val="20"/>
          <w:szCs w:val="20"/>
          <w:color w:val="auto"/>
        </w:rPr>
      </w:pPr>
      <w:r>
        <w:rPr>
          <w:rFonts w:ascii="Arial" w:cs="Arial" w:eastAsia="Arial" w:hAnsi="Arial"/>
          <w:sz w:val="16"/>
          <w:szCs w:val="16"/>
          <w:color w:val="auto"/>
        </w:rPr>
        <w:t>During the three months ended March 31, 2024, the Company incurred charges of approximately $14.7 million for severance and other personnel-related costs and approximately $11.9 million for contract and lease termination costs as a result of the Ecommerce Wind-Down recorded in "Net income (loss) from discontinued operations" in the condensed consolidated statements of operations.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4" w:name="page25"/>
    <w:bookmarkEnd w:id="2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680" w:firstLine="708"/>
        <w:spacing w:after="0" w:line="262" w:lineRule="auto"/>
        <w:rPr>
          <w:sz w:val="20"/>
          <w:szCs w:val="20"/>
          <w:color w:val="auto"/>
        </w:rPr>
      </w:pPr>
      <w:r>
        <w:rPr>
          <w:rFonts w:ascii="Arial" w:cs="Arial" w:eastAsia="Arial" w:hAnsi="Arial"/>
          <w:sz w:val="16"/>
          <w:szCs w:val="16"/>
          <w:color w:val="auto"/>
        </w:rPr>
        <w:t>The following table summarizes the major income and expense line items from discontinued operations as reported in the condensed consolidated statements of operations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rPr>
              <w:t>Successor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rPr>
              <w:t>Period from January 15 through</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79"/>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w w:val="99"/>
              </w:rPr>
              <w:t>March 31,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jc w:val="center"/>
              <w:ind w:right="4"/>
              <w:spacing w:after="0"/>
              <w:rPr>
                <w:sz w:val="20"/>
                <w:szCs w:val="20"/>
                <w:color w:val="auto"/>
              </w:rPr>
            </w:pPr>
            <w:r>
              <w:rPr>
                <w:rFonts w:ascii="Arial" w:cs="Arial" w:eastAsia="Arial" w:hAnsi="Arial"/>
                <w:sz w:val="13"/>
                <w:szCs w:val="13"/>
                <w:b w:val="1"/>
                <w:bCs w:val="1"/>
                <w:color w:val="auto"/>
              </w:rPr>
              <w:t>2025</w:t>
            </w:r>
          </w:p>
        </w:tc>
        <w:tc>
          <w:tcPr>
            <w:tcW w:w="3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jc w:val="center"/>
              <w:ind w:right="205"/>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Revenue:</w:t>
            </w:r>
          </w:p>
        </w:tc>
        <w:tc>
          <w:tcPr>
            <w:tcW w:w="10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300" w:type="dxa"/>
            <w:vAlign w:val="bottom"/>
            <w:tcBorders>
              <w:right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Retail vehicle,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440" w:type="dxa"/>
            <w:vAlign w:val="bottom"/>
            <w:tcBorders>
              <w:right w:val="single" w:sz="8" w:color="auto"/>
            </w:tcBorders>
            <w:gridSpan w:val="2"/>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980" w:type="dxa"/>
            <w:vAlign w:val="bottom"/>
          </w:tcPr>
          <w:p>
            <w:pPr>
              <w:jc w:val="right"/>
              <w:spacing w:after="0" w:line="180" w:lineRule="exact"/>
              <w:rPr>
                <w:sz w:val="20"/>
                <w:szCs w:val="20"/>
                <w:color w:val="auto"/>
              </w:rPr>
            </w:pPr>
            <w:r>
              <w:rPr>
                <w:rFonts w:ascii="Arial" w:cs="Arial" w:eastAsia="Arial" w:hAnsi="Arial"/>
                <w:sz w:val="16"/>
                <w:szCs w:val="16"/>
                <w:color w:val="auto"/>
              </w:rPr>
              <w:t>47,320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Wholesale vehicle</w:t>
            </w:r>
          </w:p>
        </w:tc>
        <w:tc>
          <w:tcPr>
            <w:tcW w:w="100" w:type="dxa"/>
            <w:vAlign w:val="bottom"/>
            <w:shd w:val="clear" w:color="auto" w:fill="CFF0FC"/>
          </w:tcPr>
          <w:p>
            <w:pPr>
              <w:spacing w:after="0"/>
              <w:rPr>
                <w:sz w:val="15"/>
                <w:szCs w:val="15"/>
                <w:color w:val="auto"/>
              </w:rPr>
            </w:pPr>
          </w:p>
        </w:tc>
        <w:tc>
          <w:tcPr>
            <w:tcW w:w="2440" w:type="dxa"/>
            <w:vAlign w:val="bottom"/>
            <w:tcBorders>
              <w:right w:val="single" w:sz="8" w:color="auto"/>
            </w:tcBorders>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140,127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Product, net</w:t>
            </w:r>
          </w:p>
        </w:tc>
        <w:tc>
          <w:tcPr>
            <w:tcW w:w="100" w:type="dxa"/>
            <w:vAlign w:val="bottom"/>
          </w:tcPr>
          <w:p>
            <w:pPr>
              <w:spacing w:after="0"/>
              <w:rPr>
                <w:sz w:val="15"/>
                <w:szCs w:val="15"/>
                <w:color w:val="auto"/>
              </w:rPr>
            </w:pPr>
          </w:p>
        </w:tc>
        <w:tc>
          <w:tcPr>
            <w:tcW w:w="2440" w:type="dxa"/>
            <w:vAlign w:val="bottom"/>
            <w:tcBorders>
              <w:right w:val="single" w:sz="8" w:color="auto"/>
            </w:tcBorders>
            <w:gridSpan w:val="2"/>
          </w:tcPr>
          <w:p>
            <w:pPr>
              <w:jc w:val="right"/>
              <w:ind w:right="240"/>
              <w:spacing w:after="0" w:line="180" w:lineRule="exact"/>
              <w:rPr>
                <w:sz w:val="20"/>
                <w:szCs w:val="20"/>
                <w:color w:val="auto"/>
              </w:rPr>
            </w:pPr>
            <w:r>
              <w:rPr>
                <w:rFonts w:ascii="Arial" w:cs="Arial" w:eastAsia="Arial" w:hAnsi="Arial"/>
                <w:sz w:val="16"/>
                <w:szCs w:val="16"/>
                <w:color w:val="auto"/>
              </w:rPr>
              <w:t>(11)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revenue</w:t>
            </w:r>
          </w:p>
        </w:tc>
        <w:tc>
          <w:tcPr>
            <w:tcW w:w="100" w:type="dxa"/>
            <w:vAlign w:val="bottom"/>
            <w:shd w:val="clear" w:color="auto" w:fill="CFF0FC"/>
          </w:tcPr>
          <w:p>
            <w:pPr>
              <w:spacing w:after="0"/>
              <w:rPr>
                <w:sz w:val="15"/>
                <w:szCs w:val="15"/>
                <w:color w:val="auto"/>
              </w:rPr>
            </w:pPr>
          </w:p>
        </w:tc>
        <w:tc>
          <w:tcPr>
            <w:tcW w:w="2440" w:type="dxa"/>
            <w:vAlign w:val="bottom"/>
            <w:tcBorders>
              <w:right w:val="single" w:sz="8" w:color="auto"/>
            </w:tcBorders>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189,082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Cost of sales:</w:t>
            </w: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Retail vehicle</w:t>
            </w:r>
          </w:p>
        </w:tc>
        <w:tc>
          <w:tcPr>
            <w:tcW w:w="100" w:type="dxa"/>
            <w:vAlign w:val="bottom"/>
            <w:shd w:val="clear" w:color="auto" w:fill="CFF0FC"/>
          </w:tcPr>
          <w:p>
            <w:pPr>
              <w:spacing w:after="0"/>
              <w:rPr>
                <w:sz w:val="17"/>
                <w:szCs w:val="17"/>
                <w:color w:val="auto"/>
              </w:rPr>
            </w:pPr>
          </w:p>
        </w:tc>
        <w:tc>
          <w:tcPr>
            <w:tcW w:w="2440" w:type="dxa"/>
            <w:vAlign w:val="bottom"/>
            <w:tcBorders>
              <w:right w:val="single" w:sz="8" w:color="auto"/>
            </w:tcBorders>
            <w:gridSpan w:val="2"/>
            <w:vMerge w:val="restart"/>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43,673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5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40" w:type="dxa"/>
            <w:vAlign w:val="bottom"/>
            <w:tcBorders>
              <w:right w:val="single" w:sz="8" w:color="auto"/>
            </w:tcBorders>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9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Wholesale vehicle</w:t>
            </w:r>
          </w:p>
        </w:tc>
        <w:tc>
          <w:tcPr>
            <w:tcW w:w="100" w:type="dxa"/>
            <w:vAlign w:val="bottom"/>
          </w:tcPr>
          <w:p>
            <w:pPr>
              <w:spacing w:after="0"/>
              <w:rPr>
                <w:sz w:val="15"/>
                <w:szCs w:val="15"/>
                <w:color w:val="auto"/>
              </w:rPr>
            </w:pPr>
          </w:p>
        </w:tc>
        <w:tc>
          <w:tcPr>
            <w:tcW w:w="2440" w:type="dxa"/>
            <w:vAlign w:val="bottom"/>
            <w:tcBorders>
              <w:right w:val="single" w:sz="8" w:color="auto"/>
            </w:tcBorders>
            <w:gridSpan w:val="2"/>
          </w:tcPr>
          <w:p>
            <w:pPr>
              <w:jc w:val="right"/>
              <w:ind w:right="240"/>
              <w:spacing w:after="0" w:line="180"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6"/>
                <w:szCs w:val="16"/>
                <w:color w:val="auto"/>
              </w:rPr>
              <w:t>141,800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cost of sales</w:t>
            </w:r>
          </w:p>
        </w:tc>
        <w:tc>
          <w:tcPr>
            <w:tcW w:w="100" w:type="dxa"/>
            <w:vAlign w:val="bottom"/>
            <w:shd w:val="clear" w:color="auto" w:fill="CFF0FC"/>
          </w:tcPr>
          <w:p>
            <w:pPr>
              <w:spacing w:after="0"/>
              <w:rPr>
                <w:sz w:val="15"/>
                <w:szCs w:val="15"/>
                <w:color w:val="auto"/>
              </w:rPr>
            </w:pPr>
          </w:p>
        </w:tc>
        <w:tc>
          <w:tcPr>
            <w:tcW w:w="2440" w:type="dxa"/>
            <w:vAlign w:val="bottom"/>
            <w:tcBorders>
              <w:right w:val="single" w:sz="8" w:color="auto"/>
            </w:tcBorders>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185,473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Total gross profit</w:t>
            </w:r>
          </w:p>
        </w:tc>
        <w:tc>
          <w:tcPr>
            <w:tcW w:w="100" w:type="dxa"/>
            <w:vAlign w:val="bottom"/>
          </w:tcPr>
          <w:p>
            <w:pPr>
              <w:spacing w:after="0"/>
              <w:rPr>
                <w:sz w:val="15"/>
                <w:szCs w:val="15"/>
                <w:color w:val="auto"/>
              </w:rPr>
            </w:pPr>
          </w:p>
        </w:tc>
        <w:tc>
          <w:tcPr>
            <w:tcW w:w="2440" w:type="dxa"/>
            <w:vAlign w:val="bottom"/>
            <w:tcBorders>
              <w:right w:val="single" w:sz="8" w:color="auto"/>
            </w:tcBorders>
            <w:gridSpan w:val="2"/>
          </w:tcPr>
          <w:p>
            <w:pPr>
              <w:jc w:val="right"/>
              <w:ind w:right="240"/>
              <w:spacing w:after="0" w:line="180" w:lineRule="exact"/>
              <w:rPr>
                <w:sz w:val="20"/>
                <w:szCs w:val="20"/>
                <w:color w:val="auto"/>
              </w:rPr>
            </w:pPr>
            <w:r>
              <w:rPr>
                <w:rFonts w:ascii="Arial" w:cs="Arial" w:eastAsia="Arial" w:hAnsi="Arial"/>
                <w:sz w:val="16"/>
                <w:szCs w:val="16"/>
                <w:color w:val="auto"/>
              </w:rPr>
              <w:t>(5)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3,609</w:t>
            </w: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FF0FC"/>
          </w:tcPr>
          <w:p>
            <w:pPr>
              <w:spacing w:after="0"/>
              <w:rPr>
                <w:sz w:val="15"/>
                <w:szCs w:val="15"/>
                <w:color w:val="auto"/>
              </w:rPr>
            </w:pPr>
          </w:p>
        </w:tc>
        <w:tc>
          <w:tcPr>
            <w:tcW w:w="2440" w:type="dxa"/>
            <w:vAlign w:val="bottom"/>
            <w:tcBorders>
              <w:right w:val="single" w:sz="8" w:color="auto"/>
            </w:tcBorders>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(234)</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34,886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Gain on disposal of long lived assets</w:t>
            </w:r>
          </w:p>
        </w:tc>
        <w:tc>
          <w:tcPr>
            <w:tcW w:w="100" w:type="dxa"/>
            <w:vAlign w:val="bottom"/>
          </w:tcPr>
          <w:p>
            <w:pPr>
              <w:spacing w:after="0"/>
              <w:rPr>
                <w:sz w:val="15"/>
                <w:szCs w:val="15"/>
                <w:color w:val="auto"/>
              </w:rPr>
            </w:pPr>
          </w:p>
        </w:tc>
        <w:tc>
          <w:tcPr>
            <w:tcW w:w="2140" w:type="dxa"/>
            <w:vAlign w:val="bottom"/>
          </w:tcPr>
          <w:p>
            <w:pPr>
              <w:jc w:val="right"/>
              <w:spacing w:after="0" w:line="180" w:lineRule="exact"/>
              <w:rPr>
                <w:sz w:val="20"/>
                <w:szCs w:val="20"/>
                <w:color w:val="auto"/>
              </w:rPr>
            </w:pPr>
            <w:r>
              <w:rPr>
                <w:rFonts w:ascii="Arial" w:cs="Arial" w:eastAsia="Arial" w:hAnsi="Arial"/>
                <w:sz w:val="16"/>
                <w:szCs w:val="16"/>
                <w:color w:val="auto"/>
              </w:rPr>
              <w:t>130</w:t>
            </w:r>
          </w:p>
        </w:tc>
        <w:tc>
          <w:tcPr>
            <w:tcW w:w="3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FF0FC"/>
          </w:tcPr>
          <w:p>
            <w:pPr>
              <w:spacing w:after="0"/>
              <w:rPr>
                <w:sz w:val="15"/>
                <w:szCs w:val="15"/>
                <w:color w:val="auto"/>
              </w:rPr>
            </w:pPr>
          </w:p>
        </w:tc>
        <w:tc>
          <w:tcPr>
            <w:tcW w:w="2440" w:type="dxa"/>
            <w:vAlign w:val="bottom"/>
            <w:tcBorders>
              <w:right w:val="single" w:sz="8" w:color="auto"/>
            </w:tcBorders>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383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5"/>
                <w:szCs w:val="15"/>
                <w:color w:val="auto"/>
              </w:rPr>
            </w:pPr>
          </w:p>
        </w:tc>
        <w:tc>
          <w:tcPr>
            <w:tcW w:w="2440" w:type="dxa"/>
            <w:vAlign w:val="bottom"/>
            <w:tcBorders>
              <w:right w:val="single" w:sz="8" w:color="auto"/>
            </w:tcBorders>
            <w:gridSpan w:val="2"/>
          </w:tcPr>
          <w:p>
            <w:pPr>
              <w:jc w:val="right"/>
              <w:ind w:right="300"/>
              <w:spacing w:after="0" w:line="180" w:lineRule="exact"/>
              <w:rPr>
                <w:sz w:val="20"/>
                <w:szCs w:val="20"/>
                <w:color w:val="auto"/>
              </w:rPr>
            </w:pPr>
            <w:r>
              <w:rPr>
                <w:rFonts w:ascii="Arial" w:cs="Arial" w:eastAsia="Arial" w:hAnsi="Arial"/>
                <w:sz w:val="16"/>
                <w:szCs w:val="16"/>
                <w:color w:val="auto"/>
              </w:rPr>
              <w:t>99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(22,119)</w:t>
            </w: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spacing w:after="0"/>
              <w:rPr>
                <w:sz w:val="15"/>
                <w:szCs w:val="15"/>
                <w:color w:val="auto"/>
              </w:rPr>
            </w:pPr>
          </w:p>
        </w:tc>
        <w:tc>
          <w:tcPr>
            <w:tcW w:w="2440" w:type="dxa"/>
            <w:vAlign w:val="bottom"/>
            <w:tcBorders>
              <w:right w:val="single" w:sz="8" w:color="auto"/>
            </w:tcBorders>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6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Interest loss</w:t>
            </w:r>
          </w:p>
        </w:tc>
        <w:tc>
          <w:tcPr>
            <w:tcW w:w="100" w:type="dxa"/>
            <w:vAlign w:val="bottom"/>
          </w:tcPr>
          <w:p>
            <w:pPr>
              <w:spacing w:after="0"/>
              <w:rPr>
                <w:sz w:val="15"/>
                <w:szCs w:val="15"/>
                <w:color w:val="auto"/>
              </w:rPr>
            </w:pPr>
          </w:p>
        </w:tc>
        <w:tc>
          <w:tcPr>
            <w:tcW w:w="2440" w:type="dxa"/>
            <w:vAlign w:val="bottom"/>
            <w:tcBorders>
              <w:right w:val="single" w:sz="8" w:color="auto"/>
            </w:tcBorders>
            <w:gridSpan w:val="2"/>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(loss) before provision for income taxes</w:t>
            </w:r>
          </w:p>
        </w:tc>
        <w:tc>
          <w:tcPr>
            <w:tcW w:w="100" w:type="dxa"/>
            <w:vAlign w:val="bottom"/>
            <w:shd w:val="clear" w:color="auto" w:fill="CFF0FC"/>
          </w:tcPr>
          <w:p>
            <w:pPr>
              <w:spacing w:after="0"/>
              <w:rPr>
                <w:sz w:val="15"/>
                <w:szCs w:val="15"/>
                <w:color w:val="auto"/>
              </w:rPr>
            </w:pPr>
          </w:p>
        </w:tc>
        <w:tc>
          <w:tcPr>
            <w:tcW w:w="2440" w:type="dxa"/>
            <w:vAlign w:val="bottom"/>
            <w:tcBorders>
              <w:right w:val="single" w:sz="8" w:color="auto"/>
            </w:tcBorders>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99</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6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(22,841)</w:t>
            </w:r>
          </w:p>
        </w:tc>
        <w:tc>
          <w:tcPr>
            <w:tcW w:w="0" w:type="dxa"/>
            <w:vAlign w:val="bottom"/>
          </w:tcPr>
          <w:p>
            <w:pPr>
              <w:spacing w:after="0"/>
              <w:rPr>
                <w:sz w:val="1"/>
                <w:szCs w:val="1"/>
                <w:color w:val="auto"/>
              </w:rPr>
            </w:pP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15"/>
                <w:szCs w:val="15"/>
                <w:color w:val="auto"/>
              </w:rPr>
            </w:pPr>
          </w:p>
        </w:tc>
        <w:tc>
          <w:tcPr>
            <w:tcW w:w="2440" w:type="dxa"/>
            <w:vAlign w:val="bottom"/>
            <w:tcBorders>
              <w:right w:val="single" w:sz="8" w:color="auto"/>
            </w:tcBorders>
            <w:gridSpan w:val="2"/>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0"/>
        </w:trPr>
        <w:tc>
          <w:tcPr>
            <w:tcW w:w="5480" w:type="dxa"/>
            <w:vAlign w:val="bottom"/>
            <w:shd w:val="clear" w:color="auto" w:fill="CFF0FC"/>
          </w:tcPr>
          <w:p>
            <w:pPr>
              <w:spacing w:after="0" w:line="160" w:lineRule="exact"/>
              <w:rPr>
                <w:sz w:val="20"/>
                <w:szCs w:val="20"/>
                <w:color w:val="auto"/>
              </w:rPr>
            </w:pPr>
            <w:r>
              <w:rPr>
                <w:rFonts w:ascii="Arial" w:cs="Arial" w:eastAsia="Arial" w:hAnsi="Arial"/>
                <w:sz w:val="16"/>
                <w:szCs w:val="16"/>
                <w:color w:val="auto"/>
              </w:rPr>
              <w:t>Net income (loss) from discontinued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2440" w:type="dxa"/>
            <w:vAlign w:val="bottom"/>
            <w:tcBorders>
              <w:right w:val="single" w:sz="8" w:color="auto"/>
            </w:tcBorders>
            <w:gridSpan w:val="2"/>
            <w:shd w:val="clear" w:color="auto" w:fill="CFF0FC"/>
          </w:tcPr>
          <w:p>
            <w:pPr>
              <w:jc w:val="right"/>
              <w:ind w:right="300"/>
              <w:spacing w:after="0" w:line="160" w:lineRule="exact"/>
              <w:rPr>
                <w:sz w:val="20"/>
                <w:szCs w:val="20"/>
                <w:color w:val="auto"/>
              </w:rPr>
            </w:pPr>
            <w:r>
              <w:rPr>
                <w:rFonts w:ascii="Arial" w:cs="Arial" w:eastAsia="Arial" w:hAnsi="Arial"/>
                <w:sz w:val="16"/>
                <w:szCs w:val="16"/>
                <w:color w:val="auto"/>
              </w:rPr>
              <w:t>99</w:t>
            </w:r>
          </w:p>
        </w:tc>
        <w:tc>
          <w:tcPr>
            <w:tcW w:w="480" w:type="dxa"/>
            <w:vAlign w:val="bottom"/>
            <w:gridSpan w:val="2"/>
            <w:shd w:val="clear" w:color="auto" w:fill="CFF0FC"/>
          </w:tcPr>
          <w:p>
            <w:pPr>
              <w:jc w:val="right"/>
              <w:ind w:right="180"/>
              <w:spacing w:after="0" w:line="160" w:lineRule="exact"/>
              <w:rPr>
                <w:sz w:val="20"/>
                <w:szCs w:val="20"/>
                <w:color w:val="auto"/>
              </w:rPr>
            </w:pPr>
            <w:r>
              <w:rPr>
                <w:rFonts w:ascii="Arial" w:cs="Arial" w:eastAsia="Arial" w:hAnsi="Arial"/>
                <w:sz w:val="16"/>
                <w:szCs w:val="16"/>
                <w:color w:val="auto"/>
              </w:rPr>
              <w:t>$</w:t>
            </w:r>
          </w:p>
        </w:tc>
        <w:tc>
          <w:tcPr>
            <w:tcW w:w="2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1"/>
                <w:szCs w:val="11"/>
                <w:color w:val="auto"/>
              </w:rPr>
              <w:t>(22,941</w:t>
            </w:r>
            <w:r>
              <w:rPr>
                <w:rFonts w:ascii="Arial" w:cs="Arial" w:eastAsia="Arial" w:hAnsi="Arial"/>
                <w:sz w:val="18"/>
                <w:szCs w:val="18"/>
                <w:color w:val="auto"/>
                <w:vertAlign w:val="subscript"/>
              </w:rPr>
              <w:t>)</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income (loss) from discontinued operations for the period from January 1, 2025, to January 14, 2025, was not material.</w:t>
      </w:r>
    </w:p>
    <w:p>
      <w:pPr>
        <w:spacing w:after="0" w:line="176" w:lineRule="exact"/>
        <w:rPr>
          <w:sz w:val="20"/>
          <w:szCs w:val="20"/>
          <w:color w:val="auto"/>
        </w:rPr>
      </w:pPr>
    </w:p>
    <w:p>
      <w:pPr>
        <w:ind w:right="700" w:firstLine="708"/>
        <w:spacing w:after="0" w:line="262" w:lineRule="auto"/>
        <w:rPr>
          <w:sz w:val="20"/>
          <w:szCs w:val="20"/>
          <w:color w:val="auto"/>
        </w:rPr>
      </w:pPr>
      <w:r>
        <w:rPr>
          <w:rFonts w:ascii="Arial" w:cs="Arial" w:eastAsia="Arial" w:hAnsi="Arial"/>
          <w:sz w:val="16"/>
          <w:szCs w:val="16"/>
          <w:color w:val="auto"/>
        </w:rPr>
        <w:t>The following table summarizes the major classes of assets and liabilities from discontinued operations as reported in the condensed consolidated balance sheets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3"/>
                <w:szCs w:val="13"/>
                <w:b w:val="1"/>
                <w:bCs w:val="1"/>
                <w:color w:val="auto"/>
              </w:rPr>
              <w:t>Successor</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Borders>
              <w:right w:val="single" w:sz="8" w:color="auto"/>
            </w:tcBorders>
            <w:gridSpan w:val="2"/>
          </w:tcPr>
          <w:p>
            <w:pPr>
              <w:jc w:val="center"/>
              <w:ind w:right="720"/>
              <w:spacing w:after="0"/>
              <w:rPr>
                <w:sz w:val="20"/>
                <w:szCs w:val="20"/>
                <w:color w:val="auto"/>
              </w:rPr>
            </w:pPr>
            <w:r>
              <w:rPr>
                <w:rFonts w:ascii="Arial" w:cs="Arial" w:eastAsia="Arial" w:hAnsi="Arial"/>
                <w:sz w:val="13"/>
                <w:szCs w:val="13"/>
                <w:b w:val="1"/>
                <w:bCs w:val="1"/>
                <w:color w:val="auto"/>
                <w:w w:val="98"/>
              </w:rPr>
              <w:t>As of</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3"/>
                <w:szCs w:val="13"/>
                <w:b w:val="1"/>
                <w:bCs w:val="1"/>
                <w:color w:val="auto"/>
                <w:w w:val="99"/>
              </w:rPr>
              <w:t>March 31,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16"/>
        </w:trPr>
        <w:tc>
          <w:tcPr>
            <w:tcW w:w="3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ASSETS</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center"/>
              <w:ind w:right="287"/>
              <w:spacing w:after="0"/>
              <w:rPr>
                <w:sz w:val="20"/>
                <w:szCs w:val="20"/>
                <w:color w:val="auto"/>
              </w:rPr>
            </w:pPr>
            <w:r>
              <w:rPr>
                <w:rFonts w:ascii="Arial" w:cs="Arial" w:eastAsia="Arial" w:hAnsi="Arial"/>
                <w:sz w:val="13"/>
                <w:szCs w:val="13"/>
                <w:b w:val="1"/>
                <w:bCs w:val="1"/>
                <w:color w:val="auto"/>
              </w:rPr>
              <w:t>2025</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ind w:right="247"/>
              <w:spacing w:after="0"/>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940" w:type="dxa"/>
            <w:vAlign w:val="bottom"/>
            <w:gridSpan w:val="2"/>
            <w:vMerge w:val="continue"/>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Property and equipment, net</w:t>
            </w:r>
          </w:p>
        </w:tc>
        <w:tc>
          <w:tcPr>
            <w:tcW w:w="2220" w:type="dxa"/>
            <w:vAlign w:val="bottom"/>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62"/>
              <w:spacing w:after="0" w:line="180" w:lineRule="exact"/>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800</w:t>
            </w: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Assets from discontinued operations</w:t>
            </w:r>
          </w:p>
        </w:tc>
        <w:tc>
          <w:tcPr>
            <w:tcW w:w="2220" w:type="dxa"/>
            <w:vAlign w:val="bottom"/>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62"/>
              <w:spacing w:after="0" w:line="180" w:lineRule="exact"/>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943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Borders>
              <w:top w:val="single" w:sz="8" w:color="CFF0FC"/>
            </w:tcBorders>
          </w:tcPr>
          <w:p>
            <w:pPr>
              <w:spacing w:after="0" w:line="156" w:lineRule="exact"/>
              <w:rPr>
                <w:sz w:val="20"/>
                <w:szCs w:val="20"/>
                <w:color w:val="auto"/>
              </w:rPr>
            </w:pPr>
            <w:r>
              <w:rPr>
                <w:rFonts w:ascii="Arial" w:cs="Arial" w:eastAsia="Arial" w:hAnsi="Arial"/>
                <w:sz w:val="16"/>
                <w:szCs w:val="16"/>
                <w:b w:val="1"/>
                <w:bCs w:val="1"/>
                <w:color w:val="auto"/>
              </w:rPr>
              <w:t>LIABILITIES</w:t>
            </w:r>
          </w:p>
        </w:tc>
        <w:tc>
          <w:tcPr>
            <w:tcW w:w="184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300" w:type="dxa"/>
            <w:vAlign w:val="bottom"/>
            <w:tcBorders>
              <w:top w:val="single" w:sz="8" w:color="CFF0FC"/>
              <w:right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Accounts payable</w:t>
            </w:r>
          </w:p>
        </w:tc>
        <w:tc>
          <w:tcPr>
            <w:tcW w:w="2220" w:type="dxa"/>
            <w:vAlign w:val="bottom"/>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shd w:val="clear" w:color="auto" w:fill="CFF0FC"/>
          </w:tcPr>
          <w:p>
            <w:pPr>
              <w:jc w:val="right"/>
              <w:ind w:right="300"/>
              <w:spacing w:after="0" w:line="180" w:lineRule="exact"/>
              <w:rPr>
                <w:sz w:val="20"/>
                <w:szCs w:val="20"/>
                <w:color w:val="auto"/>
              </w:rPr>
            </w:pPr>
            <w:r>
              <w:rPr>
                <w:rFonts w:ascii="Arial" w:cs="Arial" w:eastAsia="Arial" w:hAnsi="Arial"/>
                <w:sz w:val="16"/>
                <w:szCs w:val="16"/>
                <w:color w:val="auto"/>
              </w:rPr>
              <w:t>22</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62"/>
              <w:spacing w:after="0" w:line="180" w:lineRule="exact"/>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116</w:t>
            </w: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tcPr>
          <w:p>
            <w:pPr>
              <w:spacing w:after="0" w:line="180" w:lineRule="exact"/>
              <w:rPr>
                <w:sz w:val="20"/>
                <w:szCs w:val="20"/>
                <w:color w:val="auto"/>
              </w:rPr>
            </w:pPr>
            <w:r>
              <w:rPr>
                <w:rFonts w:ascii="Arial" w:cs="Arial" w:eastAsia="Arial" w:hAnsi="Arial"/>
                <w:sz w:val="16"/>
                <w:szCs w:val="16"/>
                <w:color w:val="auto"/>
              </w:rPr>
              <w:t>Accrued expenses</w:t>
            </w: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Borders>
              <w:right w:val="single" w:sz="8" w:color="auto"/>
            </w:tcBorders>
            <w:gridSpan w:val="2"/>
          </w:tcPr>
          <w:p>
            <w:pPr>
              <w:jc w:val="right"/>
              <w:ind w:right="300"/>
              <w:spacing w:after="0" w:line="180" w:lineRule="exact"/>
              <w:rPr>
                <w:sz w:val="20"/>
                <w:szCs w:val="20"/>
                <w:color w:val="auto"/>
              </w:rPr>
            </w:pPr>
            <w:r>
              <w:rPr>
                <w:rFonts w:ascii="Arial" w:cs="Arial" w:eastAsia="Arial" w:hAnsi="Arial"/>
                <w:sz w:val="16"/>
                <w:szCs w:val="16"/>
                <w:color w:val="auto"/>
              </w:rPr>
              <w:t>2,948</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2"/>
          </w:tcPr>
          <w:p>
            <w:pPr>
              <w:jc w:val="right"/>
              <w:ind w:right="280"/>
              <w:spacing w:after="0" w:line="180" w:lineRule="exact"/>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Liabilities from discontinued operations</w:t>
            </w:r>
          </w:p>
        </w:tc>
        <w:tc>
          <w:tcPr>
            <w:tcW w:w="2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shd w:val="clear" w:color="auto" w:fill="CFF0FC"/>
          </w:tcPr>
          <w:p>
            <w:pPr>
              <w:jc w:val="right"/>
              <w:ind w:right="300"/>
              <w:spacing w:after="0"/>
              <w:rPr>
                <w:sz w:val="20"/>
                <w:szCs w:val="20"/>
                <w:color w:val="auto"/>
              </w:rPr>
            </w:pPr>
            <w:r>
              <w:rPr>
                <w:rFonts w:ascii="Arial" w:cs="Arial" w:eastAsia="Arial" w:hAnsi="Arial"/>
                <w:sz w:val="16"/>
                <w:szCs w:val="16"/>
                <w:color w:val="auto"/>
              </w:rPr>
              <w:t>2,970</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w w:val="89"/>
              </w:rPr>
              <w:t>$</w:t>
            </w:r>
          </w:p>
        </w:tc>
        <w:tc>
          <w:tcPr>
            <w:tcW w:w="19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4,022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2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920" w:type="dxa"/>
            <w:vAlign w:val="bottom"/>
            <w:tcBorders>
              <w:right w:val="single" w:sz="8" w:color="auto"/>
            </w:tcBorders>
            <w:gridSpan w:val="2"/>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96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920" w:type="dxa"/>
            <w:vAlign w:val="bottom"/>
            <w:tcBorders>
              <w:top w:val="single" w:sz="8" w:color="CFF0FC"/>
            </w:tcBorders>
          </w:tcPr>
          <w:p>
            <w:pPr>
              <w:spacing w:after="0"/>
              <w:rPr>
                <w:sz w:val="24"/>
                <w:szCs w:val="24"/>
                <w:color w:val="auto"/>
              </w:rPr>
            </w:pPr>
          </w:p>
        </w:tc>
        <w:tc>
          <w:tcPr>
            <w:tcW w:w="1840" w:type="dxa"/>
            <w:vAlign w:val="bottom"/>
            <w:tcBorders>
              <w:top w:val="single" w:sz="8" w:color="CFF0FC"/>
            </w:tcBorders>
          </w:tcPr>
          <w:p>
            <w:pPr>
              <w:jc w:val="right"/>
              <w:ind w:right="322"/>
              <w:spacing w:after="0"/>
              <w:rPr>
                <w:sz w:val="20"/>
                <w:szCs w:val="20"/>
                <w:color w:val="auto"/>
              </w:rPr>
            </w:pPr>
            <w:r>
              <w:rPr>
                <w:rFonts w:ascii="Arial" w:cs="Arial" w:eastAsia="Arial" w:hAnsi="Arial"/>
                <w:sz w:val="16"/>
                <w:szCs w:val="16"/>
                <w:color w:val="auto"/>
              </w:rPr>
              <w:t>25</w:t>
            </w:r>
          </w:p>
        </w:tc>
        <w:tc>
          <w:tcPr>
            <w:tcW w:w="3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c>
          <w:tcPr>
            <w:tcW w:w="18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5" w:name="page26"/>
    <w:bookmarkEnd w:id="2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Fresh Start Accounting</w:t>
      </w:r>
    </w:p>
    <w:p>
      <w:pPr>
        <w:spacing w:after="0" w:line="178" w:lineRule="exact"/>
        <w:rPr>
          <w:sz w:val="20"/>
          <w:szCs w:val="20"/>
          <w:color w:val="auto"/>
        </w:rPr>
      </w:pPr>
    </w:p>
    <w:p>
      <w:pPr>
        <w:ind w:right="40" w:firstLine="708"/>
        <w:spacing w:after="0"/>
        <w:rPr>
          <w:sz w:val="20"/>
          <w:szCs w:val="20"/>
          <w:color w:val="auto"/>
        </w:rPr>
      </w:pPr>
      <w:r>
        <w:rPr>
          <w:rFonts w:ascii="Arial" w:cs="Arial" w:eastAsia="Arial" w:hAnsi="Arial"/>
          <w:sz w:val="16"/>
          <w:szCs w:val="16"/>
          <w:color w:val="auto"/>
        </w:rPr>
        <w:t>As discussed in Note 1 — Description of Business and Basis of Presentation, on November 13, 2024, the Company commenced the Prepackaged Chapter 11 Case. On January 14, 2025, the Effective Date, the conditions to the effectiveness of the Plan were satisfied or waived and the Plan became effective. On January 14, 2025, the Company emerged from the Prepackaged Chapter 11 Case. On the Effective Date, each holder of the Notes received a pro rata share of 92.94% of the New Common Stock, as defined below, (subject to dilution) and all of the Company’s outstanding obligations under the Notes and the Indenture were deemed fully satisfied and discharged. There were no other creditors of the Company impaired in connection with the Prepackaged Chapter 11 Case.</w:t>
      </w:r>
    </w:p>
    <w:p>
      <w:pPr>
        <w:spacing w:after="0" w:line="156" w:lineRule="exact"/>
        <w:rPr>
          <w:sz w:val="20"/>
          <w:szCs w:val="20"/>
          <w:color w:val="auto"/>
        </w:rPr>
      </w:pPr>
    </w:p>
    <w:p>
      <w:pPr>
        <w:ind w:firstLine="696"/>
        <w:spacing w:after="0" w:line="244" w:lineRule="auto"/>
        <w:rPr>
          <w:sz w:val="20"/>
          <w:szCs w:val="20"/>
          <w:color w:val="auto"/>
        </w:rPr>
      </w:pPr>
      <w:r>
        <w:rPr>
          <w:rFonts w:ascii="Arial" w:cs="Arial" w:eastAsia="Arial" w:hAnsi="Arial"/>
          <w:sz w:val="16"/>
          <w:szCs w:val="16"/>
          <w:color w:val="auto"/>
        </w:rPr>
        <w:t>The Company adopted an Amended and Restated Certificate of Incorporation (the “Certificate of Incorporation”) to, among other changes to its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“New Common Stock”).</w:t>
      </w:r>
    </w:p>
    <w:p>
      <w:pPr>
        <w:spacing w:after="0" w:line="152"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 shares of the New Common Stock, at an exercise price of $60.95 per share, to stockholders of the Predecessor in accordance with the Prepackaged Chapter 11 Case. Each Warrant was immediately exercisable upon the issuance date and will expire five years from the issuance date.</w:t>
      </w:r>
    </w:p>
    <w:p>
      <w:pPr>
        <w:spacing w:after="0" w:line="157" w:lineRule="exact"/>
        <w:rPr>
          <w:sz w:val="20"/>
          <w:szCs w:val="20"/>
          <w:color w:val="auto"/>
        </w:rPr>
      </w:pPr>
    </w:p>
    <w:p>
      <w:pPr>
        <w:ind w:right="60" w:firstLine="696"/>
        <w:spacing w:after="0" w:line="279" w:lineRule="auto"/>
        <w:rPr>
          <w:sz w:val="20"/>
          <w:szCs w:val="20"/>
          <w:color w:val="auto"/>
        </w:rPr>
      </w:pPr>
      <w:r>
        <w:rPr>
          <w:rFonts w:ascii="Arial" w:cs="Arial" w:eastAsia="Arial" w:hAnsi="Arial"/>
          <w:sz w:val="14"/>
          <w:szCs w:val="14"/>
          <w:color w:val="auto"/>
        </w:rPr>
        <w:t>In connection with the emergence from the Prepackaged Chapter 11 Case and in accordance with ASC Topic 852, the Company qualified for and adopted fresh start accounting on the Effective Date. The Company was required to adopt fresh start accounting because (i) the holders of existing voting shares of the Predecessor received less than 50% of the voting shares of the Successor Company, and (ii) the reorganization value of the assets immediately prior to confirmation of the Plan was less than the post-petition liabilities and allowed claims. In accordance with ASC Topic 852, with the application of fresh start accounting, the Company allocated its equity value to its individual assets and liabilities based on their estimated fair values. As a result of the application of fresh start accounting and the effects of the implementation of the Plan, the condensed consolidated financial statements after January 14, 2025, are not comparable with the condensed consolidated financial statements as of or prior to that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Reorganization Value</w:t>
      </w:r>
    </w:p>
    <w:p>
      <w:pPr>
        <w:spacing w:after="0" w:line="176" w:lineRule="exact"/>
        <w:rPr>
          <w:sz w:val="20"/>
          <w:szCs w:val="20"/>
          <w:color w:val="auto"/>
        </w:rPr>
      </w:pPr>
    </w:p>
    <w:p>
      <w:pPr>
        <w:ind w:right="280" w:firstLine="696"/>
        <w:spacing w:after="0" w:line="262" w:lineRule="auto"/>
        <w:rPr>
          <w:sz w:val="20"/>
          <w:szCs w:val="20"/>
          <w:color w:val="auto"/>
        </w:rPr>
      </w:pPr>
      <w:r>
        <w:rPr>
          <w:rFonts w:ascii="Arial" w:cs="Arial" w:eastAsia="Arial" w:hAnsi="Arial"/>
          <w:sz w:val="16"/>
          <w:szCs w:val="16"/>
          <w:color w:val="auto"/>
        </w:rPr>
        <w:t>In accordance with ASC Topic 852, with the application of fresh start accounting, the Company will allocate the equity value to its individual assets and liabilities based on their estimated fair values in conformity with ASC Topic 820, Fair Value.</w:t>
      </w:r>
    </w:p>
    <w:p>
      <w:pPr>
        <w:spacing w:after="0" w:line="54" w:lineRule="exact"/>
        <w:rPr>
          <w:sz w:val="20"/>
          <w:szCs w:val="20"/>
          <w:color w:val="auto"/>
        </w:rPr>
      </w:pPr>
    </w:p>
    <w:p>
      <w:pPr>
        <w:ind w:right="100" w:firstLine="696"/>
        <w:spacing w:after="0" w:line="241" w:lineRule="auto"/>
        <w:rPr>
          <w:sz w:val="20"/>
          <w:szCs w:val="20"/>
          <w:color w:val="auto"/>
        </w:rPr>
      </w:pPr>
      <w:r>
        <w:rPr>
          <w:rFonts w:ascii="Arial" w:cs="Arial" w:eastAsia="Arial" w:hAnsi="Arial"/>
          <w:sz w:val="16"/>
          <w:szCs w:val="16"/>
          <w:color w:val="auto"/>
        </w:rPr>
        <w:t>As set forth in the Plan and the disclosure statement, the value of the Successor Company was assigned to its equity and estimated to be between $115.6 million and $179.4 million. Based on the estimates and assumptions discussed below, the Company estimated the Successor’s equity value to be $164.5 million for financial reporting purposes, which is within the range of equity value per the Plan. The Company estimated the enterprise value and corresponding equity value utilizing two valuation methods: a comparable public company analysis, and a discounted cash flow (“DCF”) method.</w:t>
      </w:r>
    </w:p>
    <w:p>
      <w:pPr>
        <w:spacing w:after="0" w:line="73" w:lineRule="exact"/>
        <w:rPr>
          <w:sz w:val="20"/>
          <w:szCs w:val="20"/>
          <w:color w:val="auto"/>
        </w:rPr>
      </w:pPr>
    </w:p>
    <w:p>
      <w:pPr>
        <w:ind w:right="60" w:firstLine="696"/>
        <w:spacing w:after="0"/>
        <w:rPr>
          <w:sz w:val="20"/>
          <w:szCs w:val="20"/>
          <w:color w:val="auto"/>
        </w:rPr>
      </w:pPr>
      <w:r>
        <w:rPr>
          <w:rFonts w:ascii="Arial" w:cs="Arial" w:eastAsia="Arial" w:hAnsi="Arial"/>
          <w:sz w:val="16"/>
          <w:szCs w:val="16"/>
          <w:color w:val="auto"/>
        </w:rPr>
        <w:t>The DCF analysis is a forward -looking enterprise valuation methodology that estimates fair value by calculating the present value of expected future cash flows to be generated plus a present value of the estimated terminal value. The Company established an estimate of future cash flows through December 31, 2029, based on the financial projections and assumptions utilized in the Company’s disclosure statement to the Plan, which were derived from earnings forecasts and assumptions regarding growth and profit projections. A terminal value was calculated using the constant growth method based on the projected cash flows for the final year of the forecast period. The cash flow assumptions used in the DCF analysis reflected the Company’s best estimates at the time the analysis was prepared.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26" w:name="page27"/>
    <w:bookmarkEnd w:id="2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right="220" w:firstLine="708"/>
        <w:spacing w:after="0" w:line="244" w:lineRule="auto"/>
        <w:rPr>
          <w:sz w:val="20"/>
          <w:szCs w:val="20"/>
          <w:color w:val="auto"/>
        </w:rPr>
      </w:pPr>
      <w:r>
        <w:rPr>
          <w:rFonts w:ascii="Arial" w:cs="Arial" w:eastAsia="Arial" w:hAnsi="Arial"/>
          <w:sz w:val="16"/>
          <w:szCs w:val="16"/>
          <w:color w:val="auto"/>
        </w:rPr>
        <w:t>The selected public companies analysis is based on the enterprise values of selected publicly traded companies that have operating and financial characteristics comparable in certain respects to the Company. Under this methodology, certain financial multiples that measure financial performance and value are calculated for the selected company. A reference range was determined utilizing such multiples and is applied to certain of the Company's financial metrics to imply an estimated equity value for the business.</w:t>
      </w:r>
    </w:p>
    <w:p>
      <w:pPr>
        <w:spacing w:after="0" w:line="152" w:lineRule="exact"/>
        <w:rPr>
          <w:sz w:val="20"/>
          <w:szCs w:val="20"/>
          <w:color w:val="auto"/>
        </w:rPr>
      </w:pPr>
    </w:p>
    <w:p>
      <w:pPr>
        <w:ind w:right="380" w:firstLine="708"/>
        <w:spacing w:after="0" w:line="262" w:lineRule="auto"/>
        <w:rPr>
          <w:sz w:val="20"/>
          <w:szCs w:val="20"/>
          <w:color w:val="auto"/>
        </w:rPr>
      </w:pPr>
      <w:r>
        <w:rPr>
          <w:rFonts w:ascii="Arial" w:cs="Arial" w:eastAsia="Arial" w:hAnsi="Arial"/>
          <w:sz w:val="16"/>
          <w:szCs w:val="16"/>
          <w:color w:val="auto"/>
        </w:rPr>
        <w:t>The following table reconciles the enterprise value to the estimated fair value of the Successor Common Stock as of the Effective Date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Enterprise value</w:t>
            </w:r>
          </w:p>
        </w:tc>
        <w:tc>
          <w:tcPr>
            <w:tcW w:w="322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832,727</w:t>
            </w:r>
          </w:p>
        </w:tc>
        <w:tc>
          <w:tcPr>
            <w:tcW w:w="10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5720" w:type="dxa"/>
            <w:vAlign w:val="bottom"/>
          </w:tcPr>
          <w:p>
            <w:pPr>
              <w:spacing w:after="0" w:line="180" w:lineRule="exact"/>
              <w:rPr>
                <w:sz w:val="20"/>
                <w:szCs w:val="20"/>
                <w:color w:val="auto"/>
              </w:rPr>
            </w:pPr>
            <w:r>
              <w:rPr>
                <w:rFonts w:ascii="Arial" w:cs="Arial" w:eastAsia="Arial" w:hAnsi="Arial"/>
                <w:sz w:val="16"/>
                <w:szCs w:val="16"/>
                <w:color w:val="auto"/>
              </w:rPr>
              <w:t>Plus:</w:t>
            </w:r>
          </w:p>
        </w:tc>
        <w:tc>
          <w:tcPr>
            <w:tcW w:w="2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720" w:type="dxa"/>
            <w:vAlign w:val="bottom"/>
            <w:shd w:val="clear" w:color="auto" w:fill="CFF0FC"/>
          </w:tcPr>
          <w:p>
            <w:pPr>
              <w:ind w:left="80"/>
              <w:spacing w:after="0" w:line="180" w:lineRule="exact"/>
              <w:rPr>
                <w:sz w:val="20"/>
                <w:szCs w:val="20"/>
                <w:color w:val="auto"/>
              </w:rPr>
            </w:pPr>
            <w:r>
              <w:rPr>
                <w:rFonts w:ascii="Arial" w:cs="Arial" w:eastAsia="Arial" w:hAnsi="Arial"/>
                <w:sz w:val="16"/>
                <w:szCs w:val="16"/>
                <w:color w:val="auto"/>
              </w:rPr>
              <w:t>Cash and cash equivalents</w:t>
            </w:r>
          </w:p>
        </w:tc>
        <w:tc>
          <w:tcPr>
            <w:tcW w:w="2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35,352</w:t>
            </w:r>
          </w:p>
        </w:tc>
        <w:tc>
          <w:tcPr>
            <w:tcW w:w="10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720" w:type="dxa"/>
            <w:vAlign w:val="bottom"/>
          </w:tcPr>
          <w:p>
            <w:pPr>
              <w:ind w:left="80"/>
              <w:spacing w:after="0" w:line="180" w:lineRule="exact"/>
              <w:rPr>
                <w:sz w:val="20"/>
                <w:szCs w:val="20"/>
                <w:color w:val="auto"/>
              </w:rPr>
            </w:pPr>
            <w:r>
              <w:rPr>
                <w:rFonts w:ascii="Arial" w:cs="Arial" w:eastAsia="Arial" w:hAnsi="Arial"/>
                <w:sz w:val="16"/>
                <w:szCs w:val="16"/>
                <w:color w:val="auto"/>
              </w:rPr>
              <w:t>Restricted cash</w:t>
            </w:r>
          </w:p>
        </w:tc>
        <w:tc>
          <w:tcPr>
            <w:tcW w:w="2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auto"/>
              </w:rPr>
              <w:t>26,089</w:t>
            </w: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7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Less:</w:t>
            </w:r>
          </w:p>
        </w:tc>
        <w:tc>
          <w:tcPr>
            <w:tcW w:w="2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720" w:type="dxa"/>
            <w:vAlign w:val="bottom"/>
          </w:tcPr>
          <w:p>
            <w:pPr>
              <w:ind w:left="80"/>
              <w:spacing w:after="0" w:line="180" w:lineRule="exact"/>
              <w:rPr>
                <w:sz w:val="20"/>
                <w:szCs w:val="20"/>
                <w:color w:val="auto"/>
              </w:rPr>
            </w:pPr>
            <w:r>
              <w:rPr>
                <w:rFonts w:ascii="Arial" w:cs="Arial" w:eastAsia="Arial" w:hAnsi="Arial"/>
                <w:sz w:val="16"/>
                <w:szCs w:val="16"/>
                <w:color w:val="auto"/>
              </w:rPr>
              <w:t>Warehouse credit facilities of consolidated VIEs</w:t>
            </w:r>
          </w:p>
        </w:tc>
        <w:tc>
          <w:tcPr>
            <w:tcW w:w="2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auto"/>
              </w:rPr>
              <w:t>363,718</w:t>
            </w: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720" w:type="dxa"/>
            <w:vAlign w:val="bottom"/>
            <w:shd w:val="clear" w:color="auto" w:fill="CFF0FC"/>
          </w:tcPr>
          <w:p>
            <w:pPr>
              <w:ind w:left="80"/>
              <w:spacing w:after="0" w:line="180" w:lineRule="exact"/>
              <w:rPr>
                <w:sz w:val="20"/>
                <w:szCs w:val="20"/>
                <w:color w:val="auto"/>
              </w:rPr>
            </w:pPr>
            <w:r>
              <w:rPr>
                <w:rFonts w:ascii="Arial" w:cs="Arial" w:eastAsia="Arial" w:hAnsi="Arial"/>
                <w:sz w:val="16"/>
                <w:szCs w:val="16"/>
                <w:color w:val="auto"/>
              </w:rPr>
              <w:t>Long-term debt</w:t>
            </w:r>
          </w:p>
        </w:tc>
        <w:tc>
          <w:tcPr>
            <w:tcW w:w="2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365,963</w:t>
            </w:r>
          </w:p>
        </w:tc>
        <w:tc>
          <w:tcPr>
            <w:tcW w:w="10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720" w:type="dxa"/>
            <w:vAlign w:val="bottom"/>
          </w:tcPr>
          <w:p>
            <w:pPr>
              <w:spacing w:after="0" w:line="180" w:lineRule="exact"/>
              <w:rPr>
                <w:sz w:val="20"/>
                <w:szCs w:val="20"/>
                <w:color w:val="auto"/>
              </w:rPr>
            </w:pPr>
            <w:r>
              <w:rPr>
                <w:rFonts w:ascii="Arial" w:cs="Arial" w:eastAsia="Arial" w:hAnsi="Arial"/>
                <w:sz w:val="16"/>
                <w:szCs w:val="16"/>
                <w:color w:val="auto"/>
              </w:rPr>
              <w:t>Fair value of Successor Equity</w:t>
            </w:r>
          </w:p>
        </w:tc>
        <w:tc>
          <w:tcPr>
            <w:tcW w:w="3220" w:type="dxa"/>
            <w:vAlign w:val="bottom"/>
            <w:gridSpan w:val="2"/>
          </w:tcPr>
          <w:p>
            <w:pPr>
              <w:jc w:val="right"/>
              <w:ind w:right="780"/>
              <w:spacing w:after="0" w:line="180"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auto"/>
              </w:rPr>
              <w:t>164,487</w:t>
            </w:r>
          </w:p>
        </w:tc>
        <w:tc>
          <w:tcPr>
            <w:tcW w:w="100" w:type="dxa"/>
            <w:vAlign w:val="bottom"/>
          </w:tcPr>
          <w:p>
            <w:pPr>
              <w:spacing w:after="0"/>
              <w:rPr>
                <w:sz w:val="15"/>
                <w:szCs w:val="15"/>
                <w:color w:val="auto"/>
              </w:rPr>
            </w:pPr>
          </w:p>
        </w:tc>
      </w:tr>
      <w:tr>
        <w:trPr>
          <w:trHeight w:val="20"/>
        </w:trPr>
        <w:tc>
          <w:tcPr>
            <w:tcW w:w="57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shd w:val="clear" w:color="auto" w:fill="CFF0FC"/>
          </w:tcPr>
          <w:p>
            <w:pPr>
              <w:spacing w:after="0" w:line="156" w:lineRule="exact"/>
              <w:rPr>
                <w:sz w:val="20"/>
                <w:szCs w:val="20"/>
                <w:color w:val="auto"/>
              </w:rPr>
            </w:pPr>
            <w:r>
              <w:rPr>
                <w:rFonts w:ascii="Arial" w:cs="Arial" w:eastAsia="Arial" w:hAnsi="Arial"/>
                <w:sz w:val="16"/>
                <w:szCs w:val="16"/>
                <w:color w:val="auto"/>
              </w:rPr>
              <w:t>Less:</w:t>
            </w:r>
          </w:p>
        </w:tc>
        <w:tc>
          <w:tcPr>
            <w:tcW w:w="2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720" w:type="dxa"/>
            <w:vAlign w:val="bottom"/>
          </w:tcPr>
          <w:p>
            <w:pPr>
              <w:ind w:left="80"/>
              <w:spacing w:after="0" w:line="180" w:lineRule="exact"/>
              <w:rPr>
                <w:sz w:val="20"/>
                <w:szCs w:val="20"/>
                <w:color w:val="auto"/>
              </w:rPr>
            </w:pPr>
            <w:r>
              <w:rPr>
                <w:rFonts w:ascii="Arial" w:cs="Arial" w:eastAsia="Arial" w:hAnsi="Arial"/>
                <w:sz w:val="16"/>
                <w:szCs w:val="16"/>
                <w:color w:val="auto"/>
              </w:rPr>
              <w:t>Successor warrants</w:t>
            </w:r>
          </w:p>
        </w:tc>
        <w:tc>
          <w:tcPr>
            <w:tcW w:w="2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(2,825)</w:t>
            </w:r>
          </w:p>
        </w:tc>
      </w:tr>
      <w:tr>
        <w:trPr>
          <w:trHeight w:val="220"/>
        </w:trPr>
        <w:tc>
          <w:tcPr>
            <w:tcW w:w="20" w:type="dxa"/>
            <w:vAlign w:val="bottom"/>
          </w:tcPr>
          <w:p>
            <w:pPr>
              <w:spacing w:after="0"/>
              <w:rPr>
                <w:sz w:val="19"/>
                <w:szCs w:val="19"/>
                <w:color w:val="auto"/>
              </w:rPr>
            </w:pPr>
          </w:p>
        </w:tc>
        <w:tc>
          <w:tcPr>
            <w:tcW w:w="57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Fair value of Successor common stock</w:t>
            </w:r>
          </w:p>
        </w:tc>
        <w:tc>
          <w:tcPr>
            <w:tcW w:w="3220" w:type="dxa"/>
            <w:vAlign w:val="bottom"/>
            <w:gridSpan w:val="2"/>
            <w:shd w:val="clear" w:color="auto" w:fill="CFF0FC"/>
          </w:tcPr>
          <w:p>
            <w:pPr>
              <w:jc w:val="right"/>
              <w:ind w:right="780"/>
              <w:spacing w:after="0" w:line="180"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161,662</w:t>
            </w:r>
          </w:p>
        </w:tc>
        <w:tc>
          <w:tcPr>
            <w:tcW w:w="100" w:type="dxa"/>
            <w:vAlign w:val="bottom"/>
            <w:shd w:val="clear" w:color="auto" w:fill="CFF0FC"/>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720" w:type="dxa"/>
            <w:vAlign w:val="bottom"/>
            <w:tcBorders>
              <w:top w:val="single" w:sz="8" w:color="CFF0FC"/>
            </w:tcBorders>
          </w:tcPr>
          <w:p>
            <w:pPr>
              <w:spacing w:after="0" w:line="156" w:lineRule="exact"/>
              <w:rPr>
                <w:sz w:val="20"/>
                <w:szCs w:val="20"/>
                <w:color w:val="auto"/>
              </w:rPr>
            </w:pPr>
            <w:r>
              <w:rPr>
                <w:rFonts w:ascii="Arial" w:cs="Arial" w:eastAsia="Arial" w:hAnsi="Arial"/>
                <w:sz w:val="16"/>
                <w:szCs w:val="16"/>
                <w:color w:val="auto"/>
              </w:rPr>
              <w:t>Shares issued upon emergence</w:t>
            </w:r>
          </w:p>
        </w:tc>
        <w:tc>
          <w:tcPr>
            <w:tcW w:w="234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5,163,109</w:t>
            </w:r>
          </w:p>
        </w:tc>
        <w:tc>
          <w:tcPr>
            <w:tcW w:w="100" w:type="dxa"/>
            <w:vAlign w:val="bottom"/>
            <w:tcBorders>
              <w:top w:val="single" w:sz="8" w:color="CFF0FC"/>
            </w:tcBorders>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7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Per share value</w:t>
            </w:r>
          </w:p>
        </w:tc>
        <w:tc>
          <w:tcPr>
            <w:tcW w:w="3220" w:type="dxa"/>
            <w:vAlign w:val="bottom"/>
            <w:gridSpan w:val="2"/>
            <w:shd w:val="clear" w:color="auto" w:fill="CFF0FC"/>
          </w:tcPr>
          <w:p>
            <w:pPr>
              <w:jc w:val="right"/>
              <w:ind w:right="780"/>
              <w:spacing w:after="0" w:line="180"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31.31</w:t>
            </w:r>
          </w:p>
        </w:tc>
      </w:tr>
    </w:tbl>
    <w:p>
      <w:pPr>
        <w:spacing w:after="0" w:line="16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reconciliation of the Company’s enterprise value to reorganization value as of the Effective Date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shd w:val="clear" w:color="auto" w:fill="CFF0FC"/>
          </w:tcPr>
          <w:p>
            <w:pPr>
              <w:spacing w:after="0"/>
              <w:rPr>
                <w:sz w:val="20"/>
                <w:szCs w:val="20"/>
                <w:color w:val="auto"/>
              </w:rPr>
            </w:pPr>
            <w:r>
              <w:rPr>
                <w:rFonts w:ascii="Arial" w:cs="Arial" w:eastAsia="Arial" w:hAnsi="Arial"/>
                <w:sz w:val="16"/>
                <w:szCs w:val="16"/>
                <w:color w:val="auto"/>
              </w:rPr>
              <w:t>Enterprise value</w:t>
            </w: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832,727</w:t>
            </w:r>
          </w:p>
        </w:tc>
        <w:tc>
          <w:tcPr>
            <w:tcW w:w="100" w:type="dxa"/>
            <w:vAlign w:val="bottom"/>
            <w:shd w:val="clear" w:color="auto" w:fill="CFF0FC"/>
          </w:tcPr>
          <w:p>
            <w:pPr>
              <w:spacing w:after="0"/>
              <w:rPr>
                <w:sz w:val="16"/>
                <w:szCs w:val="16"/>
                <w:color w:val="auto"/>
              </w:rPr>
            </w:pPr>
          </w:p>
        </w:tc>
      </w:tr>
      <w:tr>
        <w:trPr>
          <w:trHeight w:val="180"/>
        </w:trPr>
        <w:tc>
          <w:tcPr>
            <w:tcW w:w="8080" w:type="dxa"/>
            <w:vAlign w:val="bottom"/>
          </w:tcPr>
          <w:p>
            <w:pPr>
              <w:spacing w:after="0" w:line="180" w:lineRule="exact"/>
              <w:rPr>
                <w:sz w:val="20"/>
                <w:szCs w:val="20"/>
                <w:color w:val="auto"/>
              </w:rPr>
            </w:pPr>
            <w:r>
              <w:rPr>
                <w:rFonts w:ascii="Arial" w:cs="Arial" w:eastAsia="Arial" w:hAnsi="Arial"/>
                <w:sz w:val="16"/>
                <w:szCs w:val="16"/>
                <w:color w:val="auto"/>
              </w:rPr>
              <w:t>Plus:</w:t>
            </w: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8080" w:type="dxa"/>
            <w:vAlign w:val="bottom"/>
            <w:shd w:val="clear" w:color="auto" w:fill="CFF0FC"/>
          </w:tcPr>
          <w:p>
            <w:pPr>
              <w:ind w:left="100"/>
              <w:spacing w:after="0" w:line="180" w:lineRule="exact"/>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35,352</w:t>
            </w:r>
          </w:p>
        </w:tc>
        <w:tc>
          <w:tcPr>
            <w:tcW w:w="100" w:type="dxa"/>
            <w:vAlign w:val="bottom"/>
            <w:shd w:val="clear" w:color="auto" w:fill="CFF0FC"/>
          </w:tcPr>
          <w:p>
            <w:pPr>
              <w:spacing w:after="0"/>
              <w:rPr>
                <w:sz w:val="15"/>
                <w:szCs w:val="15"/>
                <w:color w:val="auto"/>
              </w:rPr>
            </w:pPr>
          </w:p>
        </w:tc>
      </w:tr>
      <w:tr>
        <w:trPr>
          <w:trHeight w:val="180"/>
        </w:trPr>
        <w:tc>
          <w:tcPr>
            <w:tcW w:w="8080" w:type="dxa"/>
            <w:vAlign w:val="bottom"/>
          </w:tcPr>
          <w:p>
            <w:pPr>
              <w:ind w:left="100"/>
              <w:spacing w:after="0" w:line="180" w:lineRule="exact"/>
              <w:rPr>
                <w:sz w:val="20"/>
                <w:szCs w:val="20"/>
                <w:color w:val="auto"/>
              </w:rPr>
            </w:pPr>
            <w:r>
              <w:rPr>
                <w:rFonts w:ascii="Arial" w:cs="Arial" w:eastAsia="Arial" w:hAnsi="Arial"/>
                <w:sz w:val="16"/>
                <w:szCs w:val="16"/>
                <w:color w:val="auto"/>
              </w:rPr>
              <w:t>Restricted cash</w:t>
            </w:r>
          </w:p>
        </w:tc>
        <w:tc>
          <w:tcPr>
            <w:tcW w:w="9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auto"/>
              </w:rPr>
              <w:t>26,089</w:t>
            </w:r>
          </w:p>
        </w:tc>
        <w:tc>
          <w:tcPr>
            <w:tcW w:w="100" w:type="dxa"/>
            <w:vAlign w:val="bottom"/>
          </w:tcPr>
          <w:p>
            <w:pPr>
              <w:spacing w:after="0"/>
              <w:rPr>
                <w:sz w:val="15"/>
                <w:szCs w:val="15"/>
                <w:color w:val="auto"/>
              </w:rPr>
            </w:pPr>
          </w:p>
        </w:tc>
      </w:tr>
      <w:tr>
        <w:trPr>
          <w:trHeight w:val="180"/>
        </w:trPr>
        <w:tc>
          <w:tcPr>
            <w:tcW w:w="8080" w:type="dxa"/>
            <w:vAlign w:val="bottom"/>
            <w:shd w:val="clear" w:color="auto" w:fill="CFF0FC"/>
          </w:tcPr>
          <w:p>
            <w:pPr>
              <w:ind w:left="100"/>
              <w:spacing w:after="0" w:line="180" w:lineRule="exact"/>
              <w:rPr>
                <w:sz w:val="20"/>
                <w:szCs w:val="20"/>
                <w:color w:val="auto"/>
              </w:rPr>
            </w:pPr>
            <w:r>
              <w:rPr>
                <w:rFonts w:ascii="Arial" w:cs="Arial" w:eastAsia="Arial" w:hAnsi="Arial"/>
                <w:sz w:val="16"/>
                <w:szCs w:val="16"/>
                <w:color w:val="auto"/>
              </w:rPr>
              <w:t>Other liabilities</w:t>
            </w:r>
          </w:p>
        </w:tc>
        <w:tc>
          <w:tcPr>
            <w:tcW w:w="9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61,536</w:t>
            </w:r>
          </w:p>
        </w:tc>
        <w:tc>
          <w:tcPr>
            <w:tcW w:w="100" w:type="dxa"/>
            <w:vAlign w:val="bottom"/>
            <w:shd w:val="clear" w:color="auto" w:fill="CFF0FC"/>
          </w:tcPr>
          <w:p>
            <w:pPr>
              <w:spacing w:after="0"/>
              <w:rPr>
                <w:sz w:val="15"/>
                <w:szCs w:val="15"/>
                <w:color w:val="auto"/>
              </w:rPr>
            </w:pPr>
          </w:p>
        </w:tc>
      </w:tr>
      <w:tr>
        <w:trPr>
          <w:trHeight w:val="180"/>
        </w:trPr>
        <w:tc>
          <w:tcPr>
            <w:tcW w:w="8080" w:type="dxa"/>
            <w:vAlign w:val="bottom"/>
          </w:tcPr>
          <w:p>
            <w:pPr>
              <w:spacing w:after="0" w:line="180" w:lineRule="exact"/>
              <w:rPr>
                <w:sz w:val="20"/>
                <w:szCs w:val="20"/>
                <w:color w:val="auto"/>
              </w:rPr>
            </w:pPr>
            <w:r>
              <w:rPr>
                <w:rFonts w:ascii="Arial" w:cs="Arial" w:eastAsia="Arial" w:hAnsi="Arial"/>
                <w:sz w:val="16"/>
                <w:szCs w:val="16"/>
                <w:color w:val="auto"/>
              </w:rPr>
              <w:t>Reorganization value of Successor assets</w:t>
            </w:r>
          </w:p>
        </w:tc>
        <w:tc>
          <w:tcPr>
            <w:tcW w:w="960" w:type="dxa"/>
            <w:vAlign w:val="bottom"/>
            <w:tcBorders>
              <w:bottom w:val="single" w:sz="8" w:color="auto"/>
            </w:tcBorders>
          </w:tcPr>
          <w:p>
            <w:pPr>
              <w:jc w:val="right"/>
              <w:ind w:right="782"/>
              <w:spacing w:after="0" w:line="180" w:lineRule="exact"/>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955,704</w:t>
            </w:r>
          </w:p>
        </w:tc>
        <w:tc>
          <w:tcPr>
            <w:tcW w:w="100" w:type="dxa"/>
            <w:vAlign w:val="bottom"/>
          </w:tcPr>
          <w:p>
            <w:pPr>
              <w:spacing w:after="0"/>
              <w:rPr>
                <w:sz w:val="15"/>
                <w:szCs w:val="15"/>
                <w:color w:val="auto"/>
              </w:rPr>
            </w:pP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ind w:right="180" w:firstLine="696"/>
        <w:spacing w:after="0" w:line="241" w:lineRule="auto"/>
        <w:rPr>
          <w:sz w:val="20"/>
          <w:szCs w:val="20"/>
          <w:color w:val="auto"/>
        </w:rPr>
      </w:pPr>
      <w:r>
        <w:rPr>
          <w:rFonts w:ascii="Arial" w:cs="Arial" w:eastAsia="Arial" w:hAnsi="Arial"/>
          <w:sz w:val="16"/>
          <w:szCs w:val="16"/>
          <w:color w:val="auto"/>
        </w:rPr>
        <w:t>The enterprise value and corresponding equity value are dependent upon achieving the future financial results set forth in the Company’s projections, as well as the realization of certain other assumptions. All estimates, assumptions, valuations and financial projections, including the fair value adjustments, the financial projections, the enterprise value and equity value projections, are inherently subject to significant uncertainties and the resolution of contingencies beyond the Company’s control. Accordingly, the Company cannot assure that the estimates, assumptions, valuations or financial projections will be realized and actual results could vary materially.</w:t>
      </w:r>
    </w:p>
    <w:p>
      <w:pPr>
        <w:spacing w:after="0" w:line="157" w:lineRule="exact"/>
        <w:rPr>
          <w:sz w:val="20"/>
          <w:szCs w:val="20"/>
          <w:color w:val="auto"/>
        </w:rPr>
      </w:pPr>
    </w:p>
    <w:p>
      <w:pPr>
        <w:ind w:right="100" w:firstLine="696"/>
        <w:spacing w:after="0" w:line="262" w:lineRule="auto"/>
        <w:rPr>
          <w:sz w:val="20"/>
          <w:szCs w:val="20"/>
          <w:color w:val="auto"/>
        </w:rPr>
      </w:pPr>
      <w:r>
        <w:rPr>
          <w:rFonts w:ascii="Arial" w:cs="Arial" w:eastAsia="Arial" w:hAnsi="Arial"/>
          <w:sz w:val="16"/>
          <w:szCs w:val="16"/>
          <w:color w:val="auto"/>
        </w:rPr>
        <w:t>The results of the Company's analysis indicated that the principal assets requiring fair value adjustments on the Effective Date include finance receivables held for sale, identified intangible assets and leased assets. Further detail regarding the valuation process is described below.</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receivables held for sale, net</w:t>
      </w:r>
    </w:p>
    <w:p>
      <w:pPr>
        <w:spacing w:after="0" w:line="176" w:lineRule="exact"/>
        <w:rPr>
          <w:sz w:val="20"/>
          <w:szCs w:val="20"/>
          <w:color w:val="auto"/>
        </w:rPr>
      </w:pPr>
    </w:p>
    <w:p>
      <w:pPr>
        <w:ind w:right="20" w:firstLine="696"/>
        <w:spacing w:after="0" w:line="244" w:lineRule="auto"/>
        <w:rPr>
          <w:sz w:val="20"/>
          <w:szCs w:val="20"/>
          <w:color w:val="auto"/>
        </w:rPr>
      </w:pPr>
      <w:r>
        <w:rPr>
          <w:rFonts w:ascii="Arial" w:cs="Arial" w:eastAsia="Arial" w:hAnsi="Arial"/>
          <w:sz w:val="16"/>
          <w:szCs w:val="16"/>
          <w:color w:val="auto"/>
        </w:rPr>
        <w:t>As of the Effective Date, the finance receivables held for sale, net were reclassified to finance receivables at fair value, refer to Note 2 — Summary of Significant Accounting Policies for further details. To estimate the fair value of the finance receivables the Company utilized the valuation methodologies which are used to value finance receivables at fair value on a recurring basis. Refer to the Fair Value of Financial Instruments Not Carried at Fair Value section in Note 15 — Financial Instruments and Fair Value Measurements for further details.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7" w:name="page28"/>
    <w:bookmarkEnd w:id="2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right="80" w:firstLine="696"/>
        <w:spacing w:after="0" w:line="244" w:lineRule="auto"/>
        <w:rPr>
          <w:sz w:val="20"/>
          <w:szCs w:val="20"/>
          <w:color w:val="auto"/>
        </w:rPr>
      </w:pPr>
      <w:r>
        <w:rPr>
          <w:rFonts w:ascii="Arial" w:cs="Arial" w:eastAsia="Arial" w:hAnsi="Arial"/>
          <w:sz w:val="16"/>
          <w:szCs w:val="16"/>
          <w:color w:val="auto"/>
        </w:rPr>
        <w:t>The identified intangible assets of $14.2 million, which principally consisted of technology, trade names and trademarks, and customer relationships were estimated based on either the cost approach, relief from royalty or multi- period excess earnings methods. Significant assumptions for identified intangibles included royalty rates, discount rates, margins, attrition rates, revenue growth rates, and economic lives. Such fair value measurement of intangible assets is considered Level 3 of the fair value hierarchy.</w:t>
      </w:r>
    </w:p>
    <w:p>
      <w:pPr>
        <w:spacing w:after="0" w:line="152"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For the technology-based intangibles that were valued using the relief from royalty income approach, the royalty rate was estimated to be 5.0% and the discount rate 25%. For the technology- based intangibles that were valued using the cost approach, the margin was estimated to be 8.5%. For trade names and trademarks valued under the relief from royalty income approach, the royalty rate was estimated to be 0.5% and the discount rate 25%. For customer-related intangible assets that were valued using the multi-period excess earnings method, the attrition rate was estimated to be 10% and the discount rate 25%.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Liabilities and Right of Use Assets</w:t>
      </w:r>
    </w:p>
    <w:p>
      <w:pPr>
        <w:spacing w:after="0" w:line="176" w:lineRule="exact"/>
        <w:rPr>
          <w:sz w:val="20"/>
          <w:szCs w:val="20"/>
          <w:color w:val="auto"/>
        </w:rPr>
      </w:pPr>
    </w:p>
    <w:p>
      <w:pPr>
        <w:ind w:right="40" w:firstLine="696"/>
        <w:spacing w:after="0" w:line="244" w:lineRule="auto"/>
        <w:rPr>
          <w:sz w:val="20"/>
          <w:szCs w:val="20"/>
          <w:color w:val="auto"/>
        </w:rPr>
      </w:pPr>
      <w:r>
        <w:rPr>
          <w:rFonts w:ascii="Arial" w:cs="Arial" w:eastAsia="Arial" w:hAnsi="Arial"/>
          <w:sz w:val="16"/>
          <w:szCs w:val="16"/>
          <w:color w:val="auto"/>
        </w:rPr>
        <w:t>The present value of lease liabilities was measured as the present value of the remaining lease payments, as if the leases were new leases as of the Effective Date. The Company used its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Balance Sheet</w:t>
      </w:r>
    </w:p>
    <w:p>
      <w:pPr>
        <w:spacing w:after="0" w:line="176" w:lineRule="exact"/>
        <w:rPr>
          <w:sz w:val="20"/>
          <w:szCs w:val="20"/>
          <w:color w:val="auto"/>
        </w:rPr>
      </w:pPr>
    </w:p>
    <w:p>
      <w:pPr>
        <w:ind w:right="80" w:firstLine="708"/>
        <w:spacing w:after="0" w:line="244" w:lineRule="auto"/>
        <w:rPr>
          <w:sz w:val="20"/>
          <w:szCs w:val="20"/>
          <w:color w:val="auto"/>
        </w:rPr>
      </w:pPr>
      <w:r>
        <w:rPr>
          <w:rFonts w:ascii="Arial" w:cs="Arial" w:eastAsia="Arial" w:hAnsi="Arial"/>
          <w:sz w:val="16"/>
          <w:szCs w:val="16"/>
          <w:color w:val="auto"/>
        </w:rPr>
        <w:t>The adjustments set forth in the following condensed consolidated balance sheet as of January 14, 2025 reflect the effects of the transactions contemplated by the Plan and executed on the Effective date (reflected in the column “Reorganization Adjustments”), and fair value and other required accounting adjustments resulting from the adoption of fresh start accounting (reflected in the column “Fresh Start Accounting Adjustments”), (in thousands):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28" w:name="page29"/>
    <w:bookmarkEnd w:id="2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January 14, 2025</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Fresh Start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Reorganization</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Accounting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Adjustments</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8"/>
              </w:rPr>
              <w:t>Notes</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Adjustments</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8"/>
              </w:rPr>
              <w:t>Notes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Successor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35,352</w:t>
            </w:r>
          </w:p>
        </w:tc>
        <w:tc>
          <w:tcPr>
            <w:tcW w:w="1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35,352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26,089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26,089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Finance receivables at fair value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505,084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319,928</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825,012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Finance receivables held for sale, net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311,640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(311,640)</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7</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Interest receivable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(2,972)</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103,852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(89,652)</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4,196</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10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11,027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(2,037)</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(3,049)</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Assets from discontinued operations</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line="148" w:lineRule="exact"/>
              <w:rPr>
                <w:sz w:val="20"/>
                <w:szCs w:val="20"/>
                <w:color w:val="auto"/>
              </w:rPr>
            </w:pPr>
            <w:r>
              <w:rPr>
                <w:rFonts w:ascii="Arial" w:cs="Arial" w:eastAsia="Arial" w:hAnsi="Arial"/>
                <w:sz w:val="14"/>
                <w:szCs w:val="14"/>
                <w:color w:val="auto"/>
              </w:rPr>
              <w:t>Total assets</w:t>
            </w:r>
          </w:p>
        </w:tc>
        <w:tc>
          <w:tcPr>
            <w:tcW w:w="160" w:type="dxa"/>
            <w:vAlign w:val="bottom"/>
          </w:tcPr>
          <w:p>
            <w:pPr>
              <w:jc w:val="right"/>
              <w:ind w:right="8"/>
              <w:spacing w:after="0" w:line="148"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1,040,930</w:t>
            </w:r>
          </w:p>
        </w:tc>
        <w:tc>
          <w:tcPr>
            <w:tcW w:w="120" w:type="dxa"/>
            <w:vAlign w:val="bottom"/>
          </w:tcPr>
          <w:p>
            <w:pPr>
              <w:spacing w:after="0"/>
              <w:rPr>
                <w:sz w:val="14"/>
                <w:szCs w:val="14"/>
                <w:color w:val="auto"/>
              </w:rPr>
            </w:pPr>
          </w:p>
        </w:tc>
        <w:tc>
          <w:tcPr>
            <w:tcW w:w="2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8" w:lineRule="exact"/>
              <w:rPr>
                <w:sz w:val="20"/>
                <w:szCs w:val="20"/>
                <w:color w:val="auto"/>
              </w:rPr>
            </w:pPr>
            <w:r>
              <w:rPr>
                <w:rFonts w:ascii="Arial" w:cs="Arial" w:eastAsia="Arial" w:hAnsi="Arial"/>
                <w:sz w:val="11"/>
                <w:szCs w:val="11"/>
                <w:color w:val="auto"/>
              </w:rPr>
              <w:t>(2,037</w:t>
            </w:r>
            <w:r>
              <w:rPr>
                <w:rFonts w:ascii="Arial" w:cs="Arial" w:eastAsia="Arial" w:hAnsi="Arial"/>
                <w:sz w:val="17"/>
                <w:szCs w:val="17"/>
                <w:color w:val="auto"/>
                <w:vertAlign w:val="subscript"/>
              </w:rPr>
              <w:t>)</w:t>
            </w:r>
          </w:p>
        </w:tc>
        <w:tc>
          <w:tcPr>
            <w:tcW w:w="580" w:type="dxa"/>
            <w:vAlign w:val="bottom"/>
          </w:tcPr>
          <w:p>
            <w:pPr>
              <w:spacing w:after="0"/>
              <w:rPr>
                <w:sz w:val="14"/>
                <w:szCs w:val="14"/>
                <w:color w:val="auto"/>
              </w:rPr>
            </w:pPr>
          </w:p>
        </w:tc>
        <w:tc>
          <w:tcPr>
            <w:tcW w:w="160" w:type="dxa"/>
            <w:vAlign w:val="bottom"/>
          </w:tcPr>
          <w:p>
            <w:pPr>
              <w:jc w:val="right"/>
              <w:ind w:right="8"/>
              <w:spacing w:after="0" w:line="148"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line="148" w:lineRule="exact"/>
              <w:rPr>
                <w:sz w:val="20"/>
                <w:szCs w:val="20"/>
                <w:color w:val="auto"/>
              </w:rPr>
            </w:pPr>
            <w:r>
              <w:rPr>
                <w:rFonts w:ascii="Arial" w:cs="Arial" w:eastAsia="Arial" w:hAnsi="Arial"/>
                <w:sz w:val="11"/>
                <w:szCs w:val="11"/>
                <w:color w:val="auto"/>
              </w:rPr>
              <w:t>(83,189</w:t>
            </w:r>
            <w:r>
              <w:rPr>
                <w:rFonts w:ascii="Arial" w:cs="Arial" w:eastAsia="Arial" w:hAnsi="Arial"/>
                <w:sz w:val="17"/>
                <w:szCs w:val="17"/>
                <w:color w:val="auto"/>
                <w:vertAlign w:val="subscript"/>
              </w:rPr>
              <w:t>)</w:t>
            </w:r>
          </w:p>
        </w:tc>
        <w:tc>
          <w:tcPr>
            <w:tcW w:w="460" w:type="dxa"/>
            <w:vAlign w:val="bottom"/>
          </w:tcPr>
          <w:p>
            <w:pPr>
              <w:spacing w:after="0"/>
              <w:rPr>
                <w:sz w:val="14"/>
                <w:szCs w:val="14"/>
                <w:color w:val="auto"/>
              </w:rPr>
            </w:pPr>
          </w:p>
        </w:tc>
        <w:tc>
          <w:tcPr>
            <w:tcW w:w="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955,704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60" w:type="dxa"/>
            <w:vAlign w:val="bottom"/>
            <w:shd w:val="clear" w:color="auto" w:fill="CFF0FC"/>
          </w:tcPr>
          <w:p>
            <w:pPr>
              <w:spacing w:after="0" w:line="144"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Warehouse credit facilities of consolidated VIEs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363,718</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363,718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361,464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4,499</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365,963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liabilities</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11,027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11,027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46,875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46,875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Liabilities subject to compromise</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291,668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(291,668)</w:t>
            </w:r>
          </w:p>
        </w:tc>
        <w:tc>
          <w:tcPr>
            <w:tcW w:w="58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2</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Liabilities from discontinued operations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1,078,386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(291,668)</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4,499</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791,217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Stockholders’ (deficit) equity:</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Common stock - Predecessor</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w:t>
            </w:r>
          </w:p>
        </w:tc>
        <w:tc>
          <w:tcPr>
            <w:tcW w:w="58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3</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Common stock - Successor</w:t>
            </w: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Additional paid-in-capital - Predecessor</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2,095,033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(2,095,033)</w:t>
            </w:r>
          </w:p>
        </w:tc>
        <w:tc>
          <w:tcPr>
            <w:tcW w:w="58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5</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Additional paid-in-capital - Successor</w:t>
            </w: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161,657</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6</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161,657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Warrants - Successor</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2,825</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6</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(2,132,491)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2,220,179</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2,13</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(87,688)</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4"/>
                <w:szCs w:val="14"/>
                <w:color w:val="auto"/>
              </w:rPr>
              <w:t>Total stockholders’ (deficit) equity</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(37,456)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289,631</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(87,688)</w:t>
            </w: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164,487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tcPr>
          <w:p>
            <w:pPr>
              <w:spacing w:after="0" w:line="148"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ind w:right="8"/>
              <w:spacing w:after="0" w:line="148"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1,040,930</w:t>
            </w:r>
          </w:p>
        </w:tc>
        <w:tc>
          <w:tcPr>
            <w:tcW w:w="120" w:type="dxa"/>
            <w:vAlign w:val="bottom"/>
          </w:tcPr>
          <w:p>
            <w:pPr>
              <w:spacing w:after="0"/>
              <w:rPr>
                <w:sz w:val="14"/>
                <w:szCs w:val="14"/>
                <w:color w:val="auto"/>
              </w:rPr>
            </w:pPr>
          </w:p>
        </w:tc>
        <w:tc>
          <w:tcPr>
            <w:tcW w:w="2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8" w:lineRule="exact"/>
              <w:rPr>
                <w:sz w:val="20"/>
                <w:szCs w:val="20"/>
                <w:color w:val="auto"/>
              </w:rPr>
            </w:pPr>
            <w:r>
              <w:rPr>
                <w:rFonts w:ascii="Arial" w:cs="Arial" w:eastAsia="Arial" w:hAnsi="Arial"/>
                <w:sz w:val="11"/>
                <w:szCs w:val="11"/>
                <w:color w:val="auto"/>
              </w:rPr>
              <w:t>(2,037</w:t>
            </w:r>
            <w:r>
              <w:rPr>
                <w:rFonts w:ascii="Arial" w:cs="Arial" w:eastAsia="Arial" w:hAnsi="Arial"/>
                <w:sz w:val="17"/>
                <w:szCs w:val="17"/>
                <w:color w:val="auto"/>
                <w:vertAlign w:val="subscript"/>
              </w:rPr>
              <w:t>)</w:t>
            </w:r>
          </w:p>
        </w:tc>
        <w:tc>
          <w:tcPr>
            <w:tcW w:w="580" w:type="dxa"/>
            <w:vAlign w:val="bottom"/>
          </w:tcPr>
          <w:p>
            <w:pPr>
              <w:spacing w:after="0"/>
              <w:rPr>
                <w:sz w:val="14"/>
                <w:szCs w:val="14"/>
                <w:color w:val="auto"/>
              </w:rPr>
            </w:pPr>
          </w:p>
        </w:tc>
        <w:tc>
          <w:tcPr>
            <w:tcW w:w="160" w:type="dxa"/>
            <w:vAlign w:val="bottom"/>
          </w:tcPr>
          <w:p>
            <w:pPr>
              <w:jc w:val="right"/>
              <w:ind w:right="8"/>
              <w:spacing w:after="0" w:line="148"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line="148" w:lineRule="exact"/>
              <w:rPr>
                <w:sz w:val="20"/>
                <w:szCs w:val="20"/>
                <w:color w:val="auto"/>
              </w:rPr>
            </w:pPr>
            <w:r>
              <w:rPr>
                <w:rFonts w:ascii="Arial" w:cs="Arial" w:eastAsia="Arial" w:hAnsi="Arial"/>
                <w:sz w:val="11"/>
                <w:szCs w:val="11"/>
                <w:color w:val="auto"/>
              </w:rPr>
              <w:t>(83,189</w:t>
            </w:r>
            <w:r>
              <w:rPr>
                <w:rFonts w:ascii="Arial" w:cs="Arial" w:eastAsia="Arial" w:hAnsi="Arial"/>
                <w:sz w:val="17"/>
                <w:szCs w:val="17"/>
                <w:color w:val="auto"/>
                <w:vertAlign w:val="subscript"/>
              </w:rPr>
              <w:t>)</w:t>
            </w:r>
          </w:p>
        </w:tc>
        <w:tc>
          <w:tcPr>
            <w:tcW w:w="460" w:type="dxa"/>
            <w:vAlign w:val="bottom"/>
          </w:tcPr>
          <w:p>
            <w:pPr>
              <w:spacing w:after="0"/>
              <w:rPr>
                <w:sz w:val="14"/>
                <w:szCs w:val="14"/>
                <w:color w:val="auto"/>
              </w:rPr>
            </w:pPr>
          </w:p>
        </w:tc>
        <w:tc>
          <w:tcPr>
            <w:tcW w:w="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955,704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Reorganization adjustments</w:t>
      </w:r>
    </w:p>
    <w:p>
      <w:pPr>
        <w:spacing w:after="0" w:line="176" w:lineRule="exact"/>
        <w:rPr>
          <w:sz w:val="20"/>
          <w:szCs w:val="20"/>
          <w:color w:val="auto"/>
        </w:rPr>
      </w:pPr>
    </w:p>
    <w:p>
      <w:pPr>
        <w:ind w:left="180" w:hanging="174"/>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write-off of prepaid asset related to predecessor directors and officers insurance tail policy.</w:t>
      </w:r>
    </w:p>
    <w:p>
      <w:pPr>
        <w:spacing w:after="0" w:line="176" w:lineRule="exact"/>
        <w:rPr>
          <w:rFonts w:ascii="Arial" w:cs="Arial" w:eastAsia="Arial" w:hAnsi="Arial"/>
          <w:sz w:val="16"/>
          <w:szCs w:val="16"/>
          <w:color w:val="auto"/>
        </w:rPr>
      </w:pPr>
    </w:p>
    <w:p>
      <w:pPr>
        <w:ind w:left="180" w:hanging="174"/>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settlement of the Company's pre-petition Convertible Notes, as of the Effective date, which is calculated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40" w:type="dxa"/>
            <w:vAlign w:val="bottom"/>
            <w:shd w:val="clear" w:color="auto" w:fill="CFF0FC"/>
          </w:tcPr>
          <w:p>
            <w:pPr>
              <w:spacing w:after="0"/>
              <w:rPr>
                <w:sz w:val="20"/>
                <w:szCs w:val="20"/>
                <w:color w:val="auto"/>
              </w:rPr>
            </w:pPr>
            <w:r>
              <w:rPr>
                <w:rFonts w:ascii="Arial" w:cs="Arial" w:eastAsia="Arial" w:hAnsi="Arial"/>
                <w:sz w:val="14"/>
                <w:szCs w:val="14"/>
                <w:color w:val="auto"/>
              </w:rPr>
              <w:t>Convertible note</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290,488</w:t>
            </w:r>
          </w:p>
        </w:tc>
      </w:tr>
      <w:tr>
        <w:trPr>
          <w:trHeight w:val="168"/>
        </w:trPr>
        <w:tc>
          <w:tcPr>
            <w:tcW w:w="8340" w:type="dxa"/>
            <w:vAlign w:val="bottom"/>
          </w:tcPr>
          <w:p>
            <w:pPr>
              <w:spacing w:after="0"/>
              <w:rPr>
                <w:sz w:val="20"/>
                <w:szCs w:val="20"/>
                <w:color w:val="auto"/>
              </w:rPr>
            </w:pPr>
            <w:r>
              <w:rPr>
                <w:rFonts w:ascii="Arial" w:cs="Arial" w:eastAsia="Arial" w:hAnsi="Arial"/>
                <w:sz w:val="14"/>
                <w:szCs w:val="14"/>
                <w:color w:val="auto"/>
              </w:rPr>
              <w:t>Accrued interest on convertible senior note</w:t>
            </w:r>
          </w:p>
        </w:tc>
        <w:tc>
          <w:tcPr>
            <w:tcW w:w="8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1,180</w:t>
            </w:r>
          </w:p>
        </w:tc>
        <w:tc>
          <w:tcPr>
            <w:tcW w:w="80" w:type="dxa"/>
            <w:vAlign w:val="bottom"/>
          </w:tcPr>
          <w:p>
            <w:pPr>
              <w:spacing w:after="0"/>
              <w:rPr>
                <w:sz w:val="14"/>
                <w:szCs w:val="14"/>
                <w:color w:val="auto"/>
              </w:rPr>
            </w:pPr>
          </w:p>
        </w:tc>
      </w:tr>
      <w:tr>
        <w:trPr>
          <w:trHeight w:val="168"/>
        </w:trPr>
        <w:tc>
          <w:tcPr>
            <w:tcW w:w="8340" w:type="dxa"/>
            <w:vAlign w:val="bottom"/>
            <w:shd w:val="clear" w:color="auto" w:fill="CFF0FC"/>
          </w:tcPr>
          <w:p>
            <w:pPr>
              <w:spacing w:after="0"/>
              <w:rPr>
                <w:sz w:val="20"/>
                <w:szCs w:val="20"/>
                <w:color w:val="auto"/>
              </w:rPr>
            </w:pPr>
            <w:r>
              <w:rPr>
                <w:rFonts w:ascii="Arial" w:cs="Arial" w:eastAsia="Arial" w:hAnsi="Arial"/>
                <w:sz w:val="14"/>
                <w:szCs w:val="14"/>
                <w:color w:val="auto"/>
              </w:rPr>
              <w:t>Liabilities subject to compromise</w:t>
            </w:r>
          </w:p>
        </w:tc>
        <w:tc>
          <w:tcPr>
            <w:tcW w:w="8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291,668</w:t>
            </w:r>
          </w:p>
        </w:tc>
      </w:tr>
      <w:tr>
        <w:trPr>
          <w:trHeight w:val="168"/>
        </w:trPr>
        <w:tc>
          <w:tcPr>
            <w:tcW w:w="8340" w:type="dxa"/>
            <w:vAlign w:val="bottom"/>
          </w:tcPr>
          <w:p>
            <w:pPr>
              <w:spacing w:after="0" w:line="168" w:lineRule="exact"/>
              <w:rPr>
                <w:sz w:val="20"/>
                <w:szCs w:val="20"/>
                <w:color w:val="auto"/>
              </w:rPr>
            </w:pPr>
            <w:r>
              <w:rPr>
                <w:rFonts w:ascii="Arial" w:cs="Arial" w:eastAsia="Arial" w:hAnsi="Arial"/>
                <w:sz w:val="14"/>
                <w:szCs w:val="14"/>
                <w:color w:val="auto"/>
              </w:rPr>
              <w:t xml:space="preserve">Issuance of 92.94% of Successor common shares to prepetition convertible note holders </w:t>
            </w:r>
            <w:r>
              <w:rPr>
                <w:rFonts w:ascii="Arial" w:cs="Arial" w:eastAsia="Arial" w:hAnsi="Arial"/>
                <w:sz w:val="19"/>
                <w:szCs w:val="19"/>
                <w:color w:val="auto"/>
                <w:vertAlign w:val="superscript"/>
              </w:rPr>
              <w:t>(1)</w:t>
            </w:r>
          </w:p>
        </w:tc>
        <w:tc>
          <w:tcPr>
            <w:tcW w:w="8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150,249</w:t>
            </w:r>
          </w:p>
        </w:tc>
      </w:tr>
      <w:tr>
        <w:trPr>
          <w:trHeight w:val="208"/>
        </w:trPr>
        <w:tc>
          <w:tcPr>
            <w:tcW w:w="8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Gain on settlement of liabilities subject to compromise</w:t>
            </w:r>
          </w:p>
        </w:tc>
        <w:tc>
          <w:tcPr>
            <w:tcW w:w="860" w:type="dxa"/>
            <w:vAlign w:val="bottom"/>
            <w:tcBorders>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141,419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4" w:lineRule="exact"/>
        <w:rPr>
          <w:sz w:val="20"/>
          <w:szCs w:val="20"/>
          <w:color w:val="auto"/>
        </w:rPr>
      </w:pPr>
    </w:p>
    <w:p>
      <w:pPr>
        <w:ind w:right="60" w:firstLine="6"/>
        <w:spacing w:after="0" w:line="224" w:lineRule="auto"/>
        <w:tabs>
          <w:tab w:leader="none" w:pos="180" w:val="left"/>
        </w:tabs>
        <w:numPr>
          <w:ilvl w:val="0"/>
          <w:numId w:val="5"/>
        </w:numPr>
        <w:rPr>
          <w:rFonts w:ascii="Arial" w:cs="Arial" w:eastAsia="Arial" w:hAnsi="Arial"/>
          <w:sz w:val="21"/>
          <w:szCs w:val="21"/>
          <w:color w:val="1D1C1D"/>
          <w:vertAlign w:val="superscript"/>
        </w:rPr>
      </w:pPr>
      <w:r>
        <w:rPr>
          <w:rFonts w:ascii="Arial" w:cs="Arial" w:eastAsia="Arial" w:hAnsi="Arial"/>
          <w:sz w:val="14"/>
          <w:szCs w:val="14"/>
          <w:color w:val="1D1C1D"/>
        </w:rPr>
        <w:t>Note the total issuances of Successor equity in the amount of $164.4 million was issued to Predecessor note holders in the amount of $150.2 million and Predecessor equity holders in the amount of $14.2 million. The total issuance to the Predecessor equity holders of $14.2 million included warrants of $2.8 million and 7.06% of Successor common shares totaling $11.4 million.</w:t>
      </w:r>
    </w:p>
    <w:p>
      <w:pPr>
        <w:spacing w:after="0" w:line="159" w:lineRule="exact"/>
        <w:rPr>
          <w:sz w:val="20"/>
          <w:szCs w:val="20"/>
          <w:color w:val="auto"/>
        </w:rPr>
      </w:pPr>
    </w:p>
    <w:p>
      <w:pPr>
        <w:ind w:left="180" w:hanging="174"/>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cancellation of Predecessor common stock.</w:t>
      </w:r>
    </w:p>
    <w:p>
      <w:pPr>
        <w:spacing w:after="0" w:line="176" w:lineRule="exact"/>
        <w:rPr>
          <w:rFonts w:ascii="Arial" w:cs="Arial" w:eastAsia="Arial" w:hAnsi="Arial"/>
          <w:sz w:val="16"/>
          <w:szCs w:val="16"/>
          <w:color w:val="auto"/>
        </w:rPr>
      </w:pPr>
    </w:p>
    <w:p>
      <w:pPr>
        <w:ind w:left="180" w:hanging="174"/>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issuance of Successor common stock.</w:t>
      </w:r>
    </w:p>
    <w:p>
      <w:pPr>
        <w:spacing w:after="0" w:line="176" w:lineRule="exact"/>
        <w:rPr>
          <w:rFonts w:ascii="Arial" w:cs="Arial" w:eastAsia="Arial" w:hAnsi="Arial"/>
          <w:sz w:val="16"/>
          <w:szCs w:val="16"/>
          <w:color w:val="auto"/>
        </w:rPr>
      </w:pPr>
    </w:p>
    <w:p>
      <w:pPr>
        <w:ind w:left="180" w:hanging="174"/>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cancellation of Predecessor additional paid-in capital.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9" w:name="page30"/>
    <w:bookmarkEnd w:id="2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right="160" w:firstLine="6"/>
        <w:spacing w:after="0" w:line="262" w:lineRule="auto"/>
        <w:tabs>
          <w:tab w:leader="none" w:pos="173"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fair value of 5,163,109 Successor common shares totaling $161.7 million and 364,516 Successor warrants totaling $2.8 million. This results in total Successor equity in the amount of $164.5 million.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Fresh Start Adjustments</w:t>
      </w:r>
    </w:p>
    <w:p>
      <w:pPr>
        <w:spacing w:after="0" w:line="176" w:lineRule="exact"/>
        <w:rPr>
          <w:sz w:val="20"/>
          <w:szCs w:val="20"/>
          <w:color w:val="auto"/>
        </w:rPr>
      </w:pPr>
    </w:p>
    <w:p>
      <w:pPr>
        <w:ind w:right="40" w:firstLine="6"/>
        <w:spacing w:after="0" w:line="262" w:lineRule="auto"/>
        <w:tabs>
          <w:tab w:leader="none" w:pos="17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reclassification of finance receivables held for sale to finance receivables at fair value due to a change in Accounting Policy in accordance with fresh start accounting. Upon reclassification, the finance receivables were adjusted to fair value.</w:t>
      </w:r>
    </w:p>
    <w:p>
      <w:pPr>
        <w:spacing w:after="0" w:line="138" w:lineRule="exact"/>
        <w:rPr>
          <w:rFonts w:ascii="Arial" w:cs="Arial" w:eastAsia="Arial" w:hAnsi="Arial"/>
          <w:sz w:val="16"/>
          <w:szCs w:val="16"/>
          <w:color w:val="auto"/>
        </w:rPr>
      </w:pPr>
    </w:p>
    <w:p>
      <w:pPr>
        <w:ind w:left="180" w:hanging="174"/>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 fair value adjustment to property, plant and equipment, net.</w:t>
      </w:r>
    </w:p>
    <w:p>
      <w:pPr>
        <w:spacing w:after="0" w:line="176" w:lineRule="exact"/>
        <w:rPr>
          <w:rFonts w:ascii="Arial" w:cs="Arial" w:eastAsia="Arial" w:hAnsi="Arial"/>
          <w:sz w:val="16"/>
          <w:szCs w:val="16"/>
          <w:color w:val="auto"/>
        </w:rPr>
      </w:pPr>
    </w:p>
    <w:p>
      <w:pPr>
        <w:ind w:left="180" w:hanging="174"/>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 fair value adjustment to intangible assets, net.</w:t>
      </w:r>
    </w:p>
    <w:p>
      <w:pPr>
        <w:spacing w:after="0" w:line="176" w:lineRule="exact"/>
        <w:rPr>
          <w:rFonts w:ascii="Arial" w:cs="Arial" w:eastAsia="Arial" w:hAnsi="Arial"/>
          <w:sz w:val="16"/>
          <w:szCs w:val="16"/>
          <w:color w:val="auto"/>
        </w:rPr>
      </w:pPr>
    </w:p>
    <w:p>
      <w:pPr>
        <w:ind w:right="140" w:firstLine="6"/>
        <w:spacing w:after="0" w:line="262"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 fair value adjustment to record the initial measurement of the operating lease right-of-use assets to the amount of the operating lease liabilities in accordance with fresh start accounting.</w:t>
      </w:r>
    </w:p>
    <w:p>
      <w:pPr>
        <w:spacing w:after="0" w:line="138" w:lineRule="exact"/>
        <w:rPr>
          <w:rFonts w:ascii="Arial" w:cs="Arial" w:eastAsia="Arial" w:hAnsi="Arial"/>
          <w:sz w:val="16"/>
          <w:szCs w:val="16"/>
          <w:color w:val="auto"/>
        </w:rPr>
      </w:pPr>
    </w:p>
    <w:p>
      <w:pPr>
        <w:ind w:left="260" w:hanging="254"/>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 fair value adjustment to other assets, which includes the write-off of debt issuance costs of warehouse credit facilities.</w:t>
      </w:r>
    </w:p>
    <w:p>
      <w:pPr>
        <w:spacing w:after="0" w:line="176" w:lineRule="exact"/>
        <w:rPr>
          <w:rFonts w:ascii="Arial" w:cs="Arial" w:eastAsia="Arial" w:hAnsi="Arial"/>
          <w:sz w:val="16"/>
          <w:szCs w:val="16"/>
          <w:color w:val="auto"/>
        </w:rPr>
      </w:pPr>
    </w:p>
    <w:p>
      <w:pPr>
        <w:ind w:firstLine="6"/>
        <w:spacing w:after="0" w:line="248" w:lineRule="auto"/>
        <w:tabs>
          <w:tab w:leader="none" w:pos="260" w:val="left"/>
        </w:tabs>
        <w:numPr>
          <w:ilvl w:val="0"/>
          <w:numId w:val="8"/>
        </w:numPr>
        <w:rPr>
          <w:rFonts w:ascii="Arial" w:cs="Arial" w:eastAsia="Arial" w:hAnsi="Arial"/>
          <w:sz w:val="16"/>
          <w:szCs w:val="16"/>
          <w:color w:val="1D1C1D"/>
        </w:rPr>
      </w:pPr>
      <w:r>
        <w:rPr>
          <w:rFonts w:ascii="Arial" w:cs="Arial" w:eastAsia="Arial" w:hAnsi="Arial"/>
          <w:sz w:val="16"/>
          <w:szCs w:val="16"/>
          <w:color w:val="1D1C1D"/>
        </w:rPr>
        <w:t>Represents an adjustment to long-term debt, which includes the write-off of debt issuance costs of $2.9 million and an adjustment related to the fair value option election for the 2024-1 securitization debt, which resulted in a fair value adjustment to the securitization debt of $1.6 million</w:t>
      </w:r>
      <w:r>
        <w:rPr>
          <w:rFonts w:ascii="Arial" w:cs="Arial" w:eastAsia="Arial" w:hAnsi="Arial"/>
          <w:sz w:val="16"/>
          <w:szCs w:val="16"/>
          <w:color w:val="000000"/>
        </w:rPr>
        <w:t>. The fair value of</w:t>
      </w:r>
      <w:r>
        <w:rPr>
          <w:rFonts w:ascii="Arial" w:cs="Arial" w:eastAsia="Arial" w:hAnsi="Arial"/>
          <w:sz w:val="16"/>
          <w:szCs w:val="16"/>
          <w:color w:val="1D1C1D"/>
        </w:rPr>
        <w:t xml:space="preserve"> </w:t>
      </w:r>
      <w:r>
        <w:rPr>
          <w:rFonts w:ascii="Arial" w:cs="Arial" w:eastAsia="Arial" w:hAnsi="Arial"/>
          <w:sz w:val="16"/>
          <w:szCs w:val="16"/>
          <w:color w:val="000000"/>
        </w:rPr>
        <w:t>the debt was determined using a non-binding quote from broker dealers.</w:t>
      </w:r>
    </w:p>
    <w:p>
      <w:pPr>
        <w:spacing w:after="0" w:line="149" w:lineRule="exact"/>
        <w:rPr>
          <w:rFonts w:ascii="Arial" w:cs="Arial" w:eastAsia="Arial" w:hAnsi="Arial"/>
          <w:sz w:val="16"/>
          <w:szCs w:val="16"/>
          <w:color w:val="1D1C1D"/>
        </w:rPr>
      </w:pPr>
    </w:p>
    <w:p>
      <w:pPr>
        <w:ind w:right="260" w:firstLine="6"/>
        <w:spacing w:after="0" w:line="334"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cumulative impact, as of the Effective Date, to accumulated deficit from the reorganization adjustments and fresh start accounting adjustments. The cumulative impact to accumulated deficit from the reorganization adjustments is calculated, as follows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8200" w:type="dxa"/>
            <w:vAlign w:val="bottom"/>
            <w:shd w:val="clear" w:color="auto" w:fill="CFF0FC"/>
          </w:tcPr>
          <w:p>
            <w:pPr>
              <w:spacing w:after="0"/>
              <w:rPr>
                <w:sz w:val="20"/>
                <w:szCs w:val="20"/>
                <w:color w:val="auto"/>
              </w:rPr>
            </w:pPr>
            <w:r>
              <w:rPr>
                <w:rFonts w:ascii="Arial" w:cs="Arial" w:eastAsia="Arial" w:hAnsi="Arial"/>
                <w:sz w:val="14"/>
                <w:szCs w:val="14"/>
                <w:color w:val="auto"/>
              </w:rPr>
              <w:t>Adjustment to Predecessor common stock and additional paid-in-capital</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2,095,035</w:t>
            </w:r>
          </w:p>
        </w:tc>
      </w:tr>
      <w:tr>
        <w:trPr>
          <w:trHeight w:val="168"/>
        </w:trPr>
        <w:tc>
          <w:tcPr>
            <w:tcW w:w="8200" w:type="dxa"/>
            <w:vAlign w:val="bottom"/>
          </w:tcPr>
          <w:p>
            <w:pPr>
              <w:spacing w:after="0"/>
              <w:rPr>
                <w:sz w:val="20"/>
                <w:szCs w:val="20"/>
                <w:color w:val="auto"/>
              </w:rPr>
            </w:pPr>
            <w:r>
              <w:rPr>
                <w:rFonts w:ascii="Arial" w:cs="Arial" w:eastAsia="Arial" w:hAnsi="Arial"/>
                <w:sz w:val="14"/>
                <w:szCs w:val="14"/>
                <w:color w:val="auto"/>
              </w:rPr>
              <w:t>Gain on settlement of liabilities subject to compromise</w:t>
            </w:r>
          </w:p>
        </w:tc>
        <w:tc>
          <w:tcPr>
            <w:tcW w:w="80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141,419</w:t>
            </w:r>
          </w:p>
        </w:tc>
      </w:tr>
      <w:tr>
        <w:trPr>
          <w:trHeight w:val="168"/>
        </w:trPr>
        <w:tc>
          <w:tcPr>
            <w:tcW w:w="8200" w:type="dxa"/>
            <w:vAlign w:val="bottom"/>
            <w:shd w:val="clear" w:color="auto" w:fill="CFF0FC"/>
          </w:tcPr>
          <w:p>
            <w:pPr>
              <w:spacing w:after="0"/>
              <w:rPr>
                <w:sz w:val="20"/>
                <w:szCs w:val="20"/>
                <w:color w:val="auto"/>
              </w:rPr>
            </w:pPr>
            <w:r>
              <w:rPr>
                <w:rFonts w:ascii="Arial" w:cs="Arial" w:eastAsia="Arial" w:hAnsi="Arial"/>
                <w:sz w:val="14"/>
                <w:szCs w:val="14"/>
                <w:color w:val="auto"/>
              </w:rPr>
              <w:t>Warrants and common stock issued to Predecessor equity holders</w:t>
            </w:r>
          </w:p>
        </w:tc>
        <w:tc>
          <w:tcPr>
            <w:tcW w:w="8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(14,238)</w:t>
            </w:r>
          </w:p>
        </w:tc>
      </w:tr>
      <w:tr>
        <w:trPr>
          <w:trHeight w:val="168"/>
        </w:trPr>
        <w:tc>
          <w:tcPr>
            <w:tcW w:w="8200" w:type="dxa"/>
            <w:vAlign w:val="bottom"/>
          </w:tcPr>
          <w:p>
            <w:pPr>
              <w:spacing w:after="0"/>
              <w:rPr>
                <w:sz w:val="20"/>
                <w:szCs w:val="20"/>
                <w:color w:val="auto"/>
              </w:rPr>
            </w:pPr>
            <w:r>
              <w:rPr>
                <w:rFonts w:ascii="Arial" w:cs="Arial" w:eastAsia="Arial" w:hAnsi="Arial"/>
                <w:sz w:val="14"/>
                <w:szCs w:val="14"/>
                <w:color w:val="auto"/>
              </w:rPr>
              <w:t>Reorganization adjustment to total assets</w:t>
            </w:r>
          </w:p>
        </w:tc>
        <w:tc>
          <w:tcPr>
            <w:tcW w:w="8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(2,037)</w:t>
            </w:r>
          </w:p>
        </w:tc>
      </w:tr>
      <w:tr>
        <w:trPr>
          <w:trHeight w:val="188"/>
        </w:trPr>
        <w:tc>
          <w:tcPr>
            <w:tcW w:w="8200" w:type="dxa"/>
            <w:vAlign w:val="bottom"/>
            <w:shd w:val="clear" w:color="auto" w:fill="CFF0FC"/>
          </w:tcPr>
          <w:p>
            <w:pPr>
              <w:spacing w:after="0"/>
              <w:rPr>
                <w:sz w:val="20"/>
                <w:szCs w:val="20"/>
                <w:color w:val="auto"/>
              </w:rPr>
            </w:pPr>
            <w:r>
              <w:rPr>
                <w:rFonts w:ascii="Arial" w:cs="Arial" w:eastAsia="Arial" w:hAnsi="Arial"/>
                <w:sz w:val="14"/>
                <w:szCs w:val="14"/>
                <w:color w:val="auto"/>
              </w:rPr>
              <w:t>Cumulative impact to accumulated deficit</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2,220,179</w:t>
            </w:r>
          </w:p>
        </w:tc>
      </w:tr>
      <w:tr>
        <w:trPr>
          <w:trHeight w:val="20"/>
        </w:trPr>
        <w:tc>
          <w:tcPr>
            <w:tcW w:w="8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Reorganization items, net</w:t>
      </w:r>
    </w:p>
    <w:p>
      <w:pPr>
        <w:spacing w:after="0" w:line="176" w:lineRule="exact"/>
        <w:rPr>
          <w:sz w:val="20"/>
          <w:szCs w:val="20"/>
          <w:color w:val="auto"/>
        </w:rPr>
      </w:pPr>
    </w:p>
    <w:p>
      <w:pPr>
        <w:ind w:right="80" w:firstLine="708"/>
        <w:spacing w:after="0"/>
        <w:rPr>
          <w:sz w:val="20"/>
          <w:szCs w:val="20"/>
          <w:color w:val="auto"/>
        </w:rPr>
      </w:pPr>
      <w:r>
        <w:rPr>
          <w:rFonts w:ascii="Arial" w:cs="Arial" w:eastAsia="Arial" w:hAnsi="Arial"/>
          <w:sz w:val="16"/>
          <w:szCs w:val="16"/>
          <w:color w:val="auto"/>
        </w:rPr>
        <w:t>The Company applied ASC 852 in preparing the condensed consolidated financial statements starting on the Prepackaged Chapter 11 Case petition date. ASC 852 requires the financial statements, for the periods subsequent to the petition date and up to and including the Effective Date,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Condensed Consolidated Statements of Operations.</w:t>
      </w:r>
    </w:p>
    <w:p>
      <w:pPr>
        <w:spacing w:after="0" w:line="156" w:lineRule="exact"/>
        <w:rPr>
          <w:sz w:val="20"/>
          <w:szCs w:val="20"/>
          <w:color w:val="auto"/>
        </w:rPr>
      </w:pPr>
    </w:p>
    <w:p>
      <w:pPr>
        <w:ind w:right="60" w:firstLine="708"/>
        <w:spacing w:after="0" w:line="262" w:lineRule="auto"/>
        <w:rPr>
          <w:sz w:val="20"/>
          <w:szCs w:val="20"/>
          <w:color w:val="auto"/>
        </w:rPr>
      </w:pPr>
      <w:r>
        <w:rPr>
          <w:rFonts w:ascii="Arial" w:cs="Arial" w:eastAsia="Arial" w:hAnsi="Arial"/>
          <w:sz w:val="16"/>
          <w:szCs w:val="16"/>
          <w:color w:val="auto"/>
        </w:rPr>
        <w:t>Certain expenses resulting from and recognized during the Company's bankruptcy proceedings, gains on the settlement of liabilities under the Plan and the net impact of fresh start accounting adjustments are recorded in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30" w:name="page31"/>
    <w:bookmarkEnd w:id="3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Reorganization items, net in the Company's Condensed Consolidated Statements of Operations. Reorganization items, net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47"/>
              <w:spacing w:after="0"/>
              <w:rPr>
                <w:sz w:val="20"/>
                <w:szCs w:val="20"/>
                <w:color w:val="auto"/>
              </w:rPr>
            </w:pPr>
            <w:r>
              <w:rPr>
                <w:rFonts w:ascii="Arial" w:cs="Arial" w:eastAsia="Arial" w:hAnsi="Arial"/>
                <w:sz w:val="13"/>
                <w:szCs w:val="13"/>
                <w:b w:val="1"/>
                <w:bCs w:val="1"/>
                <w:color w:val="auto"/>
              </w:rPr>
              <w:t>Successor</w:t>
            </w:r>
          </w:p>
        </w:tc>
        <w:tc>
          <w:tcPr>
            <w:tcW w:w="2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Predecessor</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27"/>
              <w:spacing w:after="0"/>
              <w:rPr>
                <w:sz w:val="20"/>
                <w:szCs w:val="20"/>
                <w:color w:val="auto"/>
              </w:rPr>
            </w:pPr>
            <w:r>
              <w:rPr>
                <w:rFonts w:ascii="Arial" w:cs="Arial" w:eastAsia="Arial" w:hAnsi="Arial"/>
                <w:sz w:val="13"/>
                <w:szCs w:val="13"/>
                <w:b w:val="1"/>
                <w:bCs w:val="1"/>
                <w:color w:val="auto"/>
              </w:rPr>
              <w:t>Period from January 15</w:t>
            </w:r>
          </w:p>
        </w:tc>
        <w:tc>
          <w:tcPr>
            <w:tcW w:w="2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Period from January 1</w:t>
            </w:r>
          </w:p>
        </w:tc>
        <w:tc>
          <w:tcPr>
            <w:tcW w:w="200" w:type="dxa"/>
            <w:vAlign w:val="bottom"/>
          </w:tcPr>
          <w:p>
            <w:pPr>
              <w:spacing w:after="0"/>
              <w:rPr>
                <w:sz w:val="13"/>
                <w:szCs w:val="13"/>
                <w:color w:val="auto"/>
              </w:rPr>
            </w:pPr>
          </w:p>
        </w:tc>
        <w:tc>
          <w:tcPr>
            <w:tcW w:w="18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Three Months Ended March</w:t>
            </w:r>
          </w:p>
        </w:tc>
        <w:tc>
          <w:tcPr>
            <w:tcW w:w="0" w:type="dxa"/>
            <w:vAlign w:val="bottom"/>
          </w:tcPr>
          <w:p>
            <w:pPr>
              <w:spacing w:after="0"/>
              <w:rPr>
                <w:sz w:val="1"/>
                <w:szCs w:val="1"/>
                <w:color w:val="auto"/>
              </w:rPr>
            </w:pPr>
          </w:p>
        </w:tc>
      </w:tr>
      <w:tr>
        <w:trPr>
          <w:trHeight w:val="179"/>
        </w:trPr>
        <w:tc>
          <w:tcPr>
            <w:tcW w:w="4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ind w:right="27"/>
              <w:spacing w:after="0"/>
              <w:rPr>
                <w:sz w:val="20"/>
                <w:szCs w:val="20"/>
                <w:color w:val="auto"/>
              </w:rPr>
            </w:pPr>
            <w:r>
              <w:rPr>
                <w:rFonts w:ascii="Arial" w:cs="Arial" w:eastAsia="Arial" w:hAnsi="Arial"/>
                <w:sz w:val="13"/>
                <w:szCs w:val="13"/>
                <w:b w:val="1"/>
                <w:bCs w:val="1"/>
                <w:color w:val="auto"/>
              </w:rPr>
              <w:t>through March 31,</w:t>
            </w:r>
          </w:p>
        </w:tc>
        <w:tc>
          <w:tcPr>
            <w:tcW w:w="2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through January 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705"/>
              <w:spacing w:after="0"/>
              <w:rPr>
                <w:sz w:val="20"/>
                <w:szCs w:val="20"/>
                <w:color w:val="auto"/>
              </w:rPr>
            </w:pPr>
            <w:r>
              <w:rPr>
                <w:rFonts w:ascii="Arial" w:cs="Arial" w:eastAsia="Arial" w:hAnsi="Arial"/>
                <w:sz w:val="13"/>
                <w:szCs w:val="13"/>
                <w:b w:val="1"/>
                <w:bCs w:val="1"/>
                <w:color w:val="auto"/>
              </w:rPr>
              <w:t>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27"/>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645"/>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6"/>
                <w:szCs w:val="16"/>
                <w:color w:val="auto"/>
              </w:rPr>
              <w:t>Net gain on settlement of debt</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Pr>
          <w:p>
            <w:pPr>
              <w:ind w:left="1480"/>
              <w:spacing w:after="0"/>
              <w:rPr>
                <w:sz w:val="20"/>
                <w:szCs w:val="20"/>
                <w:color w:val="auto"/>
              </w:rPr>
            </w:pPr>
            <w:r>
              <w:rPr>
                <w:rFonts w:ascii="Arial" w:cs="Arial" w:eastAsia="Arial" w:hAnsi="Arial"/>
                <w:sz w:val="16"/>
                <w:szCs w:val="16"/>
                <w:color w:val="auto"/>
                <w:w w:val="87"/>
              </w:rPr>
              <w:t>—</w:t>
            </w:r>
          </w:p>
        </w:tc>
        <w:tc>
          <w:tcPr>
            <w:tcW w:w="280" w:type="dxa"/>
            <w:vAlign w:val="bottom"/>
            <w:tcBorders>
              <w:right w:val="single" w:sz="8" w:color="auto"/>
            </w:tcBorders>
          </w:tcPr>
          <w:p>
            <w:pPr>
              <w:spacing w:after="0"/>
              <w:rPr>
                <w:sz w:val="16"/>
                <w:szCs w:val="16"/>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141,419</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loss on fresh start adjustments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ind w:left="1480"/>
              <w:spacing w:after="0" w:line="180" w:lineRule="exact"/>
              <w:rPr>
                <w:sz w:val="20"/>
                <w:szCs w:val="20"/>
                <w:color w:val="auto"/>
              </w:rPr>
            </w:pPr>
            <w:r>
              <w:rPr>
                <w:rFonts w:ascii="Arial" w:cs="Arial" w:eastAsia="Arial" w:hAnsi="Arial"/>
                <w:sz w:val="16"/>
                <w:szCs w:val="16"/>
                <w:color w:val="auto"/>
                <w:w w:val="87"/>
              </w:rPr>
              <w:t>—</w:t>
            </w:r>
          </w:p>
        </w:tc>
        <w:tc>
          <w:tcPr>
            <w:tcW w:w="28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6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(87,688)</w:t>
            </w:r>
          </w:p>
        </w:tc>
        <w:tc>
          <w:tcPr>
            <w:tcW w:w="200" w:type="dxa"/>
            <w:vAlign w:val="bottom"/>
            <w:tcBorders>
              <w:lef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Arial" w:cs="Arial" w:eastAsia="Arial" w:hAnsi="Arial"/>
                <w:sz w:val="16"/>
                <w:szCs w:val="16"/>
                <w:color w:val="auto"/>
              </w:rPr>
              <w:t>Net loss on reorganization adjustment of other assets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ind w:left="1480"/>
              <w:spacing w:after="0" w:line="180" w:lineRule="exact"/>
              <w:rPr>
                <w:sz w:val="20"/>
                <w:szCs w:val="20"/>
                <w:color w:val="auto"/>
              </w:rPr>
            </w:pPr>
            <w:r>
              <w:rPr>
                <w:rFonts w:ascii="Arial" w:cs="Arial" w:eastAsia="Arial" w:hAnsi="Arial"/>
                <w:sz w:val="16"/>
                <w:szCs w:val="16"/>
                <w:color w:val="auto"/>
                <w:w w:val="87"/>
              </w:rPr>
              <w:t>—</w:t>
            </w:r>
          </w:p>
        </w:tc>
        <w:tc>
          <w:tcPr>
            <w:tcW w:w="2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(2,037)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Professional fees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ind w:left="1480"/>
              <w:spacing w:after="0" w:line="180" w:lineRule="exact"/>
              <w:rPr>
                <w:sz w:val="20"/>
                <w:szCs w:val="20"/>
                <w:color w:val="auto"/>
              </w:rPr>
            </w:pPr>
            <w:r>
              <w:rPr>
                <w:rFonts w:ascii="Arial" w:cs="Arial" w:eastAsia="Arial" w:hAnsi="Arial"/>
                <w:sz w:val="16"/>
                <w:szCs w:val="16"/>
                <w:color w:val="auto"/>
                <w:w w:val="87"/>
              </w:rPr>
              <w:t>—</w:t>
            </w:r>
          </w:p>
        </w:tc>
        <w:tc>
          <w:tcPr>
            <w:tcW w:w="28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6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(658)</w:t>
            </w:r>
          </w:p>
        </w:tc>
        <w:tc>
          <w:tcPr>
            <w:tcW w:w="200" w:type="dxa"/>
            <w:vAlign w:val="bottom"/>
            <w:tcBorders>
              <w:lef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Arial" w:cs="Arial" w:eastAsia="Arial" w:hAnsi="Arial"/>
                <w:sz w:val="16"/>
                <w:szCs w:val="16"/>
                <w:color w:val="auto"/>
              </w:rPr>
              <w:t>Total reorganization items, net</w:t>
            </w:r>
          </w:p>
        </w:tc>
        <w:tc>
          <w:tcPr>
            <w:tcW w:w="52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640" w:type="dxa"/>
            <w:vAlign w:val="bottom"/>
          </w:tcPr>
          <w:p>
            <w:pPr>
              <w:ind w:left="1480"/>
              <w:spacing w:after="0" w:line="180" w:lineRule="exact"/>
              <w:rPr>
                <w:sz w:val="20"/>
                <w:szCs w:val="20"/>
                <w:color w:val="auto"/>
              </w:rPr>
            </w:pPr>
            <w:r>
              <w:rPr>
                <w:rFonts w:ascii="Arial" w:cs="Arial" w:eastAsia="Arial" w:hAnsi="Arial"/>
                <w:sz w:val="16"/>
                <w:szCs w:val="16"/>
                <w:color w:val="auto"/>
                <w:w w:val="87"/>
              </w:rPr>
              <w:t>—</w:t>
            </w:r>
          </w:p>
        </w:tc>
        <w:tc>
          <w:tcPr>
            <w:tcW w:w="280" w:type="dxa"/>
            <w:vAlign w:val="bottom"/>
            <w:tcBorders>
              <w:right w:val="single" w:sz="8" w:color="auto"/>
            </w:tcBorders>
          </w:tcPr>
          <w:p>
            <w:pPr>
              <w:spacing w:after="0"/>
              <w:rPr>
                <w:sz w:val="15"/>
                <w:szCs w:val="15"/>
                <w:color w:val="auto"/>
              </w:rPr>
            </w:pPr>
          </w:p>
        </w:tc>
        <w:tc>
          <w:tcPr>
            <w:tcW w:w="320" w:type="dxa"/>
            <w:vAlign w:val="bottom"/>
            <w:gridSpan w:val="3"/>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51,036</w:t>
            </w:r>
          </w:p>
        </w:tc>
        <w:tc>
          <w:tcPr>
            <w:tcW w:w="560" w:type="dxa"/>
            <w:vAlign w:val="bottom"/>
            <w:gridSpan w:val="3"/>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6"/>
                <w:szCs w:val="16"/>
                <w:b w:val="1"/>
                <w:bCs w:val="1"/>
                <w:color w:val="auto"/>
              </w:rPr>
              <w:t>7. Property and Equipment, Net</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260" w:type="dxa"/>
            <w:vAlign w:val="bottom"/>
            <w:gridSpan w:val="4"/>
          </w:tcPr>
          <w:p>
            <w:pPr>
              <w:ind w:left="720"/>
              <w:spacing w:after="0"/>
              <w:rPr>
                <w:sz w:val="20"/>
                <w:szCs w:val="20"/>
                <w:color w:val="auto"/>
              </w:rPr>
            </w:pPr>
            <w:r>
              <w:rPr>
                <w:rFonts w:ascii="Arial" w:cs="Arial" w:eastAsia="Arial" w:hAnsi="Arial"/>
                <w:sz w:val="16"/>
                <w:szCs w:val="16"/>
                <w:color w:val="auto"/>
              </w:rPr>
              <w:t>Property and equipment, net consisted of the following (in thousands):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rPr>
              <w:t>Successor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45"/>
        </w:trPr>
        <w:tc>
          <w:tcPr>
            <w:tcW w:w="4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9"/>
              </w:rPr>
              <w:t>March 31,</w:t>
            </w:r>
          </w:p>
        </w:tc>
        <w:tc>
          <w:tcPr>
            <w:tcW w:w="20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8"/>
        </w:trPr>
        <w:tc>
          <w:tcPr>
            <w:tcW w:w="4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306"/>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ind w:right="305"/>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Equipment</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535</w:t>
            </w:r>
          </w:p>
        </w:tc>
        <w:tc>
          <w:tcPr>
            <w:tcW w:w="140" w:type="dxa"/>
            <w:vAlign w:val="bottom"/>
            <w:tcBorders>
              <w:right w:val="single" w:sz="8" w:color="CFF0FC"/>
            </w:tcBorders>
            <w:shd w:val="clear" w:color="auto" w:fill="CFF0FC"/>
          </w:tcPr>
          <w:p>
            <w:pPr>
              <w:spacing w:after="0"/>
              <w:rPr>
                <w:sz w:val="15"/>
                <w:szCs w:val="15"/>
                <w:color w:val="auto"/>
              </w:rPr>
            </w:pPr>
          </w:p>
        </w:tc>
        <w:tc>
          <w:tcPr>
            <w:tcW w:w="560" w:type="dxa"/>
            <w:vAlign w:val="bottom"/>
            <w:tcBorders>
              <w:left w:val="single" w:sz="8" w:color="auto"/>
            </w:tcBorders>
            <w:gridSpan w:val="3"/>
            <w:shd w:val="clear" w:color="auto" w:fill="CFF0FC"/>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2,841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Arial" w:cs="Arial" w:eastAsia="Arial" w:hAnsi="Arial"/>
                <w:sz w:val="16"/>
                <w:szCs w:val="16"/>
                <w:color w:val="auto"/>
              </w:rPr>
              <w:t>Furniture and fixtures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ind w:right="6"/>
              <w:spacing w:after="0" w:line="180" w:lineRule="exact"/>
              <w:rPr>
                <w:sz w:val="20"/>
                <w:szCs w:val="20"/>
                <w:color w:val="auto"/>
              </w:rPr>
            </w:pPr>
            <w:r>
              <w:rPr>
                <w:rFonts w:ascii="Arial" w:cs="Arial" w:eastAsia="Arial" w:hAnsi="Arial"/>
                <w:sz w:val="16"/>
                <w:szCs w:val="16"/>
                <w:color w:val="auto"/>
              </w:rPr>
              <w:t>78</w:t>
            </w:r>
          </w:p>
        </w:tc>
        <w:tc>
          <w:tcPr>
            <w:tcW w:w="140" w:type="dxa"/>
            <w:vAlign w:val="bottom"/>
          </w:tcPr>
          <w:p>
            <w:pPr>
              <w:spacing w:after="0"/>
              <w:rPr>
                <w:sz w:val="15"/>
                <w:szCs w:val="15"/>
                <w:color w:val="auto"/>
              </w:rPr>
            </w:pPr>
          </w:p>
        </w:tc>
        <w:tc>
          <w:tcPr>
            <w:tcW w:w="2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Arial" w:cs="Arial" w:eastAsia="Arial" w:hAnsi="Arial"/>
                <w:sz w:val="16"/>
                <w:szCs w:val="16"/>
                <w:color w:val="auto"/>
              </w:rPr>
              <w:t>333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Leasehold improvements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388</w:t>
            </w:r>
          </w:p>
        </w:tc>
        <w:tc>
          <w:tcPr>
            <w:tcW w:w="14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lef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693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6"/>
                <w:szCs w:val="16"/>
                <w:color w:val="auto"/>
              </w:rPr>
              <w:t>Internal-use software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1,506</w:t>
            </w:r>
          </w:p>
        </w:tc>
        <w:tc>
          <w:tcPr>
            <w:tcW w:w="140" w:type="dxa"/>
            <w:vAlign w:val="bottom"/>
          </w:tcPr>
          <w:p>
            <w:pPr>
              <w:spacing w:after="0"/>
              <w:rPr>
                <w:sz w:val="17"/>
                <w:szCs w:val="17"/>
                <w:color w:val="auto"/>
              </w:rPr>
            </w:pPr>
          </w:p>
        </w:tc>
        <w:tc>
          <w:tcPr>
            <w:tcW w:w="2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192</w:t>
            </w:r>
          </w:p>
        </w:tc>
        <w:tc>
          <w:tcPr>
            <w:tcW w:w="14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left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ind w:right="6"/>
              <w:spacing w:after="0" w:line="180" w:lineRule="exact"/>
              <w:rPr>
                <w:sz w:val="20"/>
                <w:szCs w:val="20"/>
                <w:color w:val="auto"/>
              </w:rPr>
            </w:pPr>
            <w:r>
              <w:rPr>
                <w:rFonts w:ascii="Arial" w:cs="Arial" w:eastAsia="Arial" w:hAnsi="Arial"/>
                <w:sz w:val="16"/>
                <w:szCs w:val="16"/>
                <w:color w:val="auto"/>
              </w:rPr>
              <w:t>2,699</w:t>
            </w:r>
          </w:p>
        </w:tc>
        <w:tc>
          <w:tcPr>
            <w:tcW w:w="140" w:type="dxa"/>
            <w:vAlign w:val="bottom"/>
          </w:tcPr>
          <w:p>
            <w:pPr>
              <w:spacing w:after="0"/>
              <w:rPr>
                <w:sz w:val="15"/>
                <w:szCs w:val="15"/>
                <w:color w:val="auto"/>
              </w:rPr>
            </w:pPr>
          </w:p>
        </w:tc>
        <w:tc>
          <w:tcPr>
            <w:tcW w:w="2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Arial" w:cs="Arial" w:eastAsia="Arial" w:hAnsi="Arial"/>
                <w:sz w:val="16"/>
                <w:szCs w:val="16"/>
                <w:color w:val="auto"/>
              </w:rPr>
              <w:t>9,926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Accumulated depreciation and amortization</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(198)</w:t>
            </w:r>
          </w:p>
        </w:tc>
        <w:tc>
          <w:tcPr>
            <w:tcW w:w="14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lef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(5,862)</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Arial" w:cs="Arial" w:eastAsia="Arial" w:hAnsi="Arial"/>
                <w:sz w:val="16"/>
                <w:szCs w:val="16"/>
                <w:color w:val="auto"/>
              </w:rPr>
              <w:t>Property and equipment, net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0" w:type="dxa"/>
            <w:vAlign w:val="bottom"/>
            <w:gridSpan w:val="3"/>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520" w:type="dxa"/>
            <w:vAlign w:val="bottom"/>
          </w:tcPr>
          <w:p>
            <w:pPr>
              <w:jc w:val="right"/>
              <w:ind w:right="6"/>
              <w:spacing w:after="0" w:line="180" w:lineRule="exact"/>
              <w:rPr>
                <w:sz w:val="20"/>
                <w:szCs w:val="20"/>
                <w:color w:val="auto"/>
              </w:rPr>
            </w:pPr>
            <w:r>
              <w:rPr>
                <w:rFonts w:ascii="Arial" w:cs="Arial" w:eastAsia="Arial" w:hAnsi="Arial"/>
                <w:sz w:val="16"/>
                <w:szCs w:val="16"/>
                <w:color w:val="auto"/>
              </w:rPr>
              <w:t>2,501</w:t>
            </w:r>
          </w:p>
        </w:tc>
        <w:tc>
          <w:tcPr>
            <w:tcW w:w="140" w:type="dxa"/>
            <w:vAlign w:val="bottom"/>
          </w:tcPr>
          <w:p>
            <w:pPr>
              <w:spacing w:after="0"/>
              <w:rPr>
                <w:sz w:val="15"/>
                <w:szCs w:val="15"/>
                <w:color w:val="auto"/>
              </w:rPr>
            </w:pPr>
          </w:p>
        </w:tc>
        <w:tc>
          <w:tcPr>
            <w:tcW w:w="560" w:type="dxa"/>
            <w:vAlign w:val="bottom"/>
            <w:tcBorders>
              <w:left w:val="single" w:sz="8" w:color="auto"/>
            </w:tcBorders>
            <w:gridSpan w:val="3"/>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80" w:lineRule="exact"/>
              <w:rPr>
                <w:sz w:val="20"/>
                <w:szCs w:val="20"/>
                <w:color w:val="auto"/>
              </w:rPr>
            </w:pPr>
            <w:r>
              <w:rPr>
                <w:rFonts w:ascii="Arial" w:cs="Arial" w:eastAsia="Arial" w:hAnsi="Arial"/>
                <w:sz w:val="16"/>
                <w:szCs w:val="16"/>
                <w:color w:val="auto"/>
              </w:rPr>
              <w:t>4,064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420" w:firstLine="708"/>
        <w:spacing w:after="0" w:line="262" w:lineRule="auto"/>
        <w:rPr>
          <w:sz w:val="20"/>
          <w:szCs w:val="20"/>
          <w:color w:val="auto"/>
        </w:rPr>
      </w:pPr>
      <w:r>
        <w:rPr>
          <w:rFonts w:ascii="Arial" w:cs="Arial" w:eastAsia="Arial" w:hAnsi="Arial"/>
          <w:sz w:val="16"/>
          <w:szCs w:val="16"/>
          <w:color w:val="auto"/>
        </w:rPr>
        <w:t>Upon emergence from the Prepackaged Chapter 11 Case, and application of fresh start accounting, the Company recorded property and equipment at fair value as of the Effective Date, as discussed in Note 6 — Fresh Start Accounting for further details.</w:t>
      </w:r>
    </w:p>
    <w:p>
      <w:pPr>
        <w:spacing w:after="0" w:line="138" w:lineRule="exact"/>
        <w:rPr>
          <w:sz w:val="20"/>
          <w:szCs w:val="20"/>
          <w:color w:val="auto"/>
        </w:rPr>
      </w:pPr>
    </w:p>
    <w:p>
      <w:pPr>
        <w:ind w:right="60" w:firstLine="708"/>
        <w:spacing w:after="0" w:line="334" w:lineRule="auto"/>
        <w:rPr>
          <w:sz w:val="20"/>
          <w:szCs w:val="20"/>
          <w:color w:val="auto"/>
        </w:rPr>
      </w:pPr>
      <w:r>
        <w:rPr>
          <w:rFonts w:ascii="Arial" w:cs="Arial" w:eastAsia="Arial" w:hAnsi="Arial"/>
          <w:sz w:val="14"/>
          <w:szCs w:val="14"/>
          <w:color w:val="auto"/>
        </w:rPr>
        <w:t>Depreciation and amortization expense was $0.2 million for the period from January 15, 2025 to March 31, 2025, and $ 0.9 million for the three months ended March 31, 2024. Depreciation and amortization expense for the period from January 1, 2025, to January 14, 2025, was not material.</w:t>
      </w:r>
    </w:p>
    <w:p>
      <w:pPr>
        <w:spacing w:after="0" w:line="92" w:lineRule="exact"/>
        <w:rPr>
          <w:sz w:val="20"/>
          <w:szCs w:val="20"/>
          <w:color w:val="auto"/>
        </w:rPr>
      </w:pPr>
    </w:p>
    <w:p>
      <w:pPr>
        <w:ind w:right="360" w:firstLine="708"/>
        <w:spacing w:after="0" w:line="262" w:lineRule="auto"/>
        <w:rPr>
          <w:sz w:val="20"/>
          <w:szCs w:val="20"/>
          <w:color w:val="auto"/>
        </w:rPr>
      </w:pPr>
      <w:r>
        <w:rPr>
          <w:rFonts w:ascii="Arial" w:cs="Arial" w:eastAsia="Arial" w:hAnsi="Arial"/>
          <w:sz w:val="16"/>
          <w:szCs w:val="16"/>
          <w:color w:val="auto"/>
        </w:rPr>
        <w:t>The Company recorded impairment charges for "Property and equipment, net" of $2.7 million for the three months ended March 31, 2024, related to the Company's internal-use software that no longer have a planned future use.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Intangible Assets, Net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Intangible assets, net consisted of the following (in thousands):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1" w:name="page32"/>
    <w:bookmarkEnd w:id="3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Successor</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Predecessor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March 31, 2025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4"/>
          </w:tcPr>
          <w:p>
            <w:pPr>
              <w:jc w:val="center"/>
              <w:ind w:left="6"/>
              <w:spacing w:after="0"/>
              <w:rPr>
                <w:sz w:val="20"/>
                <w:szCs w:val="20"/>
                <w:color w:val="auto"/>
              </w:rPr>
            </w:pPr>
            <w:r>
              <w:rPr>
                <w:rFonts w:ascii="Arial" w:cs="Arial" w:eastAsia="Arial" w:hAnsi="Arial"/>
                <w:sz w:val="13"/>
                <w:szCs w:val="13"/>
                <w:b w:val="1"/>
                <w:bCs w:val="1"/>
                <w:color w:val="auto"/>
              </w:rPr>
              <w:t>December 31, 2024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8"/>
              </w:rPr>
              <w:t>Gross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28"/>
              <w:spacing w:after="0"/>
              <w:rPr>
                <w:sz w:val="20"/>
                <w:szCs w:val="20"/>
                <w:color w:val="auto"/>
              </w:rPr>
            </w:pPr>
            <w:r>
              <w:rPr>
                <w:rFonts w:ascii="Arial" w:cs="Arial" w:eastAsia="Arial" w:hAnsi="Arial"/>
                <w:sz w:val="12"/>
                <w:szCs w:val="12"/>
                <w:b w:val="1"/>
                <w:bCs w:val="1"/>
                <w:color w:val="auto"/>
                <w:w w:val="96"/>
              </w:rPr>
              <w:t>Gross Carrying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3"/>
                <w:szCs w:val="13"/>
                <w:color w:val="auto"/>
              </w:rPr>
            </w:pPr>
          </w:p>
        </w:tc>
        <w:tc>
          <w:tcPr>
            <w:tcW w:w="11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99"/>
              </w:rPr>
              <w:t>Carrying Value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288"/>
              <w:spacing w:after="0"/>
              <w:rPr>
                <w:sz w:val="20"/>
                <w:szCs w:val="20"/>
                <w:color w:val="auto"/>
              </w:rPr>
            </w:pPr>
            <w:r>
              <w:rPr>
                <w:rFonts w:ascii="Arial" w:cs="Arial" w:eastAsia="Arial" w:hAnsi="Arial"/>
                <w:sz w:val="12"/>
                <w:szCs w:val="12"/>
                <w:b w:val="1"/>
                <w:bCs w:val="1"/>
                <w:color w:val="auto"/>
              </w:rPr>
              <w:t>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Amortization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Carrying Value</w:t>
            </w:r>
          </w:p>
        </w:tc>
      </w:tr>
      <w:tr>
        <w:trPr>
          <w:trHeight w:val="180"/>
        </w:trPr>
        <w:tc>
          <w:tcPr>
            <w:tcW w:w="29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Developed and purchased technology</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9,800</w:t>
            </w:r>
          </w:p>
        </w:tc>
        <w:tc>
          <w:tcPr>
            <w:tcW w:w="22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(297)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auto"/>
            </w:tcBorders>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9,503</w:t>
            </w:r>
          </w:p>
        </w:tc>
        <w:tc>
          <w:tcPr>
            <w:tcW w:w="2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108,700</w:t>
            </w:r>
          </w:p>
        </w:tc>
        <w:tc>
          <w:tcPr>
            <w:tcW w:w="32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(55,047)</w:t>
            </w:r>
          </w:p>
        </w:tc>
        <w:tc>
          <w:tcPr>
            <w:tcW w:w="1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53,653</w:t>
            </w:r>
          </w:p>
        </w:tc>
        <w:tc>
          <w:tcPr>
            <w:tcW w:w="80" w:type="dxa"/>
            <w:vAlign w:val="bottom"/>
            <w:shd w:val="clear" w:color="auto" w:fill="CFF0FC"/>
          </w:tcPr>
          <w:p>
            <w:pPr>
              <w:spacing w:after="0"/>
              <w:rPr>
                <w:sz w:val="15"/>
                <w:szCs w:val="15"/>
                <w:color w:val="auto"/>
              </w:rPr>
            </w:pPr>
          </w:p>
        </w:tc>
      </w:tr>
      <w:tr>
        <w:trPr>
          <w:trHeight w:val="180"/>
        </w:trPr>
        <w:tc>
          <w:tcPr>
            <w:tcW w:w="2940" w:type="dxa"/>
            <w:vAlign w:val="bottom"/>
          </w:tcPr>
          <w:p>
            <w:pPr>
              <w:spacing w:after="0" w:line="180" w:lineRule="exact"/>
              <w:rPr>
                <w:sz w:val="20"/>
                <w:szCs w:val="20"/>
                <w:color w:val="auto"/>
              </w:rPr>
            </w:pPr>
            <w:r>
              <w:rPr>
                <w:rFonts w:ascii="Arial" w:cs="Arial" w:eastAsia="Arial" w:hAnsi="Arial"/>
                <w:sz w:val="16"/>
                <w:szCs w:val="16"/>
                <w:color w:val="auto"/>
              </w:rPr>
              <w:t>Customer relationships</w:t>
            </w: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6"/>
                <w:szCs w:val="16"/>
                <w:color w:val="auto"/>
              </w:rPr>
              <w:t>900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(24)</w:t>
            </w:r>
          </w:p>
        </w:tc>
        <w:tc>
          <w:tcPr>
            <w:tcW w:w="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876</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69,400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(26,011)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Arial" w:cs="Arial" w:eastAsia="Arial" w:hAnsi="Arial"/>
                <w:sz w:val="16"/>
                <w:szCs w:val="16"/>
                <w:color w:val="auto"/>
              </w:rPr>
              <w:t>43,389</w:t>
            </w:r>
          </w:p>
        </w:tc>
        <w:tc>
          <w:tcPr>
            <w:tcW w:w="80" w:type="dxa"/>
            <w:vAlign w:val="bottom"/>
          </w:tcPr>
          <w:p>
            <w:pPr>
              <w:spacing w:after="0"/>
              <w:rPr>
                <w:sz w:val="15"/>
                <w:szCs w:val="15"/>
                <w:color w:val="auto"/>
              </w:rPr>
            </w:pPr>
          </w:p>
        </w:tc>
      </w:tr>
      <w:tr>
        <w:trPr>
          <w:trHeight w:val="180"/>
        </w:trPr>
        <w:tc>
          <w:tcPr>
            <w:tcW w:w="29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Trademarks and trade names</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3,500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(83)</w:t>
            </w:r>
          </w:p>
        </w:tc>
        <w:tc>
          <w:tcPr>
            <w:tcW w:w="80" w:type="dxa"/>
            <w:vAlign w:val="bottom"/>
            <w:shd w:val="clear" w:color="auto" w:fill="CFF0FC"/>
          </w:tcPr>
          <w:p>
            <w:pPr>
              <w:spacing w:after="0"/>
              <w:rPr>
                <w:sz w:val="15"/>
                <w:szCs w:val="15"/>
                <w:color w:val="auto"/>
              </w:rPr>
            </w:pPr>
          </w:p>
        </w:tc>
        <w:tc>
          <w:tcPr>
            <w:tcW w:w="1180" w:type="dxa"/>
            <w:vAlign w:val="bottom"/>
            <w:tcBorders>
              <w:right w:val="single" w:sz="8" w:color="auto"/>
            </w:tcBorders>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3,417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12,200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(4,373)</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7,827</w:t>
            </w:r>
          </w:p>
        </w:tc>
      </w:tr>
      <w:tr>
        <w:trPr>
          <w:trHeight w:val="180"/>
        </w:trPr>
        <w:tc>
          <w:tcPr>
            <w:tcW w:w="2940" w:type="dxa"/>
            <w:vAlign w:val="bottom"/>
          </w:tcPr>
          <w:p>
            <w:pPr>
              <w:ind w:left="260"/>
              <w:spacing w:after="0" w:line="160" w:lineRule="exact"/>
              <w:rPr>
                <w:sz w:val="20"/>
                <w:szCs w:val="20"/>
                <w:color w:val="auto"/>
              </w:rPr>
            </w:pPr>
            <w:r>
              <w:rPr>
                <w:rFonts w:ascii="Arial" w:cs="Arial" w:eastAsia="Arial" w:hAnsi="Arial"/>
                <w:sz w:val="16"/>
                <w:szCs w:val="16"/>
                <w:color w:val="auto"/>
              </w:rPr>
              <w:t>Total intangible 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60" w:lineRule="exact"/>
              <w:rPr>
                <w:sz w:val="20"/>
                <w:szCs w:val="20"/>
                <w:color w:val="auto"/>
              </w:rPr>
            </w:pPr>
            <w:r>
              <w:rPr>
                <w:rFonts w:ascii="Arial" w:cs="Arial" w:eastAsia="Arial" w:hAnsi="Arial"/>
                <w:sz w:val="16"/>
                <w:szCs w:val="16"/>
                <w:color w:val="auto"/>
              </w:rPr>
              <w:t>14,200</w:t>
            </w:r>
          </w:p>
        </w:tc>
        <w:tc>
          <w:tcPr>
            <w:tcW w:w="120" w:type="dxa"/>
            <w:vAlign w:val="bottom"/>
          </w:tcPr>
          <w:p>
            <w:pPr>
              <w:spacing w:after="0"/>
              <w:rPr>
                <w:sz w:val="15"/>
                <w:szCs w:val="15"/>
                <w:color w:val="auto"/>
              </w:rPr>
            </w:pPr>
          </w:p>
        </w:tc>
        <w:tc>
          <w:tcPr>
            <w:tcW w:w="22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line="160" w:lineRule="exact"/>
              <w:rPr>
                <w:sz w:val="20"/>
                <w:szCs w:val="20"/>
                <w:color w:val="auto"/>
              </w:rPr>
            </w:pPr>
            <w:r>
              <w:rPr>
                <w:rFonts w:ascii="Arial" w:cs="Arial" w:eastAsia="Arial" w:hAnsi="Arial"/>
                <w:sz w:val="11"/>
                <w:szCs w:val="11"/>
                <w:color w:val="auto"/>
              </w:rPr>
              <w:t>(404</w:t>
            </w:r>
            <w:r>
              <w:rPr>
                <w:rFonts w:ascii="Arial" w:cs="Arial" w:eastAsia="Arial" w:hAnsi="Arial"/>
                <w:sz w:val="18"/>
                <w:szCs w:val="18"/>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60" w:lineRule="exact"/>
              <w:rPr>
                <w:sz w:val="20"/>
                <w:szCs w:val="20"/>
                <w:color w:val="auto"/>
              </w:rPr>
            </w:pPr>
            <w:r>
              <w:rPr>
                <w:rFonts w:ascii="Arial" w:cs="Arial" w:eastAsia="Arial" w:hAnsi="Arial"/>
                <w:sz w:val="16"/>
                <w:szCs w:val="16"/>
                <w:color w:val="auto"/>
              </w:rPr>
              <w:t>13,796</w:t>
            </w:r>
          </w:p>
        </w:tc>
        <w:tc>
          <w:tcPr>
            <w:tcW w:w="220" w:type="dxa"/>
            <w:vAlign w:val="bottom"/>
            <w:tcBorders>
              <w:right w:val="single" w:sz="8" w:color="auto"/>
            </w:tcBorders>
          </w:tcPr>
          <w:p>
            <w:pPr>
              <w:spacing w:after="0"/>
              <w:rPr>
                <w:sz w:val="15"/>
                <w:szCs w:val="15"/>
                <w:color w:val="auto"/>
              </w:rPr>
            </w:pPr>
          </w:p>
        </w:tc>
        <w:tc>
          <w:tcPr>
            <w:tcW w:w="2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0" w:lineRule="exact"/>
              <w:rPr>
                <w:sz w:val="20"/>
                <w:szCs w:val="20"/>
                <w:color w:val="auto"/>
              </w:rPr>
            </w:pPr>
            <w:r>
              <w:rPr>
                <w:rFonts w:ascii="Arial" w:cs="Arial" w:eastAsia="Arial" w:hAnsi="Arial"/>
                <w:sz w:val="16"/>
                <w:szCs w:val="16"/>
                <w:color w:val="auto"/>
              </w:rPr>
              <w:t>190,300</w:t>
            </w:r>
          </w:p>
        </w:tc>
        <w:tc>
          <w:tcPr>
            <w:tcW w:w="320" w:type="dxa"/>
            <w:vAlign w:val="bottom"/>
            <w:gridSpan w:val="2"/>
          </w:tcPr>
          <w:p>
            <w:pPr>
              <w:jc w:val="right"/>
              <w:ind w:right="20"/>
              <w:spacing w:after="0" w:line="160"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line="160" w:lineRule="exact"/>
              <w:rPr>
                <w:sz w:val="20"/>
                <w:szCs w:val="20"/>
                <w:color w:val="auto"/>
              </w:rPr>
            </w:pPr>
            <w:r>
              <w:rPr>
                <w:rFonts w:ascii="Arial" w:cs="Arial" w:eastAsia="Arial" w:hAnsi="Arial"/>
                <w:sz w:val="11"/>
                <w:szCs w:val="11"/>
                <w:color w:val="auto"/>
              </w:rPr>
              <w:t>(85,431</w:t>
            </w:r>
            <w:r>
              <w:rPr>
                <w:rFonts w:ascii="Arial" w:cs="Arial" w:eastAsia="Arial" w:hAnsi="Arial"/>
                <w:sz w:val="18"/>
                <w:szCs w:val="18"/>
                <w:color w:val="auto"/>
                <w:vertAlign w:val="subscript"/>
              </w:rPr>
              <w:t>)</w:t>
            </w:r>
          </w:p>
        </w:tc>
        <w:tc>
          <w:tcPr>
            <w:tcW w:w="16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104,869</w:t>
            </w:r>
          </w:p>
        </w:tc>
        <w:tc>
          <w:tcPr>
            <w:tcW w:w="80" w:type="dxa"/>
            <w:vAlign w:val="bottom"/>
          </w:tcPr>
          <w:p>
            <w:pPr>
              <w:spacing w:after="0"/>
              <w:rPr>
                <w:sz w:val="15"/>
                <w:szCs w:val="15"/>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right="480" w:firstLine="708"/>
        <w:spacing w:after="0" w:line="262" w:lineRule="auto"/>
        <w:rPr>
          <w:sz w:val="20"/>
          <w:szCs w:val="20"/>
          <w:color w:val="auto"/>
        </w:rPr>
      </w:pPr>
      <w:r>
        <w:rPr>
          <w:rFonts w:ascii="Arial" w:cs="Arial" w:eastAsia="Arial" w:hAnsi="Arial"/>
          <w:sz w:val="16"/>
          <w:szCs w:val="16"/>
          <w:color w:val="auto"/>
        </w:rPr>
        <w:t>Amortization expense for intangible assets was $1.0 million for the period from January 1, 2025, to January 14, 2025, $0.4 million for the period from January 15, 2025, to March 31, 2025, and $6.8 million for the three months ended March 31, 2024.</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estimated amortization expense for intangible assets subsequent to March 31, 2025,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60" w:type="dxa"/>
            <w:vAlign w:val="bottom"/>
          </w:tcPr>
          <w:p>
            <w:pPr>
              <w:spacing w:after="0"/>
              <w:rPr>
                <w:sz w:val="20"/>
                <w:szCs w:val="20"/>
                <w:color w:val="auto"/>
              </w:rPr>
            </w:pPr>
            <w:r>
              <w:rPr>
                <w:rFonts w:ascii="Arial" w:cs="Arial" w:eastAsia="Arial" w:hAnsi="Arial"/>
                <w:sz w:val="13"/>
                <w:szCs w:val="13"/>
                <w:b w:val="1"/>
                <w:bCs w:val="1"/>
                <w:color w:val="auto"/>
              </w:rPr>
              <w:t>Year Ending December 31:</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8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For remainder of 2025</w:t>
            </w: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1,426</w:t>
            </w:r>
          </w:p>
        </w:tc>
      </w:tr>
      <w:tr>
        <w:trPr>
          <w:trHeight w:val="180"/>
        </w:trPr>
        <w:tc>
          <w:tcPr>
            <w:tcW w:w="8260" w:type="dxa"/>
            <w:vAlign w:val="bottom"/>
          </w:tcPr>
          <w:p>
            <w:pPr>
              <w:spacing w:after="0" w:line="180" w:lineRule="exact"/>
              <w:rPr>
                <w:sz w:val="20"/>
                <w:szCs w:val="20"/>
                <w:color w:val="auto"/>
              </w:rPr>
            </w:pPr>
            <w:r>
              <w:rPr>
                <w:rFonts w:ascii="Arial" w:cs="Arial" w:eastAsia="Arial" w:hAnsi="Arial"/>
                <w:sz w:val="16"/>
                <w:szCs w:val="16"/>
                <w:color w:val="auto"/>
              </w:rPr>
              <w:t>2026</w:t>
            </w:r>
          </w:p>
        </w:tc>
        <w:tc>
          <w:tcPr>
            <w:tcW w:w="90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1,901</w:t>
            </w:r>
          </w:p>
        </w:tc>
      </w:tr>
      <w:tr>
        <w:trPr>
          <w:trHeight w:val="180"/>
        </w:trPr>
        <w:tc>
          <w:tcPr>
            <w:tcW w:w="8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2027</w:t>
            </w:r>
          </w:p>
        </w:tc>
        <w:tc>
          <w:tcPr>
            <w:tcW w:w="9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1,901</w:t>
            </w:r>
          </w:p>
        </w:tc>
      </w:tr>
      <w:tr>
        <w:trPr>
          <w:trHeight w:val="180"/>
        </w:trPr>
        <w:tc>
          <w:tcPr>
            <w:tcW w:w="8260" w:type="dxa"/>
            <w:vAlign w:val="bottom"/>
          </w:tcPr>
          <w:p>
            <w:pPr>
              <w:spacing w:after="0" w:line="180" w:lineRule="exact"/>
              <w:rPr>
                <w:sz w:val="20"/>
                <w:szCs w:val="20"/>
                <w:color w:val="auto"/>
              </w:rPr>
            </w:pPr>
            <w:r>
              <w:rPr>
                <w:rFonts w:ascii="Arial" w:cs="Arial" w:eastAsia="Arial" w:hAnsi="Arial"/>
                <w:sz w:val="16"/>
                <w:szCs w:val="16"/>
                <w:color w:val="auto"/>
              </w:rPr>
              <w:t>2028</w:t>
            </w:r>
          </w:p>
        </w:tc>
        <w:tc>
          <w:tcPr>
            <w:tcW w:w="90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1,901</w:t>
            </w:r>
          </w:p>
        </w:tc>
      </w:tr>
      <w:tr>
        <w:trPr>
          <w:trHeight w:val="180"/>
        </w:trPr>
        <w:tc>
          <w:tcPr>
            <w:tcW w:w="8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2029</w:t>
            </w:r>
          </w:p>
        </w:tc>
        <w:tc>
          <w:tcPr>
            <w:tcW w:w="9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1,901</w:t>
            </w:r>
          </w:p>
        </w:tc>
      </w:tr>
      <w:tr>
        <w:trPr>
          <w:trHeight w:val="180"/>
        </w:trPr>
        <w:tc>
          <w:tcPr>
            <w:tcW w:w="8260" w:type="dxa"/>
            <w:vAlign w:val="bottom"/>
          </w:tcPr>
          <w:p>
            <w:pPr>
              <w:spacing w:after="0" w:line="180" w:lineRule="exact"/>
              <w:rPr>
                <w:sz w:val="20"/>
                <w:szCs w:val="20"/>
                <w:color w:val="auto"/>
              </w:rPr>
            </w:pPr>
            <w:r>
              <w:rPr>
                <w:rFonts w:ascii="Arial" w:cs="Arial" w:eastAsia="Arial" w:hAnsi="Arial"/>
                <w:sz w:val="16"/>
                <w:szCs w:val="16"/>
                <w:color w:val="auto"/>
              </w:rPr>
              <w:t>Thereafter</w:t>
            </w:r>
          </w:p>
        </w:tc>
        <w:tc>
          <w:tcPr>
            <w:tcW w:w="900" w:type="dxa"/>
            <w:vAlign w:val="bottom"/>
          </w:tcPr>
          <w:p>
            <w:pPr>
              <w:spacing w:after="0"/>
              <w:rPr>
                <w:sz w:val="15"/>
                <w:szCs w:val="15"/>
                <w:color w:val="auto"/>
              </w:rPr>
            </w:pPr>
          </w:p>
        </w:tc>
        <w:tc>
          <w:tcPr>
            <w:tcW w:w="14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4,766</w:t>
            </w:r>
          </w:p>
        </w:tc>
      </w:tr>
      <w:tr>
        <w:trPr>
          <w:trHeight w:val="220"/>
        </w:trPr>
        <w:tc>
          <w:tcPr>
            <w:tcW w:w="8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13,796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Other Liabilities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Company’s other liabilities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20" w:type="dxa"/>
            <w:vAlign w:val="bottom"/>
          </w:tcPr>
          <w:p>
            <w:pPr>
              <w:jc w:val="center"/>
              <w:ind w:left="454"/>
              <w:spacing w:after="0"/>
              <w:rPr>
                <w:sz w:val="20"/>
                <w:szCs w:val="20"/>
                <w:color w:val="auto"/>
              </w:rPr>
            </w:pPr>
            <w:r>
              <w:rPr>
                <w:rFonts w:ascii="Arial" w:cs="Arial" w:eastAsia="Arial" w:hAnsi="Arial"/>
                <w:sz w:val="13"/>
                <w:szCs w:val="13"/>
                <w:b w:val="1"/>
                <w:bCs w:val="1"/>
                <w:color w:val="auto"/>
              </w:rPr>
              <w:t>Successor</w:t>
            </w:r>
          </w:p>
        </w:tc>
        <w:tc>
          <w:tcPr>
            <w:tcW w:w="5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Predecessor</w:t>
            </w:r>
          </w:p>
        </w:tc>
      </w:tr>
      <w:tr>
        <w:trPr>
          <w:trHeight w:val="156"/>
        </w:trPr>
        <w:tc>
          <w:tcPr>
            <w:tcW w:w="38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20" w:type="dxa"/>
            <w:vAlign w:val="bottom"/>
          </w:tcPr>
          <w:p>
            <w:pPr>
              <w:jc w:val="center"/>
              <w:ind w:left="454"/>
              <w:spacing w:after="0"/>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December 31,</w:t>
            </w:r>
          </w:p>
        </w:tc>
      </w:tr>
      <w:tr>
        <w:trPr>
          <w:trHeight w:val="168"/>
        </w:trPr>
        <w:tc>
          <w:tcPr>
            <w:tcW w:w="3840" w:type="dxa"/>
            <w:vAlign w:val="bottom"/>
          </w:tcPr>
          <w:p>
            <w:pPr>
              <w:spacing w:after="0"/>
              <w:rPr>
                <w:sz w:val="14"/>
                <w:szCs w:val="14"/>
                <w:color w:val="auto"/>
              </w:rPr>
            </w:pPr>
          </w:p>
        </w:tc>
        <w:tc>
          <w:tcPr>
            <w:tcW w:w="3960" w:type="dxa"/>
            <w:vAlign w:val="bottom"/>
            <w:gridSpan w:val="2"/>
          </w:tcPr>
          <w:p>
            <w:pPr>
              <w:jc w:val="center"/>
              <w:ind w:left="3185"/>
              <w:spacing w:after="0"/>
              <w:rPr>
                <w:sz w:val="20"/>
                <w:szCs w:val="20"/>
                <w:color w:val="auto"/>
              </w:rPr>
            </w:pPr>
            <w:r>
              <w:rPr>
                <w:rFonts w:ascii="Arial" w:cs="Arial" w:eastAsia="Arial" w:hAnsi="Arial"/>
                <w:sz w:val="13"/>
                <w:szCs w:val="13"/>
                <w:b w:val="1"/>
                <w:bCs w:val="1"/>
                <w:color w:val="auto"/>
              </w:rPr>
              <w:t>2025</w:t>
            </w:r>
          </w:p>
        </w:tc>
        <w:tc>
          <w:tcPr>
            <w:tcW w:w="5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85"/>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Pr>
          <w:p>
            <w:pPr>
              <w:spacing w:after="0"/>
              <w:rPr>
                <w:sz w:val="14"/>
                <w:szCs w:val="14"/>
                <w:color w:val="auto"/>
              </w:rPr>
            </w:pPr>
          </w:p>
        </w:tc>
      </w:tr>
      <w:tr>
        <w:trPr>
          <w:trHeight w:val="180"/>
        </w:trPr>
        <w:tc>
          <w:tcPr>
            <w:tcW w:w="3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Warranty and GAP liabilities</w:t>
            </w:r>
          </w:p>
        </w:tc>
        <w:tc>
          <w:tcPr>
            <w:tcW w:w="3960" w:type="dxa"/>
            <w:vAlign w:val="bottom"/>
            <w:gridSpan w:val="2"/>
            <w:shd w:val="clear" w:color="auto" w:fill="CFF0FC"/>
          </w:tcPr>
          <w:p>
            <w:pPr>
              <w:jc w:val="right"/>
              <w:ind w:right="1054"/>
              <w:spacing w:after="0" w:line="180" w:lineRule="exact"/>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8"/>
              </w:rPr>
              <w:t>17,488</w:t>
            </w:r>
          </w:p>
        </w:tc>
        <w:tc>
          <w:tcPr>
            <w:tcW w:w="260" w:type="dxa"/>
            <w:vAlign w:val="bottom"/>
            <w:tcBorders>
              <w:right w:val="single" w:sz="8" w:color="auto"/>
            </w:tcBorders>
            <w:shd w:val="clear" w:color="auto" w:fill="CFF0FC"/>
          </w:tcPr>
          <w:p>
            <w:pPr>
              <w:spacing w:after="0"/>
              <w:rPr>
                <w:sz w:val="15"/>
                <w:szCs w:val="15"/>
                <w:color w:val="auto"/>
              </w:rPr>
            </w:pPr>
          </w:p>
        </w:tc>
        <w:tc>
          <w:tcPr>
            <w:tcW w:w="44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17,163</w:t>
            </w:r>
          </w:p>
        </w:tc>
        <w:tc>
          <w:tcPr>
            <w:tcW w:w="80" w:type="dxa"/>
            <w:vAlign w:val="bottom"/>
            <w:shd w:val="clear" w:color="auto" w:fill="CFF0FC"/>
          </w:tcPr>
          <w:p>
            <w:pPr>
              <w:spacing w:after="0"/>
              <w:rPr>
                <w:sz w:val="15"/>
                <w:szCs w:val="15"/>
                <w:color w:val="auto"/>
              </w:rPr>
            </w:pPr>
          </w:p>
        </w:tc>
      </w:tr>
      <w:tr>
        <w:trPr>
          <w:trHeight w:val="180"/>
        </w:trPr>
        <w:tc>
          <w:tcPr>
            <w:tcW w:w="3840" w:type="dxa"/>
            <w:vAlign w:val="bottom"/>
          </w:tcPr>
          <w:p>
            <w:pPr>
              <w:spacing w:after="0" w:line="180" w:lineRule="exact"/>
              <w:rPr>
                <w:sz w:val="20"/>
                <w:szCs w:val="20"/>
                <w:color w:val="auto"/>
              </w:rPr>
            </w:pPr>
            <w:r>
              <w:rPr>
                <w:rFonts w:ascii="Arial" w:cs="Arial" w:eastAsia="Arial" w:hAnsi="Arial"/>
                <w:sz w:val="16"/>
                <w:szCs w:val="16"/>
                <w:color w:val="auto"/>
              </w:rPr>
              <w:t>Dealer related liabilities</w:t>
            </w:r>
          </w:p>
        </w:tc>
        <w:tc>
          <w:tcPr>
            <w:tcW w:w="2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line="180" w:lineRule="exact"/>
              <w:rPr>
                <w:sz w:val="20"/>
                <w:szCs w:val="20"/>
                <w:color w:val="auto"/>
              </w:rPr>
            </w:pPr>
            <w:r>
              <w:rPr>
                <w:rFonts w:ascii="Arial" w:cs="Arial" w:eastAsia="Arial" w:hAnsi="Arial"/>
                <w:sz w:val="16"/>
                <w:szCs w:val="16"/>
                <w:color w:val="auto"/>
              </w:rPr>
              <w:t>6,991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4,184</w:t>
            </w:r>
          </w:p>
        </w:tc>
      </w:tr>
      <w:tr>
        <w:trPr>
          <w:trHeight w:val="180"/>
        </w:trPr>
        <w:tc>
          <w:tcPr>
            <w:tcW w:w="3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Accrued compensation and benefits</w:t>
            </w:r>
          </w:p>
        </w:tc>
        <w:tc>
          <w:tcPr>
            <w:tcW w:w="27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780" w:type="dxa"/>
            <w:vAlign w:val="bottom"/>
            <w:tcBorders>
              <w:right w:val="single" w:sz="8" w:color="auto"/>
            </w:tcBorders>
            <w:gridSpan w:val="2"/>
            <w:shd w:val="clear" w:color="auto" w:fill="CFF0FC"/>
          </w:tcPr>
          <w:p>
            <w:pPr>
              <w:jc w:val="right"/>
              <w:ind w:right="260"/>
              <w:spacing w:after="0" w:line="180" w:lineRule="exact"/>
              <w:rPr>
                <w:sz w:val="20"/>
                <w:szCs w:val="20"/>
                <w:color w:val="auto"/>
              </w:rPr>
            </w:pPr>
            <w:r>
              <w:rPr>
                <w:rFonts w:ascii="Arial" w:cs="Arial" w:eastAsia="Arial" w:hAnsi="Arial"/>
                <w:sz w:val="16"/>
                <w:szCs w:val="16"/>
                <w:color w:val="auto"/>
              </w:rPr>
              <w:t>6,713</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12,165</w:t>
            </w:r>
          </w:p>
        </w:tc>
        <w:tc>
          <w:tcPr>
            <w:tcW w:w="80" w:type="dxa"/>
            <w:vAlign w:val="bottom"/>
            <w:shd w:val="clear" w:color="auto" w:fill="CFF0FC"/>
          </w:tcPr>
          <w:p>
            <w:pPr>
              <w:spacing w:after="0"/>
              <w:rPr>
                <w:sz w:val="15"/>
                <w:szCs w:val="15"/>
                <w:color w:val="auto"/>
              </w:rPr>
            </w:pPr>
          </w:p>
        </w:tc>
      </w:tr>
      <w:tr>
        <w:trPr>
          <w:trHeight w:val="180"/>
        </w:trPr>
        <w:tc>
          <w:tcPr>
            <w:tcW w:w="3840" w:type="dxa"/>
            <w:vAlign w:val="bottom"/>
          </w:tcPr>
          <w:p>
            <w:pPr>
              <w:spacing w:after="0" w:line="180" w:lineRule="exact"/>
              <w:rPr>
                <w:sz w:val="20"/>
                <w:szCs w:val="20"/>
                <w:color w:val="auto"/>
              </w:rPr>
            </w:pPr>
            <w:r>
              <w:rPr>
                <w:rFonts w:ascii="Arial" w:cs="Arial" w:eastAsia="Arial" w:hAnsi="Arial"/>
                <w:sz w:val="16"/>
                <w:szCs w:val="16"/>
                <w:color w:val="auto"/>
              </w:rPr>
              <w:t>Accrued professional services</w:t>
            </w:r>
          </w:p>
        </w:tc>
        <w:tc>
          <w:tcPr>
            <w:tcW w:w="2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rPr>
              <w:t>873</w:t>
            </w:r>
          </w:p>
        </w:tc>
        <w:tc>
          <w:tcPr>
            <w:tcW w:w="2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Arial" w:cs="Arial" w:eastAsia="Arial" w:hAnsi="Arial"/>
                <w:sz w:val="16"/>
                <w:szCs w:val="16"/>
                <w:color w:val="auto"/>
              </w:rPr>
              <w:t>532</w:t>
            </w:r>
          </w:p>
        </w:tc>
        <w:tc>
          <w:tcPr>
            <w:tcW w:w="80" w:type="dxa"/>
            <w:vAlign w:val="bottom"/>
          </w:tcPr>
          <w:p>
            <w:pPr>
              <w:spacing w:after="0"/>
              <w:rPr>
                <w:sz w:val="15"/>
                <w:szCs w:val="15"/>
                <w:color w:val="auto"/>
              </w:rPr>
            </w:pPr>
          </w:p>
        </w:tc>
      </w:tr>
      <w:tr>
        <w:trPr>
          <w:trHeight w:val="180"/>
        </w:trPr>
        <w:tc>
          <w:tcPr>
            <w:tcW w:w="3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Accrued software and IT costs</w:t>
            </w:r>
          </w:p>
        </w:tc>
        <w:tc>
          <w:tcPr>
            <w:tcW w:w="27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360</w:t>
            </w:r>
          </w:p>
        </w:tc>
        <w:tc>
          <w:tcPr>
            <w:tcW w:w="26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252</w:t>
            </w:r>
          </w:p>
        </w:tc>
        <w:tc>
          <w:tcPr>
            <w:tcW w:w="80" w:type="dxa"/>
            <w:vAlign w:val="bottom"/>
            <w:shd w:val="clear" w:color="auto" w:fill="CFF0FC"/>
          </w:tcPr>
          <w:p>
            <w:pPr>
              <w:spacing w:after="0"/>
              <w:rPr>
                <w:sz w:val="15"/>
                <w:szCs w:val="15"/>
                <w:color w:val="auto"/>
              </w:rPr>
            </w:pPr>
          </w:p>
        </w:tc>
      </w:tr>
      <w:tr>
        <w:trPr>
          <w:trHeight w:val="180"/>
        </w:trPr>
        <w:tc>
          <w:tcPr>
            <w:tcW w:w="3840" w:type="dxa"/>
            <w:vAlign w:val="bottom"/>
          </w:tcPr>
          <w:p>
            <w:pPr>
              <w:spacing w:after="0" w:line="180" w:lineRule="exact"/>
              <w:rPr>
                <w:sz w:val="20"/>
                <w:szCs w:val="20"/>
                <w:color w:val="auto"/>
              </w:rPr>
            </w:pPr>
            <w:r>
              <w:rPr>
                <w:rFonts w:ascii="Arial" w:cs="Arial" w:eastAsia="Arial" w:hAnsi="Arial"/>
                <w:sz w:val="16"/>
                <w:szCs w:val="16"/>
                <w:color w:val="auto"/>
              </w:rPr>
              <w:t>Interest payable</w:t>
            </w:r>
          </w:p>
        </w:tc>
        <w:tc>
          <w:tcPr>
            <w:tcW w:w="2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line="180" w:lineRule="exact"/>
              <w:rPr>
                <w:sz w:val="20"/>
                <w:szCs w:val="20"/>
                <w:color w:val="auto"/>
              </w:rPr>
            </w:pPr>
            <w:r>
              <w:rPr>
                <w:rFonts w:ascii="Arial" w:cs="Arial" w:eastAsia="Arial" w:hAnsi="Arial"/>
                <w:sz w:val="16"/>
                <w:szCs w:val="16"/>
                <w:color w:val="auto"/>
              </w:rPr>
              <w:t>3,544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4,096</w:t>
            </w:r>
          </w:p>
        </w:tc>
      </w:tr>
      <w:tr>
        <w:trPr>
          <w:trHeight w:val="180"/>
        </w:trPr>
        <w:tc>
          <w:tcPr>
            <w:tcW w:w="3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Insurance payable</w:t>
            </w:r>
          </w:p>
        </w:tc>
        <w:tc>
          <w:tcPr>
            <w:tcW w:w="27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104</w:t>
            </w:r>
          </w:p>
        </w:tc>
        <w:tc>
          <w:tcPr>
            <w:tcW w:w="26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29</w:t>
            </w:r>
          </w:p>
        </w:tc>
      </w:tr>
      <w:tr>
        <w:trPr>
          <w:trHeight w:val="240"/>
        </w:trPr>
        <w:tc>
          <w:tcPr>
            <w:tcW w:w="3840" w:type="dxa"/>
            <w:vAlign w:val="bottom"/>
          </w:tcPr>
          <w:p>
            <w:pPr>
              <w:spacing w:after="0"/>
              <w:rPr>
                <w:sz w:val="20"/>
                <w:szCs w:val="20"/>
                <w:color w:val="auto"/>
              </w:rPr>
            </w:pPr>
            <w:r>
              <w:rPr>
                <w:rFonts w:ascii="Arial" w:cs="Arial" w:eastAsia="Arial" w:hAnsi="Arial"/>
                <w:sz w:val="16"/>
                <w:szCs w:val="16"/>
                <w:color w:val="auto"/>
              </w:rPr>
              <w:t>Other</w:t>
            </w:r>
          </w:p>
        </w:tc>
        <w:tc>
          <w:tcPr>
            <w:tcW w:w="2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12,471</w:t>
            </w:r>
          </w:p>
        </w:tc>
        <w:tc>
          <w:tcPr>
            <w:tcW w:w="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11,278</w:t>
            </w:r>
          </w:p>
        </w:tc>
        <w:tc>
          <w:tcPr>
            <w:tcW w:w="80" w:type="dxa"/>
            <w:vAlign w:val="bottom"/>
          </w:tcPr>
          <w:p>
            <w:pPr>
              <w:spacing w:after="0"/>
              <w:rPr>
                <w:sz w:val="20"/>
                <w:szCs w:val="20"/>
                <w:color w:val="auto"/>
              </w:rPr>
            </w:pPr>
          </w:p>
        </w:tc>
      </w:tr>
      <w:tr>
        <w:trPr>
          <w:trHeight w:val="220"/>
        </w:trPr>
        <w:tc>
          <w:tcPr>
            <w:tcW w:w="3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other liabilities</w:t>
            </w:r>
          </w:p>
        </w:tc>
        <w:tc>
          <w:tcPr>
            <w:tcW w:w="3960" w:type="dxa"/>
            <w:vAlign w:val="bottom"/>
            <w:gridSpan w:val="2"/>
            <w:shd w:val="clear" w:color="auto" w:fill="CFF0FC"/>
          </w:tcPr>
          <w:p>
            <w:pPr>
              <w:jc w:val="right"/>
              <w:ind w:right="1054"/>
              <w:spacing w:after="0" w:line="180" w:lineRule="exact"/>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8"/>
              </w:rPr>
              <w:t>48,544</w:t>
            </w:r>
          </w:p>
        </w:tc>
        <w:tc>
          <w:tcPr>
            <w:tcW w:w="260" w:type="dxa"/>
            <w:vAlign w:val="bottom"/>
            <w:tcBorders>
              <w:right w:val="single" w:sz="8" w:color="auto"/>
            </w:tcBorders>
            <w:shd w:val="clear" w:color="auto" w:fill="CFF0FC"/>
          </w:tcPr>
          <w:p>
            <w:pPr>
              <w:spacing w:after="0"/>
              <w:rPr>
                <w:sz w:val="19"/>
                <w:szCs w:val="19"/>
                <w:color w:val="auto"/>
              </w:rPr>
            </w:pPr>
          </w:p>
        </w:tc>
        <w:tc>
          <w:tcPr>
            <w:tcW w:w="44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49,699</w:t>
            </w:r>
          </w:p>
        </w:tc>
        <w:tc>
          <w:tcPr>
            <w:tcW w:w="80" w:type="dxa"/>
            <w:vAlign w:val="bottom"/>
            <w:shd w:val="clear" w:color="auto" w:fill="CFF0FC"/>
          </w:tcPr>
          <w:p>
            <w:pPr>
              <w:spacing w:after="0"/>
              <w:rPr>
                <w:sz w:val="19"/>
                <w:szCs w:val="19"/>
                <w:color w:val="auto"/>
              </w:rPr>
            </w:pPr>
          </w:p>
        </w:tc>
      </w:tr>
      <w:tr>
        <w:trPr>
          <w:trHeight w:val="530"/>
        </w:trPr>
        <w:tc>
          <w:tcPr>
            <w:tcW w:w="3840" w:type="dxa"/>
            <w:vAlign w:val="bottom"/>
            <w:tcBorders>
              <w:top w:val="single" w:sz="8" w:color="CFF0FC"/>
            </w:tcBorders>
          </w:tcPr>
          <w:p>
            <w:pPr>
              <w:spacing w:after="0"/>
              <w:rPr>
                <w:sz w:val="24"/>
                <w:szCs w:val="24"/>
                <w:color w:val="auto"/>
              </w:rPr>
            </w:pPr>
          </w:p>
        </w:tc>
        <w:tc>
          <w:tcPr>
            <w:tcW w:w="2740" w:type="dxa"/>
            <w:vAlign w:val="bottom"/>
            <w:tcBorders>
              <w:top w:val="single" w:sz="8" w:color="CFF0FC"/>
            </w:tcBorders>
          </w:tcPr>
          <w:p>
            <w:pPr>
              <w:jc w:val="right"/>
              <w:ind w:right="1125"/>
              <w:spacing w:after="0"/>
              <w:rPr>
                <w:sz w:val="20"/>
                <w:szCs w:val="20"/>
                <w:color w:val="auto"/>
              </w:rPr>
            </w:pPr>
            <w:r>
              <w:rPr>
                <w:rFonts w:ascii="Arial" w:cs="Arial" w:eastAsia="Arial" w:hAnsi="Arial"/>
                <w:sz w:val="16"/>
                <w:szCs w:val="16"/>
                <w:color w:val="auto"/>
              </w:rPr>
              <w:t>32</w:t>
            </w:r>
          </w:p>
        </w:tc>
        <w:tc>
          <w:tcPr>
            <w:tcW w:w="1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670"/>
        </w:trPr>
        <w:tc>
          <w:tcPr>
            <w:tcW w:w="384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2" w:name="page33"/>
    <w:bookmarkEnd w:id="3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Warehouse Credit Facilities of Consolidated VIEs</w:t>
      </w:r>
    </w:p>
    <w:p>
      <w:pPr>
        <w:spacing w:after="0" w:line="178" w:lineRule="exact"/>
        <w:rPr>
          <w:sz w:val="20"/>
          <w:szCs w:val="20"/>
          <w:color w:val="auto"/>
        </w:rPr>
      </w:pPr>
    </w:p>
    <w:p>
      <w:pPr>
        <w:ind w:right="300" w:firstLine="708"/>
        <w:spacing w:after="0" w:line="244" w:lineRule="auto"/>
        <w:rPr>
          <w:sz w:val="20"/>
          <w:szCs w:val="20"/>
          <w:color w:val="auto"/>
        </w:rPr>
      </w:pPr>
      <w:r>
        <w:rPr>
          <w:rFonts w:ascii="Arial" w:cs="Arial" w:eastAsia="Arial" w:hAnsi="Arial"/>
          <w:sz w:val="16"/>
          <w:szCs w:val="16"/>
          <w:color w:val="auto"/>
        </w:rPr>
        <w:t>UACC has four senior secured warehouse facility agreements, through consolidated VIEs, (the “Warehouse Credit Facilities”) with banking institutions as of March 31, 2025. The Warehouse Credit Facilities are collateralized by eligible finance receivables and available borrowings are computed based on a percentage of eligible finance receivables. As of March 31, 2025 and December 31, 2024, the Company had excess borrowing capacity of $27.3 million and $28.2 million on UACC's Warehouse Credit Facilities, respectively.</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terms of the Warehouse Credit Facilities include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right"/>
              <w:ind w:right="385"/>
              <w:spacing w:after="0"/>
              <w:rPr>
                <w:sz w:val="20"/>
                <w:szCs w:val="20"/>
                <w:color w:val="auto"/>
              </w:rPr>
            </w:pPr>
            <w:r>
              <w:rPr>
                <w:rFonts w:ascii="Arial" w:cs="Arial" w:eastAsia="Arial" w:hAnsi="Arial"/>
                <w:sz w:val="13"/>
                <w:szCs w:val="13"/>
                <w:b w:val="1"/>
                <w:bCs w:val="1"/>
                <w:color w:val="auto"/>
              </w:rPr>
              <w:t>Facility One</w:t>
            </w:r>
          </w:p>
        </w:tc>
        <w:tc>
          <w:tcPr>
            <w:tcW w:w="280" w:type="dxa"/>
            <w:vAlign w:val="bottom"/>
          </w:tcPr>
          <w:p>
            <w:pPr>
              <w:spacing w:after="0"/>
              <w:rPr>
                <w:sz w:val="14"/>
                <w:szCs w:val="14"/>
                <w:color w:val="auto"/>
              </w:rPr>
            </w:pPr>
          </w:p>
        </w:tc>
        <w:tc>
          <w:tcPr>
            <w:tcW w:w="1540" w:type="dxa"/>
            <w:vAlign w:val="bottom"/>
          </w:tcPr>
          <w:p>
            <w:pPr>
              <w:jc w:val="right"/>
              <w:ind w:right="465"/>
              <w:spacing w:after="0"/>
              <w:rPr>
                <w:sz w:val="20"/>
                <w:szCs w:val="20"/>
                <w:color w:val="auto"/>
              </w:rPr>
            </w:pPr>
            <w:r>
              <w:rPr>
                <w:rFonts w:ascii="Arial" w:cs="Arial" w:eastAsia="Arial" w:hAnsi="Arial"/>
                <w:sz w:val="13"/>
                <w:szCs w:val="13"/>
                <w:b w:val="1"/>
                <w:bCs w:val="1"/>
                <w:color w:val="auto"/>
              </w:rPr>
              <w:t>Facility Two</w:t>
            </w:r>
          </w:p>
        </w:tc>
        <w:tc>
          <w:tcPr>
            <w:tcW w:w="32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Arial" w:cs="Arial" w:eastAsia="Arial" w:hAnsi="Arial"/>
                <w:sz w:val="13"/>
                <w:szCs w:val="13"/>
                <w:b w:val="1"/>
                <w:bCs w:val="1"/>
                <w:color w:val="auto"/>
              </w:rPr>
              <w:t>Facility Three</w:t>
            </w:r>
          </w:p>
        </w:tc>
        <w:tc>
          <w:tcPr>
            <w:tcW w:w="300" w:type="dxa"/>
            <w:vAlign w:val="bottom"/>
          </w:tcPr>
          <w:p>
            <w:pPr>
              <w:spacing w:after="0"/>
              <w:rPr>
                <w:sz w:val="14"/>
                <w:szCs w:val="14"/>
                <w:color w:val="auto"/>
              </w:rPr>
            </w:pPr>
          </w:p>
        </w:tc>
        <w:tc>
          <w:tcPr>
            <w:tcW w:w="1320" w:type="dxa"/>
            <w:vAlign w:val="bottom"/>
            <w:gridSpan w:val="2"/>
          </w:tcPr>
          <w:p>
            <w:pPr>
              <w:jc w:val="right"/>
              <w:ind w:right="322"/>
              <w:spacing w:after="0"/>
              <w:rPr>
                <w:sz w:val="20"/>
                <w:szCs w:val="20"/>
                <w:color w:val="auto"/>
              </w:rPr>
            </w:pPr>
            <w:r>
              <w:rPr>
                <w:rFonts w:ascii="Arial" w:cs="Arial" w:eastAsia="Arial" w:hAnsi="Arial"/>
                <w:sz w:val="13"/>
                <w:szCs w:val="13"/>
                <w:b w:val="1"/>
                <w:bCs w:val="1"/>
                <w:color w:val="auto"/>
              </w:rPr>
              <w:t>Facility Four</w:t>
            </w:r>
          </w:p>
        </w:tc>
      </w:tr>
      <w:tr>
        <w:trPr>
          <w:trHeight w:val="180"/>
        </w:trPr>
        <w:tc>
          <w:tcPr>
            <w:tcW w:w="29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Execution date</w:t>
            </w:r>
          </w:p>
        </w:tc>
        <w:tc>
          <w:tcPr>
            <w:tcW w:w="1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May 30, 2012</w:t>
            </w:r>
          </w:p>
        </w:tc>
        <w:tc>
          <w:tcPr>
            <w:tcW w:w="2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w w:val="99"/>
              </w:rPr>
              <w:t>November 19, 2013</w:t>
            </w: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5"/>
              <w:spacing w:after="0" w:line="180" w:lineRule="exact"/>
              <w:rPr>
                <w:sz w:val="20"/>
                <w:szCs w:val="20"/>
                <w:color w:val="auto"/>
              </w:rPr>
            </w:pPr>
            <w:r>
              <w:rPr>
                <w:rFonts w:ascii="Arial" w:cs="Arial" w:eastAsia="Arial" w:hAnsi="Arial"/>
                <w:sz w:val="16"/>
                <w:szCs w:val="16"/>
                <w:color w:val="auto"/>
              </w:rPr>
              <w:t>July 11, 2019</w:t>
            </w:r>
          </w:p>
        </w:tc>
        <w:tc>
          <w:tcPr>
            <w:tcW w:w="11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November 18,</w:t>
            </w:r>
          </w:p>
        </w:tc>
        <w:tc>
          <w:tcPr>
            <w:tcW w:w="460" w:type="dxa"/>
            <w:vAlign w:val="bottom"/>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rPr>
              <w:t>2022</w:t>
            </w:r>
          </w:p>
        </w:tc>
      </w:tr>
      <w:tr>
        <w:trPr>
          <w:trHeight w:val="180"/>
        </w:trPr>
        <w:tc>
          <w:tcPr>
            <w:tcW w:w="2980" w:type="dxa"/>
            <w:vAlign w:val="bottom"/>
          </w:tcPr>
          <w:p>
            <w:pPr>
              <w:spacing w:after="0" w:line="180" w:lineRule="exact"/>
              <w:rPr>
                <w:sz w:val="20"/>
                <w:szCs w:val="20"/>
                <w:color w:val="auto"/>
              </w:rPr>
            </w:pPr>
            <w:r>
              <w:rPr>
                <w:rFonts w:ascii="Arial" w:cs="Arial" w:eastAsia="Arial" w:hAnsi="Arial"/>
                <w:sz w:val="16"/>
                <w:szCs w:val="16"/>
                <w:color w:val="auto"/>
              </w:rPr>
              <w:t>Commitment termination date</w:t>
            </w:r>
          </w:p>
        </w:tc>
        <w:tc>
          <w:tcPr>
            <w:tcW w:w="1160" w:type="dxa"/>
            <w:vAlign w:val="bottom"/>
          </w:tcPr>
          <w:p>
            <w:pPr>
              <w:spacing w:after="0"/>
              <w:rPr>
                <w:sz w:val="15"/>
                <w:szCs w:val="15"/>
                <w:color w:val="auto"/>
              </w:rPr>
            </w:pPr>
          </w:p>
        </w:tc>
        <w:tc>
          <w:tcPr>
            <w:tcW w:w="1320" w:type="dxa"/>
            <w:vAlign w:val="bottom"/>
          </w:tcPr>
          <w:p>
            <w:pPr>
              <w:jc w:val="right"/>
              <w:ind w:right="45"/>
              <w:spacing w:after="0" w:line="180" w:lineRule="exact"/>
              <w:rPr>
                <w:sz w:val="20"/>
                <w:szCs w:val="20"/>
                <w:color w:val="auto"/>
              </w:rPr>
            </w:pPr>
            <w:r>
              <w:rPr>
                <w:rFonts w:ascii="Arial" w:cs="Arial" w:eastAsia="Arial" w:hAnsi="Arial"/>
                <w:sz w:val="16"/>
                <w:szCs w:val="16"/>
                <w:color w:val="auto"/>
              </w:rPr>
              <w:t>July 21, 2025</w:t>
            </w:r>
          </w:p>
        </w:tc>
        <w:tc>
          <w:tcPr>
            <w:tcW w:w="280" w:type="dxa"/>
            <w:vAlign w:val="bottom"/>
          </w:tcPr>
          <w:p>
            <w:pPr>
              <w:spacing w:after="0"/>
              <w:rPr>
                <w:sz w:val="15"/>
                <w:szCs w:val="15"/>
                <w:color w:val="auto"/>
              </w:rPr>
            </w:pPr>
          </w:p>
        </w:tc>
        <w:tc>
          <w:tcPr>
            <w:tcW w:w="1540" w:type="dxa"/>
            <w:vAlign w:val="bottom"/>
          </w:tcPr>
          <w:p>
            <w:pPr>
              <w:jc w:val="right"/>
              <w:ind w:right="45"/>
              <w:spacing w:after="0" w:line="180" w:lineRule="exact"/>
              <w:rPr>
                <w:sz w:val="20"/>
                <w:szCs w:val="20"/>
                <w:color w:val="auto"/>
              </w:rPr>
            </w:pPr>
            <w:r>
              <w:rPr>
                <w:rFonts w:ascii="Arial" w:cs="Arial" w:eastAsia="Arial" w:hAnsi="Arial"/>
                <w:sz w:val="16"/>
                <w:szCs w:val="16"/>
                <w:color w:val="auto"/>
              </w:rPr>
              <w:t>June 2, 2026</w:t>
            </w:r>
          </w:p>
        </w:tc>
        <w:tc>
          <w:tcPr>
            <w:tcW w:w="320" w:type="dxa"/>
            <w:vAlign w:val="bottom"/>
          </w:tcPr>
          <w:p>
            <w:pPr>
              <w:spacing w:after="0"/>
              <w:rPr>
                <w:sz w:val="15"/>
                <w:szCs w:val="15"/>
                <w:color w:val="auto"/>
              </w:rPr>
            </w:pPr>
          </w:p>
        </w:tc>
        <w:tc>
          <w:tcPr>
            <w:tcW w:w="1340" w:type="dxa"/>
            <w:vAlign w:val="bottom"/>
          </w:tcPr>
          <w:p>
            <w:pPr>
              <w:jc w:val="right"/>
              <w:ind w:right="25"/>
              <w:spacing w:after="0" w:line="180" w:lineRule="exact"/>
              <w:rPr>
                <w:sz w:val="20"/>
                <w:szCs w:val="20"/>
                <w:color w:val="auto"/>
              </w:rPr>
            </w:pPr>
            <w:r>
              <w:rPr>
                <w:rFonts w:ascii="Arial" w:cs="Arial" w:eastAsia="Arial" w:hAnsi="Arial"/>
                <w:sz w:val="16"/>
                <w:szCs w:val="16"/>
                <w:color w:val="auto"/>
              </w:rPr>
              <w:t>August 29, 2025</w:t>
            </w:r>
          </w:p>
        </w:tc>
        <w:tc>
          <w:tcPr>
            <w:tcW w:w="3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Arial" w:cs="Arial" w:eastAsia="Arial" w:hAnsi="Arial"/>
                <w:sz w:val="16"/>
                <w:szCs w:val="16"/>
                <w:color w:val="auto"/>
              </w:rPr>
              <w:t>April 12,</w:t>
            </w:r>
          </w:p>
        </w:tc>
        <w:tc>
          <w:tcPr>
            <w:tcW w:w="460" w:type="dxa"/>
            <w:vAlign w:val="bottom"/>
          </w:tcPr>
          <w:p>
            <w:pPr>
              <w:jc w:val="right"/>
              <w:ind w:right="2"/>
              <w:spacing w:after="0" w:line="180" w:lineRule="exact"/>
              <w:rPr>
                <w:sz w:val="20"/>
                <w:szCs w:val="20"/>
                <w:color w:val="auto"/>
              </w:rPr>
            </w:pPr>
            <w:r>
              <w:rPr>
                <w:rFonts w:ascii="Arial" w:cs="Arial" w:eastAsia="Arial" w:hAnsi="Arial"/>
                <w:sz w:val="16"/>
                <w:szCs w:val="16"/>
                <w:color w:val="auto"/>
              </w:rPr>
              <w:t>2027</w:t>
            </w:r>
          </w:p>
        </w:tc>
      </w:tr>
      <w:tr>
        <w:trPr>
          <w:trHeight w:val="180"/>
        </w:trPr>
        <w:tc>
          <w:tcPr>
            <w:tcW w:w="29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Aggregate borrowings limit</w:t>
            </w:r>
          </w:p>
        </w:tc>
        <w:tc>
          <w:tcPr>
            <w:tcW w:w="116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200,000</w:t>
            </w:r>
          </w:p>
        </w:tc>
        <w:tc>
          <w:tcPr>
            <w:tcW w:w="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200,000</w:t>
            </w:r>
          </w:p>
        </w:tc>
        <w:tc>
          <w:tcPr>
            <w:tcW w:w="32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25"/>
              <w:spacing w:after="0" w:line="180" w:lineRule="exact"/>
              <w:rPr>
                <w:sz w:val="20"/>
                <w:szCs w:val="20"/>
                <w:color w:val="auto"/>
              </w:rPr>
            </w:pPr>
            <w:r>
              <w:rPr>
                <w:rFonts w:ascii="Arial" w:cs="Arial" w:eastAsia="Arial" w:hAnsi="Arial"/>
                <w:sz w:val="16"/>
                <w:szCs w:val="16"/>
                <w:color w:val="auto"/>
              </w:rPr>
              <w:t>200,000</w:t>
            </w:r>
          </w:p>
        </w:tc>
        <w:tc>
          <w:tcPr>
            <w:tcW w:w="3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rPr>
              <w:t>200,000</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 of March 31, 2025 (Successor)</w:t>
      </w:r>
    </w:p>
    <w:p>
      <w:pPr>
        <w:sectPr>
          <w:pgSz w:w="11900" w:h="16840" w:orient="portrait"/>
          <w:cols w:equalWidth="0" w:num="1">
            <w:col w:w="10560"/>
          </w:cols>
          <w:pgMar w:left="660" w:top="555" w:right="680" w:bottom="1440" w:gutter="0" w:footer="0" w:header="0"/>
        </w:sectPr>
      </w:pPr>
    </w:p>
    <w:p>
      <w:pPr>
        <w:spacing w:after="0" w:line="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Aggregate principal balance of finance receivables pledged as collateral</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Outstanding balance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 of December 31, 2024 (Predecessor)</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8,373</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143,642</w:t>
            </w:r>
          </w:p>
        </w:tc>
      </w:tr>
      <w:tr>
        <w:trPr>
          <w:trHeight w:val="180"/>
        </w:trPr>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580"/>
              <w:spacing w:after="0" w:line="180"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462"/>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line="180" w:lineRule="exact"/>
              <w:rPr>
                <w:sz w:val="20"/>
                <w:szCs w:val="20"/>
                <w:color w:val="auto"/>
              </w:rPr>
            </w:pPr>
            <w:r>
              <w:rPr>
                <w:rFonts w:ascii="Arial" w:cs="Arial" w:eastAsia="Arial" w:hAnsi="Arial"/>
                <w:sz w:val="16"/>
                <w:szCs w:val="16"/>
                <w:color w:val="auto"/>
              </w:rPr>
              <w:t>7,619</w:t>
            </w:r>
          </w:p>
        </w:tc>
        <w:tc>
          <w:tcPr>
            <w:tcW w:w="820" w:type="dxa"/>
            <w:vAlign w:val="bottom"/>
          </w:tcPr>
          <w:p>
            <w:pPr>
              <w:jc w:val="right"/>
              <w:ind w:right="522"/>
              <w:spacing w:after="0" w:line="180" w:lineRule="exact"/>
              <w:rPr>
                <w:sz w:val="20"/>
                <w:szCs w:val="20"/>
                <w:color w:val="auto"/>
              </w:rPr>
            </w:pPr>
            <w:r>
              <w:rPr>
                <w:rFonts w:ascii="Arial" w:cs="Arial" w:eastAsia="Arial" w:hAnsi="Arial"/>
                <w:sz w:val="16"/>
                <w:szCs w:val="16"/>
                <w:color w:val="auto"/>
              </w:rPr>
              <w:t>$</w:t>
            </w:r>
          </w:p>
        </w:tc>
        <w:tc>
          <w:tcPr>
            <w:tcW w:w="840" w:type="dxa"/>
            <w:vAlign w:val="bottom"/>
          </w:tcPr>
          <w:p>
            <w:pPr>
              <w:ind w:left="580"/>
              <w:spacing w:after="0" w:line="180"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302"/>
              <w:spacing w:after="0" w:line="180"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0" w:lineRule="exact"/>
              <w:rPr>
                <w:sz w:val="20"/>
                <w:szCs w:val="20"/>
                <w:color w:val="auto"/>
              </w:rPr>
            </w:pPr>
            <w:r>
              <w:rPr>
                <w:rFonts w:ascii="Arial" w:cs="Arial" w:eastAsia="Arial" w:hAnsi="Arial"/>
                <w:sz w:val="16"/>
                <w:szCs w:val="16"/>
                <w:color w:val="auto"/>
              </w:rPr>
              <w:t>106,568</w:t>
            </w:r>
          </w:p>
        </w:tc>
      </w:tr>
      <w:tr>
        <w:trPr>
          <w:trHeight w:val="205"/>
        </w:trPr>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389</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-511175</wp:posOffset>
            </wp:positionV>
            <wp:extent cx="6707505"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27432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-122555</wp:posOffset>
            </wp:positionV>
            <wp:extent cx="6707505"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51" w:lineRule="exact"/>
        <w:rPr>
          <w:sz w:val="20"/>
          <w:szCs w:val="20"/>
          <w:color w:val="auto"/>
        </w:rPr>
      </w:pPr>
    </w:p>
    <w:p>
      <w:pPr>
        <w:sectPr>
          <w:pgSz w:w="11900" w:h="16840" w:orient="portrait"/>
          <w:cols w:equalWidth="0" w:num="2">
            <w:col w:w="3480" w:space="440"/>
            <w:col w:w="6640"/>
          </w:cols>
          <w:pgMar w:left="660" w:top="555" w:right="680"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Aggregate principal balance of finance receivables</w:t>
            </w:r>
          </w:p>
        </w:tc>
        <w:tc>
          <w:tcPr>
            <w:tcW w:w="9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91"/>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pledged as collateral</w:t>
            </w:r>
          </w:p>
        </w:tc>
        <w:tc>
          <w:tcPr>
            <w:tcW w:w="900" w:type="dxa"/>
            <w:vAlign w:val="bottom"/>
            <w:shd w:val="clear" w:color="auto" w:fill="CFF0FC"/>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42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76,523</w:t>
            </w:r>
          </w:p>
        </w:tc>
        <w:tc>
          <w:tcPr>
            <w:tcW w:w="60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223,901</w:t>
            </w:r>
          </w:p>
        </w:tc>
        <w:tc>
          <w:tcPr>
            <w:tcW w:w="58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143,514</w:t>
            </w:r>
          </w:p>
        </w:tc>
      </w:tr>
      <w:tr>
        <w:trPr>
          <w:trHeight w:val="180"/>
        </w:trPr>
        <w:tc>
          <w:tcPr>
            <w:tcW w:w="3700" w:type="dxa"/>
            <w:vAlign w:val="bottom"/>
          </w:tcPr>
          <w:p>
            <w:pPr>
              <w:spacing w:after="0" w:line="180" w:lineRule="exact"/>
              <w:rPr>
                <w:sz w:val="20"/>
                <w:szCs w:val="20"/>
                <w:color w:val="auto"/>
              </w:rPr>
            </w:pPr>
            <w:r>
              <w:rPr>
                <w:rFonts w:ascii="Arial" w:cs="Arial" w:eastAsia="Arial" w:hAnsi="Arial"/>
                <w:sz w:val="16"/>
                <w:szCs w:val="16"/>
                <w:color w:val="auto"/>
              </w:rPr>
              <w:t>Outstanding balance</w:t>
            </w:r>
          </w:p>
        </w:tc>
        <w:tc>
          <w:tcPr>
            <w:tcW w:w="900" w:type="dxa"/>
            <w:vAlign w:val="bottom"/>
          </w:tcPr>
          <w:p>
            <w:pPr>
              <w:jc w:val="right"/>
              <w:ind w:right="522"/>
              <w:spacing w:after="0" w:line="180" w:lineRule="exact"/>
              <w:rPr>
                <w:sz w:val="20"/>
                <w:szCs w:val="20"/>
                <w:color w:val="auto"/>
              </w:rPr>
            </w:pPr>
            <w:r>
              <w:rPr>
                <w:rFonts w:ascii="Arial" w:cs="Arial" w:eastAsia="Arial" w:hAnsi="Arial"/>
                <w:sz w:val="16"/>
                <w:szCs w:val="16"/>
                <w:color w:val="auto"/>
              </w:rPr>
              <w:t>$</w:t>
            </w:r>
          </w:p>
        </w:tc>
        <w:tc>
          <w:tcPr>
            <w:tcW w:w="860" w:type="dxa"/>
            <w:vAlign w:val="bottom"/>
          </w:tcPr>
          <w:p>
            <w:pPr>
              <w:ind w:left="580"/>
              <w:spacing w:after="0" w:line="180"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422"/>
              <w:spacing w:after="0" w:line="180"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line="180" w:lineRule="exact"/>
              <w:rPr>
                <w:sz w:val="20"/>
                <w:szCs w:val="20"/>
                <w:color w:val="auto"/>
              </w:rPr>
            </w:pPr>
            <w:r>
              <w:rPr>
                <w:rFonts w:ascii="Arial" w:cs="Arial" w:eastAsia="Arial" w:hAnsi="Arial"/>
                <w:sz w:val="16"/>
                <w:szCs w:val="16"/>
                <w:color w:val="auto"/>
              </w:rPr>
              <w:t>62,290</w:t>
            </w:r>
          </w:p>
        </w:tc>
        <w:tc>
          <w:tcPr>
            <w:tcW w:w="600" w:type="dxa"/>
            <w:vAlign w:val="bottom"/>
          </w:tcPr>
          <w:p>
            <w:pPr>
              <w:jc w:val="right"/>
              <w:ind w:right="302"/>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line="180" w:lineRule="exact"/>
              <w:rPr>
                <w:sz w:val="20"/>
                <w:szCs w:val="20"/>
                <w:color w:val="auto"/>
              </w:rPr>
            </w:pPr>
            <w:r>
              <w:rPr>
                <w:rFonts w:ascii="Arial" w:cs="Arial" w:eastAsia="Arial" w:hAnsi="Arial"/>
                <w:sz w:val="16"/>
                <w:szCs w:val="16"/>
                <w:color w:val="auto"/>
              </w:rPr>
              <w:t>175,568</w:t>
            </w:r>
          </w:p>
        </w:tc>
        <w:tc>
          <w:tcPr>
            <w:tcW w:w="580" w:type="dxa"/>
            <w:vAlign w:val="bottom"/>
          </w:tcPr>
          <w:p>
            <w:pPr>
              <w:jc w:val="right"/>
              <w:ind w:right="302"/>
              <w:spacing w:after="0" w:line="180"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line="180" w:lineRule="exact"/>
              <w:rPr>
                <w:sz w:val="20"/>
                <w:szCs w:val="20"/>
                <w:color w:val="auto"/>
              </w:rPr>
            </w:pPr>
            <w:r>
              <w:rPr>
                <w:rFonts w:ascii="Arial" w:cs="Arial" w:eastAsia="Arial" w:hAnsi="Arial"/>
                <w:sz w:val="16"/>
                <w:szCs w:val="16"/>
                <w:color w:val="auto"/>
              </w:rPr>
              <w:t>122,054</w:t>
            </w:r>
          </w:p>
        </w:tc>
      </w:tr>
      <w:tr>
        <w:trPr>
          <w:trHeight w:val="180"/>
        </w:trPr>
        <w:tc>
          <w:tcPr>
            <w:tcW w:w="37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Restricted cash</w:t>
            </w:r>
          </w:p>
        </w:tc>
        <w:tc>
          <w:tcPr>
            <w:tcW w:w="900" w:type="dxa"/>
            <w:vAlign w:val="bottom"/>
            <w:shd w:val="clear" w:color="auto" w:fill="CFF0FC"/>
          </w:tcPr>
          <w:p>
            <w:pPr>
              <w:jc w:val="right"/>
              <w:ind w:right="522"/>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580"/>
              <w:spacing w:after="0" w:line="180" w:lineRule="exact"/>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422"/>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3,169</w:t>
            </w:r>
          </w:p>
        </w:tc>
        <w:tc>
          <w:tcPr>
            <w:tcW w:w="600" w:type="dxa"/>
            <w:vAlign w:val="bottom"/>
            <w:shd w:val="clear" w:color="auto" w:fill="CFF0FC"/>
          </w:tcPr>
          <w:p>
            <w:pPr>
              <w:jc w:val="right"/>
              <w:ind w:right="302"/>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10,398</w:t>
            </w:r>
          </w:p>
        </w:tc>
        <w:tc>
          <w:tcPr>
            <w:tcW w:w="580" w:type="dxa"/>
            <w:vAlign w:val="bottom"/>
            <w:shd w:val="clear" w:color="auto" w:fill="CFF0FC"/>
          </w:tcPr>
          <w:p>
            <w:pPr>
              <w:jc w:val="right"/>
              <w:ind w:right="302"/>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rPr>
              <w:t>5,328</w:t>
            </w:r>
          </w:p>
        </w:tc>
      </w:tr>
    </w:tbl>
    <w:p>
      <w:pPr>
        <w:spacing w:after="0" w:line="169" w:lineRule="exact"/>
        <w:rPr>
          <w:sz w:val="20"/>
          <w:szCs w:val="20"/>
          <w:color w:val="auto"/>
        </w:rPr>
      </w:pPr>
    </w:p>
    <w:p>
      <w:pPr>
        <w:ind w:right="120" w:firstLine="708"/>
        <w:spacing w:after="0" w:line="262" w:lineRule="auto"/>
        <w:rPr>
          <w:sz w:val="20"/>
          <w:szCs w:val="20"/>
          <w:color w:val="auto"/>
        </w:rPr>
      </w:pPr>
      <w:r>
        <w:rPr>
          <w:rFonts w:ascii="Arial" w:cs="Arial" w:eastAsia="Arial" w:hAnsi="Arial"/>
          <w:sz w:val="16"/>
          <w:szCs w:val="16"/>
          <w:color w:val="auto"/>
        </w:rPr>
        <w:t>As of March 31, 2025, and December 31, 2024, the Company's weighted average interest rate on the Warehouse Credit Facilities borrowings was approximately 5.95% and 6.32%, respectively.</w:t>
      </w:r>
    </w:p>
    <w:p>
      <w:pPr>
        <w:spacing w:after="0" w:line="138" w:lineRule="exact"/>
        <w:rPr>
          <w:sz w:val="20"/>
          <w:szCs w:val="20"/>
          <w:color w:val="auto"/>
        </w:rPr>
      </w:pPr>
    </w:p>
    <w:p>
      <w:pPr>
        <w:ind w:right="40" w:firstLine="708"/>
        <w:spacing w:after="0" w:line="244" w:lineRule="auto"/>
        <w:rPr>
          <w:sz w:val="20"/>
          <w:szCs w:val="20"/>
          <w:color w:val="auto"/>
        </w:rPr>
      </w:pPr>
      <w:r>
        <w:rPr>
          <w:rFonts w:ascii="Arial" w:cs="Arial" w:eastAsia="Arial" w:hAnsi="Arial"/>
          <w:sz w:val="16"/>
          <w:szCs w:val="16"/>
          <w:color w:val="auto"/>
        </w:rPr>
        <w:t>On March 8, 2025, the Company renewed Facility Two, now expiring June 2026. The aggregate borrowing limit and significant terms of the agreement remained unchanged except for an increase in the minimum liquidity covenant. On March 28, 2025, the Company renewed Facility Four, now expiring in April 2027. The aggregate borrowing limit under this facility decreased from $225.0 million to $200.0 million and all other significant terms of the agreement remained unchanged.</w:t>
      </w:r>
    </w:p>
    <w:p>
      <w:pPr>
        <w:spacing w:after="0" w:line="152" w:lineRule="exact"/>
        <w:rPr>
          <w:sz w:val="20"/>
          <w:szCs w:val="20"/>
          <w:color w:val="auto"/>
        </w:rPr>
      </w:pPr>
    </w:p>
    <w:p>
      <w:pPr>
        <w:ind w:right="40" w:firstLine="696"/>
        <w:spacing w:after="0"/>
        <w:rPr>
          <w:sz w:val="20"/>
          <w:szCs w:val="20"/>
          <w:color w:val="auto"/>
        </w:rPr>
      </w:pPr>
      <w:r>
        <w:rPr>
          <w:rFonts w:ascii="Arial" w:cs="Arial" w:eastAsia="Arial" w:hAnsi="Arial"/>
          <w:sz w:val="16"/>
          <w:szCs w:val="16"/>
          <w:color w:val="auto"/>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or any other requirements contained within the agreements would restrict access to the Warehouse Credit Facilities. Certain breaches of covenants may also result in acceleration of the repayment of borrowings prior to the scheduled maturity. As of March 31, 2025, and December 31, 2024, the Company was in compliance with all covenants related to the Warehouse Credit Facilities.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type w:val="continuous"/>
        </w:sectPr>
      </w:pPr>
    </w:p>
    <w:bookmarkStart w:id="33" w:name="page34"/>
    <w:bookmarkEnd w:id="3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Long Term Debt</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Debt instruments, excluding warehouse credit facilities of consolidated VIEs, which are discussed in Note 10 — Warehouse Credit Facilities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Consolidated VIEs, consisted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center"/>
              <w:ind w:right="246"/>
              <w:spacing w:after="0"/>
              <w:rPr>
                <w:sz w:val="20"/>
                <w:szCs w:val="20"/>
                <w:color w:val="auto"/>
              </w:rPr>
            </w:pPr>
            <w:r>
              <w:rPr>
                <w:rFonts w:ascii="Arial" w:cs="Arial" w:eastAsia="Arial" w:hAnsi="Arial"/>
                <w:sz w:val="13"/>
                <w:szCs w:val="13"/>
                <w:b w:val="1"/>
                <w:bCs w:val="1"/>
                <w:color w:val="auto"/>
              </w:rPr>
              <w:t>Successor</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Predecessor</w:t>
            </w:r>
          </w:p>
        </w:tc>
      </w:tr>
      <w:tr>
        <w:trPr>
          <w:trHeight w:val="216"/>
        </w:trPr>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center"/>
              <w:ind w:right="246"/>
              <w:spacing w:after="0"/>
              <w:rPr>
                <w:sz w:val="20"/>
                <w:szCs w:val="20"/>
                <w:color w:val="auto"/>
              </w:rPr>
            </w:pPr>
            <w:r>
              <w:rPr>
                <w:rFonts w:ascii="Arial" w:cs="Arial" w:eastAsia="Arial" w:hAnsi="Arial"/>
                <w:sz w:val="13"/>
                <w:szCs w:val="13"/>
                <w:b w:val="1"/>
                <w:bCs w:val="1"/>
                <w:color w:val="auto"/>
              </w:rPr>
              <w:t>March 31,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December 31,</w:t>
            </w:r>
          </w:p>
        </w:tc>
      </w:tr>
      <w:tr>
        <w:trPr>
          <w:trHeight w:val="180"/>
        </w:trPr>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center"/>
              <w:ind w:right="246"/>
              <w:spacing w:after="0"/>
              <w:rPr>
                <w:sz w:val="20"/>
                <w:szCs w:val="20"/>
                <w:color w:val="auto"/>
              </w:rPr>
            </w:pPr>
            <w:r>
              <w:rPr>
                <w:rFonts w:ascii="Arial" w:cs="Arial" w:eastAsia="Arial" w:hAnsi="Arial"/>
                <w:sz w:val="13"/>
                <w:szCs w:val="13"/>
                <w:b w:val="1"/>
                <w:bCs w:val="1"/>
                <w:color w:val="auto"/>
              </w:rPr>
              <w:t>2025</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right="186"/>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r>
      <w:tr>
        <w:trPr>
          <w:trHeight w:val="180"/>
        </w:trPr>
        <w:tc>
          <w:tcPr>
            <w:tcW w:w="51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Securitization debt of consolidated VIEs at fair value</w:t>
            </w:r>
          </w:p>
        </w:tc>
        <w:tc>
          <w:tcPr>
            <w:tcW w:w="152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613,934</w:t>
            </w:r>
          </w:p>
        </w:tc>
        <w:tc>
          <w:tcPr>
            <w:tcW w:w="86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142,629</w:t>
            </w:r>
          </w:p>
        </w:tc>
        <w:tc>
          <w:tcPr>
            <w:tcW w:w="100" w:type="dxa"/>
            <w:vAlign w:val="bottom"/>
            <w:shd w:val="clear" w:color="auto" w:fill="CFF0FC"/>
          </w:tcPr>
          <w:p>
            <w:pPr>
              <w:spacing w:after="0"/>
              <w:rPr>
                <w:sz w:val="15"/>
                <w:szCs w:val="15"/>
                <w:color w:val="auto"/>
              </w:rPr>
            </w:pPr>
          </w:p>
        </w:tc>
      </w:tr>
      <w:tr>
        <w:trPr>
          <w:trHeight w:val="180"/>
        </w:trPr>
        <w:tc>
          <w:tcPr>
            <w:tcW w:w="5180" w:type="dxa"/>
            <w:vAlign w:val="bottom"/>
          </w:tcPr>
          <w:p>
            <w:pPr>
              <w:spacing w:after="0" w:line="180" w:lineRule="exact"/>
              <w:rPr>
                <w:sz w:val="20"/>
                <w:szCs w:val="20"/>
                <w:color w:val="auto"/>
              </w:rPr>
            </w:pPr>
            <w:r>
              <w:rPr>
                <w:rFonts w:ascii="Arial" w:cs="Arial" w:eastAsia="Arial" w:hAnsi="Arial"/>
                <w:sz w:val="16"/>
                <w:szCs w:val="16"/>
                <w:color w:val="auto"/>
              </w:rPr>
              <w:t>Securitization debt of consolidated VIEs at amortized cost</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Arial" w:cs="Arial" w:eastAsia="Arial" w:hAnsi="Arial"/>
                <w:sz w:val="16"/>
                <w:szCs w:val="16"/>
                <w:color w:val="auto"/>
              </w:rPr>
              <w:t>210,727</w:t>
            </w:r>
          </w:p>
        </w:tc>
        <w:tc>
          <w:tcPr>
            <w:tcW w:w="100" w:type="dxa"/>
            <w:vAlign w:val="bottom"/>
          </w:tcPr>
          <w:p>
            <w:pPr>
              <w:spacing w:after="0"/>
              <w:rPr>
                <w:sz w:val="15"/>
                <w:szCs w:val="15"/>
                <w:color w:val="auto"/>
              </w:rPr>
            </w:pPr>
          </w:p>
        </w:tc>
      </w:tr>
      <w:tr>
        <w:trPr>
          <w:trHeight w:val="180"/>
        </w:trPr>
        <w:tc>
          <w:tcPr>
            <w:tcW w:w="51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Financing of beneficial interest in securitizations</w:t>
            </w: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31,186</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17,700</w:t>
            </w:r>
          </w:p>
        </w:tc>
        <w:tc>
          <w:tcPr>
            <w:tcW w:w="100" w:type="dxa"/>
            <w:vAlign w:val="bottom"/>
            <w:shd w:val="clear" w:color="auto" w:fill="CFF0FC"/>
          </w:tcPr>
          <w:p>
            <w:pPr>
              <w:spacing w:after="0"/>
              <w:rPr>
                <w:sz w:val="15"/>
                <w:szCs w:val="15"/>
                <w:color w:val="auto"/>
              </w:rPr>
            </w:pPr>
          </w:p>
        </w:tc>
      </w:tr>
      <w:tr>
        <w:trPr>
          <w:trHeight w:val="180"/>
        </w:trPr>
        <w:tc>
          <w:tcPr>
            <w:tcW w:w="5180" w:type="dxa"/>
            <w:vAlign w:val="bottom"/>
          </w:tcPr>
          <w:p>
            <w:pPr>
              <w:spacing w:after="0" w:line="180" w:lineRule="exact"/>
              <w:rPr>
                <w:sz w:val="20"/>
                <w:szCs w:val="20"/>
                <w:color w:val="auto"/>
              </w:rPr>
            </w:pPr>
            <w:r>
              <w:rPr>
                <w:rFonts w:ascii="Arial" w:cs="Arial" w:eastAsia="Arial" w:hAnsi="Arial"/>
                <w:sz w:val="16"/>
                <w:szCs w:val="16"/>
                <w:color w:val="auto"/>
              </w:rPr>
              <w:t>Junior subordinated debentures</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auto"/>
              </w:rPr>
              <w:t>10,310</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Arial" w:cs="Arial" w:eastAsia="Arial" w:hAnsi="Arial"/>
                <w:sz w:val="16"/>
                <w:szCs w:val="16"/>
                <w:color w:val="auto"/>
              </w:rPr>
              <w:t>10,310</w:t>
            </w:r>
          </w:p>
        </w:tc>
        <w:tc>
          <w:tcPr>
            <w:tcW w:w="100" w:type="dxa"/>
            <w:vAlign w:val="bottom"/>
          </w:tcPr>
          <w:p>
            <w:pPr>
              <w:spacing w:after="0"/>
              <w:rPr>
                <w:sz w:val="15"/>
                <w:szCs w:val="15"/>
                <w:color w:val="auto"/>
              </w:rPr>
            </w:pPr>
          </w:p>
        </w:tc>
      </w:tr>
      <w:tr>
        <w:trPr>
          <w:trHeight w:val="200"/>
        </w:trPr>
        <w:tc>
          <w:tcPr>
            <w:tcW w:w="51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debt</w:t>
            </w:r>
          </w:p>
        </w:tc>
        <w:tc>
          <w:tcPr>
            <w:tcW w:w="152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655,430</w:t>
            </w:r>
          </w:p>
        </w:tc>
        <w:tc>
          <w:tcPr>
            <w:tcW w:w="86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381,366</w:t>
            </w:r>
          </w:p>
        </w:tc>
        <w:tc>
          <w:tcPr>
            <w:tcW w:w="100" w:type="dxa"/>
            <w:vAlign w:val="bottom"/>
            <w:shd w:val="clear" w:color="auto" w:fill="CFF0FC"/>
          </w:tcPr>
          <w:p>
            <w:pPr>
              <w:spacing w:after="0"/>
              <w:rPr>
                <w:sz w:val="17"/>
                <w:szCs w:val="17"/>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224" w:lineRule="exact"/>
        <w:rPr>
          <w:sz w:val="20"/>
          <w:szCs w:val="20"/>
          <w:color w:val="auto"/>
        </w:rPr>
      </w:pPr>
    </w:p>
    <w:p>
      <w:pPr>
        <w:ind w:right="160" w:firstLine="696"/>
        <w:spacing w:after="0" w:line="244" w:lineRule="auto"/>
        <w:rPr>
          <w:sz w:val="20"/>
          <w:szCs w:val="20"/>
          <w:color w:val="auto"/>
        </w:rPr>
      </w:pPr>
      <w:r>
        <w:rPr>
          <w:rFonts w:ascii="Arial" w:cs="Arial" w:eastAsia="Arial" w:hAnsi="Arial"/>
          <w:sz w:val="16"/>
          <w:szCs w:val="16"/>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52" w:lineRule="exact"/>
        <w:rPr>
          <w:sz w:val="20"/>
          <w:szCs w:val="20"/>
          <w:color w:val="auto"/>
        </w:rPr>
      </w:pPr>
    </w:p>
    <w:p>
      <w:pPr>
        <w:ind w:firstLine="696"/>
        <w:spacing w:after="0" w:line="244" w:lineRule="auto"/>
        <w:rPr>
          <w:sz w:val="20"/>
          <w:szCs w:val="20"/>
          <w:color w:val="auto"/>
        </w:rPr>
      </w:pPr>
      <w:r>
        <w:rPr>
          <w:rFonts w:ascii="Arial" w:cs="Arial" w:eastAsia="Arial" w:hAnsi="Arial"/>
          <w:sz w:val="16"/>
          <w:szCs w:val="16"/>
          <w:color w:val="auto"/>
        </w:rPr>
        <w:t>On November 13, 2024, the Company commenced the Prepackaged Chapter 11 Case. On the Effective Date, the conditions to the effectiveness of the Plan were satisfied or waived and the Plan became effective. On January 14, 2025, the Company emerged from the Prepackaged Chapter 11 Case. On the Effective Date, each holder of the Notes received a pro rata share of 92.94% of the New Common Stock, as defined below, and all of the Company’s outstanding obligations under the Notes and the Indenture were deemed fully satisfied and discharged.</w:t>
      </w:r>
    </w:p>
    <w:p>
      <w:pPr>
        <w:spacing w:after="0" w:line="152" w:lineRule="exact"/>
        <w:rPr>
          <w:sz w:val="20"/>
          <w:szCs w:val="20"/>
          <w:color w:val="auto"/>
        </w:rPr>
      </w:pPr>
    </w:p>
    <w:p>
      <w:pPr>
        <w:ind w:right="20" w:firstLine="696"/>
        <w:spacing w:after="0"/>
        <w:rPr>
          <w:sz w:val="20"/>
          <w:szCs w:val="20"/>
          <w:color w:val="auto"/>
        </w:rPr>
      </w:pPr>
      <w:r>
        <w:rPr>
          <w:rFonts w:ascii="Arial" w:cs="Arial" w:eastAsia="Arial" w:hAnsi="Arial"/>
          <w:sz w:val="16"/>
          <w:szCs w:val="16"/>
          <w:color w:val="auto"/>
        </w:rPr>
        <w:t>The filing of the Prepackaged Chapter 11 Case constituted an event of default, resulting in the immediate acceleration of the Company’s obligations to pay approximately $291.6 million in principal and interest under the Indenture. The Indenture provided that, as a result of the filing of the Prepackaged Chapter 11 Case, the principal, premium, if any, accrued and unpaid interest and any other monetary obligations due thereunder would be immediately due and payable. However, any enforcement of such payment obligations was stayed as a result of the filing of the Prepackaged Chapter 11 Case and was subject to the applicable provisions of the Bankruptcy Code. On January 14, 2025, the Effective Date, by operation of the Plan, all outstanding obligations under the Notes and the Indenture were deemed fully satisfied and discharged.</w:t>
      </w:r>
    </w:p>
    <w:p>
      <w:pPr>
        <w:spacing w:after="0" w:line="156" w:lineRule="exact"/>
        <w:rPr>
          <w:sz w:val="20"/>
          <w:szCs w:val="20"/>
          <w:color w:val="auto"/>
        </w:rPr>
      </w:pPr>
    </w:p>
    <w:p>
      <w:pPr>
        <w:ind w:right="200" w:firstLine="696"/>
        <w:spacing w:after="0" w:line="262" w:lineRule="auto"/>
        <w:rPr>
          <w:sz w:val="20"/>
          <w:szCs w:val="20"/>
          <w:color w:val="auto"/>
        </w:rPr>
      </w:pPr>
      <w:r>
        <w:rPr>
          <w:rFonts w:ascii="Arial" w:cs="Arial" w:eastAsia="Arial" w:hAnsi="Arial"/>
          <w:sz w:val="16"/>
          <w:szCs w:val="16"/>
          <w:color w:val="auto"/>
        </w:rPr>
        <w:t>Prior to the Effective Date, the Notes bore interest at a rate of 0.75% per annum, payable semiannually in arrears on January 1 and July 1 of each year, beginning on January 1, 2022.</w:t>
      </w:r>
    </w:p>
    <w:p>
      <w:pPr>
        <w:spacing w:after="0" w:line="186" w:lineRule="exact"/>
        <w:rPr>
          <w:sz w:val="20"/>
          <w:szCs w:val="20"/>
          <w:color w:val="auto"/>
        </w:rPr>
      </w:pPr>
    </w:p>
    <w:p>
      <w:pPr>
        <w:jc w:val="both"/>
        <w:ind w:right="20" w:firstLine="708"/>
        <w:spacing w:after="0" w:line="301" w:lineRule="auto"/>
        <w:rPr>
          <w:sz w:val="20"/>
          <w:szCs w:val="20"/>
          <w:color w:val="auto"/>
        </w:rPr>
      </w:pPr>
      <w:r>
        <w:rPr>
          <w:rFonts w:ascii="Arial" w:cs="Arial" w:eastAsia="Arial" w:hAnsi="Arial"/>
          <w:sz w:val="14"/>
          <w:szCs w:val="14"/>
          <w:color w:val="auto"/>
        </w:rPr>
        <w:t>The Company accounted for the Notes as a single liability-classified instrument measured at amortized cost. As a result of filing the bankruptcy petition, the Company wrote off the remaining unamortized debt discount and debt issuance costs of $2.4 million, recorded within "Reorganization items, net" on the condensed consolidated statements of operations. The net carrying value was $290.5 million as of December 31, 2024.</w:t>
      </w:r>
    </w:p>
    <w:p>
      <w:pPr>
        <w:spacing w:after="0" w:line="114" w:lineRule="exact"/>
        <w:rPr>
          <w:sz w:val="20"/>
          <w:szCs w:val="20"/>
          <w:color w:val="auto"/>
        </w:rPr>
      </w:pPr>
    </w:p>
    <w:p>
      <w:pPr>
        <w:ind w:right="260" w:firstLine="708"/>
        <w:spacing w:after="0" w:line="248" w:lineRule="auto"/>
        <w:rPr>
          <w:sz w:val="20"/>
          <w:szCs w:val="20"/>
          <w:color w:val="auto"/>
        </w:rPr>
      </w:pPr>
      <w:r>
        <w:rPr>
          <w:rFonts w:ascii="Arial" w:cs="Arial" w:eastAsia="Arial" w:hAnsi="Arial"/>
          <w:sz w:val="16"/>
          <w:szCs w:val="16"/>
          <w:color w:val="auto"/>
        </w:rPr>
        <w:t>The Notes were issued at par value and fees associated with the issuance of these Notes were amortized to interest expense using the effective interest method over the contractual term of the Notes. The interest expense was $0.9 million and the effective interest rate of the Notes was 1.3% for the three months ended March 31, 2024.</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4" w:name="page35"/>
    <w:bookmarkEnd w:id="3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Securitization Debt of Consolidated VIEs</w:t>
      </w:r>
    </w:p>
    <w:p>
      <w:pPr>
        <w:spacing w:after="0" w:line="176" w:lineRule="exact"/>
        <w:rPr>
          <w:sz w:val="20"/>
          <w:szCs w:val="20"/>
          <w:color w:val="auto"/>
        </w:rPr>
      </w:pPr>
    </w:p>
    <w:p>
      <w:pPr>
        <w:ind w:right="20" w:firstLine="708"/>
        <w:spacing w:after="0" w:line="239" w:lineRule="auto"/>
        <w:rPr>
          <w:sz w:val="20"/>
          <w:szCs w:val="20"/>
          <w:color w:val="auto"/>
        </w:rPr>
      </w:pPr>
      <w:r>
        <w:rPr>
          <w:rFonts w:ascii="Arial" w:cs="Arial" w:eastAsia="Arial" w:hAnsi="Arial"/>
          <w:sz w:val="16"/>
          <w:szCs w:val="16"/>
          <w:color w:val="auto"/>
        </w:rPr>
        <w:t>The securitization debt was issued under UACC's securitization program. The Company elected to account for the 2022- 2, 2023-1, and 2025-1 securitization debt under the fair value option using the measurement alternative. Upon emergence from the Prepackaged Chapter 11 Case, and application of fresh start accounting, the Company made an accounting policy election to apply the measurement alternative to the 2024-1 securitization debt. Fair value adjustments are recorded in "Realized and unrealized losses, net of recoveries" in the condensed consolidated statements of operations. Refer to Note 15 — Financial Instruments and Fair Value Measurements. For the 2022-2, 2023-1, 2024 -1, and 2025-1 securitization transactions, the Company consolidated the VIEs and accounted for these transactions as secured borrowings. Refer to Note 4 — Variable Interest Entities and Securitizations for further discussion.</w:t>
      </w:r>
    </w:p>
    <w:p>
      <w:pPr>
        <w:spacing w:after="0" w:line="158" w:lineRule="exact"/>
        <w:rPr>
          <w:sz w:val="20"/>
          <w:szCs w:val="20"/>
          <w:color w:val="auto"/>
        </w:rPr>
      </w:pPr>
    </w:p>
    <w:p>
      <w:pPr>
        <w:ind w:right="40" w:firstLine="708"/>
        <w:spacing w:after="0"/>
        <w:rPr>
          <w:sz w:val="20"/>
          <w:szCs w:val="20"/>
          <w:color w:val="auto"/>
        </w:rPr>
      </w:pPr>
      <w:r>
        <w:rPr>
          <w:rFonts w:ascii="Arial" w:cs="Arial" w:eastAsia="Arial" w:hAnsi="Arial"/>
          <w:sz w:val="16"/>
          <w:szCs w:val="16"/>
          <w:color w:val="auto"/>
        </w:rPr>
        <w:t>UACC retained the residual interests in the 2023 -1, 2024-1, and 2025-1 securitization transactions.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$49.0 million and $29.2 million as of March 31, 2025, and December 31, 2024, respectively.</w:t>
      </w:r>
    </w:p>
    <w:p>
      <w:pPr>
        <w:spacing w:after="0" w:line="156" w:lineRule="exact"/>
        <w:rPr>
          <w:sz w:val="20"/>
          <w:szCs w:val="20"/>
          <w:color w:val="auto"/>
        </w:rPr>
      </w:pPr>
    </w:p>
    <w:p>
      <w:pPr>
        <w:ind w:right="100" w:firstLine="708"/>
        <w:spacing w:after="0" w:line="244" w:lineRule="auto"/>
        <w:rPr>
          <w:sz w:val="20"/>
          <w:szCs w:val="20"/>
          <w:color w:val="auto"/>
        </w:rPr>
      </w:pPr>
      <w:r>
        <w:rPr>
          <w:rFonts w:ascii="Arial" w:cs="Arial" w:eastAsia="Arial" w:hAnsi="Arial"/>
          <w:sz w:val="16"/>
          <w:szCs w:val="16"/>
          <w:color w:val="auto"/>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152" w:lineRule="exact"/>
        <w:rPr>
          <w:sz w:val="20"/>
          <w:szCs w:val="20"/>
          <w:color w:val="auto"/>
        </w:rPr>
      </w:pPr>
    </w:p>
    <w:p>
      <w:pPr>
        <w:ind w:right="580" w:firstLine="708"/>
        <w:spacing w:after="0" w:line="262" w:lineRule="auto"/>
        <w:rPr>
          <w:sz w:val="20"/>
          <w:szCs w:val="20"/>
          <w:color w:val="auto"/>
        </w:rPr>
      </w:pPr>
      <w:r>
        <w:rPr>
          <w:rFonts w:ascii="Arial" w:cs="Arial" w:eastAsia="Arial" w:hAnsi="Arial"/>
          <w:sz w:val="16"/>
          <w:szCs w:val="16"/>
          <w:color w:val="auto"/>
        </w:rPr>
        <w:t>The securitization debt issued is included in "Long-term debt" on the condensed consolidated balance sheet. The securitization debt of consolidated VIEs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80" w:type="dxa"/>
            <w:vAlign w:val="bottom"/>
          </w:tcPr>
          <w:p>
            <w:pPr>
              <w:spacing w:after="0"/>
              <w:rPr>
                <w:sz w:val="20"/>
                <w:szCs w:val="20"/>
                <w:color w:val="auto"/>
              </w:rPr>
            </w:pPr>
            <w:r>
              <w:rPr>
                <w:rFonts w:ascii="Arial" w:cs="Arial" w:eastAsia="Arial" w:hAnsi="Arial"/>
                <w:sz w:val="13"/>
                <w:szCs w:val="13"/>
                <w:b w:val="1"/>
                <w:bCs w:val="1"/>
                <w:color w:val="auto"/>
              </w:rPr>
              <w:t>As of March 31, 2025 (Successor)</w:t>
            </w:r>
          </w:p>
        </w:tc>
        <w:tc>
          <w:tcPr>
            <w:tcW w:w="214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Final Scheduled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6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Contractual Interest</w:t>
            </w:r>
          </w:p>
        </w:tc>
        <w:tc>
          <w:tcPr>
            <w:tcW w:w="1060" w:type="dxa"/>
            <w:vAlign w:val="bottom"/>
            <w:vMerge w:val="restart"/>
          </w:tcPr>
          <w:p>
            <w:pPr>
              <w:jc w:val="right"/>
              <w:ind w:right="143"/>
              <w:spacing w:after="0"/>
              <w:rPr>
                <w:sz w:val="20"/>
                <w:szCs w:val="20"/>
                <w:color w:val="auto"/>
              </w:rPr>
            </w:pPr>
            <w:r>
              <w:rPr>
                <w:rFonts w:ascii="Arial" w:cs="Arial" w:eastAsia="Arial" w:hAnsi="Arial"/>
                <w:sz w:val="13"/>
                <w:szCs w:val="13"/>
                <w:b w:val="1"/>
                <w:bCs w:val="1"/>
                <w:color w:val="auto"/>
              </w:rPr>
              <w:t>Outstanding</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Arial" w:cs="Arial" w:eastAsia="Arial" w:hAnsi="Arial"/>
                <w:sz w:val="13"/>
                <w:szCs w:val="13"/>
                <w:b w:val="1"/>
                <w:bCs w:val="1"/>
                <w:color w:val="auto"/>
              </w:rPr>
              <w:t>Series</w:t>
            </w:r>
          </w:p>
        </w:tc>
        <w:tc>
          <w:tcPr>
            <w:tcW w:w="2140" w:type="dxa"/>
            <w:vAlign w:val="bottom"/>
          </w:tcPr>
          <w:p>
            <w:pPr>
              <w:ind w:left="760"/>
              <w:spacing w:after="0"/>
              <w:rPr>
                <w:sz w:val="20"/>
                <w:szCs w:val="20"/>
                <w:color w:val="auto"/>
              </w:rPr>
            </w:pPr>
            <w:r>
              <w:rPr>
                <w:rFonts w:ascii="Arial" w:cs="Arial" w:eastAsia="Arial" w:hAnsi="Arial"/>
                <w:sz w:val="13"/>
                <w:szCs w:val="13"/>
                <w:b w:val="1"/>
                <w:bCs w:val="1"/>
                <w:color w:val="auto"/>
              </w:rPr>
              <w:t>Payment Date</w:t>
            </w:r>
          </w:p>
        </w:tc>
        <w:tc>
          <w:tcPr>
            <w:tcW w:w="10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3"/>
                <w:szCs w:val="13"/>
                <w:b w:val="1"/>
                <w:bCs w:val="1"/>
                <w:color w:val="auto"/>
              </w:rPr>
              <w:t>Initial Principal</w:t>
            </w:r>
          </w:p>
        </w:tc>
        <w:tc>
          <w:tcPr>
            <w:tcW w:w="196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Rate</w:t>
            </w:r>
          </w:p>
        </w:tc>
        <w:tc>
          <w:tcPr>
            <w:tcW w:w="1060" w:type="dxa"/>
            <w:vAlign w:val="bottom"/>
          </w:tcPr>
          <w:p>
            <w:pPr>
              <w:jc w:val="right"/>
              <w:ind w:right="243"/>
              <w:spacing w:after="0"/>
              <w:rPr>
                <w:sz w:val="20"/>
                <w:szCs w:val="20"/>
                <w:color w:val="auto"/>
              </w:rPr>
            </w:pPr>
            <w:r>
              <w:rPr>
                <w:rFonts w:ascii="Arial" w:cs="Arial" w:eastAsia="Arial" w:hAnsi="Arial"/>
                <w:sz w:val="13"/>
                <w:szCs w:val="13"/>
                <w:b w:val="1"/>
                <w:bCs w:val="1"/>
                <w:color w:val="auto"/>
              </w:rPr>
              <w:t>Principal</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2022-2-D</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January 10, 2028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32,889</w:t>
            </w:r>
          </w:p>
        </w:tc>
        <w:tc>
          <w:tcPr>
            <w:tcW w:w="19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6.84 %$</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29,832</w:t>
            </w:r>
          </w:p>
        </w:tc>
        <w:tc>
          <w:tcPr>
            <w:tcW w:w="5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29,865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line="180" w:lineRule="exact"/>
              <w:rPr>
                <w:sz w:val="20"/>
                <w:szCs w:val="20"/>
                <w:color w:val="auto"/>
              </w:rPr>
            </w:pPr>
            <w:r>
              <w:rPr>
                <w:rFonts w:ascii="Arial" w:cs="Arial" w:eastAsia="Arial" w:hAnsi="Arial"/>
                <w:sz w:val="16"/>
                <w:szCs w:val="16"/>
                <w:color w:val="auto"/>
              </w:rPr>
              <w:t>United Auto Credit 2022-2-E</w:t>
            </w:r>
          </w:p>
        </w:tc>
        <w:tc>
          <w:tcPr>
            <w:tcW w:w="2140" w:type="dxa"/>
            <w:vAlign w:val="bottom"/>
          </w:tcPr>
          <w:p>
            <w:pPr>
              <w:ind w:left="460"/>
              <w:spacing w:after="0" w:line="180" w:lineRule="exact"/>
              <w:rPr>
                <w:sz w:val="20"/>
                <w:szCs w:val="20"/>
                <w:color w:val="auto"/>
              </w:rPr>
            </w:pPr>
            <w:r>
              <w:rPr>
                <w:rFonts w:ascii="Arial" w:cs="Arial" w:eastAsia="Arial" w:hAnsi="Arial"/>
                <w:sz w:val="16"/>
                <w:szCs w:val="16"/>
                <w:color w:val="auto"/>
              </w:rPr>
              <w:t>April 10, 2029</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33,440</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10.00 %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28,440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15,207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2023-1-C</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July 10, 2028</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33,326</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6.28 %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14,607</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14,628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line="180" w:lineRule="exact"/>
              <w:rPr>
                <w:sz w:val="20"/>
                <w:szCs w:val="20"/>
                <w:color w:val="auto"/>
              </w:rPr>
            </w:pPr>
            <w:r>
              <w:rPr>
                <w:rFonts w:ascii="Arial" w:cs="Arial" w:eastAsia="Arial" w:hAnsi="Arial"/>
                <w:sz w:val="16"/>
                <w:szCs w:val="16"/>
                <w:color w:val="auto"/>
              </w:rPr>
              <w:t>United Auto Credit 2023-1-D</w:t>
            </w:r>
          </w:p>
        </w:tc>
        <w:tc>
          <w:tcPr>
            <w:tcW w:w="2140" w:type="dxa"/>
            <w:vAlign w:val="bottom"/>
          </w:tcPr>
          <w:p>
            <w:pPr>
              <w:ind w:left="460"/>
              <w:spacing w:after="0" w:line="180" w:lineRule="exact"/>
              <w:rPr>
                <w:sz w:val="20"/>
                <w:szCs w:val="20"/>
                <w:color w:val="auto"/>
              </w:rPr>
            </w:pPr>
            <w:r>
              <w:rPr>
                <w:rFonts w:ascii="Arial" w:cs="Arial" w:eastAsia="Arial" w:hAnsi="Arial"/>
                <w:sz w:val="16"/>
                <w:szCs w:val="16"/>
                <w:color w:val="auto"/>
              </w:rPr>
              <w:t>July 10, 2028</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35,653</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8.00 %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35,653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36,017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2023-1-E</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September 10, 2029</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23,256</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10.98 %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23,256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23,921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line="180" w:lineRule="exact"/>
              <w:rPr>
                <w:sz w:val="20"/>
                <w:szCs w:val="20"/>
                <w:color w:val="auto"/>
              </w:rPr>
            </w:pPr>
            <w:r>
              <w:rPr>
                <w:rFonts w:ascii="Arial" w:cs="Arial" w:eastAsia="Arial" w:hAnsi="Arial"/>
                <w:sz w:val="16"/>
                <w:szCs w:val="16"/>
                <w:color w:val="auto"/>
              </w:rPr>
              <w:t>United Auto Credit 2024-1-A</w:t>
            </w:r>
          </w:p>
        </w:tc>
        <w:tc>
          <w:tcPr>
            <w:tcW w:w="2140" w:type="dxa"/>
            <w:vAlign w:val="bottom"/>
          </w:tcPr>
          <w:p>
            <w:pPr>
              <w:ind w:left="460"/>
              <w:spacing w:after="0" w:line="180" w:lineRule="exact"/>
              <w:rPr>
                <w:sz w:val="20"/>
                <w:szCs w:val="20"/>
                <w:color w:val="auto"/>
              </w:rPr>
            </w:pPr>
            <w:r>
              <w:rPr>
                <w:rFonts w:ascii="Arial" w:cs="Arial" w:eastAsia="Arial" w:hAnsi="Arial"/>
                <w:sz w:val="16"/>
                <w:szCs w:val="16"/>
                <w:color w:val="auto"/>
              </w:rPr>
              <w:t>August 10, 2026</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132,340</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6.17 %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15,905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15,909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2024-1-B</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June 10, 2027</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42,770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6.57 %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42,770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42,890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line="180" w:lineRule="exact"/>
              <w:rPr>
                <w:sz w:val="20"/>
                <w:szCs w:val="20"/>
                <w:color w:val="auto"/>
              </w:rPr>
            </w:pPr>
            <w:r>
              <w:rPr>
                <w:rFonts w:ascii="Arial" w:cs="Arial" w:eastAsia="Arial" w:hAnsi="Arial"/>
                <w:sz w:val="16"/>
                <w:szCs w:val="16"/>
                <w:color w:val="auto"/>
              </w:rPr>
              <w:t>United Auto Credit 2024-1-C</w:t>
            </w:r>
          </w:p>
        </w:tc>
        <w:tc>
          <w:tcPr>
            <w:tcW w:w="2140" w:type="dxa"/>
            <w:vAlign w:val="bottom"/>
          </w:tcPr>
          <w:p>
            <w:pPr>
              <w:ind w:left="460"/>
              <w:spacing w:after="0" w:line="180" w:lineRule="exact"/>
              <w:rPr>
                <w:sz w:val="20"/>
                <w:szCs w:val="20"/>
                <w:color w:val="auto"/>
              </w:rPr>
            </w:pPr>
            <w:r>
              <w:rPr>
                <w:rFonts w:ascii="Arial" w:cs="Arial" w:eastAsia="Arial" w:hAnsi="Arial"/>
                <w:sz w:val="16"/>
                <w:szCs w:val="16"/>
                <w:color w:val="auto"/>
              </w:rPr>
              <w:t>October 10, 2029</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35,190</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7.06 %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35,190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35,461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2024-1-D</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November 12, 2029</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52,160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8.30 %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52,160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53,104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Arial" w:cs="Arial" w:eastAsia="Arial" w:hAnsi="Arial"/>
                <w:sz w:val="16"/>
                <w:szCs w:val="16"/>
                <w:color w:val="auto"/>
              </w:rPr>
              <w:t>United Auto Credit 2024-1-E</w:t>
            </w:r>
          </w:p>
        </w:tc>
        <w:tc>
          <w:tcPr>
            <w:tcW w:w="2140" w:type="dxa"/>
            <w:vAlign w:val="bottom"/>
          </w:tcPr>
          <w:p>
            <w:pPr>
              <w:ind w:left="460"/>
              <w:spacing w:after="0"/>
              <w:rPr>
                <w:sz w:val="20"/>
                <w:szCs w:val="20"/>
                <w:color w:val="auto"/>
              </w:rPr>
            </w:pPr>
            <w:r>
              <w:rPr>
                <w:rFonts w:ascii="Arial" w:cs="Arial" w:eastAsia="Arial" w:hAnsi="Arial"/>
                <w:sz w:val="16"/>
                <w:szCs w:val="16"/>
                <w:color w:val="auto"/>
              </w:rPr>
              <w:t>November 12, 2030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37,540</w:t>
            </w:r>
          </w:p>
        </w:tc>
        <w:tc>
          <w:tcPr>
            <w:tcW w:w="1820" w:type="dxa"/>
            <w:vAlign w:val="bottom"/>
          </w:tcPr>
          <w:p>
            <w:pPr>
              <w:jc w:val="right"/>
              <w:spacing w:after="0"/>
              <w:rPr>
                <w:sz w:val="20"/>
                <w:szCs w:val="20"/>
                <w:color w:val="auto"/>
              </w:rPr>
            </w:pPr>
            <w:r>
              <w:rPr>
                <w:rFonts w:ascii="Arial" w:cs="Arial" w:eastAsia="Arial" w:hAnsi="Arial"/>
                <w:sz w:val="16"/>
                <w:szCs w:val="16"/>
                <w:color w:val="auto"/>
              </w:rPr>
              <w:t>10.45 %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2025-1-A</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June 10, 2027</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138,300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4.80 %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138,300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138,299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line="180" w:lineRule="exact"/>
              <w:rPr>
                <w:sz w:val="20"/>
                <w:szCs w:val="20"/>
                <w:color w:val="auto"/>
              </w:rPr>
            </w:pPr>
            <w:r>
              <w:rPr>
                <w:rFonts w:ascii="Arial" w:cs="Arial" w:eastAsia="Arial" w:hAnsi="Arial"/>
                <w:sz w:val="16"/>
                <w:szCs w:val="16"/>
                <w:color w:val="auto"/>
              </w:rPr>
              <w:t>United Auto Credit 2025-1-B</w:t>
            </w:r>
          </w:p>
        </w:tc>
        <w:tc>
          <w:tcPr>
            <w:tcW w:w="2140" w:type="dxa"/>
            <w:vAlign w:val="bottom"/>
          </w:tcPr>
          <w:p>
            <w:pPr>
              <w:ind w:left="460"/>
              <w:spacing w:after="0" w:line="180" w:lineRule="exact"/>
              <w:rPr>
                <w:sz w:val="20"/>
                <w:szCs w:val="20"/>
                <w:color w:val="auto"/>
              </w:rPr>
            </w:pPr>
            <w:r>
              <w:rPr>
                <w:rFonts w:ascii="Arial" w:cs="Arial" w:eastAsia="Arial" w:hAnsi="Arial"/>
                <w:sz w:val="16"/>
                <w:szCs w:val="16"/>
                <w:color w:val="auto"/>
              </w:rPr>
              <w:t>February 10, 2028</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50,450</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5.05 %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50,450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50,448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2025-1-C</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June 10, 2030</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32,660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5.15 %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32,660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32,656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line="180" w:lineRule="exact"/>
              <w:rPr>
                <w:sz w:val="20"/>
                <w:szCs w:val="20"/>
                <w:color w:val="auto"/>
              </w:rPr>
            </w:pPr>
            <w:r>
              <w:rPr>
                <w:rFonts w:ascii="Arial" w:cs="Arial" w:eastAsia="Arial" w:hAnsi="Arial"/>
                <w:sz w:val="16"/>
                <w:szCs w:val="16"/>
                <w:color w:val="auto"/>
              </w:rPr>
              <w:t>United Auto Credit 2025-1-D</w:t>
            </w:r>
          </w:p>
        </w:tc>
        <w:tc>
          <w:tcPr>
            <w:tcW w:w="2140" w:type="dxa"/>
            <w:vAlign w:val="bottom"/>
          </w:tcPr>
          <w:p>
            <w:pPr>
              <w:ind w:left="460"/>
              <w:spacing w:after="0" w:line="180" w:lineRule="exact"/>
              <w:rPr>
                <w:sz w:val="20"/>
                <w:szCs w:val="20"/>
                <w:color w:val="auto"/>
              </w:rPr>
            </w:pPr>
            <w:r>
              <w:rPr>
                <w:rFonts w:ascii="Arial" w:cs="Arial" w:eastAsia="Arial" w:hAnsi="Arial"/>
                <w:sz w:val="16"/>
                <w:szCs w:val="16"/>
                <w:color w:val="auto"/>
              </w:rPr>
              <w:t>July 10, 2030</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50,810</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5.96 %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50,810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50,802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2025-1-E</w:t>
            </w:r>
          </w:p>
        </w:tc>
        <w:tc>
          <w:tcPr>
            <w:tcW w:w="2140" w:type="dxa"/>
            <w:vAlign w:val="bottom"/>
            <w:shd w:val="clear" w:color="auto" w:fill="CFF0FC"/>
          </w:tcPr>
          <w:p>
            <w:pPr>
              <w:ind w:left="460"/>
              <w:spacing w:after="0" w:line="180" w:lineRule="exact"/>
              <w:rPr>
                <w:sz w:val="20"/>
                <w:szCs w:val="20"/>
                <w:color w:val="auto"/>
              </w:rPr>
            </w:pPr>
            <w:r>
              <w:rPr>
                <w:rFonts w:ascii="Arial" w:cs="Arial" w:eastAsia="Arial" w:hAnsi="Arial"/>
                <w:sz w:val="16"/>
                <w:szCs w:val="16"/>
                <w:color w:val="auto"/>
              </w:rPr>
              <w:t>October 10, 2031</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35,560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7.71 %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35,560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35,558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line="180" w:lineRule="exact"/>
              <w:rPr>
                <w:sz w:val="20"/>
                <w:szCs w:val="20"/>
                <w:color w:val="auto"/>
              </w:rPr>
            </w:pPr>
            <w:r>
              <w:rPr>
                <w:rFonts w:ascii="Arial" w:cs="Arial" w:eastAsia="Arial" w:hAnsi="Arial"/>
                <w:sz w:val="16"/>
                <w:szCs w:val="16"/>
                <w:color w:val="auto"/>
              </w:rPr>
              <w:t>Total rated notes at fair value</w:t>
            </w:r>
          </w:p>
        </w:tc>
        <w:tc>
          <w:tcPr>
            <w:tcW w:w="2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766,344</w:t>
            </w:r>
          </w:p>
        </w:tc>
        <w:tc>
          <w:tcPr>
            <w:tcW w:w="196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623,133</w:t>
            </w:r>
          </w:p>
        </w:tc>
        <w:tc>
          <w:tcPr>
            <w:tcW w:w="5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613,934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2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463"/>
              <w:spacing w:after="0"/>
              <w:rPr>
                <w:sz w:val="20"/>
                <w:szCs w:val="20"/>
                <w:color w:val="auto"/>
              </w:rPr>
            </w:pPr>
            <w:r>
              <w:rPr>
                <w:rFonts w:ascii="Arial" w:cs="Arial" w:eastAsia="Arial" w:hAnsi="Arial"/>
                <w:sz w:val="16"/>
                <w:szCs w:val="16"/>
                <w:color w:val="auto"/>
              </w:rPr>
              <w:t>35</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258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5" w:name="page36"/>
    <w:bookmarkEnd w:id="3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6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2024 (Predecessor)</w:t>
            </w:r>
          </w:p>
        </w:tc>
        <w:tc>
          <w:tcPr>
            <w:tcW w:w="196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Final Scheduled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6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Contractual Interest</w:t>
            </w: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60" w:type="dxa"/>
            <w:vAlign w:val="bottom"/>
            <w:gridSpan w:val="2"/>
          </w:tcPr>
          <w:p>
            <w:pPr>
              <w:spacing w:after="0"/>
              <w:rPr>
                <w:sz w:val="20"/>
                <w:szCs w:val="20"/>
                <w:color w:val="auto"/>
              </w:rPr>
            </w:pPr>
            <w:r>
              <w:rPr>
                <w:rFonts w:ascii="Arial" w:cs="Arial" w:eastAsia="Arial" w:hAnsi="Arial"/>
                <w:sz w:val="13"/>
                <w:szCs w:val="13"/>
                <w:b w:val="1"/>
                <w:bCs w:val="1"/>
                <w:color w:val="auto"/>
              </w:rPr>
              <w:t>Series</w:t>
            </w:r>
          </w:p>
        </w:tc>
        <w:tc>
          <w:tcPr>
            <w:tcW w:w="1960" w:type="dxa"/>
            <w:vAlign w:val="bottom"/>
          </w:tcPr>
          <w:p>
            <w:pPr>
              <w:ind w:left="580"/>
              <w:spacing w:after="0"/>
              <w:rPr>
                <w:sz w:val="20"/>
                <w:szCs w:val="20"/>
                <w:color w:val="auto"/>
              </w:rPr>
            </w:pPr>
            <w:r>
              <w:rPr>
                <w:rFonts w:ascii="Arial" w:cs="Arial" w:eastAsia="Arial" w:hAnsi="Arial"/>
                <w:sz w:val="13"/>
                <w:szCs w:val="13"/>
                <w:b w:val="1"/>
                <w:bCs w:val="1"/>
                <w:color w:val="auto"/>
              </w:rPr>
              <w:t>Payment Date</w:t>
            </w:r>
          </w:p>
        </w:tc>
        <w:tc>
          <w:tcPr>
            <w:tcW w:w="10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3"/>
                <w:szCs w:val="13"/>
                <w:b w:val="1"/>
                <w:bCs w:val="1"/>
                <w:color w:val="auto"/>
              </w:rPr>
              <w:t>Initial Principal</w:t>
            </w:r>
          </w:p>
        </w:tc>
        <w:tc>
          <w:tcPr>
            <w:tcW w:w="196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Rate</w:t>
            </w:r>
          </w:p>
        </w:tc>
        <w:tc>
          <w:tcPr>
            <w:tcW w:w="12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2022-2-C</w:t>
            </w:r>
          </w:p>
        </w:tc>
        <w:tc>
          <w:tcPr>
            <w:tcW w:w="1960" w:type="dxa"/>
            <w:vAlign w:val="bottom"/>
            <w:shd w:val="clear" w:color="auto" w:fill="CFF0FC"/>
          </w:tcPr>
          <w:p>
            <w:pPr>
              <w:ind w:left="280"/>
              <w:spacing w:after="0" w:line="180" w:lineRule="exact"/>
              <w:rPr>
                <w:sz w:val="20"/>
                <w:szCs w:val="20"/>
                <w:color w:val="auto"/>
              </w:rPr>
            </w:pPr>
            <w:r>
              <w:rPr>
                <w:rFonts w:ascii="Arial" w:cs="Arial" w:eastAsia="Arial" w:hAnsi="Arial"/>
                <w:sz w:val="16"/>
                <w:szCs w:val="16"/>
                <w:color w:val="auto"/>
              </w:rPr>
              <w:t>May 10, 2027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26,533</w:t>
            </w:r>
          </w:p>
        </w:tc>
        <w:tc>
          <w:tcPr>
            <w:tcW w:w="19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5.81 %$</w:t>
            </w:r>
          </w:p>
        </w:tc>
        <w:tc>
          <w:tcPr>
            <w:tcW w:w="122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5,265</w:t>
            </w:r>
          </w:p>
        </w:tc>
        <w:tc>
          <w:tcPr>
            <w:tcW w:w="34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5,265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United Auto Credit 2022-2-D</w:t>
            </w:r>
          </w:p>
        </w:tc>
        <w:tc>
          <w:tcPr>
            <w:tcW w:w="1960" w:type="dxa"/>
            <w:vAlign w:val="bottom"/>
          </w:tcPr>
          <w:p>
            <w:pPr>
              <w:ind w:left="280"/>
              <w:spacing w:after="0" w:line="180" w:lineRule="exact"/>
              <w:rPr>
                <w:sz w:val="20"/>
                <w:szCs w:val="20"/>
                <w:color w:val="auto"/>
              </w:rPr>
            </w:pPr>
            <w:r>
              <w:rPr>
                <w:rFonts w:ascii="Arial" w:cs="Arial" w:eastAsia="Arial" w:hAnsi="Arial"/>
                <w:sz w:val="16"/>
                <w:szCs w:val="16"/>
                <w:color w:val="auto"/>
              </w:rPr>
              <w:t>January 10, 2028</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32,889</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6.84 %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32,889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32,836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2022-2-E</w:t>
            </w:r>
          </w:p>
        </w:tc>
        <w:tc>
          <w:tcPr>
            <w:tcW w:w="1960" w:type="dxa"/>
            <w:vAlign w:val="bottom"/>
            <w:shd w:val="clear" w:color="auto" w:fill="CFF0FC"/>
          </w:tcPr>
          <w:p>
            <w:pPr>
              <w:ind w:left="280"/>
              <w:spacing w:after="0" w:line="180" w:lineRule="exact"/>
              <w:rPr>
                <w:sz w:val="20"/>
                <w:szCs w:val="20"/>
                <w:color w:val="auto"/>
              </w:rPr>
            </w:pPr>
            <w:r>
              <w:rPr>
                <w:rFonts w:ascii="Arial" w:cs="Arial" w:eastAsia="Arial" w:hAnsi="Arial"/>
                <w:sz w:val="16"/>
                <w:szCs w:val="16"/>
                <w:color w:val="auto"/>
              </w:rPr>
              <w:t>April 10, 2029</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33,440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10.00 %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28,440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16,922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United Auto Credit 2023-1-C</w:t>
            </w:r>
          </w:p>
        </w:tc>
        <w:tc>
          <w:tcPr>
            <w:tcW w:w="1960" w:type="dxa"/>
            <w:vAlign w:val="bottom"/>
          </w:tcPr>
          <w:p>
            <w:pPr>
              <w:ind w:left="280"/>
              <w:spacing w:after="0" w:line="180" w:lineRule="exact"/>
              <w:rPr>
                <w:sz w:val="20"/>
                <w:szCs w:val="20"/>
                <w:color w:val="auto"/>
              </w:rPr>
            </w:pPr>
            <w:r>
              <w:rPr>
                <w:rFonts w:ascii="Arial" w:cs="Arial" w:eastAsia="Arial" w:hAnsi="Arial"/>
                <w:sz w:val="16"/>
                <w:szCs w:val="16"/>
                <w:color w:val="auto"/>
              </w:rPr>
              <w:t>July 10, 2028</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33,326</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6.28 %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27,657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27,731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2023-1-D</w:t>
            </w:r>
          </w:p>
        </w:tc>
        <w:tc>
          <w:tcPr>
            <w:tcW w:w="1960" w:type="dxa"/>
            <w:vAlign w:val="bottom"/>
            <w:shd w:val="clear" w:color="auto" w:fill="CFF0FC"/>
          </w:tcPr>
          <w:p>
            <w:pPr>
              <w:ind w:left="280"/>
              <w:spacing w:after="0" w:line="180" w:lineRule="exact"/>
              <w:rPr>
                <w:sz w:val="20"/>
                <w:szCs w:val="20"/>
                <w:color w:val="auto"/>
              </w:rPr>
            </w:pPr>
            <w:r>
              <w:rPr>
                <w:rFonts w:ascii="Arial" w:cs="Arial" w:eastAsia="Arial" w:hAnsi="Arial"/>
                <w:sz w:val="16"/>
                <w:szCs w:val="16"/>
                <w:color w:val="auto"/>
              </w:rPr>
              <w:t>July 10, 2028</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35,653</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8.00 %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35,653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36,149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United Auto Credit 2023-1-E</w:t>
            </w:r>
          </w:p>
        </w:tc>
        <w:tc>
          <w:tcPr>
            <w:tcW w:w="1960" w:type="dxa"/>
            <w:vAlign w:val="bottom"/>
          </w:tcPr>
          <w:p>
            <w:pPr>
              <w:ind w:left="280"/>
              <w:spacing w:after="0" w:line="180" w:lineRule="exact"/>
              <w:rPr>
                <w:sz w:val="20"/>
                <w:szCs w:val="20"/>
                <w:color w:val="auto"/>
              </w:rPr>
            </w:pPr>
            <w:r>
              <w:rPr>
                <w:rFonts w:ascii="Arial" w:cs="Arial" w:eastAsia="Arial" w:hAnsi="Arial"/>
                <w:sz w:val="16"/>
                <w:szCs w:val="16"/>
                <w:color w:val="auto"/>
              </w:rPr>
              <w:t>September 10, 2029</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23,256</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10.98 %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23,256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23,726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rated notes at fair value</w:t>
            </w: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185,097</w:t>
            </w:r>
          </w:p>
        </w:tc>
        <w:tc>
          <w:tcPr>
            <w:tcW w:w="19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153,160</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142,629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60" w:type="dxa"/>
            <w:vAlign w:val="bottom"/>
            <w:gridSpan w:val="2"/>
          </w:tcPr>
          <w:p>
            <w:pPr>
              <w:spacing w:after="0"/>
              <w:rPr>
                <w:sz w:val="20"/>
                <w:szCs w:val="20"/>
                <w:color w:val="auto"/>
              </w:rPr>
            </w:pPr>
            <w:r>
              <w:rPr>
                <w:rFonts w:ascii="Arial" w:cs="Arial" w:eastAsia="Arial" w:hAnsi="Arial"/>
                <w:sz w:val="16"/>
                <w:szCs w:val="16"/>
                <w:color w:val="auto"/>
              </w:rPr>
              <w:t>United Auto Credit 2024-1-A</w:t>
            </w:r>
          </w:p>
        </w:tc>
        <w:tc>
          <w:tcPr>
            <w:tcW w:w="1960" w:type="dxa"/>
            <w:vAlign w:val="bottom"/>
          </w:tcPr>
          <w:p>
            <w:pPr>
              <w:ind w:left="280"/>
              <w:spacing w:after="0"/>
              <w:rPr>
                <w:sz w:val="20"/>
                <w:szCs w:val="20"/>
                <w:color w:val="auto"/>
              </w:rPr>
            </w:pPr>
            <w:r>
              <w:rPr>
                <w:rFonts w:ascii="Arial" w:cs="Arial" w:eastAsia="Arial" w:hAnsi="Arial"/>
                <w:sz w:val="16"/>
                <w:szCs w:val="16"/>
                <w:color w:val="auto"/>
              </w:rPr>
              <w:t>August 10, 2026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132,340</w:t>
            </w: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6.17 %$</w:t>
            </w:r>
          </w:p>
        </w:tc>
        <w:tc>
          <w:tcPr>
            <w:tcW w:w="1060" w:type="dxa"/>
            <w:vAlign w:val="bottom"/>
          </w:tcPr>
          <w:p>
            <w:pPr>
              <w:jc w:val="right"/>
              <w:spacing w:after="0"/>
              <w:rPr>
                <w:sz w:val="20"/>
                <w:szCs w:val="20"/>
                <w:color w:val="auto"/>
              </w:rPr>
            </w:pPr>
            <w:r>
              <w:rPr>
                <w:rFonts w:ascii="Arial" w:cs="Arial" w:eastAsia="Arial" w:hAnsi="Arial"/>
                <w:sz w:val="16"/>
                <w:szCs w:val="16"/>
                <w:color w:val="auto"/>
              </w:rPr>
              <w:t>45,490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2024-1-B</w:t>
            </w:r>
          </w:p>
        </w:tc>
        <w:tc>
          <w:tcPr>
            <w:tcW w:w="1960" w:type="dxa"/>
            <w:vAlign w:val="bottom"/>
            <w:shd w:val="clear" w:color="auto" w:fill="CFF0FC"/>
          </w:tcPr>
          <w:p>
            <w:pPr>
              <w:ind w:left="280"/>
              <w:spacing w:after="0" w:line="180" w:lineRule="exact"/>
              <w:rPr>
                <w:sz w:val="20"/>
                <w:szCs w:val="20"/>
                <w:color w:val="auto"/>
              </w:rPr>
            </w:pPr>
            <w:r>
              <w:rPr>
                <w:rFonts w:ascii="Arial" w:cs="Arial" w:eastAsia="Arial" w:hAnsi="Arial"/>
                <w:sz w:val="16"/>
                <w:szCs w:val="16"/>
                <w:color w:val="auto"/>
              </w:rPr>
              <w:t>June 10, 2027</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42,770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6.57 %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42,770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United Auto Credit 2024-1-C</w:t>
            </w:r>
          </w:p>
        </w:tc>
        <w:tc>
          <w:tcPr>
            <w:tcW w:w="1960" w:type="dxa"/>
            <w:vAlign w:val="bottom"/>
          </w:tcPr>
          <w:p>
            <w:pPr>
              <w:ind w:left="280"/>
              <w:spacing w:after="0" w:line="180" w:lineRule="exact"/>
              <w:rPr>
                <w:sz w:val="20"/>
                <w:szCs w:val="20"/>
                <w:color w:val="auto"/>
              </w:rPr>
            </w:pPr>
            <w:r>
              <w:rPr>
                <w:rFonts w:ascii="Arial" w:cs="Arial" w:eastAsia="Arial" w:hAnsi="Arial"/>
                <w:sz w:val="16"/>
                <w:szCs w:val="16"/>
                <w:color w:val="auto"/>
              </w:rPr>
              <w:t>October 10, 2029</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35,190</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7.06 %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35,190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2024-1-D</w:t>
            </w:r>
          </w:p>
        </w:tc>
        <w:tc>
          <w:tcPr>
            <w:tcW w:w="1960" w:type="dxa"/>
            <w:vAlign w:val="bottom"/>
            <w:shd w:val="clear" w:color="auto" w:fill="CFF0FC"/>
          </w:tcPr>
          <w:p>
            <w:pPr>
              <w:ind w:left="280"/>
              <w:spacing w:after="0" w:line="180" w:lineRule="exact"/>
              <w:rPr>
                <w:sz w:val="20"/>
                <w:szCs w:val="20"/>
                <w:color w:val="auto"/>
              </w:rPr>
            </w:pPr>
            <w:r>
              <w:rPr>
                <w:rFonts w:ascii="Arial" w:cs="Arial" w:eastAsia="Arial" w:hAnsi="Arial"/>
                <w:sz w:val="16"/>
                <w:szCs w:val="16"/>
                <w:color w:val="auto"/>
              </w:rPr>
              <w:t>November 12, 2029</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52,160</w:t>
            </w:r>
          </w:p>
        </w:tc>
        <w:tc>
          <w:tcPr>
            <w:tcW w:w="1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8.30 %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52,160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40" w:type="dxa"/>
            <w:vAlign w:val="bottom"/>
          </w:tcPr>
          <w:p>
            <w:pPr>
              <w:spacing w:after="0" w:line="180" w:lineRule="exact"/>
              <w:rPr>
                <w:sz w:val="20"/>
                <w:szCs w:val="20"/>
                <w:color w:val="auto"/>
              </w:rPr>
            </w:pPr>
            <w:r>
              <w:rPr>
                <w:rFonts w:ascii="Arial" w:cs="Arial" w:eastAsia="Arial" w:hAnsi="Arial"/>
                <w:sz w:val="16"/>
                <w:szCs w:val="16"/>
                <w:color w:val="auto"/>
              </w:rPr>
              <w:t>United Auto Credit 2024-1-E</w:t>
            </w:r>
          </w:p>
        </w:tc>
        <w:tc>
          <w:tcPr>
            <w:tcW w:w="1960" w:type="dxa"/>
            <w:vAlign w:val="bottom"/>
          </w:tcPr>
          <w:p>
            <w:pPr>
              <w:ind w:left="280"/>
              <w:spacing w:after="0" w:line="180" w:lineRule="exact"/>
              <w:rPr>
                <w:sz w:val="20"/>
                <w:szCs w:val="20"/>
                <w:color w:val="auto"/>
              </w:rPr>
            </w:pPr>
            <w:r>
              <w:rPr>
                <w:rFonts w:ascii="Arial" w:cs="Arial" w:eastAsia="Arial" w:hAnsi="Arial"/>
                <w:sz w:val="16"/>
                <w:szCs w:val="16"/>
                <w:color w:val="auto"/>
              </w:rPr>
              <w:t>November 12, 2030</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37,540</w:t>
            </w:r>
          </w:p>
        </w:tc>
        <w:tc>
          <w:tcPr>
            <w:tcW w:w="1820" w:type="dxa"/>
            <w:vAlign w:val="bottom"/>
          </w:tcPr>
          <w:p>
            <w:pPr>
              <w:jc w:val="right"/>
              <w:spacing w:after="0" w:line="180" w:lineRule="exact"/>
              <w:rPr>
                <w:sz w:val="20"/>
                <w:szCs w:val="20"/>
                <w:color w:val="auto"/>
              </w:rPr>
            </w:pPr>
            <w:r>
              <w:rPr>
                <w:rFonts w:ascii="Arial" w:cs="Arial" w:eastAsia="Arial" w:hAnsi="Arial"/>
                <w:sz w:val="16"/>
                <w:szCs w:val="16"/>
                <w:color w:val="auto"/>
              </w:rPr>
              <w:t>10.45 %</w:t>
            </w:r>
          </w:p>
        </w:tc>
        <w:tc>
          <w:tcPr>
            <w:tcW w:w="1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37,540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rated notes at amortized cost</w:t>
            </w: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300,000</w:t>
            </w:r>
          </w:p>
        </w:tc>
        <w:tc>
          <w:tcPr>
            <w:tcW w:w="19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213,150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40" w:type="dxa"/>
            <w:vAlign w:val="bottom"/>
          </w:tcPr>
          <w:p>
            <w:pPr>
              <w:spacing w:after="0" w:line="156" w:lineRule="exact"/>
              <w:rPr>
                <w:sz w:val="20"/>
                <w:szCs w:val="20"/>
                <w:color w:val="auto"/>
              </w:rPr>
            </w:pPr>
            <w:r>
              <w:rPr>
                <w:rFonts w:ascii="Arial" w:cs="Arial" w:eastAsia="Arial" w:hAnsi="Arial"/>
                <w:sz w:val="16"/>
                <w:szCs w:val="16"/>
                <w:color w:val="auto"/>
              </w:rPr>
              <w:t>Unamortized debt issuance costs</w:t>
            </w: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60" w:type="dxa"/>
            <w:vAlign w:val="bottom"/>
            <w:gridSpan w:val="2"/>
          </w:tcPr>
          <w:p>
            <w:pPr>
              <w:jc w:val="right"/>
              <w:ind w:right="60"/>
              <w:spacing w:after="0" w:line="156"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line="156" w:lineRule="exact"/>
              <w:rPr>
                <w:sz w:val="20"/>
                <w:szCs w:val="20"/>
                <w:color w:val="auto"/>
              </w:rPr>
            </w:pPr>
            <w:r>
              <w:rPr>
                <w:rFonts w:ascii="Arial" w:cs="Arial" w:eastAsia="Arial" w:hAnsi="Arial"/>
                <w:sz w:val="16"/>
                <w:szCs w:val="16"/>
                <w:color w:val="auto"/>
              </w:rPr>
              <w:t>2,423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carrying value</w:t>
            </w: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210,727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firstLine="708"/>
        <w:spacing w:after="0" w:line="244" w:lineRule="auto"/>
        <w:rPr>
          <w:sz w:val="20"/>
          <w:szCs w:val="20"/>
          <w:color w:val="auto"/>
        </w:rPr>
      </w:pPr>
      <w:r>
        <w:rPr>
          <w:rFonts w:ascii="Arial" w:cs="Arial" w:eastAsia="Arial" w:hAnsi="Arial"/>
          <w:sz w:val="16"/>
          <w:szCs w:val="16"/>
          <w:color w:val="auto"/>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$192.8 million in 2025, $202.0 million in 2026, $131.0 million in 2027, $61.1 million in 2028, and $36.2 million in 2029.</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February 2024, UACC exercised its option to repurchase the 2021-1 securitization debt for a total redemption price of $35.6 million.</w:t>
      </w:r>
    </w:p>
    <w:p>
      <w:pPr>
        <w:spacing w:after="0" w:line="176" w:lineRule="exact"/>
        <w:rPr>
          <w:sz w:val="20"/>
          <w:szCs w:val="20"/>
          <w:color w:val="auto"/>
        </w:rPr>
      </w:pPr>
    </w:p>
    <w:p>
      <w:pPr>
        <w:ind w:right="20" w:firstLine="708"/>
        <w:spacing w:after="0" w:line="262" w:lineRule="auto"/>
        <w:rPr>
          <w:sz w:val="20"/>
          <w:szCs w:val="20"/>
          <w:color w:val="auto"/>
        </w:rPr>
      </w:pPr>
      <w:r>
        <w:rPr>
          <w:rFonts w:ascii="Arial" w:cs="Arial" w:eastAsia="Arial" w:hAnsi="Arial"/>
          <w:sz w:val="16"/>
          <w:szCs w:val="16"/>
          <w:color w:val="auto"/>
        </w:rPr>
        <w:t>The aggregate principal balance and the net carrying value of finance receivables pledged to the securitization debt consists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3"/>
          </w:tcPr>
          <w:p>
            <w:pPr>
              <w:jc w:val="center"/>
              <w:ind w:left="426"/>
              <w:spacing w:after="0"/>
              <w:rPr>
                <w:sz w:val="20"/>
                <w:szCs w:val="20"/>
                <w:color w:val="auto"/>
              </w:rPr>
            </w:pPr>
            <w:r>
              <w:rPr>
                <w:rFonts w:ascii="Arial" w:cs="Arial" w:eastAsia="Arial" w:hAnsi="Arial"/>
                <w:sz w:val="13"/>
                <w:szCs w:val="13"/>
                <w:b w:val="1"/>
                <w:bCs w:val="1"/>
                <w:color w:val="auto"/>
              </w:rPr>
              <w:t>Successor</w:t>
            </w:r>
          </w:p>
        </w:tc>
        <w:tc>
          <w:tcPr>
            <w:tcW w:w="7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4"/>
          </w:tcPr>
          <w:p>
            <w:pPr>
              <w:jc w:val="center"/>
              <w:ind w:left="347"/>
              <w:spacing w:after="0"/>
              <w:rPr>
                <w:sz w:val="20"/>
                <w:szCs w:val="20"/>
                <w:color w:val="auto"/>
              </w:rPr>
            </w:pPr>
            <w:r>
              <w:rPr>
                <w:rFonts w:ascii="Arial" w:cs="Arial" w:eastAsia="Arial" w:hAnsi="Arial"/>
                <w:sz w:val="13"/>
                <w:szCs w:val="13"/>
                <w:b w:val="1"/>
                <w:bCs w:val="1"/>
                <w:color w:val="auto"/>
              </w:rPr>
              <w:t>Predecessor</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jc w:val="center"/>
              <w:ind w:left="446"/>
              <w:spacing w:after="0"/>
              <w:rPr>
                <w:sz w:val="20"/>
                <w:szCs w:val="20"/>
                <w:color w:val="auto"/>
              </w:rPr>
            </w:pPr>
            <w:r>
              <w:rPr>
                <w:rFonts w:ascii="Arial" w:cs="Arial" w:eastAsia="Arial" w:hAnsi="Arial"/>
                <w:sz w:val="13"/>
                <w:szCs w:val="13"/>
                <w:b w:val="1"/>
                <w:bCs w:val="1"/>
                <w:color w:val="auto"/>
              </w:rPr>
              <w:t>As of March 31,</w:t>
            </w:r>
          </w:p>
        </w:tc>
        <w:tc>
          <w:tcPr>
            <w:tcW w:w="7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4"/>
          </w:tcPr>
          <w:p>
            <w:pPr>
              <w:jc w:val="center"/>
              <w:ind w:left="367"/>
              <w:spacing w:after="0"/>
              <w:rPr>
                <w:sz w:val="20"/>
                <w:szCs w:val="20"/>
                <w:color w:val="auto"/>
              </w:rPr>
            </w:pPr>
            <w:r>
              <w:rPr>
                <w:rFonts w:ascii="Arial" w:cs="Arial" w:eastAsia="Arial" w:hAnsi="Arial"/>
                <w:sz w:val="13"/>
                <w:szCs w:val="13"/>
                <w:b w:val="1"/>
                <w:bCs w:val="1"/>
                <w:color w:val="auto"/>
              </w:rPr>
              <w:t>As of December 31,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gridSpan w:val="2"/>
          </w:tcPr>
          <w:p>
            <w:pPr>
              <w:jc w:val="center"/>
              <w:ind w:right="434"/>
              <w:spacing w:after="0"/>
              <w:rPr>
                <w:sz w:val="20"/>
                <w:szCs w:val="20"/>
                <w:color w:val="auto"/>
              </w:rPr>
            </w:pPr>
            <w:r>
              <w:rPr>
                <w:rFonts w:ascii="Arial" w:cs="Arial" w:eastAsia="Arial" w:hAnsi="Arial"/>
                <w:sz w:val="13"/>
                <w:szCs w:val="13"/>
                <w:b w:val="1"/>
                <w:bCs w:val="1"/>
                <w:color w:val="auto"/>
              </w:rPr>
              <w:t>2025</w:t>
            </w:r>
          </w:p>
        </w:tc>
        <w:tc>
          <w:tcPr>
            <w:tcW w:w="7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4"/>
          </w:tcPr>
          <w:p>
            <w:pPr>
              <w:jc w:val="center"/>
              <w:ind w:left="367"/>
              <w:spacing w:after="0"/>
              <w:rPr>
                <w:sz w:val="20"/>
                <w:szCs w:val="20"/>
                <w:color w:val="auto"/>
              </w:rPr>
            </w:pPr>
            <w:r>
              <w:rPr>
                <w:rFonts w:ascii="Arial" w:cs="Arial" w:eastAsia="Arial" w:hAnsi="Arial"/>
                <w:sz w:val="13"/>
                <w:szCs w:val="13"/>
                <w:b w:val="1"/>
                <w:bCs w:val="1"/>
                <w:color w:val="auto"/>
              </w:rPr>
              <w:t>2024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9"/>
        </w:trPr>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Aggregate Principal</w:t>
            </w:r>
          </w:p>
        </w:tc>
        <w:tc>
          <w:tcPr>
            <w:tcW w:w="2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Net Carrying Value</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3"/>
                <w:szCs w:val="13"/>
                <w:b w:val="1"/>
                <w:bCs w:val="1"/>
                <w:color w:val="auto"/>
              </w:rPr>
              <w:t>Aggregate Principal</w:t>
            </w:r>
          </w:p>
        </w:tc>
        <w:tc>
          <w:tcPr>
            <w:tcW w:w="1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3"/>
                <w:szCs w:val="13"/>
                <w:b w:val="1"/>
                <w:bCs w:val="1"/>
                <w:color w:val="auto"/>
              </w:rPr>
              <w:t>Net Carrying Value</w:t>
            </w:r>
          </w:p>
        </w:tc>
      </w:tr>
      <w:tr>
        <w:trPr>
          <w:trHeight w:val="168"/>
        </w:trPr>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06"/>
              <w:spacing w:after="0"/>
              <w:rPr>
                <w:sz w:val="20"/>
                <w:szCs w:val="20"/>
                <w:color w:val="auto"/>
              </w:rPr>
            </w:pPr>
            <w:r>
              <w:rPr>
                <w:rFonts w:ascii="Arial" w:cs="Arial" w:eastAsia="Arial" w:hAnsi="Arial"/>
                <w:sz w:val="13"/>
                <w:szCs w:val="13"/>
                <w:b w:val="1"/>
                <w:bCs w:val="1"/>
                <w:color w:val="auto"/>
              </w:rPr>
              <w:t>Balance</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4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2022-2</w:t>
            </w:r>
          </w:p>
        </w:tc>
        <w:tc>
          <w:tcPr>
            <w:tcW w:w="1300" w:type="dxa"/>
            <w:vAlign w:val="bottom"/>
            <w:gridSpan w:val="2"/>
            <w:shd w:val="clear" w:color="auto" w:fill="CFF0FC"/>
          </w:tcPr>
          <w:p>
            <w:pPr>
              <w:ind w:left="106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53,291</w:t>
            </w:r>
          </w:p>
        </w:tc>
        <w:tc>
          <w:tcPr>
            <w:tcW w:w="800" w:type="dxa"/>
            <w:vAlign w:val="bottom"/>
            <w:gridSpan w:val="2"/>
            <w:shd w:val="clear" w:color="auto" w:fill="CFF0FC"/>
          </w:tcPr>
          <w:p>
            <w:pPr>
              <w:jc w:val="right"/>
              <w:ind w:right="354"/>
              <w:spacing w:after="0" w:line="180"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46,641</w:t>
            </w:r>
          </w:p>
        </w:tc>
        <w:tc>
          <w:tcPr>
            <w:tcW w:w="300" w:type="dxa"/>
            <w:vAlign w:val="bottom"/>
            <w:tcBorders>
              <w:right w:val="single" w:sz="8" w:color="auto"/>
            </w:tcBorders>
            <w:shd w:val="clear" w:color="auto" w:fill="CFF0FC"/>
          </w:tcPr>
          <w:p>
            <w:pPr>
              <w:spacing w:after="0"/>
              <w:rPr>
                <w:sz w:val="15"/>
                <w:szCs w:val="15"/>
                <w:color w:val="auto"/>
              </w:rPr>
            </w:pPr>
          </w:p>
        </w:tc>
        <w:tc>
          <w:tcPr>
            <w:tcW w:w="400" w:type="dxa"/>
            <w:vAlign w:val="bottom"/>
            <w:gridSpan w:val="2"/>
            <w:shd w:val="clear" w:color="auto" w:fill="CFF0FC"/>
          </w:tcPr>
          <w:p>
            <w:pPr>
              <w:ind w:left="18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65,096</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34"/>
              <w:spacing w:after="0" w:line="180"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57,130</w:t>
            </w:r>
          </w:p>
        </w:tc>
        <w:tc>
          <w:tcPr>
            <w:tcW w:w="80" w:type="dxa"/>
            <w:vAlign w:val="bottom"/>
            <w:shd w:val="clear" w:color="auto" w:fill="CFF0FC"/>
          </w:tcPr>
          <w:p>
            <w:pPr>
              <w:spacing w:after="0"/>
              <w:rPr>
                <w:sz w:val="15"/>
                <w:szCs w:val="15"/>
                <w:color w:val="auto"/>
              </w:rPr>
            </w:pP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6"/>
                <w:szCs w:val="16"/>
                <w:color w:val="auto"/>
              </w:rPr>
              <w:t>United Auto Credit 2023-1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88,738</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75,218</w:t>
            </w:r>
          </w:p>
        </w:tc>
        <w:tc>
          <w:tcPr>
            <w:tcW w:w="3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106,920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92,041</w:t>
            </w:r>
          </w:p>
        </w:tc>
        <w:tc>
          <w:tcPr>
            <w:tcW w:w="80" w:type="dxa"/>
            <w:vAlign w:val="bottom"/>
          </w:tcPr>
          <w:p>
            <w:pPr>
              <w:spacing w:after="0"/>
              <w:rPr>
                <w:sz w:val="15"/>
                <w:szCs w:val="15"/>
                <w:color w:val="auto"/>
              </w:rPr>
            </w:pPr>
          </w:p>
        </w:tc>
      </w:tr>
      <w:tr>
        <w:trPr>
          <w:trHeight w:val="180"/>
        </w:trPr>
        <w:tc>
          <w:tcPr>
            <w:tcW w:w="34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Auto Credit 2024-1</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238,920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214,339</w:t>
            </w:r>
          </w:p>
        </w:tc>
        <w:tc>
          <w:tcPr>
            <w:tcW w:w="30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275,567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244,094</w:t>
            </w:r>
          </w:p>
        </w:tc>
        <w:tc>
          <w:tcPr>
            <w:tcW w:w="80" w:type="dxa"/>
            <w:vAlign w:val="bottom"/>
            <w:shd w:val="clear" w:color="auto" w:fill="CFF0FC"/>
          </w:tcPr>
          <w:p>
            <w:pPr>
              <w:spacing w:after="0"/>
              <w:rPr>
                <w:sz w:val="15"/>
                <w:szCs w:val="15"/>
                <w:color w:val="auto"/>
              </w:rPr>
            </w:pP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6"/>
                <w:szCs w:val="16"/>
                <w:color w:val="auto"/>
              </w:rPr>
              <w:t>United Auto Credit 2025-1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371,065</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341,402</w:t>
            </w:r>
          </w:p>
        </w:tc>
        <w:tc>
          <w:tcPr>
            <w:tcW w:w="3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r>
      <w:tr>
        <w:trPr>
          <w:trHeight w:val="200"/>
        </w:trPr>
        <w:tc>
          <w:tcPr>
            <w:tcW w:w="34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finance receivables of CFEs</w:t>
            </w:r>
          </w:p>
        </w:tc>
        <w:tc>
          <w:tcPr>
            <w:tcW w:w="1300" w:type="dxa"/>
            <w:vAlign w:val="bottom"/>
            <w:gridSpan w:val="2"/>
            <w:shd w:val="clear" w:color="auto" w:fill="CFF0FC"/>
          </w:tcPr>
          <w:p>
            <w:pPr>
              <w:ind w:left="106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752,014</w:t>
            </w:r>
          </w:p>
        </w:tc>
        <w:tc>
          <w:tcPr>
            <w:tcW w:w="800" w:type="dxa"/>
            <w:vAlign w:val="bottom"/>
            <w:gridSpan w:val="2"/>
            <w:shd w:val="clear" w:color="auto" w:fill="CFF0FC"/>
          </w:tcPr>
          <w:p>
            <w:pPr>
              <w:jc w:val="right"/>
              <w:ind w:right="354"/>
              <w:spacing w:after="0" w:line="180"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677,600</w:t>
            </w:r>
          </w:p>
        </w:tc>
        <w:tc>
          <w:tcPr>
            <w:tcW w:w="300" w:type="dxa"/>
            <w:vAlign w:val="bottom"/>
            <w:tcBorders>
              <w:right w:val="single" w:sz="8" w:color="auto"/>
            </w:tcBorders>
            <w:shd w:val="clear" w:color="auto" w:fill="CFF0FC"/>
          </w:tcPr>
          <w:p>
            <w:pPr>
              <w:spacing w:after="0"/>
              <w:rPr>
                <w:sz w:val="17"/>
                <w:szCs w:val="17"/>
                <w:color w:val="auto"/>
              </w:rPr>
            </w:pPr>
          </w:p>
        </w:tc>
        <w:tc>
          <w:tcPr>
            <w:tcW w:w="400" w:type="dxa"/>
            <w:vAlign w:val="bottom"/>
            <w:gridSpan w:val="2"/>
            <w:shd w:val="clear" w:color="auto" w:fill="CFF0FC"/>
          </w:tcPr>
          <w:p>
            <w:pPr>
              <w:ind w:left="18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447,583</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34"/>
              <w:spacing w:after="0" w:line="180"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393,265</w:t>
            </w:r>
          </w:p>
        </w:tc>
        <w:tc>
          <w:tcPr>
            <w:tcW w:w="80" w:type="dxa"/>
            <w:vAlign w:val="bottom"/>
            <w:shd w:val="clear" w:color="auto" w:fill="CFF0FC"/>
          </w:tcPr>
          <w:p>
            <w:pPr>
              <w:spacing w:after="0"/>
              <w:rPr>
                <w:sz w:val="17"/>
                <w:szCs w:val="17"/>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of Beneficial Interests in Securitizations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6" w:name="page37"/>
    <w:bookmarkEnd w:id="3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right="20" w:firstLine="696"/>
        <w:spacing w:after="0" w:line="274" w:lineRule="auto"/>
        <w:rPr>
          <w:sz w:val="20"/>
          <w:szCs w:val="20"/>
          <w:color w:val="auto"/>
        </w:rPr>
      </w:pPr>
      <w:r>
        <w:rPr>
          <w:rFonts w:ascii="Arial" w:cs="Arial" w:eastAsia="Arial" w:hAnsi="Arial"/>
          <w:sz w:val="14"/>
          <w:szCs w:val="14"/>
          <w:color w:val="auto"/>
        </w:rPr>
        <w:t>On May 3, 2023, UACC entered into a Risk Retention Financing Facility enabling it to finance asset -backed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$ 24.5 million of its retained beneficial interests as collateral, and received proceeds of $24.1 million, with expected repurchase dates ranging from March 2025 to September 2029. Following the completion of the 2024-1 securitization transaction, the Company pledged an additional $15.8 million of its retained beneficial interests as collateral under the Risk Retention Financing Facility, and received proceeds of $15.6 million, with expected repurchase dates ranging from August 2026 to November 2030 at the initial closing date. Following the completion of the 2025-1 securitization transaction, the Company pledged an additional $16.2 million of its retained beneficial interests as collateral under the Risk Retention Financing Facility, and received proceeds of $16.1 million, with expected repurchase dates ranging from June 2027 to October 2031 at the initial closing date. The securitization trusts will 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w:t>
      </w:r>
    </w:p>
    <w:p>
      <w:pPr>
        <w:spacing w:after="0" w:line="315" w:lineRule="exact"/>
        <w:rPr>
          <w:sz w:val="20"/>
          <w:szCs w:val="20"/>
          <w:color w:val="auto"/>
        </w:rPr>
      </w:pPr>
    </w:p>
    <w:p>
      <w:pPr>
        <w:ind w:right="140" w:firstLine="696"/>
        <w:spacing w:after="0" w:line="248" w:lineRule="auto"/>
        <w:rPr>
          <w:sz w:val="20"/>
          <w:szCs w:val="20"/>
          <w:color w:val="auto"/>
        </w:rPr>
      </w:pPr>
      <w:r>
        <w:rPr>
          <w:rFonts w:ascii="Arial" w:cs="Arial" w:eastAsia="Arial" w:hAnsi="Arial"/>
          <w:sz w:val="16"/>
          <w:szCs w:val="16"/>
          <w:color w:val="auto"/>
        </w:rPr>
        <w:t>The outstanding balance of this facility, net of unamortized debt issuance costs, was $31.2 million and $17.7 million as of March 31, 2025 and December 31, 2024, respectively, and is included in "Long- term debt" on the condensed consolidated balance sheet. As of March 31, 2025 and December 31, 2024, the fair value of the collateral pledged under this facility was $31.7 million and $18.3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Junior Subordinated Debentures</w:t>
      </w:r>
    </w:p>
    <w:p>
      <w:pPr>
        <w:spacing w:after="0" w:line="176" w:lineRule="exact"/>
        <w:rPr>
          <w:sz w:val="20"/>
          <w:szCs w:val="20"/>
          <w:color w:val="auto"/>
        </w:rPr>
      </w:pPr>
    </w:p>
    <w:p>
      <w:pPr>
        <w:ind w:right="80" w:firstLine="708"/>
        <w:spacing w:after="0" w:line="244" w:lineRule="auto"/>
        <w:rPr>
          <w:sz w:val="20"/>
          <w:szCs w:val="20"/>
          <w:color w:val="auto"/>
        </w:rPr>
      </w:pPr>
      <w:r>
        <w:rPr>
          <w:rFonts w:ascii="Arial" w:cs="Arial" w:eastAsia="Arial" w:hAnsi="Arial"/>
          <w:sz w:val="16"/>
          <w:szCs w:val="16"/>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176" w:lineRule="exact"/>
        <w:rPr>
          <w:sz w:val="20"/>
          <w:szCs w:val="20"/>
          <w:color w:val="auto"/>
        </w:rPr>
      </w:pPr>
    </w:p>
    <w:p>
      <w:pPr>
        <w:ind w:right="20" w:firstLine="708"/>
        <w:spacing w:after="0" w:line="244" w:lineRule="auto"/>
        <w:rPr>
          <w:sz w:val="20"/>
          <w:szCs w:val="20"/>
          <w:color w:val="auto"/>
        </w:rPr>
      </w:pPr>
      <w:r>
        <w:rPr>
          <w:rFonts w:ascii="Arial" w:cs="Arial" w:eastAsia="Arial" w:hAnsi="Arial"/>
          <w:sz w:val="16"/>
          <w:szCs w:val="16"/>
          <w:color w:val="auto"/>
        </w:rPr>
        <w:t xml:space="preserve">From time to time, the Company is involved in various claims and legal actions that arise in the ordinary course of business and an unfavorable resolution of any of these matters could materially affect the Company’s future results of operations, cash flows or financial position. On November 13, 2024, the Company commenced the Prepackaged Chapter 11 Case under Chapter 11 of the Bankruptcy Code in the Bankruptcy Court, under the name </w:t>
      </w:r>
      <w:r>
        <w:rPr>
          <w:rFonts w:ascii="Arial" w:cs="Arial" w:eastAsia="Arial" w:hAnsi="Arial"/>
          <w:sz w:val="16"/>
          <w:szCs w:val="16"/>
          <w:i w:val="1"/>
          <w:iCs w:val="1"/>
          <w:color w:val="auto"/>
        </w:rPr>
        <w:t>In re Vroom, Inc</w:t>
      </w:r>
      <w:r>
        <w:rPr>
          <w:rFonts w:ascii="Arial" w:cs="Arial" w:eastAsia="Arial" w:hAnsi="Arial"/>
          <w:sz w:val="16"/>
          <w:szCs w:val="16"/>
          <w:color w:val="auto"/>
        </w:rPr>
        <w:t>., Case No. 24-90571 (CML).</w:t>
      </w:r>
    </w:p>
    <w:p>
      <w:pPr>
        <w:spacing w:after="0" w:line="152" w:lineRule="exact"/>
        <w:rPr>
          <w:sz w:val="20"/>
          <w:szCs w:val="20"/>
          <w:color w:val="auto"/>
        </w:rPr>
      </w:pPr>
    </w:p>
    <w:p>
      <w:pPr>
        <w:ind w:right="80" w:firstLine="792"/>
        <w:spacing w:after="0" w:line="244" w:lineRule="auto"/>
        <w:rPr>
          <w:sz w:val="20"/>
          <w:szCs w:val="20"/>
          <w:color w:val="auto"/>
        </w:rPr>
      </w:pPr>
      <w:r>
        <w:rPr>
          <w:rFonts w:ascii="Arial" w:cs="Arial" w:eastAsia="Arial" w:hAnsi="Arial"/>
          <w:sz w:val="16"/>
          <w:szCs w:val="16"/>
          <w:color w:val="auto"/>
        </w:rPr>
        <w:t>On January 8, 2025, the Bankruptcy Court entered an order (a) approving the Debtor’s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the Company emerged from the Prepackaged Chapter 11 Case.</w:t>
      </w:r>
    </w:p>
    <w:p>
      <w:pPr>
        <w:spacing w:after="0" w:line="152" w:lineRule="exact"/>
        <w:rPr>
          <w:sz w:val="20"/>
          <w:szCs w:val="20"/>
          <w:color w:val="auto"/>
        </w:rPr>
      </w:pPr>
    </w:p>
    <w:p>
      <w:pPr>
        <w:ind w:firstLine="708"/>
        <w:spacing w:after="0" w:line="239" w:lineRule="auto"/>
        <w:rPr>
          <w:sz w:val="20"/>
          <w:szCs w:val="20"/>
          <w:color w:val="auto"/>
        </w:rPr>
      </w:pPr>
      <w:r>
        <w:rPr>
          <w:rFonts w:ascii="Arial" w:cs="Arial" w:eastAsia="Arial" w:hAnsi="Arial"/>
          <w:sz w:val="16"/>
          <w:szCs w:val="16"/>
          <w:color w:val="auto"/>
        </w:rPr>
        <w:t>Additionally, 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7" w:name="page38"/>
    <w:bookmarkEnd w:id="3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right="60" w:firstLine="708"/>
        <w:spacing w:after="0" w:line="237" w:lineRule="auto"/>
        <w:rPr>
          <w:sz w:val="20"/>
          <w:szCs w:val="20"/>
          <w:color w:val="auto"/>
        </w:rPr>
      </w:pPr>
      <w:r>
        <w:rPr>
          <w:rFonts w:ascii="Arial" w:cs="Arial" w:eastAsia="Arial" w:hAnsi="Arial"/>
          <w:sz w:val="16"/>
          <w:szCs w:val="16"/>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10b- 5 against the Company and certain of the Company’s officers, and added new claims under Sections 11, 12 and 15 of the Securities Act against the Company, certain of its officers, certain of its directors, and the underwriters of the Company’s September 2020 secondary offering. On March 19, 2025, the Court entered an order granting Vroom’s motion to dismiss all claims.</w:t>
      </w:r>
    </w:p>
    <w:p>
      <w:pPr>
        <w:spacing w:after="0" w:line="160" w:lineRule="exact"/>
        <w:rPr>
          <w:sz w:val="20"/>
          <w:szCs w:val="20"/>
          <w:color w:val="auto"/>
        </w:rPr>
      </w:pPr>
    </w:p>
    <w:p>
      <w:pPr>
        <w:ind w:right="40" w:firstLine="708"/>
        <w:spacing w:after="0" w:line="239" w:lineRule="auto"/>
        <w:rPr>
          <w:sz w:val="20"/>
          <w:szCs w:val="20"/>
          <w:color w:val="auto"/>
        </w:rPr>
      </w:pPr>
      <w:r>
        <w:rPr>
          <w:rFonts w:ascii="Arial" w:cs="Arial" w:eastAsia="Arial" w:hAnsi="Arial"/>
          <w:sz w:val="16"/>
          <w:szCs w:val="16"/>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 cv-6933, and the court has approved the parties’ stipulation that the cases would remain stayed pending final resolution of In re: Vroom, Inc. Securities Litigation. The stockholders who filed these lawsuits have voluntarily dismissed their claims and these cases have been closed.</w:t>
      </w:r>
    </w:p>
    <w:p>
      <w:pPr>
        <w:spacing w:after="0" w:line="158" w:lineRule="exact"/>
        <w:rPr>
          <w:sz w:val="20"/>
          <w:szCs w:val="20"/>
          <w:color w:val="auto"/>
        </w:rPr>
      </w:pPr>
    </w:p>
    <w:p>
      <w:pPr>
        <w:ind w:firstLine="696"/>
        <w:spacing w:after="0" w:line="239" w:lineRule="auto"/>
        <w:rPr>
          <w:sz w:val="20"/>
          <w:szCs w:val="20"/>
          <w:color w:val="auto"/>
        </w:rPr>
      </w:pPr>
      <w:r>
        <w:rPr>
          <w:rFonts w:ascii="Arial" w:cs="Arial" w:eastAsia="Arial" w:hAnsi="Arial"/>
          <w:sz w:val="16"/>
          <w:szCs w:val="16"/>
          <w:color w:val="auto"/>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 -569, the case filed in April 2024 is captioned Hudda v. Hennessy et al. Case No. 24-cv-4499., and the court in each has approved the parties’ stipulations that each case would remain stayed pending final resolution of In re: Vroom, Inc. Securities Litigation. The stockholders who filed these lawsuits have voluntarily dismissed their claims and these cases have been closed.</w:t>
      </w:r>
    </w:p>
    <w:p>
      <w:pPr>
        <w:spacing w:after="0" w:line="158" w:lineRule="exact"/>
        <w:rPr>
          <w:sz w:val="20"/>
          <w:szCs w:val="20"/>
          <w:color w:val="auto"/>
        </w:rPr>
      </w:pPr>
    </w:p>
    <w:p>
      <w:pPr>
        <w:ind w:right="40" w:firstLine="696"/>
        <w:spacing w:after="0" w:line="237" w:lineRule="auto"/>
        <w:rPr>
          <w:sz w:val="20"/>
          <w:szCs w:val="20"/>
          <w:color w:val="auto"/>
        </w:rPr>
      </w:pPr>
      <w:r>
        <w:rPr>
          <w:rFonts w:ascii="Arial" w:cs="Arial" w:eastAsia="Arial" w:hAnsi="Arial"/>
          <w:sz w:val="16"/>
          <w:szCs w:val="16"/>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w:t>
      </w:r>
    </w:p>
    <w:p>
      <w:pPr>
        <w:spacing w:after="0" w:line="162" w:lineRule="exact"/>
        <w:rPr>
          <w:sz w:val="20"/>
          <w:szCs w:val="20"/>
          <w:color w:val="auto"/>
        </w:rPr>
      </w:pPr>
    </w:p>
    <w:p>
      <w:pPr>
        <w:ind w:right="100" w:firstLine="696"/>
        <w:spacing w:after="0" w:line="244" w:lineRule="auto"/>
        <w:rPr>
          <w:sz w:val="20"/>
          <w:szCs w:val="20"/>
          <w:color w:val="auto"/>
        </w:rPr>
      </w:pPr>
      <w:r>
        <w:rPr>
          <w:rFonts w:ascii="Arial" w:cs="Arial" w:eastAsia="Arial" w:hAnsi="Arial"/>
          <w:sz w:val="16"/>
          <w:szCs w:val="16"/>
          <w:color w:val="auto"/>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8" w:name="page39"/>
    <w:bookmarkEnd w:id="3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additional limitations on the Company's business activities and further reputational damage, although to date such expenses have not had a material adverse effect on the Company’s financial condition, cash flows, or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176"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Preferred Stock and 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176" w:lineRule="exact"/>
        <w:rPr>
          <w:sz w:val="20"/>
          <w:szCs w:val="20"/>
          <w:color w:val="auto"/>
        </w:rPr>
      </w:pPr>
    </w:p>
    <w:p>
      <w:pPr>
        <w:ind w:right="280" w:firstLine="588"/>
        <w:spacing w:after="0" w:line="262" w:lineRule="auto"/>
        <w:rPr>
          <w:sz w:val="20"/>
          <w:szCs w:val="20"/>
          <w:color w:val="auto"/>
        </w:rPr>
      </w:pPr>
      <w:r>
        <w:rPr>
          <w:rFonts w:ascii="Arial" w:cs="Arial" w:eastAsia="Arial" w:hAnsi="Arial"/>
          <w:sz w:val="16"/>
          <w:szCs w:val="16"/>
          <w:color w:val="auto"/>
        </w:rPr>
        <w:t>On January 14, 2025, the Company amended its certificate of incorporation to authorize the issuance of up to 5,000,000 shares of Preferred Stock, $0.001 par value per share.</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March 31, 2025, and December 31, 2024, there was no preferred stock issued or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176" w:lineRule="exact"/>
        <w:rPr>
          <w:sz w:val="20"/>
          <w:szCs w:val="20"/>
          <w:color w:val="auto"/>
        </w:rPr>
      </w:pPr>
    </w:p>
    <w:p>
      <w:pPr>
        <w:ind w:right="40" w:firstLine="588"/>
        <w:spacing w:after="0" w:line="248" w:lineRule="auto"/>
        <w:rPr>
          <w:sz w:val="20"/>
          <w:szCs w:val="20"/>
          <w:color w:val="auto"/>
        </w:rPr>
      </w:pPr>
      <w:r>
        <w:rPr>
          <w:rFonts w:ascii="Arial" w:cs="Arial" w:eastAsia="Arial" w:hAnsi="Arial"/>
          <w:sz w:val="16"/>
          <w:szCs w:val="16"/>
          <w:color w:val="auto"/>
        </w:rPr>
        <w:t>Effective as of January 14, 2025, the Company amended its certificate of incorporation to authorize the issuance of up to 250,000,000 shares of Common Stock, $0.001 par value per share as well as effect an automatic conversion of the Common Stock at a ratio of 1-for-5, which is referred to as New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Stock-based Compensation</w:t>
      </w:r>
    </w:p>
    <w:p>
      <w:pPr>
        <w:spacing w:after="0" w:line="178" w:lineRule="exact"/>
        <w:rPr>
          <w:sz w:val="20"/>
          <w:szCs w:val="20"/>
          <w:color w:val="auto"/>
        </w:rPr>
      </w:pPr>
    </w:p>
    <w:p>
      <w:pPr>
        <w:ind w:right="80" w:firstLine="696"/>
        <w:spacing w:after="0" w:line="238" w:lineRule="auto"/>
        <w:rPr>
          <w:sz w:val="20"/>
          <w:szCs w:val="20"/>
          <w:color w:val="auto"/>
        </w:rPr>
      </w:pPr>
      <w:r>
        <w:rPr>
          <w:rFonts w:ascii="Arial" w:cs="Arial" w:eastAsia="Arial" w:hAnsi="Arial"/>
          <w:sz w:val="16"/>
          <w:szCs w:val="16"/>
          <w:color w:val="auto"/>
        </w:rPr>
        <w:t>On May 28, 2020, the Company adopted the 2020 Incentive Award Plan (“the 2020 Plan”), which authorized the issuance of (i) up to 37,739 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 in the form of restricted stock units, restricted stock, stock appreciation rights, and stock options. Effective as of June 13, 2024, the stockholders approved an amendment to the 2020 Plan to increase the number of authorized shares by 350,000 shares. As of December 31, 2024, the Company has registered an additional 264,299 shares of the Company's common stock to be issued pursuant to the 2020 Plan.</w:t>
      </w:r>
    </w:p>
    <w:p>
      <w:pPr>
        <w:spacing w:after="0" w:line="101" w:lineRule="exact"/>
        <w:rPr>
          <w:sz w:val="20"/>
          <w:szCs w:val="20"/>
          <w:color w:val="auto"/>
        </w:rPr>
      </w:pPr>
    </w:p>
    <w:p>
      <w:pPr>
        <w:ind w:right="40" w:firstLine="696"/>
        <w:spacing w:after="0" w:line="244" w:lineRule="auto"/>
        <w:rPr>
          <w:sz w:val="20"/>
          <w:szCs w:val="20"/>
          <w:color w:val="auto"/>
        </w:rPr>
      </w:pPr>
      <w:r>
        <w:rPr>
          <w:rFonts w:ascii="Arial" w:cs="Arial" w:eastAsia="Arial" w:hAnsi="Arial"/>
          <w:sz w:val="16"/>
          <w:szCs w:val="16"/>
          <w:color w:val="auto"/>
        </w:rPr>
        <w:t>Pursuant to the Plan, the 2020 Plan was further amended on January 14, 2025, to increase the number of shares reserved for issuance under the 2020 Plan to account for the proposed post -emergence management incentive program, which accounts for 15% of the fully-diluted shares of New Common Stock as of immediately following the Effective Date, inclusive of the Warrants, the management incentive program and the converted existing equity awards: 10% will be allocated for awards of restricted stock units and 5% will be allocated for awards of stock options.</w:t>
      </w:r>
    </w:p>
    <w:p>
      <w:pPr>
        <w:spacing w:after="0" w:line="92"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On May 20, 2022, the Company adopted the 2022 Inducement Award Plan (the “Inducement Award Plan”) .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37,500 shares of the Company’s common stock are reserved for issuance under the Inducement Award Plan. As of March 31, 2025, there were 6,489 shares available for future issuance under the Inducement Award Plan.</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39" w:name="page40"/>
    <w:bookmarkEnd w:id="3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right="20" w:firstLine="696"/>
        <w:spacing w:after="0" w:line="183" w:lineRule="exact"/>
        <w:rPr>
          <w:sz w:val="20"/>
          <w:szCs w:val="20"/>
          <w:color w:val="auto"/>
        </w:rPr>
      </w:pPr>
      <w:r>
        <w:rPr>
          <w:rFonts w:ascii="Arial" w:cs="Arial" w:eastAsia="Arial" w:hAnsi="Arial"/>
          <w:sz w:val="16"/>
          <w:szCs w:val="16"/>
          <w:color w:val="auto"/>
        </w:rPr>
        <w:t xml:space="preserve">On January 14, 2025, the Company amended and restated the 2020 Plan which authorized the issuance of: (i) 1,166,880, (ii) any Shares which as of the Effective Date are subject to awards under the Prior Plans which are forfeited or lapse unexercised and which following the Effective Date are not issued under the Prior Plans; and (iii) an annual increase on the first day of each calendar year beginning on January 1, 2022, and ending on and including January 1, 2030, equal to the lesser of (A) 4% of the Shares outstanding (on an as </w:t>
      </w:r>
      <w:r>
        <w:rPr>
          <w:rFonts w:ascii="MS PGothic" w:cs="MS PGothic" w:eastAsia="MS PGothic" w:hAnsi="MS PGothic"/>
          <w:sz w:val="16"/>
          <w:szCs w:val="16"/>
          <w:color w:val="auto"/>
        </w:rPr>
        <w:t>‑</w:t>
      </w:r>
      <w:r>
        <w:rPr>
          <w:rFonts w:ascii="Arial" w:cs="Arial" w:eastAsia="Arial" w:hAnsi="Arial"/>
          <w:sz w:val="16"/>
          <w:szCs w:val="16"/>
          <w:color w:val="auto"/>
        </w:rPr>
        <w:t>converted basis) on the last day of the immediately preceding fiscal year and (B) such smaller number of Shares as determined by the Board or the Committee; provided, however, no more than 475,000 Shares may be issued upon the exercise of Incentive Stock Options. Any Shares distributed pursuant to an award may consist, in whole or in part, of authorized and unissued Common Stock, treasury Common Stock or Common Stock purchased on the open market. As of March 31, 2025, there were 77,694 shares available for future issuance under the 2020 Plan.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16" w:lineRule="exact"/>
        <w:rPr>
          <w:sz w:val="20"/>
          <w:szCs w:val="20"/>
          <w:color w:val="auto"/>
        </w:rPr>
      </w:pPr>
    </w:p>
    <w:p>
      <w:pPr>
        <w:ind w:firstLine="696"/>
        <w:spacing w:after="0" w:line="244" w:lineRule="auto"/>
        <w:rPr>
          <w:sz w:val="20"/>
          <w:szCs w:val="20"/>
          <w:color w:val="auto"/>
        </w:rPr>
      </w:pPr>
      <w:r>
        <w:rPr>
          <w:rFonts w:ascii="Arial" w:cs="Arial" w:eastAsia="Arial" w:hAnsi="Arial"/>
          <w:sz w:val="16"/>
          <w:szCs w:val="16"/>
          <w:color w:val="auto"/>
        </w:rPr>
        <w:t>The stock-based compensation expense related to stock options for the period from January 1, 2025 to January 14, 2025 was not material, and the Company recognized $0.1 million of stock-based compensation expense for the period from January 15, 2025 to March 31, 2025. As of March 31, 2025, the Company had $3.4 million of unrecognized stock-based compensation expense related to stock options that is expected to be recognized over a weighted-average period of 3.7 years.</w:t>
      </w:r>
    </w:p>
    <w:p>
      <w:pPr>
        <w:spacing w:after="0" w:line="92" w:lineRule="exact"/>
        <w:rPr>
          <w:sz w:val="20"/>
          <w:szCs w:val="20"/>
          <w:color w:val="auto"/>
        </w:rPr>
      </w:pPr>
    </w:p>
    <w:p>
      <w:pPr>
        <w:ind w:right="60" w:firstLine="696"/>
        <w:spacing w:after="0" w:line="284" w:lineRule="auto"/>
        <w:rPr>
          <w:sz w:val="20"/>
          <w:szCs w:val="20"/>
          <w:color w:val="auto"/>
        </w:rPr>
      </w:pPr>
      <w:r>
        <w:rPr>
          <w:rFonts w:ascii="Arial" w:cs="Arial" w:eastAsia="Arial" w:hAnsi="Arial"/>
          <w:sz w:val="14"/>
          <w:szCs w:val="14"/>
          <w:color w:val="auto"/>
        </w:rPr>
        <w:t>On March 12, 2025, 259,400 stock options were granted to the CEO whereby 129,700 have a fair value of $11.25 per share and an exercise price of $45.70 per share, and the remaining 129,700 have a fair value of $9.62 per share and an exercise price of $60.95 per share. Additionally, on March 12, 2025, an aggregate of 65,000 stock options were granted to certain members of key management whereby 32,500 have a fair value of $11.25 per share and an exercise price of $45.70 per share, and the remaining 32,500 have a fair value of $9.62 per share an exercise price of $60.95 per share. The stock options vest ratably over a four-year period subject to continued employment through each applicable vesting date.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RSUs</w:t>
      </w:r>
    </w:p>
    <w:p>
      <w:pPr>
        <w:spacing w:after="0" w:line="116" w:lineRule="exact"/>
        <w:rPr>
          <w:sz w:val="20"/>
          <w:szCs w:val="20"/>
          <w:color w:val="auto"/>
        </w:rPr>
      </w:pPr>
    </w:p>
    <w:p>
      <w:pPr>
        <w:ind w:right="40" w:firstLine="696"/>
        <w:spacing w:after="0" w:line="241" w:lineRule="auto"/>
        <w:rPr>
          <w:sz w:val="20"/>
          <w:szCs w:val="20"/>
          <w:color w:val="auto"/>
        </w:rPr>
      </w:pPr>
      <w:r>
        <w:rPr>
          <w:rFonts w:ascii="Arial" w:cs="Arial" w:eastAsia="Arial" w:hAnsi="Arial"/>
          <w:sz w:val="16"/>
          <w:szCs w:val="16"/>
          <w:color w:val="auto"/>
        </w:rPr>
        <w:t>The Company recognized $0.1 million of stock -based compensation expense related to RSUs for the period from January 1, 2025 to January 14, 2025, and $.4 million for the period from January 15, 2025 to March 31, 2025, and $1.4 million for the three months ended March 31, 2024. As of March 31, 2025, the Company had $16.3 million of unrecognized stock-based compensation expense that is expected to be recognized over a weighted-average period of 3.6 years. As of December 31, 2024, the Company had $1.2 million of unrecognized stock-based compensation expense that is expected to be recognized over a weighted-average period of 0.7 years.</w:t>
      </w:r>
    </w:p>
    <w:p>
      <w:pPr>
        <w:spacing w:after="0" w:line="97" w:lineRule="exact"/>
        <w:rPr>
          <w:sz w:val="20"/>
          <w:szCs w:val="20"/>
          <w:color w:val="auto"/>
        </w:rPr>
      </w:pPr>
    </w:p>
    <w:p>
      <w:pPr>
        <w:ind w:right="120" w:firstLine="696"/>
        <w:spacing w:after="0" w:line="262" w:lineRule="auto"/>
        <w:rPr>
          <w:sz w:val="20"/>
          <w:szCs w:val="20"/>
          <w:color w:val="auto"/>
        </w:rPr>
      </w:pPr>
      <w:r>
        <w:rPr>
          <w:rFonts w:ascii="Arial" w:cs="Arial" w:eastAsia="Arial" w:hAnsi="Arial"/>
          <w:sz w:val="16"/>
          <w:szCs w:val="16"/>
          <w:color w:val="auto"/>
        </w:rPr>
        <w:t>Certain of the Company’s RSU grants are subject to acceleration upon a change of control and termination within 12 months, and upon death, disability and certain other “good leaver” circumstances.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Instruments and Fair Value Measurements</w:t>
      </w:r>
    </w:p>
    <w:p>
      <w:pPr>
        <w:spacing w:after="0" w:line="178" w:lineRule="exact"/>
        <w:rPr>
          <w:sz w:val="20"/>
          <w:szCs w:val="20"/>
          <w:color w:val="auto"/>
        </w:rPr>
      </w:pPr>
    </w:p>
    <w:p>
      <w:pPr>
        <w:ind w:right="160" w:firstLine="708"/>
        <w:spacing w:after="0" w:line="241" w:lineRule="auto"/>
        <w:rPr>
          <w:sz w:val="20"/>
          <w:szCs w:val="20"/>
          <w:color w:val="auto"/>
        </w:rPr>
      </w:pPr>
      <w:r>
        <w:rPr>
          <w:rFonts w:ascii="Arial" w:cs="Arial" w:eastAsia="Arial" w:hAnsi="Arial"/>
          <w:sz w:val="16"/>
          <w:szCs w:val="16"/>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Level 1—Quoted prices in active markets for identical assets or liabilities</w:t>
      </w:r>
    </w:p>
    <w:p>
      <w:pPr>
        <w:spacing w:after="0" w:line="92" w:lineRule="exact"/>
        <w:rPr>
          <w:sz w:val="20"/>
          <w:szCs w:val="20"/>
          <w:color w:val="auto"/>
        </w:rPr>
      </w:pPr>
    </w:p>
    <w:p>
      <w:pPr>
        <w:ind w:left="720"/>
        <w:spacing w:after="0" w:line="248"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0" w:name="page41"/>
    <w:bookmarkEnd w:id="4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Level 3—Unobservable inputs that are supported by little or no market activity and that are significant to the fair value of the assets or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Items Measured at Fair Value on a Recurring Basis</w:t>
      </w:r>
    </w:p>
    <w:p>
      <w:pPr>
        <w:spacing w:after="0" w:line="176" w:lineRule="exact"/>
        <w:rPr>
          <w:sz w:val="20"/>
          <w:szCs w:val="20"/>
          <w:color w:val="auto"/>
        </w:rPr>
      </w:pPr>
    </w:p>
    <w:p>
      <w:pPr>
        <w:ind w:right="40" w:firstLine="708"/>
        <w:spacing w:after="0" w:line="281" w:lineRule="auto"/>
        <w:rPr>
          <w:sz w:val="20"/>
          <w:szCs w:val="20"/>
          <w:color w:val="auto"/>
        </w:rPr>
      </w:pPr>
      <w:r>
        <w:rPr>
          <w:rFonts w:ascii="Arial" w:cs="Arial" w:eastAsia="Arial" w:hAnsi="Arial"/>
          <w:sz w:val="14"/>
          <w:szCs w:val="14"/>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2022 -1 securitization transaction and certain other finance receivables. Upon emergence from the Prepackaged Chapter 11 Case, and application of fresh start accounting, the Company made an accounting policy election to elect the fair value option for all finance receivables on a prospective basis.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tables present the Company’s financial assets and liabilities measured at fair value on a recurring basis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3"/>
          </w:tcPr>
          <w:p>
            <w:pPr>
              <w:jc w:val="center"/>
              <w:ind w:left="466"/>
              <w:spacing w:after="0"/>
              <w:rPr>
                <w:sz w:val="20"/>
                <w:szCs w:val="20"/>
                <w:color w:val="auto"/>
              </w:rPr>
            </w:pPr>
            <w:r>
              <w:rPr>
                <w:rFonts w:ascii="Arial" w:cs="Arial" w:eastAsia="Arial" w:hAnsi="Arial"/>
                <w:sz w:val="13"/>
                <w:szCs w:val="13"/>
                <w:b w:val="1"/>
                <w:bCs w:val="1"/>
                <w:color w:val="auto"/>
              </w:rPr>
              <w:t>Successor</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4"/>
          </w:tcPr>
          <w:p>
            <w:pPr>
              <w:jc w:val="center"/>
              <w:ind w:right="283"/>
              <w:spacing w:after="0"/>
              <w:rPr>
                <w:sz w:val="20"/>
                <w:szCs w:val="20"/>
                <w:color w:val="auto"/>
              </w:rPr>
            </w:pPr>
            <w:r>
              <w:rPr>
                <w:rFonts w:ascii="Arial" w:cs="Arial" w:eastAsia="Arial" w:hAnsi="Arial"/>
                <w:sz w:val="13"/>
                <w:szCs w:val="13"/>
                <w:b w:val="1"/>
                <w:bCs w:val="1"/>
                <w:color w:val="auto"/>
              </w:rPr>
              <w:t>As of March 31, 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43"/>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46"/>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43"/>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Financial Assets</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Cash and cash equivalents: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Money market funds</w:t>
            </w:r>
          </w:p>
        </w:tc>
        <w:tc>
          <w:tcPr>
            <w:tcW w:w="132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5,157</w:t>
            </w:r>
          </w:p>
        </w:tc>
        <w:tc>
          <w:tcPr>
            <w:tcW w:w="34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5,157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CFE assets: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Finance receivables at fair value</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677,600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677,600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Finance receivables at fair value</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6"/>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3"/>
              <w:spacing w:after="0" w:line="180" w:lineRule="exact"/>
              <w:rPr>
                <w:sz w:val="20"/>
                <w:szCs w:val="20"/>
                <w:color w:val="auto"/>
              </w:rPr>
            </w:pPr>
            <w:r>
              <w:rPr>
                <w:rFonts w:ascii="Arial" w:cs="Arial" w:eastAsia="Arial" w:hAnsi="Arial"/>
                <w:sz w:val="16"/>
                <w:szCs w:val="16"/>
                <w:color w:val="auto"/>
              </w:rPr>
              <w:t>180,600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Arial" w:cs="Arial" w:eastAsia="Arial" w:hAnsi="Arial"/>
                <w:sz w:val="16"/>
                <w:szCs w:val="16"/>
                <w:color w:val="auto"/>
              </w:rPr>
              <w:t>180,600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Other assets (beneficial interests in securitizations)</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1,807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Total financial assets</w:t>
            </w:r>
          </w:p>
        </w:tc>
        <w:tc>
          <w:tcPr>
            <w:tcW w:w="13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line="180" w:lineRule="exact"/>
              <w:rPr>
                <w:sz w:val="20"/>
                <w:szCs w:val="20"/>
                <w:color w:val="auto"/>
              </w:rPr>
            </w:pPr>
            <w:r>
              <w:rPr>
                <w:rFonts w:ascii="Arial" w:cs="Arial" w:eastAsia="Arial" w:hAnsi="Arial"/>
                <w:sz w:val="16"/>
                <w:szCs w:val="16"/>
                <w:color w:val="auto"/>
              </w:rPr>
              <w:t>5,157</w:t>
            </w:r>
          </w:p>
        </w:tc>
        <w:tc>
          <w:tcPr>
            <w:tcW w:w="3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6"/>
              <w:spacing w:after="0" w:line="180" w:lineRule="exact"/>
              <w:rPr>
                <w:sz w:val="20"/>
                <w:szCs w:val="20"/>
                <w:color w:val="auto"/>
              </w:rPr>
            </w:pPr>
            <w:r>
              <w:rPr>
                <w:rFonts w:ascii="Arial" w:cs="Arial" w:eastAsia="Arial" w:hAnsi="Arial"/>
                <w:sz w:val="16"/>
                <w:szCs w:val="16"/>
                <w:color w:val="auto"/>
              </w:rPr>
              <w:t>1,807</w:t>
            </w:r>
          </w:p>
        </w:tc>
        <w:tc>
          <w:tcPr>
            <w:tcW w:w="4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line="180" w:lineRule="exact"/>
              <w:rPr>
                <w:sz w:val="20"/>
                <w:szCs w:val="20"/>
                <w:color w:val="auto"/>
              </w:rPr>
            </w:pPr>
            <w:r>
              <w:rPr>
                <w:rFonts w:ascii="Arial" w:cs="Arial" w:eastAsia="Arial" w:hAnsi="Arial"/>
                <w:sz w:val="16"/>
                <w:szCs w:val="16"/>
                <w:color w:val="auto"/>
              </w:rPr>
              <w:t>858,200</w:t>
            </w:r>
          </w:p>
        </w:tc>
        <w:tc>
          <w:tcPr>
            <w:tcW w:w="34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
              <w:spacing w:after="0" w:line="180" w:lineRule="exact"/>
              <w:rPr>
                <w:sz w:val="20"/>
                <w:szCs w:val="20"/>
                <w:color w:val="auto"/>
              </w:rPr>
            </w:pPr>
            <w:r>
              <w:rPr>
                <w:rFonts w:ascii="Arial" w:cs="Arial" w:eastAsia="Arial" w:hAnsi="Arial"/>
                <w:sz w:val="16"/>
                <w:szCs w:val="16"/>
                <w:color w:val="auto"/>
              </w:rPr>
              <w:t>865,164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340" w:type="dxa"/>
            <w:vAlign w:val="bottom"/>
            <w:shd w:val="clear" w:color="auto" w:fill="CFF0FC"/>
          </w:tcPr>
          <w:p>
            <w:pPr>
              <w:spacing w:after="0" w:line="156" w:lineRule="exact"/>
              <w:rPr>
                <w:sz w:val="20"/>
                <w:szCs w:val="20"/>
                <w:color w:val="auto"/>
              </w:rPr>
            </w:pPr>
            <w:r>
              <w:rPr>
                <w:rFonts w:ascii="Arial" w:cs="Arial" w:eastAsia="Arial" w:hAnsi="Arial"/>
                <w:sz w:val="16"/>
                <w:szCs w:val="16"/>
                <w:b w:val="1"/>
                <w:bCs w:val="1"/>
                <w:color w:val="auto"/>
              </w:rPr>
              <w:t>Financial Liabilities</w:t>
            </w: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CFE liabilities: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Securitization debt of consolidated VIEs</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598,727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15,207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613,934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Total financial liabilities</w:t>
            </w:r>
          </w:p>
        </w:tc>
        <w:tc>
          <w:tcPr>
            <w:tcW w:w="13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6"/>
              <w:spacing w:after="0" w:line="180" w:lineRule="exact"/>
              <w:rPr>
                <w:sz w:val="20"/>
                <w:szCs w:val="20"/>
                <w:color w:val="auto"/>
              </w:rPr>
            </w:pPr>
            <w:r>
              <w:rPr>
                <w:rFonts w:ascii="Arial" w:cs="Arial" w:eastAsia="Arial" w:hAnsi="Arial"/>
                <w:sz w:val="16"/>
                <w:szCs w:val="16"/>
                <w:color w:val="auto"/>
              </w:rPr>
              <w:t>598,727</w:t>
            </w:r>
          </w:p>
        </w:tc>
        <w:tc>
          <w:tcPr>
            <w:tcW w:w="4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line="180" w:lineRule="exact"/>
              <w:rPr>
                <w:sz w:val="20"/>
                <w:szCs w:val="20"/>
                <w:color w:val="auto"/>
              </w:rPr>
            </w:pPr>
            <w:r>
              <w:rPr>
                <w:rFonts w:ascii="Arial" w:cs="Arial" w:eastAsia="Arial" w:hAnsi="Arial"/>
                <w:sz w:val="16"/>
                <w:szCs w:val="16"/>
                <w:color w:val="auto"/>
              </w:rPr>
              <w:t>15,207</w:t>
            </w:r>
          </w:p>
        </w:tc>
        <w:tc>
          <w:tcPr>
            <w:tcW w:w="34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
              <w:spacing w:after="0" w:line="180" w:lineRule="exact"/>
              <w:rPr>
                <w:sz w:val="20"/>
                <w:szCs w:val="20"/>
                <w:color w:val="auto"/>
              </w:rPr>
            </w:pPr>
            <w:r>
              <w:rPr>
                <w:rFonts w:ascii="Arial" w:cs="Arial" w:eastAsia="Arial" w:hAnsi="Arial"/>
                <w:sz w:val="16"/>
                <w:szCs w:val="16"/>
                <w:color w:val="auto"/>
              </w:rPr>
              <w:t>613,934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left="486"/>
              <w:spacing w:after="0"/>
              <w:rPr>
                <w:sz w:val="20"/>
                <w:szCs w:val="20"/>
                <w:color w:val="auto"/>
              </w:rPr>
            </w:pPr>
            <w:r>
              <w:rPr>
                <w:rFonts w:ascii="Arial" w:cs="Arial" w:eastAsia="Arial" w:hAnsi="Arial"/>
                <w:sz w:val="13"/>
                <w:szCs w:val="13"/>
                <w:b w:val="1"/>
                <w:bCs w:val="1"/>
                <w:color w:val="auto"/>
              </w:rPr>
              <w:t>Predecessor</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4"/>
          </w:tcPr>
          <w:p>
            <w:pPr>
              <w:jc w:val="center"/>
              <w:ind w:right="263"/>
              <w:spacing w:after="0"/>
              <w:rPr>
                <w:sz w:val="20"/>
                <w:szCs w:val="20"/>
                <w:color w:val="auto"/>
              </w:rPr>
            </w:pPr>
            <w:r>
              <w:rPr>
                <w:rFonts w:ascii="Arial" w:cs="Arial" w:eastAsia="Arial" w:hAnsi="Arial"/>
                <w:sz w:val="13"/>
                <w:szCs w:val="13"/>
                <w:b w:val="1"/>
                <w:bCs w:val="1"/>
                <w:color w:val="auto"/>
              </w:rPr>
              <w:t>As of December 31, 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43"/>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46"/>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43"/>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Financial Assets</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Cash and cash equivalents: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Money market funds</w:t>
            </w:r>
          </w:p>
        </w:tc>
        <w:tc>
          <w:tcPr>
            <w:tcW w:w="132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17,626</w:t>
            </w:r>
          </w:p>
        </w:tc>
        <w:tc>
          <w:tcPr>
            <w:tcW w:w="34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17,626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CFE assets: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Finance receivables at fair value</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214,420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214,420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Finance receivables at fair value</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6"/>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3"/>
              <w:spacing w:after="0" w:line="180" w:lineRule="exact"/>
              <w:rPr>
                <w:sz w:val="20"/>
                <w:szCs w:val="20"/>
                <w:color w:val="auto"/>
              </w:rPr>
            </w:pPr>
            <w:r>
              <w:rPr>
                <w:rFonts w:ascii="Arial" w:cs="Arial" w:eastAsia="Arial" w:hAnsi="Arial"/>
                <w:sz w:val="16"/>
                <w:szCs w:val="16"/>
                <w:color w:val="auto"/>
              </w:rPr>
              <w:t>289,428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Arial" w:cs="Arial" w:eastAsia="Arial" w:hAnsi="Arial"/>
                <w:sz w:val="16"/>
                <w:szCs w:val="16"/>
                <w:color w:val="auto"/>
              </w:rPr>
              <w:t>289,428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Other assets (beneficial interests in securitizations)</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2,184</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Total financial assets</w:t>
            </w:r>
          </w:p>
        </w:tc>
        <w:tc>
          <w:tcPr>
            <w:tcW w:w="13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line="180" w:lineRule="exact"/>
              <w:rPr>
                <w:sz w:val="20"/>
                <w:szCs w:val="20"/>
                <w:color w:val="auto"/>
              </w:rPr>
            </w:pPr>
            <w:r>
              <w:rPr>
                <w:rFonts w:ascii="Arial" w:cs="Arial" w:eastAsia="Arial" w:hAnsi="Arial"/>
                <w:sz w:val="16"/>
                <w:szCs w:val="16"/>
                <w:color w:val="auto"/>
              </w:rPr>
              <w:t>17,626</w:t>
            </w:r>
          </w:p>
        </w:tc>
        <w:tc>
          <w:tcPr>
            <w:tcW w:w="3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6"/>
              <w:spacing w:after="0" w:line="180" w:lineRule="exact"/>
              <w:rPr>
                <w:sz w:val="20"/>
                <w:szCs w:val="20"/>
                <w:color w:val="auto"/>
              </w:rPr>
            </w:pPr>
            <w:r>
              <w:rPr>
                <w:rFonts w:ascii="Arial" w:cs="Arial" w:eastAsia="Arial" w:hAnsi="Arial"/>
                <w:sz w:val="16"/>
                <w:szCs w:val="16"/>
                <w:color w:val="auto"/>
              </w:rPr>
              <w:t>2,184</w:t>
            </w:r>
          </w:p>
        </w:tc>
        <w:tc>
          <w:tcPr>
            <w:tcW w:w="4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line="180" w:lineRule="exact"/>
              <w:rPr>
                <w:sz w:val="20"/>
                <w:szCs w:val="20"/>
                <w:color w:val="auto"/>
              </w:rPr>
            </w:pPr>
            <w:r>
              <w:rPr>
                <w:rFonts w:ascii="Arial" w:cs="Arial" w:eastAsia="Arial" w:hAnsi="Arial"/>
                <w:sz w:val="16"/>
                <w:szCs w:val="16"/>
                <w:color w:val="auto"/>
              </w:rPr>
              <w:t>503,848</w:t>
            </w:r>
          </w:p>
        </w:tc>
        <w:tc>
          <w:tcPr>
            <w:tcW w:w="34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
              <w:spacing w:after="0" w:line="180" w:lineRule="exact"/>
              <w:rPr>
                <w:sz w:val="20"/>
                <w:szCs w:val="20"/>
                <w:color w:val="auto"/>
              </w:rPr>
            </w:pPr>
            <w:r>
              <w:rPr>
                <w:rFonts w:ascii="Arial" w:cs="Arial" w:eastAsia="Arial" w:hAnsi="Arial"/>
                <w:sz w:val="16"/>
                <w:szCs w:val="16"/>
                <w:color w:val="auto"/>
              </w:rPr>
              <w:t>523,658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340" w:type="dxa"/>
            <w:vAlign w:val="bottom"/>
            <w:shd w:val="clear" w:color="auto" w:fill="CFF0FC"/>
          </w:tcPr>
          <w:p>
            <w:pPr>
              <w:spacing w:after="0" w:line="156" w:lineRule="exact"/>
              <w:rPr>
                <w:sz w:val="20"/>
                <w:szCs w:val="20"/>
                <w:color w:val="auto"/>
              </w:rPr>
            </w:pPr>
            <w:r>
              <w:rPr>
                <w:rFonts w:ascii="Arial" w:cs="Arial" w:eastAsia="Arial" w:hAnsi="Arial"/>
                <w:sz w:val="16"/>
                <w:szCs w:val="16"/>
                <w:b w:val="1"/>
                <w:bCs w:val="1"/>
                <w:color w:val="auto"/>
              </w:rPr>
              <w:t>Financial Liabilities</w:t>
            </w: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CFE liabilities: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Securitization debt of consolidated VIEs</w:t>
            </w: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color w:val="auto"/>
              </w:rPr>
              <w:t>125,707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16,922</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142,629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Arial" w:cs="Arial" w:eastAsia="Arial" w:hAnsi="Arial"/>
                <w:sz w:val="16"/>
                <w:szCs w:val="16"/>
                <w:color w:val="auto"/>
              </w:rPr>
              <w:t>Total financial liabilities</w:t>
            </w:r>
          </w:p>
        </w:tc>
        <w:tc>
          <w:tcPr>
            <w:tcW w:w="13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6"/>
              <w:spacing w:after="0" w:line="180" w:lineRule="exact"/>
              <w:rPr>
                <w:sz w:val="20"/>
                <w:szCs w:val="20"/>
                <w:color w:val="auto"/>
              </w:rPr>
            </w:pPr>
            <w:r>
              <w:rPr>
                <w:rFonts w:ascii="Arial" w:cs="Arial" w:eastAsia="Arial" w:hAnsi="Arial"/>
                <w:sz w:val="16"/>
                <w:szCs w:val="16"/>
                <w:color w:val="auto"/>
              </w:rPr>
              <w:t>125,707</w:t>
            </w:r>
          </w:p>
        </w:tc>
        <w:tc>
          <w:tcPr>
            <w:tcW w:w="4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line="180" w:lineRule="exact"/>
              <w:rPr>
                <w:sz w:val="20"/>
                <w:szCs w:val="20"/>
                <w:color w:val="auto"/>
              </w:rPr>
            </w:pPr>
            <w:r>
              <w:rPr>
                <w:rFonts w:ascii="Arial" w:cs="Arial" w:eastAsia="Arial" w:hAnsi="Arial"/>
                <w:sz w:val="16"/>
                <w:szCs w:val="16"/>
                <w:color w:val="auto"/>
              </w:rPr>
              <w:t>16,922</w:t>
            </w:r>
          </w:p>
        </w:tc>
        <w:tc>
          <w:tcPr>
            <w:tcW w:w="34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
              <w:spacing w:after="0" w:line="180" w:lineRule="exact"/>
              <w:rPr>
                <w:sz w:val="20"/>
                <w:szCs w:val="20"/>
                <w:color w:val="auto"/>
              </w:rPr>
            </w:pPr>
            <w:r>
              <w:rPr>
                <w:rFonts w:ascii="Arial" w:cs="Arial" w:eastAsia="Arial" w:hAnsi="Arial"/>
                <w:sz w:val="16"/>
                <w:szCs w:val="16"/>
                <w:color w:val="auto"/>
              </w:rPr>
              <w:t>142,629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41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1" w:name="page42"/>
    <w:bookmarkEnd w:id="4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Methodologies of Financial Instruments Measured at Fair Value on a Recurring Basis</w:t>
      </w:r>
    </w:p>
    <w:p>
      <w:pPr>
        <w:spacing w:after="0" w:line="176" w:lineRule="exact"/>
        <w:rPr>
          <w:sz w:val="20"/>
          <w:szCs w:val="20"/>
          <w:color w:val="auto"/>
        </w:rPr>
      </w:pPr>
    </w:p>
    <w:p>
      <w:pPr>
        <w:ind w:right="320" w:firstLine="696"/>
        <w:spacing w:after="0" w:line="248" w:lineRule="auto"/>
        <w:rPr>
          <w:sz w:val="20"/>
          <w:szCs w:val="20"/>
          <w:color w:val="auto"/>
        </w:rPr>
      </w:pPr>
      <w:r>
        <w:rPr>
          <w:rFonts w:ascii="Arial" w:cs="Arial" w:eastAsia="Arial" w:hAnsi="Arial"/>
          <w:sz w:val="16"/>
          <w:szCs w:val="16"/>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50" w:lineRule="exact"/>
        <w:rPr>
          <w:sz w:val="20"/>
          <w:szCs w:val="20"/>
          <w:color w:val="auto"/>
        </w:rPr>
      </w:pPr>
    </w:p>
    <w:p>
      <w:pPr>
        <w:ind w:right="40" w:firstLine="696"/>
        <w:spacing w:after="0" w:line="334" w:lineRule="auto"/>
        <w:rPr>
          <w:sz w:val="20"/>
          <w:szCs w:val="20"/>
          <w:color w:val="auto"/>
        </w:rPr>
      </w:pPr>
      <w:r>
        <w:rPr>
          <w:rFonts w:ascii="Arial" w:cs="Arial" w:eastAsia="Arial" w:hAnsi="Arial"/>
          <w:sz w:val="14"/>
          <w:szCs w:val="14"/>
          <w:i w:val="1"/>
          <w:iCs w:val="1"/>
          <w:color w:val="auto"/>
        </w:rPr>
        <w:t xml:space="preserve">Money Market Funds: </w:t>
      </w:r>
      <w:r>
        <w:rPr>
          <w:rFonts w:ascii="Arial" w:cs="Arial" w:eastAsia="Arial" w:hAnsi="Arial"/>
          <w:sz w:val="14"/>
          <w:szCs w:val="14"/>
          <w:color w:val="auto"/>
        </w:rPr>
        <w:t>Money market funds primarily consist of investments in highly liquid U.S. treasury securities, with original maturities of</w:t>
      </w:r>
      <w:r>
        <w:rPr>
          <w:rFonts w:ascii="Arial" w:cs="Arial" w:eastAsia="Arial" w:hAnsi="Arial"/>
          <w:sz w:val="14"/>
          <w:szCs w:val="14"/>
          <w:i w:val="1"/>
          <w:iCs w:val="1"/>
          <w:color w:val="auto"/>
        </w:rPr>
        <w:t xml:space="preserve"> </w:t>
      </w:r>
      <w:r>
        <w:rPr>
          <w:rFonts w:ascii="Arial" w:cs="Arial" w:eastAsia="Arial" w:hAnsi="Arial"/>
          <w:sz w:val="14"/>
          <w:szCs w:val="14"/>
          <w:color w:val="auto"/>
        </w:rPr>
        <w:t>three months or less and are classified as Level 1. The Company determines the fair value of cash equivalents based on quoted prices in active markets.</w:t>
      </w:r>
    </w:p>
    <w:p>
      <w:pPr>
        <w:spacing w:after="0" w:line="92" w:lineRule="exact"/>
        <w:rPr>
          <w:sz w:val="20"/>
          <w:szCs w:val="20"/>
          <w:color w:val="auto"/>
        </w:rPr>
      </w:pPr>
    </w:p>
    <w:p>
      <w:pPr>
        <w:ind w:right="160" w:firstLine="696"/>
        <w:spacing w:after="0" w:line="238" w:lineRule="auto"/>
        <w:rPr>
          <w:sz w:val="20"/>
          <w:szCs w:val="20"/>
          <w:color w:val="auto"/>
        </w:rPr>
      </w:pPr>
      <w:r>
        <w:rPr>
          <w:rFonts w:ascii="Arial" w:cs="Arial" w:eastAsia="Arial" w:hAnsi="Arial"/>
          <w:sz w:val="16"/>
          <w:szCs w:val="16"/>
          <w:i w:val="1"/>
          <w:iCs w:val="1"/>
          <w:color w:val="auto"/>
        </w:rPr>
        <w:t xml:space="preserve">Financial assets and liabilities of CFEs: </w:t>
      </w:r>
      <w:r>
        <w:rPr>
          <w:rFonts w:ascii="Arial" w:cs="Arial" w:eastAsia="Arial" w:hAnsi="Arial"/>
          <w:sz w:val="16"/>
          <w:szCs w:val="16"/>
          <w:color w:val="auto"/>
        </w:rPr>
        <w:t>In accordance with ASC 825, the Company has elected the fair value option, for the eligible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of the 2022- 2, 2023-1, and 2025-1 consolidated CFEs in order to mitigate potential accounting mismatches between the carrying value of the financial assets and liabilities. To eliminate 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Upon emergence from the Prepackaged Chapter 11 Case, and application of fresh start accounting, the Company made an accounting policy election to apply the measurement alternative to the 2024-1 consolidated CFE. Under the measurement alternative prescribed by ASC 810-30, the Company recognizes changes in the CFE’s net assets, including changes in fair value adjustments and net interest earned, in its condensed consolidated statements of operations.</w:t>
      </w:r>
    </w:p>
    <w:p>
      <w:pPr>
        <w:spacing w:after="0" w:line="161" w:lineRule="exact"/>
        <w:rPr>
          <w:sz w:val="20"/>
          <w:szCs w:val="20"/>
          <w:color w:val="auto"/>
        </w:rPr>
      </w:pPr>
    </w:p>
    <w:p>
      <w:pPr>
        <w:ind w:firstLine="696"/>
        <w:spacing w:after="0" w:line="284" w:lineRule="auto"/>
        <w:rPr>
          <w:sz w:val="20"/>
          <w:szCs w:val="20"/>
          <w:color w:val="auto"/>
        </w:rPr>
      </w:pPr>
      <w:r>
        <w:rPr>
          <w:rFonts w:ascii="Arial" w:cs="Arial" w:eastAsia="Arial" w:hAnsi="Arial"/>
          <w:sz w:val="14"/>
          <w:szCs w:val="14"/>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 -binding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28" w:lineRule="exact"/>
        <w:rPr>
          <w:sz w:val="20"/>
          <w:szCs w:val="20"/>
          <w:color w:val="auto"/>
        </w:rPr>
      </w:pPr>
    </w:p>
    <w:p>
      <w:pPr>
        <w:ind w:firstLine="696"/>
        <w:spacing w:after="0" w:line="239" w:lineRule="auto"/>
        <w:rPr>
          <w:sz w:val="20"/>
          <w:szCs w:val="20"/>
          <w:color w:val="auto"/>
        </w:rPr>
      </w:pPr>
      <w:r>
        <w:rPr>
          <w:rFonts w:ascii="Arial" w:cs="Arial" w:eastAsia="Arial" w:hAnsi="Arial"/>
          <w:sz w:val="16"/>
          <w:szCs w:val="16"/>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classifies the securitization debt as Level 3 of the fair value hierarchy.</w:t>
      </w:r>
    </w:p>
    <w:p>
      <w:pPr>
        <w:spacing w:after="0" w:line="158" w:lineRule="exact"/>
        <w:rPr>
          <w:sz w:val="20"/>
          <w:szCs w:val="20"/>
          <w:color w:val="auto"/>
        </w:rPr>
      </w:pPr>
    </w:p>
    <w:p>
      <w:pPr>
        <w:ind w:right="660" w:firstLine="696"/>
        <w:spacing w:after="0" w:line="309" w:lineRule="auto"/>
        <w:rPr>
          <w:sz w:val="20"/>
          <w:szCs w:val="20"/>
          <w:color w:val="auto"/>
        </w:rPr>
      </w:pPr>
      <w:r>
        <w:rPr>
          <w:rFonts w:ascii="Arial" w:cs="Arial" w:eastAsia="Arial" w:hAnsi="Arial"/>
          <w:sz w:val="16"/>
          <w:szCs w:val="16"/>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14" w:lineRule="exact"/>
        <w:rPr>
          <w:sz w:val="20"/>
          <w:szCs w:val="20"/>
          <w:color w:val="auto"/>
        </w:rPr>
      </w:pPr>
    </w:p>
    <w:p>
      <w:pPr>
        <w:ind w:right="20" w:firstLine="696"/>
        <w:spacing w:after="0" w:line="244" w:lineRule="auto"/>
        <w:rPr>
          <w:sz w:val="20"/>
          <w:szCs w:val="20"/>
          <w:color w:val="auto"/>
        </w:rPr>
      </w:pPr>
      <w:r>
        <w:rPr>
          <w:rFonts w:ascii="Arial" w:cs="Arial" w:eastAsia="Arial" w:hAnsi="Arial"/>
          <w:sz w:val="16"/>
          <w:szCs w:val="16"/>
          <w:i w:val="1"/>
          <w:iCs w:val="1"/>
          <w:color w:val="auto"/>
        </w:rPr>
        <w:t xml:space="preserve">Finance receivables at fair value: </w:t>
      </w:r>
      <w:r>
        <w:rPr>
          <w:rFonts w:ascii="Arial" w:cs="Arial" w:eastAsia="Arial" w:hAnsi="Arial"/>
          <w:sz w:val="16"/>
          <w:szCs w:val="16"/>
          <w:color w:val="auto"/>
        </w:rPr>
        <w:t>Finance receivables at fair value represent finance receivables for which the Company elected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spacing w:after="0" w:line="152" w:lineRule="exact"/>
        <w:rPr>
          <w:sz w:val="20"/>
          <w:szCs w:val="20"/>
          <w:color w:val="auto"/>
        </w:rPr>
      </w:pPr>
    </w:p>
    <w:p>
      <w:pPr>
        <w:ind w:right="300" w:firstLine="696"/>
        <w:spacing w:after="0" w:line="262" w:lineRule="auto"/>
        <w:rPr>
          <w:sz w:val="20"/>
          <w:szCs w:val="20"/>
          <w:color w:val="auto"/>
        </w:rPr>
      </w:pPr>
      <w:r>
        <w:rPr>
          <w:rFonts w:ascii="Arial" w:cs="Arial" w:eastAsia="Arial" w:hAnsi="Arial"/>
          <w:sz w:val="16"/>
          <w:szCs w:val="16"/>
          <w:i w:val="1"/>
          <w:iCs w:val="1"/>
          <w:color w:val="auto"/>
        </w:rPr>
        <w:t xml:space="preserve">Beneficial interests in securitization: </w:t>
      </w:r>
      <w:r>
        <w:rPr>
          <w:rFonts w:ascii="Arial" w:cs="Arial" w:eastAsia="Arial" w:hAnsi="Arial"/>
          <w:sz w:val="16"/>
          <w:szCs w:val="16"/>
          <w:color w:val="auto"/>
        </w:rPr>
        <w:t>Beneficial interests in securitization relate to the 2022-1 securitization completed in February 2022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rated notes as well as certificates. The Company elected the fair value option on its beneficial interests in securitization.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2" w:name="page43"/>
    <w:bookmarkEnd w:id="4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right="40" w:firstLine="696"/>
        <w:spacing w:after="0" w:line="237" w:lineRule="auto"/>
        <w:rPr>
          <w:sz w:val="20"/>
          <w:szCs w:val="20"/>
          <w:color w:val="auto"/>
        </w:rPr>
      </w:pPr>
      <w:r>
        <w:rPr>
          <w:rFonts w:ascii="Arial" w:cs="Arial" w:eastAsia="Arial" w:hAnsi="Arial"/>
          <w:sz w:val="16"/>
          <w:szCs w:val="16"/>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Level 3 Recurring Fair Value Measurements</w:t>
      </w:r>
    </w:p>
    <w:p>
      <w:pPr>
        <w:spacing w:after="0" w:line="176" w:lineRule="exact"/>
        <w:rPr>
          <w:sz w:val="20"/>
          <w:szCs w:val="20"/>
          <w:color w:val="auto"/>
        </w:rPr>
      </w:pPr>
    </w:p>
    <w:p>
      <w:pPr>
        <w:ind w:firstLine="696"/>
        <w:spacing w:after="0" w:line="262" w:lineRule="auto"/>
        <w:rPr>
          <w:sz w:val="20"/>
          <w:szCs w:val="20"/>
          <w:color w:val="auto"/>
        </w:rPr>
      </w:pPr>
      <w:r>
        <w:rPr>
          <w:rFonts w:ascii="Arial" w:cs="Arial" w:eastAsia="Arial" w:hAnsi="Arial"/>
          <w:sz w:val="16"/>
          <w:szCs w:val="16"/>
          <w:color w:val="auto"/>
        </w:rPr>
        <w:t>The following table presents a reconciliation of the financial assets, which were measured at fair value on a recurring basis using Level 3 inputs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Successor</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Finance Receivables of</w:t>
            </w:r>
          </w:p>
        </w:tc>
        <w:tc>
          <w:tcPr>
            <w:tcW w:w="100" w:type="dxa"/>
            <w:vAlign w:val="bottom"/>
          </w:tcPr>
          <w:p>
            <w:pPr>
              <w:spacing w:after="0"/>
              <w:rPr>
                <w:sz w:val="13"/>
                <w:szCs w:val="1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Finance Receivables at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Securitization Debt of</w:t>
            </w:r>
          </w:p>
        </w:tc>
        <w:tc>
          <w:tcPr>
            <w:tcW w:w="0" w:type="dxa"/>
            <w:vAlign w:val="bottom"/>
          </w:tcPr>
          <w:p>
            <w:pPr>
              <w:spacing w:after="0"/>
              <w:rPr>
                <w:sz w:val="1"/>
                <w:szCs w:val="1"/>
                <w:color w:val="auto"/>
              </w:rPr>
            </w:pPr>
          </w:p>
        </w:tc>
      </w:tr>
      <w:tr>
        <w:trPr>
          <w:trHeight w:val="156"/>
        </w:trPr>
        <w:tc>
          <w:tcPr>
            <w:tcW w:w="4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Consolidated CFEs</w:t>
            </w:r>
          </w:p>
        </w:tc>
        <w:tc>
          <w:tcPr>
            <w:tcW w:w="10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Consolidated CFEs</w:t>
            </w:r>
          </w:p>
        </w:tc>
        <w:tc>
          <w:tcPr>
            <w:tcW w:w="0" w:type="dxa"/>
            <w:vAlign w:val="bottom"/>
          </w:tcPr>
          <w:p>
            <w:pPr>
              <w:spacing w:after="0"/>
              <w:rPr>
                <w:sz w:val="1"/>
                <w:szCs w:val="1"/>
                <w:color w:val="auto"/>
              </w:rPr>
            </w:pPr>
          </w:p>
        </w:tc>
      </w:tr>
      <w:tr>
        <w:trPr>
          <w:trHeight w:val="191"/>
        </w:trPr>
        <w:tc>
          <w:tcPr>
            <w:tcW w:w="4180" w:type="dxa"/>
            <w:vAlign w:val="bottom"/>
          </w:tcPr>
          <w:p>
            <w:pPr>
              <w:spacing w:after="0"/>
              <w:rPr>
                <w:sz w:val="20"/>
                <w:szCs w:val="20"/>
                <w:color w:val="auto"/>
              </w:rPr>
            </w:pPr>
            <w:r>
              <w:rPr>
                <w:rFonts w:ascii="Arial" w:cs="Arial" w:eastAsia="Arial" w:hAnsi="Arial"/>
                <w:sz w:val="16"/>
                <w:szCs w:val="16"/>
                <w:color w:val="auto"/>
              </w:rPr>
              <w:t>Fair value as of January 15, 2025</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387,444</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437,568</w:t>
            </w:r>
          </w:p>
        </w:tc>
        <w:tc>
          <w:tcPr>
            <w:tcW w:w="100" w:type="dxa"/>
            <w:vAlign w:val="bottom"/>
          </w:tcPr>
          <w:p>
            <w:pPr>
              <w:spacing w:after="0"/>
              <w:rPr>
                <w:sz w:val="16"/>
                <w:szCs w:val="16"/>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14,934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Transfer within Level 3 categories</w:t>
            </w: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349,623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(349,623)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180" w:type="dxa"/>
            <w:vAlign w:val="bottom"/>
          </w:tcPr>
          <w:p>
            <w:pPr>
              <w:spacing w:after="0" w:line="180" w:lineRule="exact"/>
              <w:rPr>
                <w:sz w:val="20"/>
                <w:szCs w:val="20"/>
                <w:color w:val="auto"/>
              </w:rPr>
            </w:pPr>
            <w:r>
              <w:rPr>
                <w:rFonts w:ascii="Arial" w:cs="Arial" w:eastAsia="Arial" w:hAnsi="Arial"/>
                <w:sz w:val="16"/>
                <w:szCs w:val="16"/>
                <w:color w:val="auto"/>
              </w:rPr>
              <w:t>Losses included in realized and unrealized losses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(13,991)</w:t>
            </w:r>
          </w:p>
        </w:tc>
        <w:tc>
          <w:tcPr>
            <w:tcW w:w="100" w:type="dxa"/>
            <w:vAlign w:val="bottom"/>
          </w:tcPr>
          <w:p>
            <w:pPr>
              <w:spacing w:after="0"/>
              <w:rPr>
                <w:sz w:val="15"/>
                <w:szCs w:val="15"/>
                <w:color w:val="auto"/>
              </w:rPr>
            </w:pPr>
          </w:p>
        </w:tc>
        <w:tc>
          <w:tcPr>
            <w:tcW w:w="16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3,176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Arial" w:cs="Arial" w:eastAsia="Arial" w:hAnsi="Arial"/>
                <w:sz w:val="16"/>
                <w:szCs w:val="16"/>
                <w:color w:val="auto"/>
              </w:rPr>
              <w:t>273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Losses included in Warranties and GAP</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Issuances, net of discount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120,532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Paydowns</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(44,268)</w:t>
            </w: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(28,949)</w:t>
            </w:r>
          </w:p>
        </w:tc>
        <w:tc>
          <w:tcPr>
            <w:tcW w:w="12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1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Fair value as of March 31, 2025</w:t>
            </w:r>
          </w:p>
        </w:tc>
        <w:tc>
          <w:tcPr>
            <w:tcW w:w="8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677,600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180,600</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15,207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80" w:type="dxa"/>
            <w:vAlign w:val="bottom"/>
            <w:tcBorders>
              <w:top w:val="single" w:sz="8" w:color="CFF0FC"/>
              <w:bottom w:val="single" w:sz="8" w:color="auto"/>
            </w:tcBorders>
          </w:tcPr>
          <w:p>
            <w:pPr>
              <w:spacing w:after="0"/>
              <w:rPr>
                <w:sz w:val="18"/>
                <w:szCs w:val="18"/>
                <w:color w:val="auto"/>
              </w:rPr>
            </w:pPr>
          </w:p>
        </w:tc>
        <w:tc>
          <w:tcPr>
            <w:tcW w:w="780" w:type="dxa"/>
            <w:vAlign w:val="bottom"/>
            <w:tcBorders>
              <w:top w:val="single" w:sz="8" w:color="CFF0FC"/>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CFF0FC"/>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bottom w:val="single" w:sz="8" w:color="auto"/>
            </w:tcBorders>
          </w:tcPr>
          <w:p>
            <w:pPr>
              <w:spacing w:after="0"/>
              <w:rPr>
                <w:sz w:val="18"/>
                <w:szCs w:val="18"/>
                <w:color w:val="auto"/>
              </w:rPr>
            </w:pPr>
          </w:p>
        </w:tc>
        <w:tc>
          <w:tcPr>
            <w:tcW w:w="120" w:type="dxa"/>
            <w:vAlign w:val="bottom"/>
            <w:tcBorders>
              <w:top w:val="single" w:sz="8" w:color="CFF0FC"/>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40" w:orient="portrait"/>
          <w:cols w:equalWidth="0" w:num="1">
            <w:col w:w="10560"/>
          </w:cols>
          <w:pgMar w:left="660" w:top="555" w:right="680"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Predecessor</w:t>
      </w:r>
    </w:p>
    <w:p>
      <w:pPr>
        <w:spacing w:after="0" w:line="20" w:lineRule="exact"/>
        <w:rPr>
          <w:sz w:val="20"/>
          <w:szCs w:val="20"/>
          <w:color w:val="auto"/>
        </w:rPr>
      </w:pPr>
      <w:r>
        <w:rPr>
          <w:sz w:val="20"/>
          <w:szCs w:val="20"/>
          <w:color w:val="auto"/>
        </w:rPr>
        <w:br w:type="column"/>
      </w:r>
    </w:p>
    <w:p>
      <w:pPr>
        <w:spacing w:after="0"/>
        <w:tabs>
          <w:tab w:leader="none" w:pos="1940" w:val="left"/>
          <w:tab w:leader="none" w:pos="3880" w:val="left"/>
        </w:tabs>
        <w:rPr>
          <w:sz w:val="20"/>
          <w:szCs w:val="20"/>
          <w:color w:val="auto"/>
        </w:rPr>
      </w:pPr>
      <w:r>
        <w:rPr>
          <w:rFonts w:ascii="Arial" w:cs="Arial" w:eastAsia="Arial" w:hAnsi="Arial"/>
          <w:sz w:val="13"/>
          <w:szCs w:val="13"/>
          <w:b w:val="1"/>
          <w:bCs w:val="1"/>
          <w:color w:val="auto"/>
        </w:rPr>
        <w:t>Finance Receivables of</w:t>
      </w:r>
      <w:r>
        <w:rPr>
          <w:sz w:val="20"/>
          <w:szCs w:val="20"/>
          <w:color w:val="auto"/>
        </w:rPr>
        <w:tab/>
      </w:r>
      <w:r>
        <w:rPr>
          <w:rFonts w:ascii="Arial" w:cs="Arial" w:eastAsia="Arial" w:hAnsi="Arial"/>
          <w:sz w:val="13"/>
          <w:szCs w:val="13"/>
          <w:b w:val="1"/>
          <w:bCs w:val="1"/>
          <w:color w:val="auto"/>
        </w:rPr>
        <w:t>Finance Receivables at</w:t>
      </w:r>
      <w:r>
        <w:rPr>
          <w:sz w:val="20"/>
          <w:szCs w:val="20"/>
          <w:color w:val="auto"/>
        </w:rPr>
        <w:tab/>
      </w:r>
      <w:r>
        <w:rPr>
          <w:rFonts w:ascii="Arial" w:cs="Arial" w:eastAsia="Arial" w:hAnsi="Arial"/>
          <w:sz w:val="13"/>
          <w:szCs w:val="13"/>
          <w:b w:val="1"/>
          <w:bCs w:val="1"/>
          <w:color w:val="auto"/>
        </w:rPr>
        <w:t>Securitization Debt of</w:t>
      </w:r>
    </w:p>
    <w:p>
      <w:pPr>
        <w:spacing w:after="0" w:line="19" w:lineRule="exact"/>
        <w:rPr>
          <w:sz w:val="20"/>
          <w:szCs w:val="20"/>
          <w:color w:val="auto"/>
        </w:rPr>
      </w:pPr>
    </w:p>
    <w:p>
      <w:pPr>
        <w:ind w:left="140"/>
        <w:spacing w:after="0"/>
        <w:tabs>
          <w:tab w:leader="none" w:pos="2340" w:val="left"/>
          <w:tab w:leader="none" w:pos="3960" w:val="left"/>
        </w:tabs>
        <w:rPr>
          <w:sz w:val="20"/>
          <w:szCs w:val="20"/>
          <w:color w:val="auto"/>
        </w:rPr>
      </w:pPr>
      <w:r>
        <w:rPr>
          <w:rFonts w:ascii="Arial" w:cs="Arial" w:eastAsia="Arial" w:hAnsi="Arial"/>
          <w:sz w:val="13"/>
          <w:szCs w:val="13"/>
          <w:b w:val="1"/>
          <w:bCs w:val="1"/>
          <w:color w:val="auto"/>
        </w:rPr>
        <w:t>Consolidated CFEs</w:t>
      </w:r>
      <w:r>
        <w:rPr>
          <w:sz w:val="20"/>
          <w:szCs w:val="20"/>
          <w:color w:val="auto"/>
        </w:rPr>
        <w:tab/>
      </w:r>
      <w:r>
        <w:rPr>
          <w:rFonts w:ascii="Arial" w:cs="Arial" w:eastAsia="Arial" w:hAnsi="Arial"/>
          <w:sz w:val="13"/>
          <w:szCs w:val="13"/>
          <w:b w:val="1"/>
          <w:bCs w:val="1"/>
          <w:color w:val="auto"/>
        </w:rPr>
        <w:t>Fair Value</w:t>
      </w:r>
      <w:r>
        <w:rPr>
          <w:sz w:val="20"/>
          <w:szCs w:val="20"/>
          <w:color w:val="auto"/>
        </w:rPr>
        <w:tab/>
      </w:r>
      <w:r>
        <w:rPr>
          <w:rFonts w:ascii="Arial" w:cs="Arial" w:eastAsia="Arial" w:hAnsi="Arial"/>
          <w:sz w:val="13"/>
          <w:szCs w:val="13"/>
          <w:b w:val="1"/>
          <w:bCs w:val="1"/>
          <w:color w:val="auto"/>
        </w:rPr>
        <w:t>Consolidated CFEs</w:t>
      </w:r>
    </w:p>
    <w:p>
      <w:pPr>
        <w:spacing w:after="0" w:line="1" w:lineRule="exact"/>
        <w:rPr>
          <w:sz w:val="20"/>
          <w:szCs w:val="20"/>
          <w:color w:val="auto"/>
        </w:rPr>
      </w:pPr>
    </w:p>
    <w:p>
      <w:pPr>
        <w:sectPr>
          <w:pgSz w:w="11900" w:h="16840" w:orient="portrait"/>
          <w:cols w:equalWidth="0" w:num="2">
            <w:col w:w="4340" w:space="720"/>
            <w:col w:w="5500"/>
          </w:cols>
          <w:pgMar w:left="660" w:top="555" w:right="680" w:bottom="1440" w:gutter="0" w:footer="0" w:header="0"/>
          <w:type w:val="continuous"/>
        </w:sectPr>
      </w:pPr>
    </w:p>
    <w:p>
      <w:pPr>
        <w:spacing w:after="0" w:line="223" w:lineRule="auto"/>
        <w:tabs>
          <w:tab w:leader="none" w:pos="4940" w:val="left"/>
        </w:tabs>
        <w:rPr>
          <w:sz w:val="20"/>
          <w:szCs w:val="20"/>
          <w:color w:val="auto"/>
        </w:rPr>
      </w:pPr>
      <w:r>
        <w:rPr>
          <w:rFonts w:ascii="Arial" w:cs="Arial" w:eastAsia="Arial" w:hAnsi="Arial"/>
          <w:sz w:val="16"/>
          <w:szCs w:val="16"/>
          <w:color w:val="auto"/>
        </w:rPr>
        <w:t>Fair value as of January 1, 2025</w:t>
      </w:r>
      <w:r>
        <w:rPr>
          <w:sz w:val="20"/>
          <w:szCs w:val="20"/>
          <w:color w:val="auto"/>
        </w:rPr>
        <w:tab/>
      </w:r>
      <w:r>
        <w:rPr>
          <w:rFonts w:ascii="Arial" w:cs="Arial" w:eastAsia="Arial" w:hAnsi="Arial"/>
          <w:sz w:val="21"/>
          <w:szCs w:val="2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707505" cy="228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580"/>
        <w:spacing w:after="0" w:line="234" w:lineRule="auto"/>
        <w:rPr>
          <w:sz w:val="20"/>
          <w:szCs w:val="20"/>
          <w:color w:val="auto"/>
        </w:rPr>
      </w:pPr>
      <w:r>
        <w:rPr>
          <w:rFonts w:ascii="Arial" w:cs="Arial" w:eastAsia="Arial" w:hAnsi="Arial"/>
          <w:sz w:val="16"/>
          <w:szCs w:val="16"/>
          <w:color w:val="auto"/>
        </w:rPr>
        <w:t>Reclassification of finance receivables due to a change in Accounting Policy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Transfer within Level 3 categories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Losses included in realized and unrealized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6707505" cy="198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Losses included in Warranties and GAP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Issuances, net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670750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Paydowns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670750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4940" w:val="left"/>
        </w:tabs>
        <w:rPr>
          <w:sz w:val="20"/>
          <w:szCs w:val="20"/>
          <w:color w:val="auto"/>
        </w:rPr>
      </w:pPr>
      <w:r>
        <w:rPr>
          <w:rFonts w:ascii="Arial" w:cs="Arial" w:eastAsia="Arial" w:hAnsi="Arial"/>
          <w:sz w:val="16"/>
          <w:szCs w:val="16"/>
          <w:color w:val="auto"/>
        </w:rPr>
        <w:t>Fair value as of January 14, 2025</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820" w:type="dxa"/>
            <w:vAlign w:val="bottom"/>
          </w:tcPr>
          <w:p>
            <w:pPr>
              <w:jc w:val="right"/>
              <w:ind w:right="182"/>
              <w:spacing w:after="0"/>
              <w:rPr>
                <w:sz w:val="20"/>
                <w:szCs w:val="20"/>
                <w:color w:val="auto"/>
              </w:rPr>
            </w:pPr>
            <w:r>
              <w:rPr>
                <w:rFonts w:ascii="Arial" w:cs="Arial" w:eastAsia="Arial" w:hAnsi="Arial"/>
                <w:sz w:val="16"/>
                <w:szCs w:val="16"/>
                <w:color w:val="auto"/>
                <w:w w:val="93"/>
              </w:rPr>
              <w:t>214,420</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289,422</w:t>
            </w:r>
          </w:p>
        </w:tc>
        <w:tc>
          <w:tcPr>
            <w:tcW w:w="140" w:type="dxa"/>
            <w:vAlign w:val="bottom"/>
          </w:tcPr>
          <w:p>
            <w:pPr>
              <w:spacing w:after="0"/>
              <w:rPr>
                <w:sz w:val="17"/>
                <w:szCs w:val="17"/>
                <w:color w:val="auto"/>
              </w:rPr>
            </w:pPr>
          </w:p>
        </w:tc>
        <w:tc>
          <w:tcPr>
            <w:tcW w:w="7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16,922</w:t>
            </w:r>
          </w:p>
        </w:tc>
        <w:tc>
          <w:tcPr>
            <w:tcW w:w="40" w:type="dxa"/>
            <w:vAlign w:val="bottom"/>
          </w:tcPr>
          <w:p>
            <w:pPr>
              <w:spacing w:after="0"/>
              <w:rPr>
                <w:sz w:val="17"/>
                <w:szCs w:val="17"/>
                <w:color w:val="auto"/>
              </w:rPr>
            </w:pPr>
          </w:p>
        </w:tc>
      </w:tr>
      <w:tr>
        <w:trPr>
          <w:trHeight w:val="360"/>
        </w:trPr>
        <w:tc>
          <w:tcPr>
            <w:tcW w:w="820" w:type="dxa"/>
            <w:vAlign w:val="bottom"/>
          </w:tcPr>
          <w:p>
            <w:pPr>
              <w:jc w:val="right"/>
              <w:ind w:right="182"/>
              <w:spacing w:after="0"/>
              <w:rPr>
                <w:sz w:val="20"/>
                <w:szCs w:val="20"/>
                <w:color w:val="auto"/>
              </w:rPr>
            </w:pPr>
            <w:r>
              <w:rPr>
                <w:rFonts w:ascii="Arial" w:cs="Arial" w:eastAsia="Arial" w:hAnsi="Arial"/>
                <w:sz w:val="16"/>
                <w:szCs w:val="16"/>
                <w:color w:val="auto"/>
                <w:w w:val="93"/>
              </w:rPr>
              <w:t>180,883</w:t>
            </w:r>
          </w:p>
        </w:tc>
        <w:tc>
          <w:tcPr>
            <w:tcW w:w="6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139,052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191"/>
        </w:trPr>
        <w:tc>
          <w:tcPr>
            <w:tcW w:w="820" w:type="dxa"/>
            <w:vAlign w:val="bottom"/>
          </w:tcPr>
          <w:p>
            <w:pPr>
              <w:jc w:val="right"/>
              <w:ind w:right="122"/>
              <w:spacing w:after="0"/>
              <w:rPr>
                <w:sz w:val="20"/>
                <w:szCs w:val="20"/>
                <w:color w:val="auto"/>
              </w:rPr>
            </w:pPr>
            <w:r>
              <w:rPr>
                <w:rFonts w:ascii="Arial" w:cs="Arial" w:eastAsia="Arial" w:hAnsi="Arial"/>
                <w:sz w:val="16"/>
                <w:szCs w:val="16"/>
                <w:color w:val="auto"/>
              </w:rPr>
              <w:t>(439)</w:t>
            </w:r>
          </w:p>
        </w:tc>
        <w:tc>
          <w:tcPr>
            <w:tcW w:w="6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348"/>
        </w:trPr>
        <w:tc>
          <w:tcPr>
            <w:tcW w:w="820" w:type="dxa"/>
            <w:vAlign w:val="bottom"/>
          </w:tcPr>
          <w:p>
            <w:pPr>
              <w:jc w:val="right"/>
              <w:ind w:right="122"/>
              <w:spacing w:after="0"/>
              <w:rPr>
                <w:sz w:val="20"/>
                <w:szCs w:val="20"/>
                <w:color w:val="auto"/>
              </w:rPr>
            </w:pPr>
            <w:r>
              <w:rPr>
                <w:rFonts w:ascii="Arial" w:cs="Arial" w:eastAsia="Arial" w:hAnsi="Arial"/>
                <w:sz w:val="16"/>
                <w:szCs w:val="16"/>
                <w:color w:val="auto"/>
              </w:rPr>
              <w:t>(4,707)</w:t>
            </w:r>
          </w:p>
        </w:tc>
        <w:tc>
          <w:tcPr>
            <w:tcW w:w="600" w:type="dxa"/>
            <w:vAlign w:val="bottom"/>
          </w:tcPr>
          <w:p>
            <w:pPr>
              <w:spacing w:after="0"/>
              <w:rPr>
                <w:sz w:val="24"/>
                <w:szCs w:val="24"/>
                <w:color w:val="auto"/>
              </w:rPr>
            </w:pPr>
          </w:p>
        </w:tc>
        <w:tc>
          <w:tcPr>
            <w:tcW w:w="1220" w:type="dxa"/>
            <w:vAlign w:val="bottom"/>
            <w:gridSpan w:val="2"/>
          </w:tcPr>
          <w:p>
            <w:pPr>
              <w:jc w:val="right"/>
              <w:ind w:right="80"/>
              <w:spacing w:after="0" w:line="348" w:lineRule="exact"/>
              <w:rPr>
                <w:sz w:val="20"/>
                <w:szCs w:val="20"/>
                <w:color w:val="auto"/>
              </w:rPr>
            </w:pPr>
            <w:r>
              <w:rPr>
                <w:rFonts w:ascii="Arial" w:cs="Arial" w:eastAsia="Arial" w:hAnsi="Arial"/>
                <w:sz w:val="16"/>
                <w:szCs w:val="16"/>
                <w:color w:val="auto"/>
              </w:rPr>
              <w:t>(2,265</w:t>
            </w:r>
            <w:r>
              <w:rPr>
                <w:rFonts w:ascii="Arial" w:cs="Arial" w:eastAsia="Arial" w:hAnsi="Arial"/>
                <w:sz w:val="31"/>
                <w:szCs w:val="31"/>
                <w:color w:val="auto"/>
                <w:vertAlign w:val="subscript"/>
              </w:rPr>
              <w:t>)</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(1,988)</w:t>
            </w:r>
          </w:p>
        </w:tc>
      </w:tr>
      <w:tr>
        <w:trPr>
          <w:trHeight w:val="205"/>
        </w:trPr>
        <w:tc>
          <w:tcPr>
            <w:tcW w:w="820" w:type="dxa"/>
            <w:vAlign w:val="bottom"/>
          </w:tcPr>
          <w:p>
            <w:pPr>
              <w:jc w:val="right"/>
              <w:ind w:right="122"/>
              <w:spacing w:after="0"/>
              <w:rPr>
                <w:sz w:val="20"/>
                <w:szCs w:val="20"/>
                <w:color w:val="auto"/>
              </w:rPr>
            </w:pPr>
            <w:r>
              <w:rPr>
                <w:rFonts w:ascii="Arial" w:cs="Arial" w:eastAsia="Arial" w:hAnsi="Arial"/>
                <w:sz w:val="16"/>
                <w:szCs w:val="16"/>
                <w:color w:val="auto"/>
              </w:rPr>
              <w:t>(52)</w:t>
            </w:r>
          </w:p>
        </w:tc>
        <w:tc>
          <w:tcPr>
            <w:tcW w:w="6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8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820" w:type="dxa"/>
            <w:vAlign w:val="bottom"/>
          </w:tcPr>
          <w:p>
            <w:pPr>
              <w:jc w:val="right"/>
              <w:ind w:right="122"/>
              <w:spacing w:after="0"/>
              <w:rPr>
                <w:sz w:val="20"/>
                <w:szCs w:val="20"/>
                <w:color w:val="auto"/>
              </w:rPr>
            </w:pPr>
            <w:r>
              <w:rPr>
                <w:rFonts w:ascii="Arial" w:cs="Arial" w:eastAsia="Arial" w:hAnsi="Arial"/>
                <w:sz w:val="16"/>
                <w:szCs w:val="16"/>
                <w:color w:val="auto"/>
              </w:rPr>
              <w:t>(2,947)</w:t>
            </w:r>
          </w:p>
        </w:tc>
        <w:tc>
          <w:tcPr>
            <w:tcW w:w="6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(2,992)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191"/>
        </w:trPr>
        <w:tc>
          <w:tcPr>
            <w:tcW w:w="820" w:type="dxa"/>
            <w:vAlign w:val="bottom"/>
          </w:tcPr>
          <w:p>
            <w:pPr>
              <w:jc w:val="right"/>
              <w:ind w:right="182"/>
              <w:spacing w:after="0"/>
              <w:rPr>
                <w:sz w:val="20"/>
                <w:szCs w:val="20"/>
                <w:color w:val="auto"/>
              </w:rPr>
            </w:pPr>
            <w:r>
              <w:rPr>
                <w:rFonts w:ascii="Arial" w:cs="Arial" w:eastAsia="Arial" w:hAnsi="Arial"/>
                <w:sz w:val="16"/>
                <w:szCs w:val="16"/>
                <w:color w:val="auto"/>
              </w:rPr>
              <w:t>286</w:t>
            </w:r>
          </w:p>
        </w:tc>
        <w:tc>
          <w:tcPr>
            <w:tcW w:w="6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191"/>
        </w:trPr>
        <w:tc>
          <w:tcPr>
            <w:tcW w:w="820" w:type="dxa"/>
            <w:vAlign w:val="bottom"/>
          </w:tcPr>
          <w:p>
            <w:pPr>
              <w:jc w:val="right"/>
              <w:ind w:right="182"/>
              <w:spacing w:after="0"/>
              <w:rPr>
                <w:sz w:val="20"/>
                <w:szCs w:val="20"/>
                <w:color w:val="auto"/>
              </w:rPr>
            </w:pPr>
            <w:r>
              <w:rPr>
                <w:rFonts w:ascii="Arial" w:cs="Arial" w:eastAsia="Arial" w:hAnsi="Arial"/>
                <w:sz w:val="16"/>
                <w:szCs w:val="16"/>
                <w:color w:val="auto"/>
                <w:w w:val="93"/>
              </w:rPr>
              <w:t>387,444</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437,568</w:t>
            </w:r>
          </w:p>
        </w:tc>
        <w:tc>
          <w:tcPr>
            <w:tcW w:w="140" w:type="dxa"/>
            <w:vAlign w:val="bottom"/>
          </w:tcPr>
          <w:p>
            <w:pPr>
              <w:spacing w:after="0"/>
              <w:rPr>
                <w:sz w:val="16"/>
                <w:szCs w:val="16"/>
                <w:color w:val="auto"/>
              </w:rPr>
            </w:pPr>
          </w:p>
        </w:tc>
        <w:tc>
          <w:tcPr>
            <w:tcW w:w="7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14,934</w:t>
            </w:r>
          </w:p>
        </w:tc>
        <w:tc>
          <w:tcPr>
            <w:tcW w:w="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-22225</wp:posOffset>
            </wp:positionV>
            <wp:extent cx="10744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74420" cy="762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-6985</wp:posOffset>
            </wp:positionV>
            <wp:extent cx="107442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74420" cy="762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5360" w:space="720"/>
            <w:col w:w="4480"/>
          </w:cols>
          <w:pgMar w:left="660" w:top="555" w:right="680" w:bottom="1440" w:gutter="0" w:footer="0" w:header="0"/>
          <w:type w:val="continuous"/>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type w:val="continuous"/>
        </w:sectPr>
      </w:pPr>
    </w:p>
    <w:bookmarkStart w:id="43" w:name="page44"/>
    <w:bookmarkEnd w:id="4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ectPr>
          <w:pgSz w:w="11900" w:h="16840" w:orient="portrait"/>
          <w:cols w:equalWidth="0" w:num="1">
            <w:col w:w="10560"/>
          </w:cols>
          <w:pgMar w:left="660" w:top="555" w:right="680"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Predecessor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tabs>
          <w:tab w:leader="none" w:pos="2180" w:val="left"/>
        </w:tabs>
        <w:rPr>
          <w:sz w:val="20"/>
          <w:szCs w:val="20"/>
          <w:color w:val="auto"/>
        </w:rPr>
      </w:pPr>
      <w:r>
        <w:rPr>
          <w:rFonts w:ascii="Arial" w:cs="Arial" w:eastAsia="Arial" w:hAnsi="Arial"/>
          <w:sz w:val="13"/>
          <w:szCs w:val="13"/>
          <w:b w:val="1"/>
          <w:bCs w:val="1"/>
          <w:color w:val="auto"/>
        </w:rPr>
        <w:t>Finance Receivables of</w:t>
      </w:r>
      <w:r>
        <w:rPr>
          <w:sz w:val="20"/>
          <w:szCs w:val="20"/>
          <w:color w:val="auto"/>
        </w:rPr>
        <w:tab/>
      </w:r>
      <w:r>
        <w:rPr>
          <w:rFonts w:ascii="Arial" w:cs="Arial" w:eastAsia="Arial" w:hAnsi="Arial"/>
          <w:sz w:val="13"/>
          <w:szCs w:val="13"/>
          <w:b w:val="1"/>
          <w:bCs w:val="1"/>
          <w:color w:val="auto"/>
        </w:rPr>
        <w:t>Finance Receivables at Fair</w:t>
      </w:r>
    </w:p>
    <w:p>
      <w:pPr>
        <w:spacing w:after="0" w:line="19"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3"/>
          <w:szCs w:val="13"/>
          <w:b w:val="1"/>
          <w:bCs w:val="1"/>
          <w:color w:val="auto"/>
        </w:rPr>
        <w:t>Consolidated CFEs</w:t>
      </w:r>
      <w:r>
        <w:rPr>
          <w:sz w:val="20"/>
          <w:szCs w:val="20"/>
          <w:color w:val="auto"/>
        </w:rPr>
        <w:tab/>
      </w:r>
      <w:r>
        <w:rPr>
          <w:rFonts w:ascii="Arial" w:cs="Arial" w:eastAsia="Arial" w:hAnsi="Arial"/>
          <w:sz w:val="13"/>
          <w:szCs w:val="13"/>
          <w:b w:val="1"/>
          <w:bCs w:val="1"/>
          <w:color w:val="auto"/>
        </w:rPr>
        <w:t>Value</w:t>
      </w:r>
    </w:p>
    <w:p>
      <w:pPr>
        <w:spacing w:after="0" w:line="2" w:lineRule="exact"/>
        <w:rPr>
          <w:sz w:val="20"/>
          <w:szCs w:val="20"/>
          <w:color w:val="auto"/>
        </w:rPr>
      </w:pPr>
    </w:p>
    <w:p>
      <w:pPr>
        <w:sectPr>
          <w:pgSz w:w="11900" w:h="16840" w:orient="portrait"/>
          <w:cols w:equalWidth="0" w:num="2">
            <w:col w:w="5660" w:space="720"/>
            <w:col w:w="4180"/>
          </w:cols>
          <w:pgMar w:left="660" w:top="555" w:right="680"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Fair value as of January 1, 2024</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316,998</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31,672</w:t>
            </w:r>
          </w:p>
        </w:tc>
        <w:tc>
          <w:tcPr>
            <w:tcW w:w="80" w:type="dxa"/>
            <w:vAlign w:val="bottom"/>
            <w:shd w:val="clear" w:color="auto" w:fill="CFF0FC"/>
          </w:tcPr>
          <w:p>
            <w:pPr>
              <w:spacing w:after="0"/>
              <w:rPr>
                <w:sz w:val="16"/>
                <w:szCs w:val="16"/>
                <w:color w:val="auto"/>
              </w:rPr>
            </w:pPr>
          </w:p>
        </w:tc>
      </w:tr>
      <w:tr>
        <w:trPr>
          <w:trHeight w:val="180"/>
        </w:trPr>
        <w:tc>
          <w:tcPr>
            <w:tcW w:w="6080" w:type="dxa"/>
            <w:vAlign w:val="bottom"/>
          </w:tcPr>
          <w:p>
            <w:pPr>
              <w:spacing w:after="0" w:line="180" w:lineRule="exact"/>
              <w:rPr>
                <w:sz w:val="20"/>
                <w:szCs w:val="20"/>
                <w:color w:val="auto"/>
              </w:rPr>
            </w:pPr>
            <w:r>
              <w:rPr>
                <w:rFonts w:ascii="Arial" w:cs="Arial" w:eastAsia="Arial" w:hAnsi="Arial"/>
                <w:sz w:val="16"/>
                <w:szCs w:val="16"/>
                <w:color w:val="auto"/>
              </w:rPr>
              <w:t>Transfer within Level 3 categories</w:t>
            </w:r>
          </w:p>
        </w:tc>
        <w:tc>
          <w:tcPr>
            <w:tcW w:w="800" w:type="dxa"/>
            <w:vAlign w:val="bottom"/>
          </w:tcPr>
          <w:p>
            <w:pPr>
              <w:spacing w:after="0"/>
              <w:rPr>
                <w:sz w:val="15"/>
                <w:szCs w:val="15"/>
                <w:color w:val="auto"/>
              </w:rPr>
            </w:pPr>
          </w:p>
        </w:tc>
        <w:tc>
          <w:tcPr>
            <w:tcW w:w="15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(39,040)</w:t>
            </w:r>
          </w:p>
        </w:tc>
        <w:tc>
          <w:tcPr>
            <w:tcW w:w="80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39,040</w:t>
            </w:r>
          </w:p>
        </w:tc>
        <w:tc>
          <w:tcPr>
            <w:tcW w:w="80" w:type="dxa"/>
            <w:vAlign w:val="bottom"/>
          </w:tcPr>
          <w:p>
            <w:pPr>
              <w:spacing w:after="0"/>
              <w:rPr>
                <w:sz w:val="15"/>
                <w:szCs w:val="15"/>
                <w:color w:val="auto"/>
              </w:rPr>
            </w:pPr>
          </w:p>
        </w:tc>
      </w:tr>
      <w:tr>
        <w:trPr>
          <w:trHeight w:val="180"/>
        </w:trPr>
        <w:tc>
          <w:tcPr>
            <w:tcW w:w="6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Losses included in realized and unrealized losses</w:t>
            </w:r>
          </w:p>
        </w:tc>
        <w:tc>
          <w:tcPr>
            <w:tcW w:w="8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(13,781)</w:t>
            </w:r>
          </w:p>
        </w:tc>
        <w:tc>
          <w:tcPr>
            <w:tcW w:w="8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(6,527)</w:t>
            </w:r>
          </w:p>
        </w:tc>
      </w:tr>
      <w:tr>
        <w:trPr>
          <w:trHeight w:val="180"/>
        </w:trPr>
        <w:tc>
          <w:tcPr>
            <w:tcW w:w="6080" w:type="dxa"/>
            <w:vAlign w:val="bottom"/>
          </w:tcPr>
          <w:p>
            <w:pPr>
              <w:spacing w:after="0" w:line="180" w:lineRule="exact"/>
              <w:rPr>
                <w:sz w:val="20"/>
                <w:szCs w:val="20"/>
                <w:color w:val="auto"/>
              </w:rPr>
            </w:pPr>
            <w:r>
              <w:rPr>
                <w:rFonts w:ascii="Arial" w:cs="Arial" w:eastAsia="Arial" w:hAnsi="Arial"/>
                <w:sz w:val="16"/>
                <w:szCs w:val="16"/>
                <w:color w:val="auto"/>
              </w:rPr>
              <w:t>Losses included in Warranties and GAP</w:t>
            </w:r>
          </w:p>
        </w:tc>
        <w:tc>
          <w:tcPr>
            <w:tcW w:w="800" w:type="dxa"/>
            <w:vAlign w:val="bottom"/>
          </w:tcPr>
          <w:p>
            <w:pPr>
              <w:spacing w:after="0"/>
              <w:rPr>
                <w:sz w:val="15"/>
                <w:szCs w:val="15"/>
                <w:color w:val="auto"/>
              </w:rPr>
            </w:pPr>
          </w:p>
        </w:tc>
        <w:tc>
          <w:tcPr>
            <w:tcW w:w="15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(771)</w:t>
            </w:r>
          </w:p>
        </w:tc>
        <w:tc>
          <w:tcPr>
            <w:tcW w:w="800" w:type="dxa"/>
            <w:vAlign w:val="bottom"/>
          </w:tcPr>
          <w:p>
            <w:pPr>
              <w:spacing w:after="0"/>
              <w:rPr>
                <w:sz w:val="15"/>
                <w:szCs w:val="15"/>
                <w:color w:val="auto"/>
              </w:rPr>
            </w:pPr>
          </w:p>
        </w:tc>
        <w:tc>
          <w:tcPr>
            <w:tcW w:w="13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(219)</w:t>
            </w:r>
          </w:p>
        </w:tc>
      </w:tr>
      <w:tr>
        <w:trPr>
          <w:trHeight w:val="180"/>
        </w:trPr>
        <w:tc>
          <w:tcPr>
            <w:tcW w:w="6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Issuances, net of discount</w:t>
            </w:r>
          </w:p>
        </w:tc>
        <w:tc>
          <w:tcPr>
            <w:tcW w:w="8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130,290</w:t>
            </w:r>
          </w:p>
        </w:tc>
        <w:tc>
          <w:tcPr>
            <w:tcW w:w="80" w:type="dxa"/>
            <w:vAlign w:val="bottom"/>
            <w:shd w:val="clear" w:color="auto" w:fill="CFF0FC"/>
          </w:tcPr>
          <w:p>
            <w:pPr>
              <w:spacing w:after="0"/>
              <w:rPr>
                <w:sz w:val="15"/>
                <w:szCs w:val="15"/>
                <w:color w:val="auto"/>
              </w:rPr>
            </w:pPr>
          </w:p>
        </w:tc>
      </w:tr>
      <w:tr>
        <w:trPr>
          <w:trHeight w:val="180"/>
        </w:trPr>
        <w:tc>
          <w:tcPr>
            <w:tcW w:w="6080" w:type="dxa"/>
            <w:vAlign w:val="bottom"/>
          </w:tcPr>
          <w:p>
            <w:pPr>
              <w:spacing w:after="0" w:line="180" w:lineRule="exact"/>
              <w:rPr>
                <w:sz w:val="20"/>
                <w:szCs w:val="20"/>
                <w:color w:val="auto"/>
              </w:rPr>
            </w:pPr>
            <w:r>
              <w:rPr>
                <w:rFonts w:ascii="Arial" w:cs="Arial" w:eastAsia="Arial" w:hAnsi="Arial"/>
                <w:sz w:val="16"/>
                <w:szCs w:val="16"/>
                <w:color w:val="auto"/>
              </w:rPr>
              <w:t>Paydowns</w:t>
            </w:r>
          </w:p>
        </w:tc>
        <w:tc>
          <w:tcPr>
            <w:tcW w:w="800" w:type="dxa"/>
            <w:vAlign w:val="bottom"/>
          </w:tcPr>
          <w:p>
            <w:pPr>
              <w:spacing w:after="0"/>
              <w:rPr>
                <w:sz w:val="15"/>
                <w:szCs w:val="15"/>
                <w:color w:val="auto"/>
              </w:rPr>
            </w:pPr>
          </w:p>
        </w:tc>
        <w:tc>
          <w:tcPr>
            <w:tcW w:w="15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(27,332)</w:t>
            </w:r>
          </w:p>
        </w:tc>
        <w:tc>
          <w:tcPr>
            <w:tcW w:w="800" w:type="dxa"/>
            <w:vAlign w:val="bottom"/>
          </w:tcPr>
          <w:p>
            <w:pPr>
              <w:spacing w:after="0"/>
              <w:rPr>
                <w:sz w:val="15"/>
                <w:szCs w:val="15"/>
                <w:color w:val="auto"/>
              </w:rPr>
            </w:pPr>
          </w:p>
        </w:tc>
        <w:tc>
          <w:tcPr>
            <w:tcW w:w="136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(12,762)</w:t>
            </w:r>
          </w:p>
        </w:tc>
      </w:tr>
      <w:tr>
        <w:trPr>
          <w:trHeight w:val="180"/>
        </w:trPr>
        <w:tc>
          <w:tcPr>
            <w:tcW w:w="6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Other</w:t>
            </w:r>
          </w:p>
        </w:tc>
        <w:tc>
          <w:tcPr>
            <w:tcW w:w="8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60"/>
              <w:spacing w:after="0" w:line="180" w:lineRule="exact"/>
              <w:rPr>
                <w:sz w:val="20"/>
                <w:szCs w:val="20"/>
                <w:color w:val="auto"/>
              </w:rPr>
            </w:pPr>
            <w:r>
              <w:rPr>
                <w:rFonts w:ascii="Arial" w:cs="Arial" w:eastAsia="Arial" w:hAnsi="Arial"/>
                <w:sz w:val="16"/>
                <w:szCs w:val="16"/>
                <w:color w:val="auto"/>
              </w:rPr>
              <w:t>3,904</w:t>
            </w:r>
          </w:p>
        </w:tc>
        <w:tc>
          <w:tcPr>
            <w:tcW w:w="8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(193)</w:t>
            </w:r>
          </w:p>
        </w:tc>
      </w:tr>
      <w:tr>
        <w:trPr>
          <w:trHeight w:val="180"/>
        </w:trPr>
        <w:tc>
          <w:tcPr>
            <w:tcW w:w="6080" w:type="dxa"/>
            <w:vAlign w:val="bottom"/>
          </w:tcPr>
          <w:p>
            <w:pPr>
              <w:spacing w:after="0" w:line="180" w:lineRule="exact"/>
              <w:rPr>
                <w:sz w:val="20"/>
                <w:szCs w:val="20"/>
                <w:color w:val="auto"/>
              </w:rPr>
            </w:pPr>
            <w:r>
              <w:rPr>
                <w:rFonts w:ascii="Arial" w:cs="Arial" w:eastAsia="Arial" w:hAnsi="Arial"/>
                <w:sz w:val="16"/>
                <w:szCs w:val="16"/>
                <w:color w:val="auto"/>
              </w:rPr>
              <w:t>Fair value as of March 31, 2024</w:t>
            </w: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239,978</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ind w:right="62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181,301</w:t>
            </w:r>
          </w:p>
        </w:tc>
        <w:tc>
          <w:tcPr>
            <w:tcW w:w="80" w:type="dxa"/>
            <w:vAlign w:val="bottom"/>
          </w:tcPr>
          <w:p>
            <w:pPr>
              <w:spacing w:after="0"/>
              <w:rPr>
                <w:sz w:val="15"/>
                <w:szCs w:val="15"/>
                <w:color w:val="auto"/>
              </w:rPr>
            </w:pP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right="20" w:firstLine="708"/>
        <w:spacing w:after="0" w:line="262" w:lineRule="auto"/>
        <w:rPr>
          <w:sz w:val="20"/>
          <w:szCs w:val="20"/>
          <w:color w:val="auto"/>
        </w:rPr>
      </w:pPr>
      <w:r>
        <w:rPr>
          <w:rFonts w:ascii="Arial" w:cs="Arial" w:eastAsia="Arial" w:hAnsi="Arial"/>
          <w:sz w:val="16"/>
          <w:szCs w:val="16"/>
          <w:color w:val="auto"/>
        </w:rPr>
        <w:t>The Company's transfers between levels of the fair value hierarchy are assumed to have occurred at the beginning of the reporting period on a quarterly basis. There were no transfers between levels of the fair value hierarchy for all the periods presented.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Relevant Data for Financial Assets and Liabilities for which FVO Was Elected</w:t>
      </w:r>
    </w:p>
    <w:p>
      <w:pPr>
        <w:spacing w:after="0" w:line="176" w:lineRule="exact"/>
        <w:rPr>
          <w:sz w:val="20"/>
          <w:szCs w:val="20"/>
          <w:color w:val="auto"/>
        </w:rPr>
      </w:pPr>
    </w:p>
    <w:p>
      <w:pPr>
        <w:ind w:right="60" w:firstLine="696"/>
        <w:spacing w:after="0" w:line="262" w:lineRule="auto"/>
        <w:rPr>
          <w:sz w:val="20"/>
          <w:szCs w:val="20"/>
          <w:color w:val="auto"/>
        </w:rPr>
      </w:pPr>
      <w:r>
        <w:rPr>
          <w:rFonts w:ascii="Arial" w:cs="Arial" w:eastAsia="Arial" w:hAnsi="Arial"/>
          <w:sz w:val="16"/>
          <w:szCs w:val="16"/>
          <w:color w:val="auto"/>
        </w:rPr>
        <w:t>The following table presents the gains or losses recorded in "Realized and unrealized losses, net of recoveries" in the condensed consolidated statements of operations related to the eligible financial instruments for which the fair value option was elected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3"/>
                <w:szCs w:val="13"/>
                <w:b w:val="1"/>
                <w:bCs w:val="1"/>
                <w:color w:val="auto"/>
              </w:rPr>
              <w:t>Predecessor</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auto"/>
              </w:rPr>
              <w:t>Period from January</w:t>
            </w:r>
          </w:p>
        </w:tc>
        <w:tc>
          <w:tcPr>
            <w:tcW w:w="12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Period from January</w:t>
            </w:r>
          </w:p>
        </w:tc>
        <w:tc>
          <w:tcPr>
            <w:tcW w:w="120" w:type="dxa"/>
            <w:vAlign w:val="bottom"/>
          </w:tcPr>
          <w:p>
            <w:pPr>
              <w:spacing w:after="0"/>
              <w:rPr>
                <w:sz w:val="13"/>
                <w:szCs w:val="13"/>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Three Months Ended</w:t>
            </w:r>
          </w:p>
        </w:tc>
      </w:tr>
      <w:tr>
        <w:trPr>
          <w:trHeight w:val="168"/>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auto"/>
              </w:rPr>
              <w:t>15 through March 31,</w:t>
            </w:r>
          </w:p>
        </w:tc>
        <w:tc>
          <w:tcPr>
            <w:tcW w:w="1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1 through January 14,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March 31,</w:t>
            </w:r>
          </w:p>
        </w:tc>
      </w:tr>
      <w:tr>
        <w:trPr>
          <w:trHeight w:val="179"/>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45"/>
              <w:spacing w:after="0"/>
              <w:rPr>
                <w:sz w:val="20"/>
                <w:szCs w:val="20"/>
                <w:color w:val="auto"/>
              </w:rPr>
            </w:pPr>
            <w:r>
              <w:rPr>
                <w:rFonts w:ascii="Arial" w:cs="Arial" w:eastAsia="Arial" w:hAnsi="Arial"/>
                <w:sz w:val="13"/>
                <w:szCs w:val="13"/>
                <w:b w:val="1"/>
                <w:bCs w:val="1"/>
                <w:color w:val="auto"/>
                <w:w w:val="96"/>
              </w:rPr>
              <w:t>2025</w:t>
            </w: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45"/>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center"/>
              <w:ind w:right="265"/>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5"/>
                <w:szCs w:val="15"/>
                <w:color w:val="auto"/>
              </w:rPr>
            </w:pPr>
          </w:p>
        </w:tc>
      </w:tr>
      <w:tr>
        <w:trPr>
          <w:trHeight w:val="180"/>
        </w:trPr>
        <w:tc>
          <w:tcPr>
            <w:tcW w:w="5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Financial Assets</w:t>
            </w:r>
          </w:p>
        </w:tc>
        <w:tc>
          <w:tcPr>
            <w:tcW w:w="280" w:type="dxa"/>
            <w:vAlign w:val="bottom"/>
            <w:shd w:val="clear" w:color="auto" w:fill="CFF0FC"/>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6"/>
                <w:szCs w:val="16"/>
                <w:color w:val="auto"/>
              </w:rPr>
              <w:t>Finance receivables of CFEs</w:t>
            </w:r>
          </w:p>
        </w:tc>
        <w:tc>
          <w:tcPr>
            <w:tcW w:w="500" w:type="dxa"/>
            <w:vAlign w:val="bottom"/>
            <w:gridSpan w:val="2"/>
          </w:tcPr>
          <w:p>
            <w:pPr>
              <w:jc w:val="right"/>
              <w:ind w:right="74"/>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5,329</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4,556</w:t>
            </w:r>
          </w:p>
        </w:tc>
        <w:tc>
          <w:tcPr>
            <w:tcW w:w="460" w:type="dxa"/>
            <w:vAlign w:val="bottom"/>
            <w:gridSpan w:val="2"/>
          </w:tcPr>
          <w:p>
            <w:pPr>
              <w:jc w:val="right"/>
              <w:ind w:right="17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15,884</w:t>
            </w:r>
          </w:p>
        </w:tc>
        <w:tc>
          <w:tcPr>
            <w:tcW w:w="80" w:type="dxa"/>
            <w:vAlign w:val="bottom"/>
          </w:tcPr>
          <w:p>
            <w:pPr>
              <w:spacing w:after="0"/>
              <w:rPr>
                <w:sz w:val="18"/>
                <w:szCs w:val="18"/>
                <w:color w:val="auto"/>
              </w:rPr>
            </w:pPr>
          </w:p>
        </w:tc>
      </w:tr>
      <w:tr>
        <w:trPr>
          <w:trHeight w:val="180"/>
        </w:trPr>
        <w:tc>
          <w:tcPr>
            <w:tcW w:w="5540" w:type="dxa"/>
            <w:vAlign w:val="bottom"/>
            <w:shd w:val="clear" w:color="auto" w:fill="CFF0FC"/>
          </w:tcPr>
          <w:p>
            <w:pPr>
              <w:ind w:left="220"/>
              <w:spacing w:after="0" w:line="180" w:lineRule="exact"/>
              <w:rPr>
                <w:sz w:val="20"/>
                <w:szCs w:val="20"/>
                <w:color w:val="auto"/>
              </w:rPr>
            </w:pPr>
            <w:r>
              <w:rPr>
                <w:rFonts w:ascii="Arial" w:cs="Arial" w:eastAsia="Arial" w:hAnsi="Arial"/>
                <w:sz w:val="16"/>
                <w:szCs w:val="16"/>
                <w:color w:val="auto"/>
              </w:rPr>
              <w:t>Finance receivables at fair value</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12,260</w:t>
            </w:r>
          </w:p>
        </w:tc>
        <w:tc>
          <w:tcPr>
            <w:tcW w:w="1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2,192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4,869</w:t>
            </w:r>
          </w:p>
        </w:tc>
      </w:tr>
      <w:tr>
        <w:trPr>
          <w:trHeight w:val="180"/>
        </w:trPr>
        <w:tc>
          <w:tcPr>
            <w:tcW w:w="5540" w:type="dxa"/>
            <w:vAlign w:val="bottom"/>
          </w:tcPr>
          <w:p>
            <w:pPr>
              <w:ind w:left="220"/>
              <w:spacing w:after="0" w:line="180" w:lineRule="exact"/>
              <w:rPr>
                <w:sz w:val="20"/>
                <w:szCs w:val="20"/>
                <w:color w:val="auto"/>
              </w:rPr>
            </w:pPr>
            <w:r>
              <w:rPr>
                <w:rFonts w:ascii="Arial" w:cs="Arial" w:eastAsia="Arial" w:hAnsi="Arial"/>
                <w:sz w:val="16"/>
                <w:szCs w:val="16"/>
                <w:color w:val="auto"/>
              </w:rPr>
              <w:t>Beneficial interests in securitizations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(69)</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(10)</w:t>
            </w:r>
          </w:p>
        </w:tc>
      </w:tr>
      <w:tr>
        <w:trPr>
          <w:trHeight w:val="180"/>
        </w:trPr>
        <w:tc>
          <w:tcPr>
            <w:tcW w:w="5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Financial Liabilities</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5540" w:type="dxa"/>
            <w:vAlign w:val="bottom"/>
          </w:tcPr>
          <w:p>
            <w:pPr>
              <w:ind w:left="80"/>
              <w:spacing w:after="0" w:line="180" w:lineRule="exact"/>
              <w:rPr>
                <w:sz w:val="20"/>
                <w:szCs w:val="20"/>
                <w:color w:val="auto"/>
              </w:rPr>
            </w:pPr>
            <w:r>
              <w:rPr>
                <w:rFonts w:ascii="Arial" w:cs="Arial" w:eastAsia="Arial" w:hAnsi="Arial"/>
                <w:sz w:val="16"/>
                <w:szCs w:val="16"/>
                <w:color w:val="auto"/>
              </w:rPr>
              <w:t>Debt of securitized VIEs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1,952</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(2,267)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(2,549)</w:t>
            </w:r>
          </w:p>
        </w:tc>
      </w:tr>
      <w:tr>
        <w:trPr>
          <w:trHeight w:val="200"/>
        </w:trPr>
        <w:tc>
          <w:tcPr>
            <w:tcW w:w="5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net loss included in "Realized and unrealized losses, net of recoveries"</w:t>
            </w:r>
          </w:p>
        </w:tc>
        <w:tc>
          <w:tcPr>
            <w:tcW w:w="500" w:type="dxa"/>
            <w:vAlign w:val="bottom"/>
            <w:gridSpan w:val="2"/>
            <w:shd w:val="clear" w:color="auto" w:fill="CFF0FC"/>
          </w:tcPr>
          <w:p>
            <w:pPr>
              <w:jc w:val="right"/>
              <w:ind w:right="74"/>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19,472</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4,481</w:t>
            </w:r>
          </w:p>
        </w:tc>
        <w:tc>
          <w:tcPr>
            <w:tcW w:w="460" w:type="dxa"/>
            <w:vAlign w:val="bottom"/>
            <w:gridSpan w:val="2"/>
            <w:shd w:val="clear" w:color="auto" w:fill="CFF0FC"/>
          </w:tcPr>
          <w:p>
            <w:pPr>
              <w:jc w:val="right"/>
              <w:ind w:right="174"/>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18,194</w:t>
            </w:r>
          </w:p>
        </w:tc>
        <w:tc>
          <w:tcPr>
            <w:tcW w:w="80" w:type="dxa"/>
            <w:vAlign w:val="bottom"/>
            <w:shd w:val="clear" w:color="auto" w:fill="CFF0FC"/>
          </w:tcPr>
          <w:p>
            <w:pPr>
              <w:spacing w:after="0"/>
              <w:rPr>
                <w:sz w:val="17"/>
                <w:szCs w:val="17"/>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other relevant data related to the finance receivables carried at fair value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1880" w:type="dxa"/>
            <w:vAlign w:val="bottom"/>
            <w:gridSpan w:val="2"/>
          </w:tcPr>
          <w:p>
            <w:pPr>
              <w:jc w:val="right"/>
              <w:ind w:right="204"/>
              <w:spacing w:after="0"/>
              <w:rPr>
                <w:sz w:val="20"/>
                <w:szCs w:val="20"/>
                <w:color w:val="auto"/>
              </w:rPr>
            </w:pPr>
            <w:r>
              <w:rPr>
                <w:rFonts w:ascii="Arial" w:cs="Arial" w:eastAsia="Arial" w:hAnsi="Arial"/>
                <w:sz w:val="13"/>
                <w:szCs w:val="13"/>
                <w:b w:val="1"/>
                <w:bCs w:val="1"/>
                <w:color w:val="auto"/>
              </w:rPr>
              <w:t>Finance Receivables of</w:t>
            </w:r>
          </w:p>
        </w:tc>
        <w:tc>
          <w:tcPr>
            <w:tcW w:w="2040" w:type="dxa"/>
            <w:vAlign w:val="bottom"/>
            <w:gridSpan w:val="2"/>
          </w:tcPr>
          <w:p>
            <w:pPr>
              <w:jc w:val="right"/>
              <w:ind w:right="224"/>
              <w:spacing w:after="0"/>
              <w:rPr>
                <w:sz w:val="20"/>
                <w:szCs w:val="20"/>
                <w:color w:val="auto"/>
              </w:rPr>
            </w:pPr>
            <w:r>
              <w:rPr>
                <w:rFonts w:ascii="Arial" w:cs="Arial" w:eastAsia="Arial" w:hAnsi="Arial"/>
                <w:sz w:val="13"/>
                <w:szCs w:val="13"/>
                <w:b w:val="1"/>
                <w:bCs w:val="1"/>
                <w:color w:val="auto"/>
              </w:rPr>
              <w:t>Finance Receivables at</w:t>
            </w:r>
          </w:p>
        </w:tc>
      </w:tr>
      <w:tr>
        <w:trPr>
          <w:trHeight w:val="168"/>
        </w:trPr>
        <w:tc>
          <w:tcPr>
            <w:tcW w:w="6640" w:type="dxa"/>
            <w:vAlign w:val="bottom"/>
          </w:tcPr>
          <w:p>
            <w:pPr>
              <w:spacing w:after="0"/>
              <w:rPr>
                <w:sz w:val="20"/>
                <w:szCs w:val="20"/>
                <w:color w:val="auto"/>
              </w:rPr>
            </w:pPr>
            <w:r>
              <w:rPr>
                <w:rFonts w:ascii="Arial" w:cs="Arial" w:eastAsia="Arial" w:hAnsi="Arial"/>
                <w:sz w:val="13"/>
                <w:szCs w:val="13"/>
                <w:b w:val="1"/>
                <w:bCs w:val="1"/>
                <w:color w:val="auto"/>
              </w:rPr>
              <w:t>As of March 31, 2025 (Successor)</w:t>
            </w:r>
          </w:p>
        </w:tc>
        <w:tc>
          <w:tcPr>
            <w:tcW w:w="220" w:type="dxa"/>
            <w:vAlign w:val="bottom"/>
          </w:tcPr>
          <w:p>
            <w:pPr>
              <w:spacing w:after="0"/>
              <w:rPr>
                <w:sz w:val="14"/>
                <w:szCs w:val="14"/>
                <w:color w:val="auto"/>
              </w:rPr>
            </w:pPr>
          </w:p>
        </w:tc>
        <w:tc>
          <w:tcPr>
            <w:tcW w:w="1660" w:type="dxa"/>
            <w:vAlign w:val="bottom"/>
          </w:tcPr>
          <w:p>
            <w:pPr>
              <w:jc w:val="right"/>
              <w:ind w:right="344"/>
              <w:spacing w:after="0"/>
              <w:rPr>
                <w:sz w:val="20"/>
                <w:szCs w:val="20"/>
                <w:color w:val="auto"/>
              </w:rPr>
            </w:pPr>
            <w:r>
              <w:rPr>
                <w:rFonts w:ascii="Arial" w:cs="Arial" w:eastAsia="Arial" w:hAnsi="Arial"/>
                <w:sz w:val="13"/>
                <w:szCs w:val="13"/>
                <w:b w:val="1"/>
                <w:bCs w:val="1"/>
                <w:color w:val="auto"/>
              </w:rPr>
              <w:t>CFEs at Fair Value</w:t>
            </w:r>
          </w:p>
        </w:tc>
        <w:tc>
          <w:tcPr>
            <w:tcW w:w="480" w:type="dxa"/>
            <w:vAlign w:val="bottom"/>
          </w:tcPr>
          <w:p>
            <w:pPr>
              <w:spacing w:after="0"/>
              <w:rPr>
                <w:sz w:val="14"/>
                <w:szCs w:val="14"/>
                <w:color w:val="auto"/>
              </w:rPr>
            </w:pPr>
          </w:p>
        </w:tc>
        <w:tc>
          <w:tcPr>
            <w:tcW w:w="1560" w:type="dxa"/>
            <w:vAlign w:val="bottom"/>
          </w:tcPr>
          <w:p>
            <w:pPr>
              <w:jc w:val="right"/>
              <w:ind w:right="644"/>
              <w:spacing w:after="0"/>
              <w:rPr>
                <w:sz w:val="20"/>
                <w:szCs w:val="20"/>
                <w:color w:val="auto"/>
              </w:rPr>
            </w:pPr>
            <w:r>
              <w:rPr>
                <w:rFonts w:ascii="Arial" w:cs="Arial" w:eastAsia="Arial" w:hAnsi="Arial"/>
                <w:sz w:val="13"/>
                <w:szCs w:val="13"/>
                <w:b w:val="1"/>
                <w:bCs w:val="1"/>
                <w:color w:val="auto"/>
              </w:rPr>
              <w:t>Fair Value</w:t>
            </w:r>
          </w:p>
        </w:tc>
      </w:tr>
      <w:tr>
        <w:trPr>
          <w:trHeight w:val="169"/>
        </w:trPr>
        <w:tc>
          <w:tcPr>
            <w:tcW w:w="66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w w:val="98"/>
              </w:rPr>
              <w:t>Aggregate unpaid principal balance included within finance receivables that are reported at fair</w:t>
            </w:r>
          </w:p>
        </w:tc>
        <w:tc>
          <w:tcPr>
            <w:tcW w:w="2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19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value</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752,014</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213,395</w:t>
            </w:r>
          </w:p>
        </w:tc>
      </w:tr>
      <w:tr>
        <w:trPr>
          <w:trHeight w:val="180"/>
        </w:trPr>
        <w:tc>
          <w:tcPr>
            <w:tcW w:w="6640" w:type="dxa"/>
            <w:vAlign w:val="bottom"/>
          </w:tcPr>
          <w:p>
            <w:pPr>
              <w:spacing w:after="0" w:line="180" w:lineRule="exact"/>
              <w:rPr>
                <w:sz w:val="20"/>
                <w:szCs w:val="20"/>
                <w:color w:val="auto"/>
              </w:rPr>
            </w:pPr>
            <w:r>
              <w:rPr>
                <w:rFonts w:ascii="Arial" w:cs="Arial" w:eastAsia="Arial" w:hAnsi="Arial"/>
                <w:sz w:val="16"/>
                <w:szCs w:val="16"/>
                <w:color w:val="auto"/>
              </w:rPr>
              <w:t>Aggregate fair value of finance receivables that are reported at fair value</w:t>
            </w:r>
          </w:p>
        </w:tc>
        <w:tc>
          <w:tcPr>
            <w:tcW w:w="2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1660" w:type="dxa"/>
            <w:vAlign w:val="bottom"/>
          </w:tcPr>
          <w:p>
            <w:pPr>
              <w:jc w:val="right"/>
              <w:ind w:right="124"/>
              <w:spacing w:after="0" w:line="180" w:lineRule="exact"/>
              <w:rPr>
                <w:sz w:val="20"/>
                <w:szCs w:val="20"/>
                <w:color w:val="auto"/>
              </w:rPr>
            </w:pPr>
            <w:r>
              <w:rPr>
                <w:rFonts w:ascii="Arial" w:cs="Arial" w:eastAsia="Arial" w:hAnsi="Arial"/>
                <w:sz w:val="16"/>
                <w:szCs w:val="16"/>
                <w:color w:val="auto"/>
              </w:rPr>
              <w:t>677,600</w:t>
            </w:r>
          </w:p>
        </w:tc>
        <w:tc>
          <w:tcPr>
            <w:tcW w:w="480" w:type="dxa"/>
            <w:vAlign w:val="bottom"/>
          </w:tcPr>
          <w:p>
            <w:pPr>
              <w:jc w:val="right"/>
              <w:ind w:right="124"/>
              <w:spacing w:after="0" w:line="180"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144"/>
              <w:spacing w:after="0" w:line="180" w:lineRule="exact"/>
              <w:rPr>
                <w:sz w:val="20"/>
                <w:szCs w:val="20"/>
                <w:color w:val="auto"/>
              </w:rPr>
            </w:pPr>
            <w:r>
              <w:rPr>
                <w:rFonts w:ascii="Arial" w:cs="Arial" w:eastAsia="Arial" w:hAnsi="Arial"/>
                <w:sz w:val="16"/>
                <w:szCs w:val="16"/>
                <w:color w:val="auto"/>
              </w:rPr>
              <w:t>180,600</w:t>
            </w:r>
          </w:p>
        </w:tc>
      </w:tr>
      <w:tr>
        <w:trPr>
          <w:trHeight w:val="169"/>
        </w:trPr>
        <w:tc>
          <w:tcPr>
            <w:tcW w:w="66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w w:val="98"/>
              </w:rPr>
              <w:t>Unpaid principal balance of receivables within finance receivables that are reported at fair value</w:t>
            </w:r>
          </w:p>
        </w:tc>
        <w:tc>
          <w:tcPr>
            <w:tcW w:w="2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19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and are on nonaccrual status (90 days or more past due)</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5,852</w:t>
            </w:r>
          </w:p>
        </w:tc>
        <w:tc>
          <w:tcPr>
            <w:tcW w:w="48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6,217</w:t>
            </w:r>
          </w:p>
        </w:tc>
      </w:tr>
      <w:tr>
        <w:trPr>
          <w:trHeight w:val="169"/>
        </w:trPr>
        <w:tc>
          <w:tcPr>
            <w:tcW w:w="6640" w:type="dxa"/>
            <w:vAlign w:val="bottom"/>
          </w:tcPr>
          <w:p>
            <w:pPr>
              <w:spacing w:after="0" w:line="169" w:lineRule="exact"/>
              <w:rPr>
                <w:sz w:val="20"/>
                <w:szCs w:val="20"/>
                <w:color w:val="auto"/>
              </w:rPr>
            </w:pPr>
            <w:r>
              <w:rPr>
                <w:rFonts w:ascii="Arial" w:cs="Arial" w:eastAsia="Arial" w:hAnsi="Arial"/>
                <w:sz w:val="16"/>
                <w:szCs w:val="16"/>
                <w:color w:val="auto"/>
                <w:w w:val="99"/>
              </w:rPr>
              <w:t>Aggregate fair value of receivables carried at fair value that are on nonaccrual status (90 days</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5"/>
        </w:trPr>
        <w:tc>
          <w:tcPr>
            <w:tcW w:w="6640" w:type="dxa"/>
            <w:vAlign w:val="bottom"/>
          </w:tcPr>
          <w:p>
            <w:pPr>
              <w:spacing w:after="0"/>
              <w:rPr>
                <w:sz w:val="20"/>
                <w:szCs w:val="20"/>
                <w:color w:val="auto"/>
              </w:rPr>
            </w:pPr>
            <w:r>
              <w:rPr>
                <w:rFonts w:ascii="Arial" w:cs="Arial" w:eastAsia="Arial" w:hAnsi="Arial"/>
                <w:sz w:val="16"/>
                <w:szCs w:val="16"/>
                <w:color w:val="auto"/>
              </w:rPr>
              <w:t>or more past due)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4"/>
              <w:spacing w:after="0"/>
              <w:rPr>
                <w:sz w:val="20"/>
                <w:szCs w:val="20"/>
                <w:color w:val="auto"/>
              </w:rPr>
            </w:pPr>
            <w:r>
              <w:rPr>
                <w:rFonts w:ascii="Arial" w:cs="Arial" w:eastAsia="Arial" w:hAnsi="Arial"/>
                <w:sz w:val="16"/>
                <w:szCs w:val="16"/>
                <w:color w:val="auto"/>
              </w:rPr>
              <w:t>5,154</w:t>
            </w:r>
          </w:p>
        </w:tc>
        <w:tc>
          <w:tcPr>
            <w:tcW w:w="48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4"/>
              <w:spacing w:after="0"/>
              <w:rPr>
                <w:sz w:val="20"/>
                <w:szCs w:val="20"/>
                <w:color w:val="auto"/>
              </w:rPr>
            </w:pPr>
            <w:r>
              <w:rPr>
                <w:rFonts w:ascii="Arial" w:cs="Arial" w:eastAsia="Arial" w:hAnsi="Arial"/>
                <w:sz w:val="16"/>
                <w:szCs w:val="16"/>
                <w:color w:val="auto"/>
              </w:rPr>
              <w:t>4,360</w:t>
            </w:r>
          </w:p>
        </w:tc>
      </w:tr>
      <w:tr>
        <w:trPr>
          <w:trHeight w:val="540"/>
        </w:trPr>
        <w:tc>
          <w:tcPr>
            <w:tcW w:w="6640" w:type="dxa"/>
            <w:vAlign w:val="bottom"/>
          </w:tcPr>
          <w:p>
            <w:pPr>
              <w:ind w:left="5200"/>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70"/>
        </w:trPr>
        <w:tc>
          <w:tcPr>
            <w:tcW w:w="66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type w:val="continuous"/>
        </w:sectPr>
      </w:pPr>
    </w:p>
    <w:bookmarkStart w:id="44" w:name="page45"/>
    <w:bookmarkEnd w:id="4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00" w:type="dxa"/>
            <w:vAlign w:val="bottom"/>
          </w:tcPr>
          <w:p>
            <w:pPr>
              <w:spacing w:after="0"/>
              <w:rPr>
                <w:sz w:val="13"/>
                <w:szCs w:val="13"/>
                <w:color w:val="auto"/>
              </w:rPr>
            </w:pPr>
          </w:p>
        </w:tc>
        <w:tc>
          <w:tcPr>
            <w:tcW w:w="1920" w:type="dxa"/>
            <w:vAlign w:val="bottom"/>
            <w:gridSpan w:val="2"/>
          </w:tcPr>
          <w:p>
            <w:pPr>
              <w:jc w:val="right"/>
              <w:ind w:right="224"/>
              <w:spacing w:after="0"/>
              <w:rPr>
                <w:sz w:val="20"/>
                <w:szCs w:val="20"/>
                <w:color w:val="auto"/>
              </w:rPr>
            </w:pPr>
            <w:r>
              <w:rPr>
                <w:rFonts w:ascii="Arial" w:cs="Arial" w:eastAsia="Arial" w:hAnsi="Arial"/>
                <w:sz w:val="13"/>
                <w:szCs w:val="13"/>
                <w:b w:val="1"/>
                <w:bCs w:val="1"/>
                <w:color w:val="auto"/>
              </w:rPr>
              <w:t>Finance Receivables of</w:t>
            </w:r>
          </w:p>
        </w:tc>
        <w:tc>
          <w:tcPr>
            <w:tcW w:w="2040" w:type="dxa"/>
            <w:vAlign w:val="bottom"/>
            <w:gridSpan w:val="2"/>
          </w:tcPr>
          <w:p>
            <w:pPr>
              <w:jc w:val="right"/>
              <w:ind w:right="244"/>
              <w:spacing w:after="0"/>
              <w:rPr>
                <w:sz w:val="20"/>
                <w:szCs w:val="20"/>
                <w:color w:val="auto"/>
              </w:rPr>
            </w:pPr>
            <w:r>
              <w:rPr>
                <w:rFonts w:ascii="Arial" w:cs="Arial" w:eastAsia="Arial" w:hAnsi="Arial"/>
                <w:sz w:val="13"/>
                <w:szCs w:val="13"/>
                <w:b w:val="1"/>
                <w:bCs w:val="1"/>
                <w:color w:val="auto"/>
              </w:rPr>
              <w:t>Finance Receivables at</w:t>
            </w:r>
          </w:p>
        </w:tc>
      </w:tr>
      <w:tr>
        <w:trPr>
          <w:trHeight w:val="168"/>
        </w:trPr>
        <w:tc>
          <w:tcPr>
            <w:tcW w:w="6600" w:type="dxa"/>
            <w:vAlign w:val="bottom"/>
          </w:tcPr>
          <w:p>
            <w:pPr>
              <w:spacing w:after="0"/>
              <w:rPr>
                <w:sz w:val="20"/>
                <w:szCs w:val="20"/>
                <w:color w:val="auto"/>
              </w:rPr>
            </w:pPr>
            <w:r>
              <w:rPr>
                <w:rFonts w:ascii="Arial" w:cs="Arial" w:eastAsia="Arial" w:hAnsi="Arial"/>
                <w:sz w:val="13"/>
                <w:szCs w:val="13"/>
                <w:b w:val="1"/>
                <w:bCs w:val="1"/>
                <w:color w:val="auto"/>
              </w:rPr>
              <w:t>As of December 31, 2024 (Predecessor)</w:t>
            </w:r>
          </w:p>
        </w:tc>
        <w:tc>
          <w:tcPr>
            <w:tcW w:w="240" w:type="dxa"/>
            <w:vAlign w:val="bottom"/>
          </w:tcPr>
          <w:p>
            <w:pPr>
              <w:spacing w:after="0"/>
              <w:rPr>
                <w:sz w:val="14"/>
                <w:szCs w:val="14"/>
                <w:color w:val="auto"/>
              </w:rPr>
            </w:pPr>
          </w:p>
        </w:tc>
        <w:tc>
          <w:tcPr>
            <w:tcW w:w="1680" w:type="dxa"/>
            <w:vAlign w:val="bottom"/>
          </w:tcPr>
          <w:p>
            <w:pPr>
              <w:jc w:val="right"/>
              <w:ind w:right="364"/>
              <w:spacing w:after="0"/>
              <w:rPr>
                <w:sz w:val="20"/>
                <w:szCs w:val="20"/>
                <w:color w:val="auto"/>
              </w:rPr>
            </w:pPr>
            <w:r>
              <w:rPr>
                <w:rFonts w:ascii="Arial" w:cs="Arial" w:eastAsia="Arial" w:hAnsi="Arial"/>
                <w:sz w:val="13"/>
                <w:szCs w:val="13"/>
                <w:b w:val="1"/>
                <w:bCs w:val="1"/>
                <w:color w:val="auto"/>
              </w:rPr>
              <w:t>CFEs at Fair Value</w:t>
            </w:r>
          </w:p>
        </w:tc>
        <w:tc>
          <w:tcPr>
            <w:tcW w:w="500" w:type="dxa"/>
            <w:vAlign w:val="bottom"/>
          </w:tcPr>
          <w:p>
            <w:pPr>
              <w:spacing w:after="0"/>
              <w:rPr>
                <w:sz w:val="14"/>
                <w:szCs w:val="14"/>
                <w:color w:val="auto"/>
              </w:rPr>
            </w:pPr>
          </w:p>
        </w:tc>
        <w:tc>
          <w:tcPr>
            <w:tcW w:w="1540" w:type="dxa"/>
            <w:vAlign w:val="bottom"/>
          </w:tcPr>
          <w:p>
            <w:pPr>
              <w:jc w:val="right"/>
              <w:ind w:right="644"/>
              <w:spacing w:after="0"/>
              <w:rPr>
                <w:sz w:val="20"/>
                <w:szCs w:val="20"/>
                <w:color w:val="auto"/>
              </w:rPr>
            </w:pPr>
            <w:r>
              <w:rPr>
                <w:rFonts w:ascii="Arial" w:cs="Arial" w:eastAsia="Arial" w:hAnsi="Arial"/>
                <w:sz w:val="13"/>
                <w:szCs w:val="13"/>
                <w:b w:val="1"/>
                <w:bCs w:val="1"/>
                <w:color w:val="auto"/>
              </w:rPr>
              <w:t>Fair Value</w:t>
            </w:r>
          </w:p>
        </w:tc>
      </w:tr>
      <w:tr>
        <w:trPr>
          <w:trHeight w:val="169"/>
        </w:trPr>
        <w:tc>
          <w:tcPr>
            <w:tcW w:w="660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w w:val="98"/>
              </w:rPr>
              <w:t>Aggregate unpaid principal balance included within finance receivables that are reported at fair</w:t>
            </w:r>
          </w:p>
        </w:tc>
        <w:tc>
          <w:tcPr>
            <w:tcW w:w="24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r>
      <w:tr>
        <w:trPr>
          <w:trHeight w:val="191"/>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value</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244,345</w:t>
            </w:r>
          </w:p>
        </w:tc>
        <w:tc>
          <w:tcPr>
            <w:tcW w:w="5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64"/>
              <w:spacing w:after="0"/>
              <w:rPr>
                <w:sz w:val="20"/>
                <w:szCs w:val="20"/>
                <w:color w:val="auto"/>
              </w:rPr>
            </w:pPr>
            <w:r>
              <w:rPr>
                <w:rFonts w:ascii="Arial" w:cs="Arial" w:eastAsia="Arial" w:hAnsi="Arial"/>
                <w:sz w:val="16"/>
                <w:szCs w:val="16"/>
                <w:color w:val="auto"/>
              </w:rPr>
              <w:t>331,882</w:t>
            </w:r>
          </w:p>
        </w:tc>
      </w:tr>
      <w:tr>
        <w:trPr>
          <w:trHeight w:val="180"/>
        </w:trPr>
        <w:tc>
          <w:tcPr>
            <w:tcW w:w="6600" w:type="dxa"/>
            <w:vAlign w:val="bottom"/>
          </w:tcPr>
          <w:p>
            <w:pPr>
              <w:spacing w:after="0" w:line="180" w:lineRule="exact"/>
              <w:rPr>
                <w:sz w:val="20"/>
                <w:szCs w:val="20"/>
                <w:color w:val="auto"/>
              </w:rPr>
            </w:pPr>
            <w:r>
              <w:rPr>
                <w:rFonts w:ascii="Arial" w:cs="Arial" w:eastAsia="Arial" w:hAnsi="Arial"/>
                <w:sz w:val="16"/>
                <w:szCs w:val="16"/>
                <w:color w:val="auto"/>
              </w:rPr>
              <w:t>Aggregate fair value of finance receivables that are reported at fair value</w:t>
            </w:r>
          </w:p>
        </w:tc>
        <w:tc>
          <w:tcPr>
            <w:tcW w:w="2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1680" w:type="dxa"/>
            <w:vAlign w:val="bottom"/>
          </w:tcPr>
          <w:p>
            <w:pPr>
              <w:jc w:val="right"/>
              <w:ind w:right="144"/>
              <w:spacing w:after="0" w:line="180" w:lineRule="exact"/>
              <w:rPr>
                <w:sz w:val="20"/>
                <w:szCs w:val="20"/>
                <w:color w:val="auto"/>
              </w:rPr>
            </w:pPr>
            <w:r>
              <w:rPr>
                <w:rFonts w:ascii="Arial" w:cs="Arial" w:eastAsia="Arial" w:hAnsi="Arial"/>
                <w:sz w:val="16"/>
                <w:szCs w:val="16"/>
                <w:color w:val="auto"/>
              </w:rPr>
              <w:t>214,420</w:t>
            </w:r>
          </w:p>
        </w:tc>
        <w:tc>
          <w:tcPr>
            <w:tcW w:w="500" w:type="dxa"/>
            <w:vAlign w:val="bottom"/>
          </w:tcPr>
          <w:p>
            <w:pPr>
              <w:jc w:val="right"/>
              <w:ind w:right="124"/>
              <w:spacing w:after="0" w:line="180"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164"/>
              <w:spacing w:after="0" w:line="180" w:lineRule="exact"/>
              <w:rPr>
                <w:sz w:val="20"/>
                <w:szCs w:val="20"/>
                <w:color w:val="auto"/>
              </w:rPr>
            </w:pPr>
            <w:r>
              <w:rPr>
                <w:rFonts w:ascii="Arial" w:cs="Arial" w:eastAsia="Arial" w:hAnsi="Arial"/>
                <w:sz w:val="16"/>
                <w:szCs w:val="16"/>
                <w:color w:val="auto"/>
              </w:rPr>
              <w:t>289,428</w:t>
            </w:r>
          </w:p>
        </w:tc>
      </w:tr>
      <w:tr>
        <w:trPr>
          <w:trHeight w:val="169"/>
        </w:trPr>
        <w:tc>
          <w:tcPr>
            <w:tcW w:w="660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Unpaid principal balance of receivables within finance receivables that are reported at fair</w:t>
            </w:r>
          </w:p>
        </w:tc>
        <w:tc>
          <w:tcPr>
            <w:tcW w:w="24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r>
      <w:tr>
        <w:trPr>
          <w:trHeight w:val="191"/>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value and are on nonaccrual status (90 days or more past due)</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5,969</w:t>
            </w:r>
          </w:p>
        </w:tc>
        <w:tc>
          <w:tcPr>
            <w:tcW w:w="5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64"/>
              <w:spacing w:after="0"/>
              <w:rPr>
                <w:sz w:val="20"/>
                <w:szCs w:val="20"/>
                <w:color w:val="auto"/>
              </w:rPr>
            </w:pPr>
            <w:r>
              <w:rPr>
                <w:rFonts w:ascii="Arial" w:cs="Arial" w:eastAsia="Arial" w:hAnsi="Arial"/>
                <w:sz w:val="16"/>
                <w:szCs w:val="16"/>
                <w:color w:val="auto"/>
              </w:rPr>
              <w:t>3,663</w:t>
            </w:r>
          </w:p>
        </w:tc>
      </w:tr>
      <w:tr>
        <w:trPr>
          <w:trHeight w:val="169"/>
        </w:trPr>
        <w:tc>
          <w:tcPr>
            <w:tcW w:w="6600" w:type="dxa"/>
            <w:vAlign w:val="bottom"/>
          </w:tcPr>
          <w:p>
            <w:pPr>
              <w:spacing w:after="0" w:line="169" w:lineRule="exact"/>
              <w:rPr>
                <w:sz w:val="20"/>
                <w:szCs w:val="20"/>
                <w:color w:val="auto"/>
              </w:rPr>
            </w:pPr>
            <w:r>
              <w:rPr>
                <w:rFonts w:ascii="Arial" w:cs="Arial" w:eastAsia="Arial" w:hAnsi="Arial"/>
                <w:sz w:val="16"/>
                <w:szCs w:val="16"/>
                <w:color w:val="auto"/>
                <w:w w:val="99"/>
              </w:rPr>
              <w:t>Aggregate fair value of receivables carried at fair value that are on nonaccrual status (90 days</w:t>
            </w: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5"/>
        </w:trPr>
        <w:tc>
          <w:tcPr>
            <w:tcW w:w="6600" w:type="dxa"/>
            <w:vAlign w:val="bottom"/>
          </w:tcPr>
          <w:p>
            <w:pPr>
              <w:spacing w:after="0"/>
              <w:rPr>
                <w:sz w:val="20"/>
                <w:szCs w:val="20"/>
                <w:color w:val="auto"/>
              </w:rPr>
            </w:pPr>
            <w:r>
              <w:rPr>
                <w:rFonts w:ascii="Arial" w:cs="Arial" w:eastAsia="Arial" w:hAnsi="Arial"/>
                <w:sz w:val="16"/>
                <w:szCs w:val="16"/>
                <w:color w:val="auto"/>
              </w:rPr>
              <w:t>or more past due)</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4"/>
              <w:spacing w:after="0"/>
              <w:rPr>
                <w:sz w:val="20"/>
                <w:szCs w:val="20"/>
                <w:color w:val="auto"/>
              </w:rPr>
            </w:pPr>
            <w:r>
              <w:rPr>
                <w:rFonts w:ascii="Arial" w:cs="Arial" w:eastAsia="Arial" w:hAnsi="Arial"/>
                <w:sz w:val="16"/>
                <w:szCs w:val="16"/>
                <w:color w:val="auto"/>
              </w:rPr>
              <w:t>5,228</w:t>
            </w:r>
          </w:p>
        </w:tc>
        <w:tc>
          <w:tcPr>
            <w:tcW w:w="5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4"/>
              <w:spacing w:after="0"/>
              <w:rPr>
                <w:sz w:val="20"/>
                <w:szCs w:val="20"/>
                <w:color w:val="auto"/>
              </w:rPr>
            </w:pPr>
            <w:r>
              <w:rPr>
                <w:rFonts w:ascii="Arial" w:cs="Arial" w:eastAsia="Arial" w:hAnsi="Arial"/>
                <w:sz w:val="16"/>
                <w:szCs w:val="16"/>
                <w:color w:val="auto"/>
              </w:rPr>
              <w:t>2,551</w:t>
            </w:r>
          </w:p>
        </w:tc>
      </w:tr>
    </w:tbl>
    <w:p>
      <w:pPr>
        <w:spacing w:after="0" w:line="15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finance receivables of CFEs are pledged to the CFEs trusts.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presents other relevant data related to securitization debt of consolidated VIEs carried at fair value (in thousands):</w:t>
      </w:r>
    </w:p>
    <w:p>
      <w:pPr>
        <w:sectPr>
          <w:pgSz w:w="11900" w:h="16840" w:orient="portrait"/>
          <w:cols w:equalWidth="0" w:num="1">
            <w:col w:w="10560"/>
          </w:cols>
          <w:pgMar w:left="660" w:top="555" w:right="680"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 of March 31, 2025 (Successor)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Securitization debt of</w:t>
      </w:r>
    </w:p>
    <w:p>
      <w:pPr>
        <w:spacing w:after="0" w:line="19"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consolidated VIEs at Fair Value</w:t>
      </w:r>
    </w:p>
    <w:p>
      <w:pPr>
        <w:spacing w:after="0" w:line="2" w:lineRule="exact"/>
        <w:rPr>
          <w:sz w:val="20"/>
          <w:szCs w:val="20"/>
          <w:color w:val="auto"/>
        </w:rPr>
      </w:pPr>
    </w:p>
    <w:p>
      <w:pPr>
        <w:sectPr>
          <w:pgSz w:w="11900" w:h="16840" w:orient="portrait"/>
          <w:cols w:equalWidth="0" w:num="2">
            <w:col w:w="7740" w:space="720"/>
            <w:col w:w="2100"/>
          </w:cols>
          <w:pgMar w:left="660" w:top="555" w:right="680"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Aggregate unpaid principal balance of rated notes of securitized VIEs</w:t>
            </w:r>
          </w:p>
        </w:tc>
        <w:tc>
          <w:tcPr>
            <w:tcW w:w="36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623,133</w:t>
            </w:r>
          </w:p>
        </w:tc>
      </w:tr>
      <w:tr>
        <w:trPr>
          <w:trHeight w:val="205"/>
        </w:trPr>
        <w:tc>
          <w:tcPr>
            <w:tcW w:w="5000" w:type="dxa"/>
            <w:vAlign w:val="bottom"/>
          </w:tcPr>
          <w:p>
            <w:pPr>
              <w:spacing w:after="0"/>
              <w:rPr>
                <w:sz w:val="20"/>
                <w:szCs w:val="20"/>
                <w:color w:val="auto"/>
              </w:rPr>
            </w:pPr>
            <w:r>
              <w:rPr>
                <w:rFonts w:ascii="Arial" w:cs="Arial" w:eastAsia="Arial" w:hAnsi="Arial"/>
                <w:sz w:val="16"/>
                <w:szCs w:val="16"/>
                <w:color w:val="auto"/>
              </w:rPr>
              <w:t>Aggregate fair value of rated notes of securitized VIEs</w:t>
            </w:r>
          </w:p>
        </w:tc>
        <w:tc>
          <w:tcPr>
            <w:tcW w:w="36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4"/>
              <w:spacing w:after="0"/>
              <w:rPr>
                <w:sz w:val="20"/>
                <w:szCs w:val="20"/>
                <w:color w:val="auto"/>
              </w:rPr>
            </w:pPr>
            <w:r>
              <w:rPr>
                <w:rFonts w:ascii="Arial" w:cs="Arial" w:eastAsia="Arial" w:hAnsi="Arial"/>
                <w:sz w:val="16"/>
                <w:szCs w:val="16"/>
                <w:color w:val="auto"/>
              </w:rPr>
              <w:t>613,934</w:t>
            </w:r>
          </w:p>
        </w:tc>
      </w:tr>
      <w:tr>
        <w:trPr>
          <w:trHeight w:val="323"/>
        </w:trPr>
        <w:tc>
          <w:tcPr>
            <w:tcW w:w="5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20" w:type="dxa"/>
            <w:vAlign w:val="bottom"/>
          </w:tcPr>
          <w:p>
            <w:pPr>
              <w:jc w:val="right"/>
              <w:ind w:right="364"/>
              <w:spacing w:after="0"/>
              <w:rPr>
                <w:sz w:val="20"/>
                <w:szCs w:val="20"/>
                <w:color w:val="auto"/>
              </w:rPr>
            </w:pPr>
            <w:r>
              <w:rPr>
                <w:rFonts w:ascii="Arial" w:cs="Arial" w:eastAsia="Arial" w:hAnsi="Arial"/>
                <w:sz w:val="13"/>
                <w:szCs w:val="13"/>
                <w:b w:val="1"/>
                <w:bCs w:val="1"/>
                <w:color w:val="auto"/>
              </w:rPr>
              <w:t>Securitization debt of</w:t>
            </w:r>
          </w:p>
        </w:tc>
      </w:tr>
      <w:tr>
        <w:trPr>
          <w:trHeight w:val="168"/>
        </w:trPr>
        <w:tc>
          <w:tcPr>
            <w:tcW w:w="5000" w:type="dxa"/>
            <w:vAlign w:val="bottom"/>
          </w:tcPr>
          <w:p>
            <w:pPr>
              <w:spacing w:after="0"/>
              <w:rPr>
                <w:sz w:val="20"/>
                <w:szCs w:val="20"/>
                <w:color w:val="auto"/>
              </w:rPr>
            </w:pPr>
            <w:r>
              <w:rPr>
                <w:rFonts w:ascii="Arial" w:cs="Arial" w:eastAsia="Arial" w:hAnsi="Arial"/>
                <w:sz w:val="13"/>
                <w:szCs w:val="13"/>
                <w:b w:val="1"/>
                <w:bCs w:val="1"/>
                <w:color w:val="auto"/>
              </w:rPr>
              <w:t>As of December 31, 2024 (Predecessor)</w:t>
            </w:r>
          </w:p>
        </w:tc>
        <w:tc>
          <w:tcPr>
            <w:tcW w:w="5560" w:type="dxa"/>
            <w:vAlign w:val="bottom"/>
            <w:gridSpan w:val="2"/>
          </w:tcPr>
          <w:p>
            <w:pPr>
              <w:jc w:val="right"/>
              <w:ind w:right="64"/>
              <w:spacing w:after="0"/>
              <w:rPr>
                <w:sz w:val="20"/>
                <w:szCs w:val="20"/>
                <w:color w:val="auto"/>
              </w:rPr>
            </w:pPr>
            <w:r>
              <w:rPr>
                <w:rFonts w:ascii="Arial" w:cs="Arial" w:eastAsia="Arial" w:hAnsi="Arial"/>
                <w:sz w:val="13"/>
                <w:szCs w:val="13"/>
                <w:b w:val="1"/>
                <w:bCs w:val="1"/>
                <w:color w:val="auto"/>
              </w:rPr>
              <w:t>consolidated VIEs at Fair Value</w:t>
            </w:r>
          </w:p>
        </w:tc>
      </w:tr>
      <w:tr>
        <w:trPr>
          <w:trHeight w:val="180"/>
        </w:trPr>
        <w:tc>
          <w:tcPr>
            <w:tcW w:w="50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Aggregate unpaid principal balance of rated notes of securitized VIEs</w:t>
            </w:r>
          </w:p>
        </w:tc>
        <w:tc>
          <w:tcPr>
            <w:tcW w:w="364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4"/>
              <w:spacing w:after="0" w:line="180" w:lineRule="exact"/>
              <w:rPr>
                <w:sz w:val="20"/>
                <w:szCs w:val="20"/>
                <w:color w:val="auto"/>
              </w:rPr>
            </w:pPr>
            <w:r>
              <w:rPr>
                <w:rFonts w:ascii="Arial" w:cs="Arial" w:eastAsia="Arial" w:hAnsi="Arial"/>
                <w:sz w:val="16"/>
                <w:szCs w:val="16"/>
                <w:color w:val="auto"/>
              </w:rPr>
              <w:t>153,160</w:t>
            </w:r>
          </w:p>
        </w:tc>
      </w:tr>
      <w:tr>
        <w:trPr>
          <w:trHeight w:val="205"/>
        </w:trPr>
        <w:tc>
          <w:tcPr>
            <w:tcW w:w="5000" w:type="dxa"/>
            <w:vAlign w:val="bottom"/>
          </w:tcPr>
          <w:p>
            <w:pPr>
              <w:spacing w:after="0"/>
              <w:rPr>
                <w:sz w:val="20"/>
                <w:szCs w:val="20"/>
                <w:color w:val="auto"/>
              </w:rPr>
            </w:pPr>
            <w:r>
              <w:rPr>
                <w:rFonts w:ascii="Arial" w:cs="Arial" w:eastAsia="Arial" w:hAnsi="Arial"/>
                <w:sz w:val="16"/>
                <w:szCs w:val="16"/>
                <w:color w:val="auto"/>
              </w:rPr>
              <w:t>Aggregate fair value of rated notes of securitized VIEs</w:t>
            </w:r>
          </w:p>
        </w:tc>
        <w:tc>
          <w:tcPr>
            <w:tcW w:w="36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4"/>
              <w:spacing w:after="0"/>
              <w:rPr>
                <w:sz w:val="20"/>
                <w:szCs w:val="20"/>
                <w:color w:val="auto"/>
              </w:rPr>
            </w:pPr>
            <w:r>
              <w:rPr>
                <w:rFonts w:ascii="Arial" w:cs="Arial" w:eastAsia="Arial" w:hAnsi="Arial"/>
                <w:sz w:val="16"/>
                <w:szCs w:val="16"/>
                <w:color w:val="auto"/>
              </w:rPr>
              <w:t>142,629</w:t>
            </w:r>
          </w:p>
        </w:tc>
      </w:tr>
      <w:tr>
        <w:trPr>
          <w:trHeight w:val="529"/>
        </w:trPr>
        <w:tc>
          <w:tcPr>
            <w:tcW w:w="5000" w:type="dxa"/>
            <w:vAlign w:val="bottom"/>
          </w:tcPr>
          <w:p>
            <w:pPr>
              <w:spacing w:after="0"/>
              <w:rPr>
                <w:sz w:val="24"/>
                <w:szCs w:val="24"/>
                <w:color w:val="auto"/>
              </w:rPr>
            </w:pPr>
          </w:p>
        </w:tc>
        <w:tc>
          <w:tcPr>
            <w:tcW w:w="3640" w:type="dxa"/>
            <w:vAlign w:val="bottom"/>
          </w:tcPr>
          <w:p>
            <w:pPr>
              <w:jc w:val="right"/>
              <w:ind w:right="3184"/>
              <w:spacing w:after="0"/>
              <w:rPr>
                <w:sz w:val="20"/>
                <w:szCs w:val="20"/>
                <w:color w:val="auto"/>
              </w:rPr>
            </w:pPr>
            <w:r>
              <w:rPr>
                <w:rFonts w:ascii="Arial" w:cs="Arial" w:eastAsia="Arial" w:hAnsi="Arial"/>
                <w:sz w:val="16"/>
                <w:szCs w:val="16"/>
                <w:color w:val="auto"/>
              </w:rPr>
              <w:t>45</w:t>
            </w:r>
          </w:p>
        </w:tc>
        <w:tc>
          <w:tcPr>
            <w:tcW w:w="1920" w:type="dxa"/>
            <w:vAlign w:val="bottom"/>
          </w:tcPr>
          <w:p>
            <w:pPr>
              <w:spacing w:after="0"/>
              <w:rPr>
                <w:sz w:val="24"/>
                <w:szCs w:val="24"/>
                <w:color w:val="auto"/>
              </w:rPr>
            </w:pPr>
          </w:p>
        </w:tc>
      </w:tr>
      <w:tr>
        <w:trPr>
          <w:trHeight w:val="670"/>
        </w:trPr>
        <w:tc>
          <w:tcPr>
            <w:tcW w:w="50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type w:val="continuous"/>
        </w:sectPr>
      </w:pPr>
    </w:p>
    <w:bookmarkStart w:id="45" w:name="page46"/>
    <w:bookmarkEnd w:id="4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 Not Carried at Fair Value</w:t>
      </w:r>
    </w:p>
    <w:p>
      <w:pPr>
        <w:spacing w:after="0" w:line="176" w:lineRule="exact"/>
        <w:rPr>
          <w:sz w:val="20"/>
          <w:szCs w:val="20"/>
          <w:color w:val="auto"/>
        </w:rPr>
      </w:pPr>
    </w:p>
    <w:p>
      <w:pPr>
        <w:ind w:right="340" w:firstLine="696"/>
        <w:spacing w:after="0" w:line="248" w:lineRule="auto"/>
        <w:rPr>
          <w:sz w:val="20"/>
          <w:szCs w:val="20"/>
          <w:color w:val="auto"/>
        </w:rPr>
      </w:pPr>
      <w:r>
        <w:rPr>
          <w:rFonts w:ascii="Arial" w:cs="Arial" w:eastAsia="Arial" w:hAnsi="Arial"/>
          <w:sz w:val="16"/>
          <w:szCs w:val="16"/>
          <w:color w:val="auto"/>
        </w:rPr>
        <w:t>The carrying amounts of restricted cash and other liabilities approximate fair value due to their short-term nature. The carrying value of the Warehouse Credit Facilities was determined to approximate fair value due to its short-term duration and variable interest rates that approximate prevailing interest rates as of each reporting period.</w:t>
      </w:r>
    </w:p>
    <w:p>
      <w:pPr>
        <w:spacing w:after="0" w:line="150" w:lineRule="exact"/>
        <w:rPr>
          <w:sz w:val="20"/>
          <w:szCs w:val="20"/>
          <w:color w:val="auto"/>
        </w:rPr>
      </w:pPr>
    </w:p>
    <w:p>
      <w:pPr>
        <w:ind w:right="80" w:firstLine="696"/>
        <w:spacing w:after="0"/>
        <w:rPr>
          <w:sz w:val="20"/>
          <w:szCs w:val="20"/>
          <w:color w:val="auto"/>
        </w:rPr>
      </w:pPr>
      <w:r>
        <w:rPr>
          <w:rFonts w:ascii="Arial" w:cs="Arial" w:eastAsia="Arial" w:hAnsi="Arial"/>
          <w:sz w:val="16"/>
          <w:szCs w:val="16"/>
          <w:i w:val="1"/>
          <w:iCs w:val="1"/>
          <w:color w:val="auto"/>
        </w:rPr>
        <w:t xml:space="preserve">Finance receivables held for sale, net: </w:t>
      </w:r>
      <w:r>
        <w:rPr>
          <w:rFonts w:ascii="Arial" w:cs="Arial" w:eastAsia="Arial" w:hAnsi="Arial"/>
          <w:sz w:val="16"/>
          <w:szCs w:val="16"/>
          <w:color w:val="auto"/>
        </w:rPr>
        <w:t>For finance receivables eligible to be sold in a securitization, the Company determined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finance receivables utilizing sales prices based on estimated securitization transactions, adjusted for transformation costs, risk and a normal profit margin associated with securitization transactions. Such fair value measurement is considered Level 3 of the fair value hierarchy. Upon emergence from the Prepackaged Chapter 11 Case, and application of fresh start accounting, the Company made an accounting policy election to elect the fair value option for all finance receivables held for sale, net. As of March 31, 2025, the Company did not have any finance receivables held for sale, net. As of December 31, 2024, the carrying value and fair value of the finance receivables held for sale, net were $114.6 million.</w:t>
      </w:r>
    </w:p>
    <w:p>
      <w:pPr>
        <w:spacing w:after="0" w:line="156" w:lineRule="exact"/>
        <w:rPr>
          <w:sz w:val="20"/>
          <w:szCs w:val="20"/>
          <w:color w:val="auto"/>
        </w:rPr>
      </w:pPr>
    </w:p>
    <w:p>
      <w:pPr>
        <w:ind w:right="20" w:firstLine="696"/>
        <w:spacing w:after="0" w:line="239" w:lineRule="auto"/>
        <w:rPr>
          <w:sz w:val="20"/>
          <w:szCs w:val="20"/>
          <w:color w:val="auto"/>
        </w:rPr>
      </w:pPr>
      <w:r>
        <w:rPr>
          <w:rFonts w:ascii="Arial" w:cs="Arial" w:eastAsia="Arial" w:hAnsi="Arial"/>
          <w:sz w:val="16"/>
          <w:szCs w:val="16"/>
          <w:color w:val="auto"/>
        </w:rPr>
        <w:t>For finance receivables sold in a securitization, the Company determined the fair value of these finance receivables by estimating the proceeds that would be generated from selling the notes and the residual interests in the securitization trust. The fair value of the notes was determined utilizing non-binding quoted prices provided by broker dealers, as discussed above, and the Company used a discounted cash flow model to estimate the fair value of the residual interests in the trust. Such fair value measurement is considered Level 3 of the fair value hierarchy. As of March 31, 2025, there were no finance receivables held for sale, net that were sold in a securitization. As of December 31, 2024, the carrying value and fair value of the finance receivables held for sale, net that were sold in a securitization were $178.8 million and $183.3 million, respectively. The significant unobservable inputs utilized in the discounted cashflow model include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40" w:type="dxa"/>
            <w:vAlign w:val="bottom"/>
          </w:tcPr>
          <w:p>
            <w:pPr>
              <w:spacing w:after="0"/>
              <w:rPr>
                <w:sz w:val="15"/>
                <w:szCs w:val="15"/>
                <w:color w:val="auto"/>
              </w:rPr>
            </w:pPr>
          </w:p>
        </w:tc>
        <w:tc>
          <w:tcPr>
            <w:tcW w:w="5720" w:type="dxa"/>
            <w:vAlign w:val="bottom"/>
          </w:tcPr>
          <w:p>
            <w:pPr>
              <w:jc w:val="center"/>
              <w:ind w:left="2828"/>
              <w:spacing w:after="0"/>
              <w:rPr>
                <w:sz w:val="20"/>
                <w:szCs w:val="20"/>
                <w:color w:val="auto"/>
              </w:rPr>
            </w:pPr>
            <w:r>
              <w:rPr>
                <w:rFonts w:ascii="Arial" w:cs="Arial" w:eastAsia="Arial" w:hAnsi="Arial"/>
                <w:sz w:val="13"/>
                <w:szCs w:val="13"/>
                <w:b w:val="1"/>
                <w:bCs w:val="1"/>
                <w:color w:val="auto"/>
                <w:w w:val="99"/>
              </w:rPr>
              <w:t>Predecessor</w:t>
            </w:r>
          </w:p>
        </w:tc>
      </w:tr>
      <w:tr>
        <w:trPr>
          <w:trHeight w:val="216"/>
        </w:trPr>
        <w:tc>
          <w:tcPr>
            <w:tcW w:w="4840" w:type="dxa"/>
            <w:vAlign w:val="bottom"/>
          </w:tcPr>
          <w:p>
            <w:pPr>
              <w:spacing w:after="0"/>
              <w:rPr>
                <w:sz w:val="18"/>
                <w:szCs w:val="18"/>
                <w:color w:val="auto"/>
              </w:rPr>
            </w:pPr>
          </w:p>
        </w:tc>
        <w:tc>
          <w:tcPr>
            <w:tcW w:w="5720" w:type="dxa"/>
            <w:vAlign w:val="bottom"/>
          </w:tcPr>
          <w:p>
            <w:pPr>
              <w:jc w:val="center"/>
              <w:ind w:left="2828"/>
              <w:spacing w:after="0"/>
              <w:rPr>
                <w:sz w:val="20"/>
                <w:szCs w:val="20"/>
                <w:color w:val="auto"/>
              </w:rPr>
            </w:pPr>
            <w:r>
              <w:rPr>
                <w:rFonts w:ascii="Arial" w:cs="Arial" w:eastAsia="Arial" w:hAnsi="Arial"/>
                <w:sz w:val="13"/>
                <w:szCs w:val="13"/>
                <w:b w:val="1"/>
                <w:bCs w:val="1"/>
                <w:color w:val="auto"/>
              </w:rPr>
              <w:t>Inputs as of December 31,</w:t>
            </w:r>
          </w:p>
        </w:tc>
      </w:tr>
      <w:tr>
        <w:trPr>
          <w:trHeight w:val="169"/>
        </w:trPr>
        <w:tc>
          <w:tcPr>
            <w:tcW w:w="4840" w:type="dxa"/>
            <w:vAlign w:val="bottom"/>
          </w:tcPr>
          <w:p>
            <w:pPr>
              <w:spacing w:after="0"/>
              <w:rPr>
                <w:sz w:val="20"/>
                <w:szCs w:val="20"/>
                <w:color w:val="auto"/>
              </w:rPr>
            </w:pPr>
            <w:r>
              <w:rPr>
                <w:rFonts w:ascii="Arial" w:cs="Arial" w:eastAsia="Arial" w:hAnsi="Arial"/>
                <w:sz w:val="13"/>
                <w:szCs w:val="13"/>
                <w:b w:val="1"/>
                <w:bCs w:val="1"/>
                <w:color w:val="auto"/>
              </w:rPr>
              <w:t>Unobservable inputs</w:t>
            </w:r>
          </w:p>
        </w:tc>
        <w:tc>
          <w:tcPr>
            <w:tcW w:w="5720" w:type="dxa"/>
            <w:vAlign w:val="bottom"/>
          </w:tcPr>
          <w:p>
            <w:pPr>
              <w:jc w:val="center"/>
              <w:ind w:left="2828"/>
              <w:spacing w:after="0"/>
              <w:rPr>
                <w:sz w:val="20"/>
                <w:szCs w:val="20"/>
                <w:color w:val="auto"/>
              </w:rPr>
            </w:pPr>
            <w:r>
              <w:rPr>
                <w:rFonts w:ascii="Arial" w:cs="Arial" w:eastAsia="Arial" w:hAnsi="Arial"/>
                <w:sz w:val="13"/>
                <w:szCs w:val="13"/>
                <w:b w:val="1"/>
                <w:bCs w:val="1"/>
                <w:color w:val="auto"/>
              </w:rPr>
              <w:t>2024</w:t>
            </w:r>
          </w:p>
        </w:tc>
      </w:tr>
      <w:tr>
        <w:trPr>
          <w:trHeight w:val="191"/>
        </w:trPr>
        <w:tc>
          <w:tcPr>
            <w:tcW w:w="4840" w:type="dxa"/>
            <w:vAlign w:val="bottom"/>
          </w:tcPr>
          <w:p>
            <w:pPr>
              <w:spacing w:after="0"/>
              <w:rPr>
                <w:sz w:val="20"/>
                <w:szCs w:val="20"/>
                <w:color w:val="auto"/>
              </w:rPr>
            </w:pPr>
            <w:r>
              <w:rPr>
                <w:rFonts w:ascii="Arial" w:cs="Arial" w:eastAsia="Arial" w:hAnsi="Arial"/>
                <w:sz w:val="16"/>
                <w:szCs w:val="16"/>
                <w:color w:val="auto"/>
              </w:rPr>
              <w:t>Cumulative net loss</w:t>
            </w:r>
          </w:p>
        </w:tc>
        <w:tc>
          <w:tcPr>
            <w:tcW w:w="5720" w:type="dxa"/>
            <w:vAlign w:val="bottom"/>
          </w:tcPr>
          <w:p>
            <w:pPr>
              <w:jc w:val="center"/>
              <w:ind w:left="2808"/>
              <w:spacing w:after="0"/>
              <w:rPr>
                <w:sz w:val="20"/>
                <w:szCs w:val="20"/>
                <w:color w:val="auto"/>
              </w:rPr>
            </w:pPr>
            <w:r>
              <w:rPr>
                <w:rFonts w:ascii="Arial" w:cs="Arial" w:eastAsia="Arial" w:hAnsi="Arial"/>
                <w:sz w:val="16"/>
                <w:szCs w:val="16"/>
                <w:color w:val="auto"/>
                <w:w w:val="96"/>
              </w:rPr>
              <w:t>24.2%</w:t>
            </w:r>
          </w:p>
        </w:tc>
      </w:tr>
      <w:tr>
        <w:trPr>
          <w:trHeight w:val="180"/>
        </w:trPr>
        <w:tc>
          <w:tcPr>
            <w:tcW w:w="4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Recoveries</w:t>
            </w:r>
          </w:p>
        </w:tc>
        <w:tc>
          <w:tcPr>
            <w:tcW w:w="5720" w:type="dxa"/>
            <w:vAlign w:val="bottom"/>
            <w:shd w:val="clear" w:color="auto" w:fill="CFF0FC"/>
          </w:tcPr>
          <w:p>
            <w:pPr>
              <w:jc w:val="center"/>
              <w:ind w:left="2828"/>
              <w:spacing w:after="0" w:line="180" w:lineRule="exact"/>
              <w:rPr>
                <w:sz w:val="20"/>
                <w:szCs w:val="20"/>
                <w:color w:val="auto"/>
              </w:rPr>
            </w:pPr>
            <w:r>
              <w:rPr>
                <w:rFonts w:ascii="Arial" w:cs="Arial" w:eastAsia="Arial" w:hAnsi="Arial"/>
                <w:sz w:val="16"/>
                <w:szCs w:val="16"/>
                <w:color w:val="auto"/>
                <w:w w:val="93"/>
              </w:rPr>
              <w:t>30%</w:t>
            </w:r>
          </w:p>
        </w:tc>
      </w:tr>
      <w:tr>
        <w:trPr>
          <w:trHeight w:val="205"/>
        </w:trPr>
        <w:tc>
          <w:tcPr>
            <w:tcW w:w="4840" w:type="dxa"/>
            <w:vAlign w:val="bottom"/>
          </w:tcPr>
          <w:p>
            <w:pPr>
              <w:spacing w:after="0"/>
              <w:rPr>
                <w:sz w:val="20"/>
                <w:szCs w:val="20"/>
                <w:color w:val="auto"/>
              </w:rPr>
            </w:pPr>
            <w:r>
              <w:rPr>
                <w:rFonts w:ascii="Arial" w:cs="Arial" w:eastAsia="Arial" w:hAnsi="Arial"/>
                <w:sz w:val="16"/>
                <w:szCs w:val="16"/>
                <w:color w:val="auto"/>
              </w:rPr>
              <w:t>Discount Rate</w:t>
            </w:r>
          </w:p>
        </w:tc>
        <w:tc>
          <w:tcPr>
            <w:tcW w:w="5720" w:type="dxa"/>
            <w:vAlign w:val="bottom"/>
          </w:tcPr>
          <w:p>
            <w:pPr>
              <w:jc w:val="center"/>
              <w:ind w:left="2828"/>
              <w:spacing w:after="0"/>
              <w:rPr>
                <w:sz w:val="20"/>
                <w:szCs w:val="20"/>
                <w:color w:val="auto"/>
              </w:rPr>
            </w:pPr>
            <w:r>
              <w:rPr>
                <w:rFonts w:ascii="Arial" w:cs="Arial" w:eastAsia="Arial" w:hAnsi="Arial"/>
                <w:sz w:val="16"/>
                <w:szCs w:val="16"/>
                <w:color w:val="auto"/>
                <w:w w:val="95"/>
              </w:rPr>
              <w:t>17%-19%</w:t>
            </w:r>
          </w:p>
        </w:tc>
      </w:tr>
    </w:tbl>
    <w:p>
      <w:pPr>
        <w:spacing w:after="0" w:line="144" w:lineRule="exact"/>
        <w:rPr>
          <w:sz w:val="20"/>
          <w:szCs w:val="20"/>
          <w:color w:val="auto"/>
        </w:rPr>
      </w:pPr>
    </w:p>
    <w:p>
      <w:pPr>
        <w:ind w:right="20" w:firstLine="696"/>
        <w:spacing w:after="0"/>
        <w:rPr>
          <w:sz w:val="20"/>
          <w:szCs w:val="20"/>
          <w:color w:val="auto"/>
        </w:rPr>
      </w:pPr>
      <w:r>
        <w:rPr>
          <w:rFonts w:ascii="Arial" w:cs="Arial" w:eastAsia="Arial" w:hAnsi="Arial"/>
          <w:sz w:val="16"/>
          <w:szCs w:val="16"/>
          <w:color w:val="auto"/>
        </w:rPr>
        <w:t>In addition, the Company also had finance receivables that were no longer eligible to be sold in a securitization. As of March 31, 2025, there were no finance receivables held for sale, net, that were no longer eligible to be sold in a securitization. As of December 31, 2024, the carrying value and fair value of the finance receivables held for sale, net were no longer eligible to be sold in a securitization were $ 24.8 million. These were finance receivables that became delinquent and no longer meet the expected securitization sales criteria. The Company used a discounted cash flow model to estimate the fair value of future recoveries for finance receivables. Such fair value measurement is considered Level 3 of the fair value hierarchy. The significant unobservable inputs utilized in the discounted cashflow model include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80" w:type="dxa"/>
            <w:vAlign w:val="bottom"/>
          </w:tcPr>
          <w:p>
            <w:pPr>
              <w:spacing w:after="0"/>
              <w:rPr>
                <w:sz w:val="15"/>
                <w:szCs w:val="15"/>
                <w:color w:val="auto"/>
              </w:rPr>
            </w:pPr>
          </w:p>
        </w:tc>
        <w:tc>
          <w:tcPr>
            <w:tcW w:w="7280" w:type="dxa"/>
            <w:vAlign w:val="bottom"/>
          </w:tcPr>
          <w:p>
            <w:pPr>
              <w:jc w:val="center"/>
              <w:ind w:left="4387"/>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7280" w:type="dxa"/>
            <w:vAlign w:val="bottom"/>
          </w:tcPr>
          <w:p>
            <w:pPr>
              <w:jc w:val="center"/>
              <w:ind w:left="4387"/>
              <w:spacing w:after="0"/>
              <w:rPr>
                <w:sz w:val="20"/>
                <w:szCs w:val="20"/>
                <w:color w:val="auto"/>
              </w:rPr>
            </w:pPr>
            <w:r>
              <w:rPr>
                <w:rFonts w:ascii="Arial" w:cs="Arial" w:eastAsia="Arial" w:hAnsi="Arial"/>
                <w:sz w:val="13"/>
                <w:szCs w:val="13"/>
                <w:b w:val="1"/>
                <w:bCs w:val="1"/>
                <w:color w:val="auto"/>
              </w:rPr>
              <w:t>Inputs as of December 31,</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3"/>
                <w:szCs w:val="13"/>
                <w:b w:val="1"/>
                <w:bCs w:val="1"/>
                <w:color w:val="auto"/>
              </w:rPr>
              <w:t>Unobservable inputs</w:t>
            </w:r>
          </w:p>
        </w:tc>
        <w:tc>
          <w:tcPr>
            <w:tcW w:w="7280" w:type="dxa"/>
            <w:vAlign w:val="bottom"/>
          </w:tcPr>
          <w:p>
            <w:pPr>
              <w:jc w:val="center"/>
              <w:ind w:left="438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05"/>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Cumulative net loss</w:t>
            </w:r>
          </w:p>
        </w:tc>
        <w:tc>
          <w:tcPr>
            <w:tcW w:w="7280" w:type="dxa"/>
            <w:vAlign w:val="bottom"/>
            <w:vMerge w:val="restart"/>
            <w:shd w:val="clear" w:color="auto" w:fill="CFF0FC"/>
          </w:tcPr>
          <w:p>
            <w:pPr>
              <w:jc w:val="center"/>
              <w:ind w:left="4387"/>
              <w:spacing w:after="0"/>
              <w:rPr>
                <w:sz w:val="20"/>
                <w:szCs w:val="20"/>
                <w:color w:val="auto"/>
              </w:rPr>
            </w:pPr>
            <w:r>
              <w:rPr>
                <w:rFonts w:ascii="Arial" w:cs="Arial" w:eastAsia="Arial" w:hAnsi="Arial"/>
                <w:sz w:val="16"/>
                <w:szCs w:val="16"/>
                <w:color w:val="auto"/>
                <w:w w:val="97"/>
              </w:rPr>
              <w:t>19.3% - 33.2%</w:t>
            </w: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spacing w:after="0"/>
              <w:rPr>
                <w:sz w:val="12"/>
                <w:szCs w:val="12"/>
                <w:color w:val="auto"/>
              </w:rPr>
            </w:pPr>
          </w:p>
        </w:tc>
        <w:tc>
          <w:tcPr>
            <w:tcW w:w="728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line="180" w:lineRule="exact"/>
              <w:rPr>
                <w:sz w:val="20"/>
                <w:szCs w:val="20"/>
                <w:color w:val="auto"/>
              </w:rPr>
            </w:pPr>
            <w:r>
              <w:rPr>
                <w:rFonts w:ascii="Arial" w:cs="Arial" w:eastAsia="Arial" w:hAnsi="Arial"/>
                <w:sz w:val="16"/>
                <w:szCs w:val="16"/>
                <w:color w:val="auto"/>
              </w:rPr>
              <w:t>Recoveries</w:t>
            </w:r>
          </w:p>
        </w:tc>
        <w:tc>
          <w:tcPr>
            <w:tcW w:w="7280" w:type="dxa"/>
            <w:vAlign w:val="bottom"/>
          </w:tcPr>
          <w:p>
            <w:pPr>
              <w:jc w:val="center"/>
              <w:ind w:left="4387"/>
              <w:spacing w:after="0" w:line="180" w:lineRule="exact"/>
              <w:rPr>
                <w:sz w:val="20"/>
                <w:szCs w:val="20"/>
                <w:color w:val="auto"/>
              </w:rPr>
            </w:pPr>
            <w:r>
              <w:rPr>
                <w:rFonts w:ascii="Arial" w:cs="Arial" w:eastAsia="Arial" w:hAnsi="Arial"/>
                <w:sz w:val="16"/>
                <w:szCs w:val="16"/>
                <w:color w:val="auto"/>
                <w:w w:val="97"/>
              </w:rPr>
              <w:t>26.3% - 47.2%</w:t>
            </w:r>
          </w:p>
        </w:tc>
        <w:tc>
          <w:tcPr>
            <w:tcW w:w="0" w:type="dxa"/>
            <w:vAlign w:val="bottom"/>
          </w:tcPr>
          <w:p>
            <w:pPr>
              <w:spacing w:after="0"/>
              <w:rPr>
                <w:sz w:val="1"/>
                <w:szCs w:val="1"/>
                <w:color w:val="auto"/>
              </w:rPr>
            </w:pPr>
          </w:p>
        </w:tc>
      </w:tr>
      <w:tr>
        <w:trPr>
          <w:trHeight w:val="180"/>
        </w:trPr>
        <w:tc>
          <w:tcPr>
            <w:tcW w:w="32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Discount Rate</w:t>
            </w:r>
          </w:p>
        </w:tc>
        <w:tc>
          <w:tcPr>
            <w:tcW w:w="7280" w:type="dxa"/>
            <w:vAlign w:val="bottom"/>
            <w:shd w:val="clear" w:color="auto" w:fill="CFF0FC"/>
          </w:tcPr>
          <w:p>
            <w:pPr>
              <w:jc w:val="center"/>
              <w:ind w:left="4367"/>
              <w:spacing w:after="0" w:line="180" w:lineRule="exact"/>
              <w:rPr>
                <w:sz w:val="20"/>
                <w:szCs w:val="20"/>
                <w:color w:val="auto"/>
              </w:rPr>
            </w:pPr>
            <w:r>
              <w:rPr>
                <w:rFonts w:ascii="Arial" w:cs="Arial" w:eastAsia="Arial" w:hAnsi="Arial"/>
                <w:sz w:val="16"/>
                <w:szCs w:val="16"/>
                <w:color w:val="auto"/>
                <w:w w:val="96"/>
              </w:rPr>
              <w:t>14.5%</w:t>
            </w:r>
          </w:p>
        </w:tc>
        <w:tc>
          <w:tcPr>
            <w:tcW w:w="0" w:type="dxa"/>
            <w:vAlign w:val="bottom"/>
          </w:tcPr>
          <w:p>
            <w:pPr>
              <w:spacing w:after="0"/>
              <w:rPr>
                <w:sz w:val="1"/>
                <w:szCs w:val="1"/>
                <w:color w:val="auto"/>
              </w:rPr>
            </w:pPr>
          </w:p>
        </w:tc>
      </w:tr>
      <w:tr>
        <w:trPr>
          <w:trHeight w:val="554"/>
        </w:trPr>
        <w:tc>
          <w:tcPr>
            <w:tcW w:w="3280" w:type="dxa"/>
            <w:vAlign w:val="bottom"/>
          </w:tcPr>
          <w:p>
            <w:pPr>
              <w:spacing w:after="0"/>
              <w:rPr>
                <w:sz w:val="24"/>
                <w:szCs w:val="24"/>
                <w:color w:val="auto"/>
              </w:rPr>
            </w:pPr>
          </w:p>
        </w:tc>
        <w:tc>
          <w:tcPr>
            <w:tcW w:w="7280" w:type="dxa"/>
            <w:vAlign w:val="bottom"/>
          </w:tcPr>
          <w:p>
            <w:pPr>
              <w:jc w:val="right"/>
              <w:ind w:right="5107"/>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670"/>
        </w:trPr>
        <w:tc>
          <w:tcPr>
            <w:tcW w:w="3280" w:type="dxa"/>
            <w:vAlign w:val="bottom"/>
            <w:tcBorders>
              <w:bottom w:val="single" w:sz="8" w:color="EEEEEE"/>
            </w:tcBorders>
          </w:tcPr>
          <w:p>
            <w:pPr>
              <w:spacing w:after="0"/>
              <w:rPr>
                <w:sz w:val="24"/>
                <w:szCs w:val="24"/>
                <w:color w:val="auto"/>
              </w:rPr>
            </w:pPr>
          </w:p>
        </w:tc>
        <w:tc>
          <w:tcPr>
            <w:tcW w:w="7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6" w:name="page47"/>
    <w:bookmarkEnd w:id="4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p>
      <w:pPr>
        <w:ind w:right="40" w:firstLine="696"/>
        <w:spacing w:after="0" w:line="241" w:lineRule="auto"/>
        <w:rPr>
          <w:sz w:val="20"/>
          <w:szCs w:val="20"/>
          <w:color w:val="auto"/>
        </w:rPr>
      </w:pPr>
      <w:r>
        <w:rPr>
          <w:rFonts w:ascii="Arial" w:cs="Arial" w:eastAsia="Arial" w:hAnsi="Arial"/>
          <w:sz w:val="16"/>
          <w:szCs w:val="16"/>
          <w:i w:val="1"/>
          <w:iCs w:val="1"/>
          <w:color w:val="auto"/>
        </w:rPr>
        <w:t xml:space="preserve">Securitization Debt: </w:t>
      </w:r>
      <w:r>
        <w:rPr>
          <w:rFonts w:ascii="Arial" w:cs="Arial" w:eastAsia="Arial" w:hAnsi="Arial"/>
          <w:sz w:val="16"/>
          <w:szCs w:val="16"/>
          <w:color w:val="auto"/>
        </w:rPr>
        <w:t>Upon emergence from the Prepackaged Chapter 11 Case, and application of fresh start accounting, the Company made</w:t>
      </w:r>
      <w:r>
        <w:rPr>
          <w:rFonts w:ascii="Arial" w:cs="Arial" w:eastAsia="Arial" w:hAnsi="Arial"/>
          <w:sz w:val="16"/>
          <w:szCs w:val="16"/>
          <w:i w:val="1"/>
          <w:iCs w:val="1"/>
          <w:color w:val="auto"/>
        </w:rPr>
        <w:t xml:space="preserve"> </w:t>
      </w:r>
      <w:r>
        <w:rPr>
          <w:rFonts w:ascii="Arial" w:cs="Arial" w:eastAsia="Arial" w:hAnsi="Arial"/>
          <w:sz w:val="16"/>
          <w:szCs w:val="16"/>
          <w:color w:val="auto"/>
        </w:rPr>
        <w:t>an accounting policy change to elect the fair value option and apply the measurement alternative to the 2024 -1 securitization debt. As of December 31, 2024, the 2024- 1 securitization debt was not carried at fair value on the Company's condensed consolidated balance sheet. As of December 31, 2024, the fair value of the debt was determined utilizing non-binding quoted prices provided by broker dealers, as discussed above, and classified as Level 2 of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jc w:val="center"/>
              <w:ind w:right="530"/>
              <w:spacing w:after="0"/>
              <w:rPr>
                <w:sz w:val="20"/>
                <w:szCs w:val="20"/>
                <w:color w:val="auto"/>
              </w:rPr>
            </w:pPr>
            <w:r>
              <w:rPr>
                <w:rFonts w:ascii="Arial" w:cs="Arial" w:eastAsia="Arial" w:hAnsi="Arial"/>
                <w:sz w:val="13"/>
                <w:szCs w:val="13"/>
                <w:b w:val="1"/>
                <w:bCs w:val="1"/>
                <w:color w:val="auto"/>
              </w:rPr>
              <w:t>Predecessor</w:t>
            </w:r>
          </w:p>
        </w:tc>
      </w:tr>
      <w:tr>
        <w:trPr>
          <w:trHeight w:val="156"/>
        </w:trPr>
        <w:tc>
          <w:tcPr>
            <w:tcW w:w="4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jc w:val="center"/>
              <w:ind w:right="510"/>
              <w:spacing w:after="0"/>
              <w:rPr>
                <w:sz w:val="20"/>
                <w:szCs w:val="20"/>
                <w:color w:val="auto"/>
              </w:rPr>
            </w:pPr>
            <w:r>
              <w:rPr>
                <w:rFonts w:ascii="Arial" w:cs="Arial" w:eastAsia="Arial" w:hAnsi="Arial"/>
                <w:sz w:val="13"/>
                <w:szCs w:val="13"/>
                <w:b w:val="1"/>
                <w:bCs w:val="1"/>
                <w:color w:val="auto"/>
              </w:rPr>
              <w:t>December 31,</w:t>
            </w:r>
          </w:p>
        </w:tc>
      </w:tr>
      <w:tr>
        <w:trPr>
          <w:trHeight w:val="156"/>
        </w:trPr>
        <w:tc>
          <w:tcPr>
            <w:tcW w:w="4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jc w:val="center"/>
              <w:ind w:right="510"/>
              <w:spacing w:after="0"/>
              <w:rPr>
                <w:sz w:val="20"/>
                <w:szCs w:val="20"/>
                <w:color w:val="auto"/>
              </w:rPr>
            </w:pPr>
            <w:r>
              <w:rPr>
                <w:rFonts w:ascii="Arial" w:cs="Arial" w:eastAsia="Arial" w:hAnsi="Arial"/>
                <w:sz w:val="13"/>
                <w:szCs w:val="13"/>
                <w:b w:val="1"/>
                <w:bCs w:val="1"/>
                <w:color w:val="auto"/>
              </w:rPr>
              <w:t>2024</w:t>
            </w:r>
          </w:p>
        </w:tc>
      </w:tr>
      <w:tr>
        <w:trPr>
          <w:trHeight w:val="168"/>
        </w:trPr>
        <w:tc>
          <w:tcPr>
            <w:tcW w:w="4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20" w:type="dxa"/>
            <w:vAlign w:val="bottom"/>
          </w:tcPr>
          <w:p>
            <w:pPr>
              <w:jc w:val="center"/>
              <w:ind w:right="530"/>
              <w:spacing w:after="0"/>
              <w:rPr>
                <w:sz w:val="20"/>
                <w:szCs w:val="20"/>
                <w:color w:val="auto"/>
              </w:rPr>
            </w:pPr>
            <w:r>
              <w:rPr>
                <w:rFonts w:ascii="Arial" w:cs="Arial" w:eastAsia="Arial" w:hAnsi="Arial"/>
                <w:sz w:val="13"/>
                <w:szCs w:val="13"/>
                <w:b w:val="1"/>
                <w:bCs w:val="1"/>
                <w:color w:val="auto"/>
              </w:rPr>
              <w:t>(in thousands)</w:t>
            </w:r>
          </w:p>
        </w:tc>
      </w:tr>
      <w:tr>
        <w:trPr>
          <w:trHeight w:val="180"/>
        </w:trPr>
        <w:tc>
          <w:tcPr>
            <w:tcW w:w="43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Carrying value</w:t>
            </w:r>
          </w:p>
        </w:tc>
        <w:tc>
          <w:tcPr>
            <w:tcW w:w="3860" w:type="dxa"/>
            <w:vAlign w:val="bottom"/>
            <w:shd w:val="clear" w:color="auto" w:fill="CFF0FC"/>
          </w:tcPr>
          <w:p>
            <w:pPr>
              <w:jc w:val="right"/>
              <w:ind w:right="342"/>
              <w:spacing w:after="0" w:line="180" w:lineRule="exact"/>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10"/>
              <w:spacing w:after="0" w:line="180" w:lineRule="exact"/>
              <w:rPr>
                <w:sz w:val="20"/>
                <w:szCs w:val="20"/>
                <w:color w:val="auto"/>
              </w:rPr>
            </w:pPr>
            <w:r>
              <w:rPr>
                <w:rFonts w:ascii="Arial" w:cs="Arial" w:eastAsia="Arial" w:hAnsi="Arial"/>
                <w:sz w:val="16"/>
                <w:szCs w:val="16"/>
                <w:color w:val="auto"/>
              </w:rPr>
              <w:t>210,727</w:t>
            </w:r>
          </w:p>
        </w:tc>
      </w:tr>
      <w:tr>
        <w:trPr>
          <w:trHeight w:val="205"/>
        </w:trPr>
        <w:tc>
          <w:tcPr>
            <w:tcW w:w="4380" w:type="dxa"/>
            <w:vAlign w:val="bottom"/>
          </w:tcPr>
          <w:p>
            <w:pPr>
              <w:spacing w:after="0"/>
              <w:rPr>
                <w:sz w:val="20"/>
                <w:szCs w:val="20"/>
                <w:color w:val="auto"/>
              </w:rPr>
            </w:pPr>
            <w:r>
              <w:rPr>
                <w:rFonts w:ascii="Arial" w:cs="Arial" w:eastAsia="Arial" w:hAnsi="Arial"/>
                <w:sz w:val="16"/>
                <w:szCs w:val="16"/>
                <w:color w:val="auto"/>
              </w:rPr>
              <w:t>Fair value</w:t>
            </w:r>
          </w:p>
        </w:tc>
        <w:tc>
          <w:tcPr>
            <w:tcW w:w="38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2320" w:type="dxa"/>
            <w:vAlign w:val="bottom"/>
          </w:tcPr>
          <w:p>
            <w:pPr>
              <w:jc w:val="right"/>
              <w:ind w:right="10"/>
              <w:spacing w:after="0"/>
              <w:rPr>
                <w:sz w:val="20"/>
                <w:szCs w:val="20"/>
                <w:color w:val="auto"/>
              </w:rPr>
            </w:pPr>
            <w:r>
              <w:rPr>
                <w:rFonts w:ascii="Arial" w:cs="Arial" w:eastAsia="Arial" w:hAnsi="Arial"/>
                <w:sz w:val="16"/>
                <w:szCs w:val="16"/>
                <w:color w:val="auto"/>
              </w:rPr>
              <w:t>213,988</w:t>
            </w:r>
          </w:p>
        </w:tc>
      </w:tr>
    </w:tbl>
    <w:p>
      <w:pPr>
        <w:spacing w:after="0" w:line="144" w:lineRule="exact"/>
        <w:rPr>
          <w:sz w:val="20"/>
          <w:szCs w:val="20"/>
          <w:color w:val="auto"/>
        </w:rPr>
      </w:pPr>
    </w:p>
    <w:p>
      <w:pPr>
        <w:ind w:right="20" w:firstLine="696"/>
        <w:spacing w:after="0" w:line="248" w:lineRule="auto"/>
        <w:rPr>
          <w:sz w:val="20"/>
          <w:szCs w:val="20"/>
          <w:color w:val="auto"/>
        </w:rPr>
      </w:pPr>
      <w:r>
        <w:rPr>
          <w:rFonts w:ascii="Arial" w:cs="Arial" w:eastAsia="Arial" w:hAnsi="Arial"/>
          <w:sz w:val="16"/>
          <w:szCs w:val="16"/>
          <w:i w:val="1"/>
          <w:iCs w:val="1"/>
          <w:color w:val="auto"/>
        </w:rPr>
        <w:t xml:space="preserve">Financing of beneficial interests in securitizations: </w:t>
      </w:r>
      <w:r>
        <w:rPr>
          <w:rFonts w:ascii="Arial" w:cs="Arial" w:eastAsia="Arial" w:hAnsi="Arial"/>
          <w:sz w:val="16"/>
          <w:szCs w:val="16"/>
          <w:color w:val="auto"/>
        </w:rPr>
        <w:t>The fair value of the financing of beneficial interests in securitizations, which are not carried</w:t>
      </w:r>
      <w:r>
        <w:rPr>
          <w:rFonts w:ascii="Arial" w:cs="Arial" w:eastAsia="Arial" w:hAnsi="Arial"/>
          <w:sz w:val="16"/>
          <w:szCs w:val="16"/>
          <w:i w:val="1"/>
          <w:iCs w:val="1"/>
          <w:color w:val="auto"/>
        </w:rPr>
        <w:t xml:space="preserve"> </w:t>
      </w:r>
      <w:r>
        <w:rPr>
          <w:rFonts w:ascii="Arial" w:cs="Arial" w:eastAsia="Arial" w:hAnsi="Arial"/>
          <w:sz w:val="16"/>
          <w:szCs w:val="16"/>
          <w:color w:val="auto"/>
        </w:rPr>
        <w:t>at fair value on the Company's condensed consolidated balance sheets, approximated their carrying value as of March 31, 2025 and December 31, 2024 and are classified within Level 3 of the fair value hierarchy.</w:t>
      </w:r>
    </w:p>
    <w:p>
      <w:pPr>
        <w:spacing w:after="0" w:line="150" w:lineRule="exact"/>
        <w:rPr>
          <w:sz w:val="20"/>
          <w:szCs w:val="20"/>
          <w:color w:val="auto"/>
        </w:rPr>
      </w:pPr>
    </w:p>
    <w:p>
      <w:pPr>
        <w:ind w:right="60" w:firstLine="696"/>
        <w:spacing w:after="0" w:line="248" w:lineRule="auto"/>
        <w:rPr>
          <w:sz w:val="20"/>
          <w:szCs w:val="20"/>
          <w:color w:val="auto"/>
        </w:rPr>
      </w:pPr>
      <w:r>
        <w:rPr>
          <w:rFonts w:ascii="Arial" w:cs="Arial" w:eastAsia="Arial" w:hAnsi="Arial"/>
          <w:sz w:val="16"/>
          <w:szCs w:val="16"/>
          <w:i w:val="1"/>
          <w:iCs w:val="1"/>
          <w:color w:val="auto"/>
        </w:rPr>
        <w:t xml:space="preserve">Junior Subordinated Debentures: </w:t>
      </w:r>
      <w:r>
        <w:rPr>
          <w:rFonts w:ascii="Arial" w:cs="Arial" w:eastAsia="Arial" w:hAnsi="Arial"/>
          <w:sz w:val="16"/>
          <w:szCs w:val="16"/>
          <w:color w:val="auto"/>
        </w:rPr>
        <w:t>The fair value of the junior subordinated debentures, which are not carried at fair value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balance sheets, approximated their carrying value as of March 31, 2025 and December 31, 2024 and are classified within Level 3 of the fair value hierarchy.</w:t>
      </w:r>
    </w:p>
    <w:p>
      <w:pPr>
        <w:spacing w:after="0" w:line="150" w:lineRule="exact"/>
        <w:rPr>
          <w:sz w:val="20"/>
          <w:szCs w:val="20"/>
          <w:color w:val="auto"/>
        </w:rPr>
      </w:pPr>
    </w:p>
    <w:p>
      <w:pPr>
        <w:jc w:val="both"/>
        <w:ind w:right="600" w:firstLine="696"/>
        <w:spacing w:after="0" w:line="248" w:lineRule="auto"/>
        <w:rPr>
          <w:sz w:val="20"/>
          <w:szCs w:val="20"/>
          <w:color w:val="auto"/>
        </w:rPr>
      </w:pPr>
      <w:r>
        <w:rPr>
          <w:rFonts w:ascii="Arial" w:cs="Arial" w:eastAsia="Arial" w:hAnsi="Arial"/>
          <w:sz w:val="16"/>
          <w:szCs w:val="16"/>
          <w:i w:val="1"/>
          <w:iCs w:val="1"/>
          <w:color w:val="auto"/>
        </w:rPr>
        <w:t xml:space="preserve">Convertible Senior Notes: </w:t>
      </w:r>
      <w:r>
        <w:rPr>
          <w:rFonts w:ascii="Arial" w:cs="Arial" w:eastAsia="Arial" w:hAnsi="Arial"/>
          <w:sz w:val="16"/>
          <w:szCs w:val="16"/>
          <w:color w:val="auto"/>
        </w:rPr>
        <w:t>As of December 31, 2024, the fair value of the Notes, which were not carried at fair value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balance sheet, was determined utilizing actual bids and offer prices of the Notes in markets that are not active and were classified within Level 2 of the fair value hierarchy.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jc w:val="center"/>
              <w:ind w:right="530"/>
              <w:spacing w:after="0"/>
              <w:rPr>
                <w:sz w:val="20"/>
                <w:szCs w:val="20"/>
                <w:color w:val="auto"/>
              </w:rPr>
            </w:pPr>
            <w:r>
              <w:rPr>
                <w:rFonts w:ascii="Arial" w:cs="Arial" w:eastAsia="Arial" w:hAnsi="Arial"/>
                <w:sz w:val="13"/>
                <w:szCs w:val="13"/>
                <w:b w:val="1"/>
                <w:bCs w:val="1"/>
                <w:color w:val="auto"/>
              </w:rPr>
              <w:t>Predecessor</w:t>
            </w:r>
          </w:p>
        </w:tc>
      </w:tr>
      <w:tr>
        <w:trPr>
          <w:trHeight w:val="156"/>
        </w:trPr>
        <w:tc>
          <w:tcPr>
            <w:tcW w:w="4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jc w:val="center"/>
              <w:ind w:right="510"/>
              <w:spacing w:after="0"/>
              <w:rPr>
                <w:sz w:val="20"/>
                <w:szCs w:val="20"/>
                <w:color w:val="auto"/>
              </w:rPr>
            </w:pPr>
            <w:r>
              <w:rPr>
                <w:rFonts w:ascii="Arial" w:cs="Arial" w:eastAsia="Arial" w:hAnsi="Arial"/>
                <w:sz w:val="13"/>
                <w:szCs w:val="13"/>
                <w:b w:val="1"/>
                <w:bCs w:val="1"/>
                <w:color w:val="auto"/>
              </w:rPr>
              <w:t>December 31,</w:t>
            </w:r>
          </w:p>
        </w:tc>
      </w:tr>
      <w:tr>
        <w:trPr>
          <w:trHeight w:val="156"/>
        </w:trPr>
        <w:tc>
          <w:tcPr>
            <w:tcW w:w="43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jc w:val="center"/>
              <w:ind w:right="510"/>
              <w:spacing w:after="0"/>
              <w:rPr>
                <w:sz w:val="20"/>
                <w:szCs w:val="20"/>
                <w:color w:val="auto"/>
              </w:rPr>
            </w:pPr>
            <w:r>
              <w:rPr>
                <w:rFonts w:ascii="Arial" w:cs="Arial" w:eastAsia="Arial" w:hAnsi="Arial"/>
                <w:sz w:val="13"/>
                <w:szCs w:val="13"/>
                <w:b w:val="1"/>
                <w:bCs w:val="1"/>
                <w:color w:val="auto"/>
              </w:rPr>
              <w:t>2024</w:t>
            </w:r>
          </w:p>
        </w:tc>
      </w:tr>
      <w:tr>
        <w:trPr>
          <w:trHeight w:val="168"/>
        </w:trPr>
        <w:tc>
          <w:tcPr>
            <w:tcW w:w="4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20" w:type="dxa"/>
            <w:vAlign w:val="bottom"/>
          </w:tcPr>
          <w:p>
            <w:pPr>
              <w:jc w:val="center"/>
              <w:ind w:right="530"/>
              <w:spacing w:after="0"/>
              <w:rPr>
                <w:sz w:val="20"/>
                <w:szCs w:val="20"/>
                <w:color w:val="auto"/>
              </w:rPr>
            </w:pPr>
            <w:r>
              <w:rPr>
                <w:rFonts w:ascii="Arial" w:cs="Arial" w:eastAsia="Arial" w:hAnsi="Arial"/>
                <w:sz w:val="13"/>
                <w:szCs w:val="13"/>
                <w:b w:val="1"/>
                <w:bCs w:val="1"/>
                <w:color w:val="auto"/>
              </w:rPr>
              <w:t>(in thousands)</w:t>
            </w:r>
          </w:p>
        </w:tc>
      </w:tr>
      <w:tr>
        <w:trPr>
          <w:trHeight w:val="180"/>
        </w:trPr>
        <w:tc>
          <w:tcPr>
            <w:tcW w:w="43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Carrying value</w:t>
            </w:r>
          </w:p>
        </w:tc>
        <w:tc>
          <w:tcPr>
            <w:tcW w:w="3860" w:type="dxa"/>
            <w:vAlign w:val="bottom"/>
            <w:shd w:val="clear" w:color="auto" w:fill="CFF0FC"/>
          </w:tcPr>
          <w:p>
            <w:pPr>
              <w:jc w:val="right"/>
              <w:ind w:right="342"/>
              <w:spacing w:after="0" w:line="180" w:lineRule="exact"/>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10"/>
              <w:spacing w:after="0" w:line="180" w:lineRule="exact"/>
              <w:rPr>
                <w:sz w:val="20"/>
                <w:szCs w:val="20"/>
                <w:color w:val="auto"/>
              </w:rPr>
            </w:pPr>
            <w:r>
              <w:rPr>
                <w:rFonts w:ascii="Arial" w:cs="Arial" w:eastAsia="Arial" w:hAnsi="Arial"/>
                <w:sz w:val="16"/>
                <w:szCs w:val="16"/>
                <w:color w:val="auto"/>
              </w:rPr>
              <w:t>290,488</w:t>
            </w:r>
          </w:p>
        </w:tc>
      </w:tr>
      <w:tr>
        <w:trPr>
          <w:trHeight w:val="205"/>
        </w:trPr>
        <w:tc>
          <w:tcPr>
            <w:tcW w:w="4380" w:type="dxa"/>
            <w:vAlign w:val="bottom"/>
          </w:tcPr>
          <w:p>
            <w:pPr>
              <w:spacing w:after="0"/>
              <w:rPr>
                <w:sz w:val="20"/>
                <w:szCs w:val="20"/>
                <w:color w:val="auto"/>
              </w:rPr>
            </w:pPr>
            <w:r>
              <w:rPr>
                <w:rFonts w:ascii="Arial" w:cs="Arial" w:eastAsia="Arial" w:hAnsi="Arial"/>
                <w:sz w:val="16"/>
                <w:szCs w:val="16"/>
                <w:color w:val="auto"/>
              </w:rPr>
              <w:t>Fair value</w:t>
            </w:r>
          </w:p>
        </w:tc>
        <w:tc>
          <w:tcPr>
            <w:tcW w:w="38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2320" w:type="dxa"/>
            <w:vAlign w:val="bottom"/>
          </w:tcPr>
          <w:p>
            <w:pPr>
              <w:jc w:val="right"/>
              <w:ind w:right="10"/>
              <w:spacing w:after="0"/>
              <w:rPr>
                <w:sz w:val="20"/>
                <w:szCs w:val="20"/>
                <w:color w:val="auto"/>
              </w:rPr>
            </w:pPr>
            <w:r>
              <w:rPr>
                <w:rFonts w:ascii="Arial" w:cs="Arial" w:eastAsia="Arial" w:hAnsi="Arial"/>
                <w:sz w:val="16"/>
                <w:szCs w:val="16"/>
                <w:color w:val="auto"/>
              </w:rPr>
              <w:t>145,244</w:t>
            </w:r>
          </w:p>
        </w:tc>
      </w:tr>
    </w:tbl>
    <w:p>
      <w:pPr>
        <w:spacing w:after="0" w:line="1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did not have Convertible Senior Notes as of March 31, 2025. Refer to Note 11— Long Term Debt for further details.</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Fresh start accounting</w:t>
      </w:r>
      <w:r>
        <w:rPr>
          <w:rFonts w:ascii="Arial" w:cs="Arial" w:eastAsia="Arial" w:hAnsi="Arial"/>
          <w:sz w:val="16"/>
          <w:szCs w:val="16"/>
          <w:color w:val="auto"/>
        </w:rPr>
        <w:t>: In accordance with ASC Topic 852, with the application of fresh start accounting, the Company allocated the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reorganization value to its individual assets and liabilities based on their estimated fair values in conformity with ASC Topic 805, Business Combinations.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Refer to Note 6 — Fresh Start Accounting for further details.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Segment Information</w:t>
      </w:r>
    </w:p>
    <w:p>
      <w:pPr>
        <w:spacing w:after="0" w:line="178" w:lineRule="exact"/>
        <w:rPr>
          <w:sz w:val="20"/>
          <w:szCs w:val="20"/>
          <w:color w:val="auto"/>
        </w:rPr>
      </w:pPr>
    </w:p>
    <w:p>
      <w:pPr>
        <w:ind w:right="80" w:firstLine="708"/>
        <w:spacing w:after="0" w:line="239" w:lineRule="auto"/>
        <w:rPr>
          <w:sz w:val="20"/>
          <w:szCs w:val="20"/>
          <w:color w:val="auto"/>
        </w:rPr>
      </w:pPr>
      <w:r>
        <w:rPr>
          <w:rFonts w:ascii="Arial" w:cs="Arial" w:eastAsia="Arial" w:hAnsi="Arial"/>
          <w:sz w:val="16"/>
          <w:szCs w:val="16"/>
          <w:color w:val="auto"/>
        </w:rPr>
        <w:t>As a result of the Ecommerce Wind-Down during the three months ended March 31, 2024, the Company revised its reportable segments. The Company is now organized into two 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No operating segments have been aggregated to form the reportable segments.</w:t>
      </w:r>
    </w:p>
    <w:p>
      <w:pPr>
        <w:spacing w:after="0" w:line="158"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The Company determined its operating segments based on how the chief operating decision maker (“CODM”) reviews the Company’s operating results in assessing performance and allocating resources. The Company’s CODM is the chief executive office (“CEO”). During the period from January 15, 2025, to March 31, 2025, the CODM changed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7" w:name="page48"/>
    <w:bookmarkEnd w:id="4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profitability measure reviewed for the Company's segment from Adjusted EBITDA to Adjusted net income (loss). The CODM reviews Adjusted net income (loss) for each of the reportable segments. Adjusted net income (loss) is defined as net income (loss) from continuing operations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 incurred by segment. All expense categories on the condensed consolidated statement of operations are significant and there are no other significant segment expenses that would require disclosure. There are no intra-entity sales and no significant expense categories regularly provided to the CODM beyond those disclosed in the consolidated statement of operations. The CODM manages the business using consolidated expense information, adjusted for items that are non-recurring or not core to the Company’s operating business as disclosed above, as well as regularly provided budgeted or forecasted expense information for each operating segment. The CODM does not evaluate operating segments using asset information as these are managed on an enterprise-wide group basis. Accordingly, the Company does not report segment asset information. As of March 31, 2025 and December 31, 2024, long-lived assets were predominantly located in the United States.</w:t>
      </w:r>
    </w:p>
    <w:p>
      <w:pPr>
        <w:spacing w:after="0" w:line="159" w:lineRule="exact"/>
        <w:rPr>
          <w:sz w:val="20"/>
          <w:szCs w:val="20"/>
          <w:color w:val="auto"/>
        </w:rPr>
      </w:pPr>
    </w:p>
    <w:p>
      <w:pPr>
        <w:jc w:val="both"/>
        <w:ind w:right="240" w:firstLine="708"/>
        <w:spacing w:after="0" w:line="248" w:lineRule="auto"/>
        <w:rPr>
          <w:sz w:val="20"/>
          <w:szCs w:val="20"/>
          <w:color w:val="auto"/>
        </w:rPr>
      </w:pPr>
      <w:r>
        <w:rPr>
          <w:rFonts w:ascii="Arial" w:cs="Arial" w:eastAsia="Arial" w:hAnsi="Arial"/>
          <w:sz w:val="16"/>
          <w:szCs w:val="16"/>
          <w:color w:val="auto"/>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spacing w:after="0" w:line="150" w:lineRule="exact"/>
        <w:rPr>
          <w:sz w:val="20"/>
          <w:szCs w:val="20"/>
          <w:color w:val="auto"/>
        </w:rPr>
      </w:pPr>
    </w:p>
    <w:p>
      <w:pPr>
        <w:ind w:right="320" w:firstLine="708"/>
        <w:spacing w:after="0" w:line="262" w:lineRule="auto"/>
        <w:rPr>
          <w:sz w:val="20"/>
          <w:szCs w:val="20"/>
          <w:color w:val="auto"/>
        </w:rPr>
      </w:pPr>
      <w:r>
        <w:rPr>
          <w:rFonts w:ascii="Arial" w:cs="Arial" w:eastAsia="Arial" w:hAnsi="Arial"/>
          <w:sz w:val="16"/>
          <w:szCs w:val="16"/>
          <w:color w:val="auto"/>
        </w:rPr>
        <w:t>The CarStory reportable segment represents sales of AI-powered analytics and digital services to automotive dealers, automotive financial services companies and others in the automotive industry.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8" w:name="page49"/>
    <w:bookmarkEnd w:id="4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Information about the Company’s reportable segments and corporate activities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89"/>
              <w:spacing w:after="0"/>
              <w:rPr>
                <w:sz w:val="20"/>
                <w:szCs w:val="20"/>
                <w:color w:val="auto"/>
              </w:rPr>
            </w:pPr>
            <w:r>
              <w:rPr>
                <w:rFonts w:ascii="Arial" w:cs="Arial" w:eastAsia="Arial" w:hAnsi="Arial"/>
                <w:sz w:val="13"/>
                <w:szCs w:val="13"/>
                <w:b w:val="1"/>
                <w:bCs w:val="1"/>
                <w:color w:val="auto"/>
              </w:rPr>
              <w:t>Successor</w:t>
            </w: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89"/>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right w:val="single" w:sz="8" w:color="auto"/>
            </w:tcBorders>
            <w:gridSpan w:val="5"/>
          </w:tcPr>
          <w:p>
            <w:pPr>
              <w:jc w:val="center"/>
              <w:ind w:right="309"/>
              <w:spacing w:after="0"/>
              <w:rPr>
                <w:sz w:val="20"/>
                <w:szCs w:val="20"/>
                <w:color w:val="auto"/>
              </w:rPr>
            </w:pPr>
            <w:r>
              <w:rPr>
                <w:rFonts w:ascii="Arial" w:cs="Arial" w:eastAsia="Arial" w:hAnsi="Arial"/>
                <w:sz w:val="11"/>
                <w:szCs w:val="11"/>
                <w:b w:val="1"/>
                <w:bCs w:val="1"/>
                <w:color w:val="auto"/>
                <w:w w:val="97"/>
              </w:rPr>
              <w:t>Period from January 15 through March 31,</w:t>
            </w:r>
          </w:p>
        </w:tc>
        <w:tc>
          <w:tcPr>
            <w:tcW w:w="280" w:type="dxa"/>
            <w:vAlign w:val="bottom"/>
          </w:tcPr>
          <w:p>
            <w:pPr>
              <w:spacing w:after="0"/>
              <w:rPr>
                <w:sz w:val="14"/>
                <w:szCs w:val="14"/>
                <w:color w:val="auto"/>
              </w:rPr>
            </w:pPr>
          </w:p>
        </w:tc>
        <w:tc>
          <w:tcPr>
            <w:tcW w:w="3000" w:type="dxa"/>
            <w:vAlign w:val="bottom"/>
            <w:gridSpan w:val="6"/>
          </w:tcPr>
          <w:p>
            <w:pPr>
              <w:jc w:val="center"/>
              <w:ind w:right="129"/>
              <w:spacing w:after="0"/>
              <w:rPr>
                <w:sz w:val="20"/>
                <w:szCs w:val="20"/>
                <w:color w:val="auto"/>
              </w:rPr>
            </w:pPr>
            <w:r>
              <w:rPr>
                <w:rFonts w:ascii="Arial" w:cs="Arial" w:eastAsia="Arial" w:hAnsi="Arial"/>
                <w:sz w:val="11"/>
                <w:szCs w:val="11"/>
                <w:b w:val="1"/>
                <w:bCs w:val="1"/>
                <w:color w:val="auto"/>
                <w:w w:val="98"/>
              </w:rPr>
              <w:t>Period from January 1 through January 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left="449"/>
              <w:spacing w:after="0"/>
              <w:rPr>
                <w:sz w:val="20"/>
                <w:szCs w:val="20"/>
                <w:color w:val="auto"/>
              </w:rPr>
            </w:pPr>
            <w:r>
              <w:rPr>
                <w:rFonts w:ascii="Arial" w:cs="Arial" w:eastAsia="Arial" w:hAnsi="Arial"/>
                <w:sz w:val="11"/>
                <w:szCs w:val="11"/>
                <w:b w:val="1"/>
                <w:bCs w:val="1"/>
                <w:color w:val="auto"/>
                <w:w w:val="97"/>
              </w:rPr>
              <w:t>2025</w:t>
            </w:r>
          </w:p>
        </w:tc>
        <w:tc>
          <w:tcPr>
            <w:tcW w:w="8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410"/>
              <w:spacing w:after="0"/>
              <w:rPr>
                <w:sz w:val="20"/>
                <w:szCs w:val="20"/>
                <w:color w:val="auto"/>
              </w:rPr>
            </w:pPr>
            <w:r>
              <w:rPr>
                <w:rFonts w:ascii="Arial" w:cs="Arial" w:eastAsia="Arial" w:hAnsi="Arial"/>
                <w:sz w:val="11"/>
                <w:szCs w:val="11"/>
                <w:b w:val="1"/>
                <w:bCs w:val="1"/>
                <w:color w:val="auto"/>
                <w:w w:val="97"/>
              </w:rPr>
              <w:t>2025</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09"/>
              <w:spacing w:after="0"/>
              <w:rPr>
                <w:sz w:val="20"/>
                <w:szCs w:val="20"/>
                <w:color w:val="auto"/>
              </w:rPr>
            </w:pPr>
            <w:r>
              <w:rPr>
                <w:rFonts w:ascii="Arial" w:cs="Arial" w:eastAsia="Arial" w:hAnsi="Arial"/>
                <w:sz w:val="11"/>
                <w:szCs w:val="11"/>
                <w:b w:val="1"/>
                <w:bCs w:val="1"/>
                <w:color w:val="auto"/>
              </w:rPr>
              <w:t>UACC</w:t>
            </w:r>
          </w:p>
        </w:tc>
        <w:tc>
          <w:tcPr>
            <w:tcW w:w="120" w:type="dxa"/>
            <w:vAlign w:val="bottom"/>
          </w:tcPr>
          <w:p>
            <w:pPr>
              <w:spacing w:after="0"/>
              <w:rPr>
                <w:sz w:val="14"/>
                <w:szCs w:val="14"/>
                <w:color w:val="auto"/>
              </w:rPr>
            </w:pPr>
          </w:p>
        </w:tc>
        <w:tc>
          <w:tcPr>
            <w:tcW w:w="800" w:type="dxa"/>
            <w:vAlign w:val="bottom"/>
          </w:tcPr>
          <w:p>
            <w:pPr>
              <w:jc w:val="right"/>
              <w:ind w:right="249"/>
              <w:spacing w:after="0"/>
              <w:rPr>
                <w:sz w:val="20"/>
                <w:szCs w:val="20"/>
                <w:color w:val="auto"/>
              </w:rPr>
            </w:pPr>
            <w:r>
              <w:rPr>
                <w:rFonts w:ascii="Arial" w:cs="Arial" w:eastAsia="Arial" w:hAnsi="Arial"/>
                <w:sz w:val="11"/>
                <w:szCs w:val="11"/>
                <w:b w:val="1"/>
                <w:bCs w:val="1"/>
                <w:color w:val="auto"/>
                <w:w w:val="98"/>
              </w:rPr>
              <w:t>CarStory</w:t>
            </w:r>
          </w:p>
        </w:tc>
        <w:tc>
          <w:tcPr>
            <w:tcW w:w="860" w:type="dxa"/>
            <w:vAlign w:val="bottom"/>
          </w:tcPr>
          <w:p>
            <w:pPr>
              <w:jc w:val="right"/>
              <w:ind w:right="269"/>
              <w:spacing w:after="0"/>
              <w:rPr>
                <w:sz w:val="20"/>
                <w:szCs w:val="20"/>
                <w:color w:val="auto"/>
              </w:rPr>
            </w:pPr>
            <w:r>
              <w:rPr>
                <w:rFonts w:ascii="Arial" w:cs="Arial" w:eastAsia="Arial" w:hAnsi="Arial"/>
                <w:sz w:val="11"/>
                <w:szCs w:val="11"/>
                <w:b w:val="1"/>
                <w:bCs w:val="1"/>
                <w:color w:val="auto"/>
                <w:w w:val="95"/>
              </w:rPr>
              <w:t>Corporate</w:t>
            </w:r>
          </w:p>
        </w:tc>
        <w:tc>
          <w:tcPr>
            <w:tcW w:w="800" w:type="dxa"/>
            <w:vAlign w:val="bottom"/>
            <w:tcBorders>
              <w:right w:val="single" w:sz="8" w:color="auto"/>
            </w:tcBorders>
          </w:tcPr>
          <w:p>
            <w:pPr>
              <w:jc w:val="right"/>
              <w:ind w:right="389"/>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14"/>
                <w:szCs w:val="14"/>
                <w:color w:val="auto"/>
              </w:rPr>
            </w:pPr>
          </w:p>
        </w:tc>
        <w:tc>
          <w:tcPr>
            <w:tcW w:w="620" w:type="dxa"/>
            <w:vAlign w:val="bottom"/>
          </w:tcPr>
          <w:p>
            <w:pPr>
              <w:jc w:val="right"/>
              <w:ind w:right="189"/>
              <w:spacing w:after="0"/>
              <w:rPr>
                <w:sz w:val="20"/>
                <w:szCs w:val="20"/>
                <w:color w:val="auto"/>
              </w:rPr>
            </w:pPr>
            <w:r>
              <w:rPr>
                <w:rFonts w:ascii="Arial" w:cs="Arial" w:eastAsia="Arial" w:hAnsi="Arial"/>
                <w:sz w:val="11"/>
                <w:szCs w:val="11"/>
                <w:b w:val="1"/>
                <w:bCs w:val="1"/>
                <w:color w:val="auto"/>
              </w:rPr>
              <w:t>UACC</w:t>
            </w:r>
          </w:p>
        </w:tc>
        <w:tc>
          <w:tcPr>
            <w:tcW w:w="14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Arial" w:cs="Arial" w:eastAsia="Arial" w:hAnsi="Arial"/>
                <w:sz w:val="11"/>
                <w:szCs w:val="11"/>
                <w:b w:val="1"/>
                <w:bCs w:val="1"/>
                <w:color w:val="auto"/>
                <w:w w:val="94"/>
              </w:rPr>
              <w:t>CarStory</w:t>
            </w:r>
          </w:p>
        </w:tc>
        <w:tc>
          <w:tcPr>
            <w:tcW w:w="660" w:type="dxa"/>
            <w:vAlign w:val="bottom"/>
          </w:tcPr>
          <w:p>
            <w:pPr>
              <w:jc w:val="right"/>
              <w:ind w:right="89"/>
              <w:spacing w:after="0"/>
              <w:rPr>
                <w:sz w:val="20"/>
                <w:szCs w:val="20"/>
                <w:color w:val="auto"/>
              </w:rPr>
            </w:pPr>
            <w:r>
              <w:rPr>
                <w:rFonts w:ascii="Arial" w:cs="Arial" w:eastAsia="Arial" w:hAnsi="Arial"/>
                <w:sz w:val="11"/>
                <w:szCs w:val="11"/>
                <w:b w:val="1"/>
                <w:bCs w:val="1"/>
                <w:color w:val="auto"/>
                <w:w w:val="91"/>
              </w:rPr>
              <w:t>Corporate</w:t>
            </w:r>
          </w:p>
        </w:tc>
        <w:tc>
          <w:tcPr>
            <w:tcW w:w="180" w:type="dxa"/>
            <w:vAlign w:val="bottom"/>
          </w:tcPr>
          <w:p>
            <w:pPr>
              <w:spacing w:after="0"/>
              <w:rPr>
                <w:sz w:val="14"/>
                <w:szCs w:val="14"/>
                <w:color w:val="auto"/>
              </w:rPr>
            </w:pPr>
          </w:p>
        </w:tc>
        <w:tc>
          <w:tcPr>
            <w:tcW w:w="640" w:type="dxa"/>
            <w:vAlign w:val="bottom"/>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Interest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37,157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37,157</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7,254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7,183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9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Interest expense:</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40"/>
              <w:spacing w:after="0" w:line="180" w:lineRule="exact"/>
              <w:rPr>
                <w:sz w:val="20"/>
                <w:szCs w:val="20"/>
                <w:color w:val="auto"/>
              </w:rPr>
            </w:pPr>
            <w:r>
              <w:rPr>
                <w:rFonts w:ascii="Arial" w:cs="Arial" w:eastAsia="Arial" w:hAnsi="Arial"/>
                <w:sz w:val="16"/>
                <w:szCs w:val="16"/>
                <w:color w:val="auto"/>
              </w:rPr>
              <w:t>Warehouse credit facility</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4,618</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4,618</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Securitization debt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6,548</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6,548</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1,178</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line="180" w:lineRule="exact"/>
              <w:rPr>
                <w:sz w:val="20"/>
                <w:szCs w:val="20"/>
                <w:color w:val="auto"/>
              </w:rPr>
            </w:pPr>
            <w:r>
              <w:rPr>
                <w:rFonts w:ascii="Arial" w:cs="Arial" w:eastAsia="Arial" w:hAnsi="Arial"/>
                <w:sz w:val="16"/>
                <w:szCs w:val="16"/>
                <w:color w:val="auto"/>
              </w:rPr>
              <w:t>Total interest expense</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11,166</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11,166</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2,195</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2,195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interest income (expense)</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25,991</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25,991</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5,059</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4,988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Realized and unrealized losses, net of recoveries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12,691</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(1,591)</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11,100</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7,647</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6,792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line="180" w:lineRule="exact"/>
              <w:rPr>
                <w:sz w:val="20"/>
                <w:szCs w:val="20"/>
                <w:color w:val="auto"/>
              </w:rPr>
            </w:pPr>
            <w:r>
              <w:rPr>
                <w:rFonts w:ascii="Arial" w:cs="Arial" w:eastAsia="Arial" w:hAnsi="Arial"/>
                <w:sz w:val="16"/>
                <w:szCs w:val="16"/>
                <w:color w:val="auto"/>
              </w:rPr>
              <w:t>'Net interest income (loss) after losses and recoveries</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13,300</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1,591</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14,891</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(2,588)</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784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Noninterest income: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Servicing income</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1,254</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192</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40"/>
              <w:spacing w:after="0" w:line="180" w:lineRule="exact"/>
              <w:rPr>
                <w:sz w:val="20"/>
                <w:szCs w:val="20"/>
                <w:color w:val="auto"/>
              </w:rPr>
            </w:pPr>
            <w:r>
              <w:rPr>
                <w:rFonts w:ascii="Arial" w:cs="Arial" w:eastAsia="Arial" w:hAnsi="Arial"/>
                <w:sz w:val="16"/>
                <w:szCs w:val="16"/>
                <w:color w:val="auto"/>
              </w:rPr>
              <w:t>Warranties and GAP income (loss), net</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3,571</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508</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4,079</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390</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CarStory revenue</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2,392</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2,392</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432</w:t>
            </w:r>
          </w:p>
        </w:tc>
        <w:tc>
          <w:tcPr>
            <w:tcW w:w="6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Other income</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2,235</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62</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184</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2,481</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13</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line="180" w:lineRule="exact"/>
              <w:rPr>
                <w:sz w:val="20"/>
                <w:szCs w:val="20"/>
                <w:color w:val="auto"/>
              </w:rPr>
            </w:pPr>
            <w:r>
              <w:rPr>
                <w:rFonts w:ascii="Arial" w:cs="Arial" w:eastAsia="Arial" w:hAnsi="Arial"/>
                <w:sz w:val="16"/>
                <w:szCs w:val="16"/>
                <w:color w:val="auto"/>
              </w:rPr>
              <w:t>Total noninterest income (loss)</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7,060</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2,454</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692</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10,206</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648</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445</w:t>
            </w:r>
          </w:p>
        </w:tc>
        <w:tc>
          <w:tcPr>
            <w:tcW w:w="66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900" w:type="dxa"/>
            <w:vAlign w:val="bottom"/>
          </w:tcPr>
          <w:p>
            <w:pPr>
              <w:spacing w:after="0" w:line="180" w:lineRule="exact"/>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Compensation and benefits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13,694</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1,360</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1,013</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16,067</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2,398</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326</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2,823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40"/>
              <w:spacing w:after="0" w:line="180" w:lineRule="exact"/>
              <w:rPr>
                <w:sz w:val="20"/>
                <w:szCs w:val="20"/>
                <w:color w:val="auto"/>
              </w:rPr>
            </w:pPr>
            <w:r>
              <w:rPr>
                <w:rFonts w:ascii="Arial" w:cs="Arial" w:eastAsia="Arial" w:hAnsi="Arial"/>
                <w:sz w:val="16"/>
                <w:szCs w:val="16"/>
                <w:color w:val="auto"/>
              </w:rPr>
              <w:t>Professional fees</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3,069</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2,278</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5,347</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172</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13</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Software and IT costs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2,086</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316</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2,402</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367</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2</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40"/>
              <w:spacing w:after="0" w:line="180" w:lineRule="exact"/>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96</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575</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817</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240</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Interest expense on corporate debt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480</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40"/>
              <w:spacing w:after="0" w:line="180" w:lineRule="exact"/>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3,479</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677</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4,156</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Other expenses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138</w:t>
            </w:r>
          </w:p>
        </w:tc>
        <w:tc>
          <w:tcPr>
            <w:tcW w:w="8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562</w:t>
            </w:r>
          </w:p>
        </w:tc>
        <w:tc>
          <w:tcPr>
            <w:tcW w:w="800" w:type="dxa"/>
            <w:vAlign w:val="bottom"/>
            <w:tcBorders>
              <w:right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2,370</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262</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rPr>
              <w:t>20</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line="180" w:lineRule="exact"/>
              <w:rPr>
                <w:sz w:val="20"/>
                <w:szCs w:val="20"/>
                <w:color w:val="auto"/>
              </w:rPr>
            </w:pPr>
            <w:r>
              <w:rPr>
                <w:rFonts w:ascii="Arial" w:cs="Arial" w:eastAsia="Arial" w:hAnsi="Arial"/>
                <w:sz w:val="16"/>
                <w:szCs w:val="16"/>
                <w:color w:val="auto"/>
              </w:rPr>
              <w:t>Total expenses</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24,957</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1,594</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4,846</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31,397</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4,101</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601</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900" w:type="dxa"/>
            <w:vAlign w:val="bottom"/>
          </w:tcPr>
          <w:p>
            <w:pPr>
              <w:spacing w:after="0" w:line="180" w:lineRule="exact"/>
              <w:rPr>
                <w:sz w:val="20"/>
                <w:szCs w:val="20"/>
                <w:color w:val="auto"/>
              </w:rPr>
            </w:pPr>
            <w:r>
              <w:rPr>
                <w:rFonts w:ascii="Arial" w:cs="Arial" w:eastAsia="Arial" w:hAnsi="Arial"/>
                <w:sz w:val="16"/>
                <w:szCs w:val="16"/>
                <w:color w:val="auto"/>
              </w:rPr>
              <w:t>Provision for income taxes from continuing operations</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189"/>
              <w:spacing w:after="0"/>
              <w:rPr>
                <w:sz w:val="20"/>
                <w:szCs w:val="20"/>
                <w:color w:val="auto"/>
              </w:rPr>
            </w:pPr>
            <w:r>
              <w:rPr>
                <w:rFonts w:ascii="Arial" w:cs="Arial" w:eastAsia="Arial" w:hAnsi="Arial"/>
                <w:sz w:val="14"/>
                <w:szCs w:val="14"/>
                <w:color w:val="auto"/>
              </w:rPr>
              <w:t>95</w:t>
            </w: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4"/>
                <w:szCs w:val="14"/>
                <w:color w:val="auto"/>
              </w:rPr>
              <w:t>150</w:t>
            </w:r>
          </w:p>
        </w:tc>
        <w:tc>
          <w:tcPr>
            <w:tcW w:w="2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5</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900" w:type="dxa"/>
            <w:vAlign w:val="bottom"/>
          </w:tcPr>
          <w:p>
            <w:pPr>
              <w:spacing w:after="0" w:line="180" w:lineRule="exact"/>
              <w:rPr>
                <w:sz w:val="20"/>
                <w:szCs w:val="20"/>
                <w:color w:val="auto"/>
              </w:rPr>
            </w:pPr>
            <w:r>
              <w:rPr>
                <w:rFonts w:ascii="Arial" w:cs="Arial" w:eastAsia="Arial" w:hAnsi="Arial"/>
                <w:sz w:val="16"/>
                <w:szCs w:val="16"/>
                <w:color w:val="auto"/>
              </w:rPr>
              <w:t>Adjusted 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839</w:t>
            </w:r>
          </w:p>
        </w:tc>
        <w:tc>
          <w:tcPr>
            <w:tcW w:w="8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(5,910)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(153)</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69"/>
              <w:spacing w:after="0"/>
              <w:rPr>
                <w:sz w:val="20"/>
                <w:szCs w:val="20"/>
                <w:color w:val="auto"/>
              </w:rPr>
            </w:pPr>
            <w:r>
              <w:rPr>
                <w:rFonts w:ascii="Arial" w:cs="Arial" w:eastAsia="Arial" w:hAnsi="Arial"/>
                <w:sz w:val="16"/>
                <w:szCs w:val="16"/>
                <w:color w:val="auto"/>
              </w:rPr>
              <w:t>49</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39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9" w:name="page50"/>
    <w:bookmarkEnd w:id="4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340"/>
        <w:spacing w:after="0"/>
        <w:rPr>
          <w:sz w:val="20"/>
          <w:szCs w:val="20"/>
          <w:color w:val="auto"/>
        </w:rPr>
      </w:pPr>
      <w:r>
        <w:rPr>
          <w:rFonts w:ascii="Arial" w:cs="Arial" w:eastAsia="Arial" w:hAnsi="Arial"/>
          <w:sz w:val="13"/>
          <w:szCs w:val="13"/>
          <w:b w:val="1"/>
          <w:bCs w:val="1"/>
          <w:color w:val="auto"/>
        </w:rPr>
        <w:t>Predecessor</w:t>
      </w:r>
    </w:p>
    <w:p>
      <w:pPr>
        <w:spacing w:after="0" w:line="19" w:lineRule="exact"/>
        <w:rPr>
          <w:sz w:val="20"/>
          <w:szCs w:val="20"/>
          <w:color w:val="auto"/>
        </w:rPr>
      </w:pPr>
    </w:p>
    <w:p>
      <w:pPr>
        <w:jc w:val="center"/>
        <w:ind w:left="5340"/>
        <w:spacing w:after="0"/>
        <w:rPr>
          <w:sz w:val="20"/>
          <w:szCs w:val="20"/>
          <w:color w:val="auto"/>
        </w:rPr>
      </w:pPr>
      <w:r>
        <w:rPr>
          <w:rFonts w:ascii="Arial" w:cs="Arial" w:eastAsia="Arial" w:hAnsi="Arial"/>
          <w:sz w:val="13"/>
          <w:szCs w:val="13"/>
          <w:b w:val="1"/>
          <w:bCs w:val="1"/>
          <w:color w:val="auto"/>
        </w:rPr>
        <w:t>Three Months Ended</w:t>
      </w:r>
    </w:p>
    <w:p>
      <w:pPr>
        <w:spacing w:after="0" w:line="7" w:lineRule="exact"/>
        <w:rPr>
          <w:sz w:val="20"/>
          <w:szCs w:val="20"/>
          <w:color w:val="auto"/>
        </w:rPr>
      </w:pPr>
    </w:p>
    <w:p>
      <w:pPr>
        <w:jc w:val="center"/>
        <w:ind w:left="5340"/>
        <w:spacing w:after="0"/>
        <w:rPr>
          <w:sz w:val="20"/>
          <w:szCs w:val="20"/>
          <w:color w:val="auto"/>
        </w:rPr>
      </w:pPr>
      <w:r>
        <w:rPr>
          <w:rFonts w:ascii="Arial" w:cs="Arial" w:eastAsia="Arial" w:hAnsi="Arial"/>
          <w:sz w:val="13"/>
          <w:szCs w:val="13"/>
          <w:b w:val="1"/>
          <w:bCs w:val="1"/>
          <w:color w:val="auto"/>
        </w:rPr>
        <w:t>March 31,</w:t>
      </w:r>
    </w:p>
    <w:p>
      <w:pPr>
        <w:spacing w:after="0" w:line="7" w:lineRule="exact"/>
        <w:rPr>
          <w:sz w:val="20"/>
          <w:szCs w:val="20"/>
          <w:color w:val="auto"/>
        </w:rPr>
      </w:pPr>
    </w:p>
    <w:p>
      <w:pPr>
        <w:jc w:val="center"/>
        <w:ind w:left="5360"/>
        <w:spacing w:after="0"/>
        <w:rPr>
          <w:sz w:val="20"/>
          <w:szCs w:val="20"/>
          <w:color w:val="auto"/>
        </w:rPr>
      </w:pPr>
      <w:r>
        <w:rPr>
          <w:rFonts w:ascii="Arial" w:cs="Arial" w:eastAsia="Arial" w:hAnsi="Arial"/>
          <w:sz w:val="13"/>
          <w:szCs w:val="13"/>
          <w:b w:val="1"/>
          <w:bCs w:val="1"/>
          <w:color w:val="auto"/>
        </w:rPr>
        <w:t>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UACC</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49"/>
              <w:spacing w:after="0"/>
              <w:rPr>
                <w:sz w:val="20"/>
                <w:szCs w:val="20"/>
                <w:color w:val="auto"/>
              </w:rPr>
            </w:pPr>
            <w:r>
              <w:rPr>
                <w:rFonts w:ascii="Arial" w:cs="Arial" w:eastAsia="Arial" w:hAnsi="Arial"/>
                <w:sz w:val="12"/>
                <w:szCs w:val="12"/>
                <w:b w:val="1"/>
                <w:bCs w:val="1"/>
                <w:color w:val="auto"/>
              </w:rPr>
              <w:t>CarStory</w:t>
            </w:r>
          </w:p>
        </w:tc>
        <w:tc>
          <w:tcPr>
            <w:tcW w:w="1020" w:type="dxa"/>
            <w:vAlign w:val="bottom"/>
          </w:tcPr>
          <w:p>
            <w:pPr>
              <w:jc w:val="right"/>
              <w:ind w:right="289"/>
              <w:spacing w:after="0"/>
              <w:rPr>
                <w:sz w:val="20"/>
                <w:szCs w:val="20"/>
                <w:color w:val="auto"/>
              </w:rPr>
            </w:pPr>
            <w:r>
              <w:rPr>
                <w:rFonts w:ascii="Arial" w:cs="Arial" w:eastAsia="Arial" w:hAnsi="Arial"/>
                <w:sz w:val="12"/>
                <w:szCs w:val="12"/>
                <w:b w:val="1"/>
                <w:bCs w:val="1"/>
                <w:color w:val="auto"/>
              </w:rPr>
              <w:t>Corporate</w:t>
            </w:r>
          </w:p>
        </w:tc>
        <w:tc>
          <w:tcPr>
            <w:tcW w:w="300" w:type="dxa"/>
            <w:vAlign w:val="bottom"/>
          </w:tcPr>
          <w:p>
            <w:pPr>
              <w:spacing w:after="0"/>
              <w:rPr>
                <w:sz w:val="12"/>
                <w:szCs w:val="12"/>
                <w:color w:val="auto"/>
              </w:rPr>
            </w:pPr>
          </w:p>
        </w:tc>
        <w:tc>
          <w:tcPr>
            <w:tcW w:w="1040" w:type="dxa"/>
            <w:vAlign w:val="bottom"/>
          </w:tcPr>
          <w:p>
            <w:pPr>
              <w:jc w:val="right"/>
              <w:ind w:right="48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Interest income</w:t>
            </w:r>
          </w:p>
        </w:tc>
        <w:tc>
          <w:tcPr>
            <w:tcW w:w="1560" w:type="dxa"/>
            <w:vAlign w:val="bottom"/>
            <w:shd w:val="clear" w:color="auto" w:fill="CFF0FC"/>
          </w:tcPr>
          <w:p>
            <w:pPr>
              <w:jc w:val="right"/>
              <w:ind w:right="709"/>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51,541</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  $</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51,077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Interest expense:</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ind w:left="40"/>
              <w:spacing w:after="0" w:line="180" w:lineRule="exact"/>
              <w:rPr>
                <w:sz w:val="20"/>
                <w:szCs w:val="20"/>
                <w:color w:val="auto"/>
              </w:rPr>
            </w:pPr>
            <w:r>
              <w:rPr>
                <w:rFonts w:ascii="Arial" w:cs="Arial" w:eastAsia="Arial" w:hAnsi="Arial"/>
                <w:sz w:val="16"/>
                <w:szCs w:val="16"/>
                <w:color w:val="auto"/>
              </w:rPr>
              <w:t>Warehouse credit facility</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9,471</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9,471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Securitization debt</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4,869</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4,869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spacing w:after="0" w:line="180" w:lineRule="exact"/>
              <w:rPr>
                <w:sz w:val="20"/>
                <w:szCs w:val="20"/>
                <w:color w:val="auto"/>
              </w:rPr>
            </w:pPr>
            <w:r>
              <w:rPr>
                <w:rFonts w:ascii="Arial" w:cs="Arial" w:eastAsia="Arial" w:hAnsi="Arial"/>
                <w:sz w:val="16"/>
                <w:szCs w:val="16"/>
                <w:color w:val="auto"/>
              </w:rPr>
              <w:t>Total interest expense</w:t>
            </w:r>
          </w:p>
        </w:tc>
        <w:tc>
          <w:tcPr>
            <w:tcW w:w="156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14,340</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14,340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interest income (expense)</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37,201</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36,737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Realized and unrealized losses, net of recoveries</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27,761</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3,058</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30,819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spacing w:after="0" w:line="180" w:lineRule="exact"/>
              <w:rPr>
                <w:sz w:val="20"/>
                <w:szCs w:val="20"/>
                <w:color w:val="auto"/>
              </w:rPr>
            </w:pPr>
            <w:r>
              <w:rPr>
                <w:rFonts w:ascii="Arial" w:cs="Arial" w:eastAsia="Arial" w:hAnsi="Arial"/>
                <w:sz w:val="16"/>
                <w:szCs w:val="16"/>
                <w:color w:val="auto"/>
              </w:rPr>
              <w:t>Net interest income (loss) after losses and recoveries</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9,439</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(3,521)</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5,918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7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740" w:type="dxa"/>
            <w:vAlign w:val="bottom"/>
          </w:tcPr>
          <w:p>
            <w:pPr>
              <w:spacing w:after="0" w:line="180" w:lineRule="exact"/>
              <w:rPr>
                <w:sz w:val="20"/>
                <w:szCs w:val="20"/>
                <w:color w:val="auto"/>
              </w:rPr>
            </w:pPr>
            <w:r>
              <w:rPr>
                <w:rFonts w:ascii="Arial" w:cs="Arial" w:eastAsia="Arial" w:hAnsi="Arial"/>
                <w:sz w:val="16"/>
                <w:szCs w:val="16"/>
                <w:color w:val="auto"/>
              </w:rPr>
              <w:t>Noninterest income:</w:t>
            </w: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Servicing income</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ind w:left="40"/>
              <w:spacing w:after="0" w:line="180" w:lineRule="exact"/>
              <w:rPr>
                <w:sz w:val="20"/>
                <w:szCs w:val="20"/>
                <w:color w:val="auto"/>
              </w:rPr>
            </w:pPr>
            <w:r>
              <w:rPr>
                <w:rFonts w:ascii="Arial" w:cs="Arial" w:eastAsia="Arial" w:hAnsi="Arial"/>
                <w:sz w:val="16"/>
                <w:szCs w:val="16"/>
                <w:color w:val="auto"/>
              </w:rPr>
              <w:t>Warranties and GAP income (loss), net</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1,610</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(11,252)</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CarStory revenue</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2,979</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2,979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Other income</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2,470</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173</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141</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spacing w:after="0" w:line="180" w:lineRule="exact"/>
              <w:rPr>
                <w:sz w:val="20"/>
                <w:szCs w:val="20"/>
                <w:color w:val="auto"/>
              </w:rPr>
            </w:pPr>
            <w:r>
              <w:rPr>
                <w:rFonts w:ascii="Arial" w:cs="Arial" w:eastAsia="Arial" w:hAnsi="Arial"/>
                <w:sz w:val="16"/>
                <w:szCs w:val="16"/>
                <w:color w:val="auto"/>
              </w:rPr>
              <w:t>Total noninterest income (loss)</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6,099</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3,152</w:t>
            </w:r>
          </w:p>
        </w:tc>
        <w:tc>
          <w:tcPr>
            <w:tcW w:w="1020" w:type="dxa"/>
            <w:vAlign w:val="bottom"/>
          </w:tcPr>
          <w:p>
            <w:pPr>
              <w:jc w:val="right"/>
              <w:spacing w:after="0"/>
              <w:rPr>
                <w:sz w:val="20"/>
                <w:szCs w:val="20"/>
                <w:color w:val="auto"/>
              </w:rPr>
            </w:pPr>
            <w:r>
              <w:rPr>
                <w:rFonts w:ascii="Arial" w:cs="Arial" w:eastAsia="Arial" w:hAnsi="Arial"/>
                <w:sz w:val="14"/>
                <w:szCs w:val="14"/>
                <w:color w:val="auto"/>
              </w:rPr>
              <w:t>(11,111)</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7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740" w:type="dxa"/>
            <w:vAlign w:val="bottom"/>
          </w:tcPr>
          <w:p>
            <w:pPr>
              <w:spacing w:after="0" w:line="180" w:lineRule="exact"/>
              <w:rPr>
                <w:sz w:val="20"/>
                <w:szCs w:val="20"/>
                <w:color w:val="auto"/>
              </w:rPr>
            </w:pPr>
            <w:r>
              <w:rPr>
                <w:rFonts w:ascii="Arial" w:cs="Arial" w:eastAsia="Arial" w:hAnsi="Arial"/>
                <w:sz w:val="16"/>
                <w:szCs w:val="16"/>
                <w:color w:val="auto"/>
              </w:rPr>
              <w:t>Expenses:</w:t>
            </w: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Compensation and benefits</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18,788</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2,214</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3,109</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24,110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ind w:left="40"/>
              <w:spacing w:after="0" w:line="180" w:lineRule="exact"/>
              <w:rPr>
                <w:sz w:val="20"/>
                <w:szCs w:val="20"/>
                <w:color w:val="auto"/>
              </w:rPr>
            </w:pPr>
            <w:r>
              <w:rPr>
                <w:rFonts w:ascii="Arial" w:cs="Arial" w:eastAsia="Arial" w:hAnsi="Arial"/>
                <w:sz w:val="16"/>
                <w:szCs w:val="16"/>
                <w:color w:val="auto"/>
              </w:rPr>
              <w:t>Professional fees</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876</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122</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2,345</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Software and IT costs</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3,097</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167</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1,358</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ind w:left="40"/>
              <w:spacing w:after="0" w:line="180" w:lineRule="exact"/>
              <w:rPr>
                <w:sz w:val="20"/>
                <w:szCs w:val="20"/>
                <w:color w:val="auto"/>
              </w:rPr>
            </w:pPr>
            <w:r>
              <w:rPr>
                <w:rFonts w:ascii="Arial" w:cs="Arial" w:eastAsia="Arial" w:hAnsi="Arial"/>
                <w:sz w:val="16"/>
                <w:szCs w:val="16"/>
                <w:color w:val="auto"/>
              </w:rPr>
              <w:t>Depreciation and amortization</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6,021</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1,605</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7,626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Interest expense on corporate debt</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920</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ind w:left="40"/>
              <w:spacing w:after="0" w:line="180" w:lineRule="exact"/>
              <w:rPr>
                <w:sz w:val="20"/>
                <w:szCs w:val="20"/>
                <w:color w:val="auto"/>
              </w:rPr>
            </w:pPr>
            <w:r>
              <w:rPr>
                <w:rFonts w:ascii="Arial" w:cs="Arial" w:eastAsia="Arial" w:hAnsi="Arial"/>
                <w:sz w:val="16"/>
                <w:szCs w:val="16"/>
                <w:color w:val="auto"/>
              </w:rPr>
              <w:t>Impairment charges</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2,752</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Other expenses</w:t>
            </w: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2,523</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118</w:t>
            </w:r>
          </w:p>
        </w:tc>
        <w:tc>
          <w:tcPr>
            <w:tcW w:w="10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1,814</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spacing w:after="0" w:line="180" w:lineRule="exact"/>
              <w:rPr>
                <w:sz w:val="20"/>
                <w:szCs w:val="20"/>
                <w:color w:val="auto"/>
              </w:rPr>
            </w:pPr>
            <w:r>
              <w:rPr>
                <w:rFonts w:ascii="Arial" w:cs="Arial" w:eastAsia="Arial" w:hAnsi="Arial"/>
                <w:sz w:val="16"/>
                <w:szCs w:val="16"/>
                <w:color w:val="auto"/>
              </w:rPr>
              <w:t>Total expenses</w:t>
            </w:r>
          </w:p>
        </w:tc>
        <w:tc>
          <w:tcPr>
            <w:tcW w:w="156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34,528</w:t>
            </w:r>
          </w:p>
        </w:tc>
        <w:tc>
          <w:tcPr>
            <w:tcW w:w="200" w:type="dxa"/>
            <w:vAlign w:val="bottom"/>
          </w:tcPr>
          <w:p>
            <w:pPr>
              <w:spacing w:after="0"/>
              <w:rPr>
                <w:sz w:val="15"/>
                <w:szCs w:val="15"/>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4,226</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9,546</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48,298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7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740" w:type="dxa"/>
            <w:vAlign w:val="bottom"/>
          </w:tcPr>
          <w:p>
            <w:pPr>
              <w:spacing w:after="0" w:line="180" w:lineRule="exact"/>
              <w:rPr>
                <w:sz w:val="20"/>
                <w:szCs w:val="20"/>
                <w:color w:val="auto"/>
              </w:rPr>
            </w:pPr>
            <w:r>
              <w:rPr>
                <w:rFonts w:ascii="Arial" w:cs="Arial" w:eastAsia="Arial" w:hAnsi="Arial"/>
                <w:sz w:val="16"/>
                <w:szCs w:val="16"/>
                <w:color w:val="auto"/>
              </w:rPr>
              <w:t>Provision (benefit) for income taxes from continuing operations</w:t>
            </w:r>
          </w:p>
        </w:tc>
        <w:tc>
          <w:tcPr>
            <w:tcW w:w="1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436</w:t>
            </w:r>
          </w:p>
        </w:tc>
        <w:tc>
          <w:tcPr>
            <w:tcW w:w="200" w:type="dxa"/>
            <w:vAlign w:val="bottom"/>
          </w:tcPr>
          <w:p>
            <w:pPr>
              <w:spacing w:after="0"/>
              <w:rPr>
                <w:sz w:val="15"/>
                <w:szCs w:val="15"/>
                <w:color w:val="auto"/>
              </w:rPr>
            </w:pP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39</w:t>
            </w: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7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Adjusted net loss</w:t>
            </w:r>
          </w:p>
        </w:tc>
        <w:tc>
          <w:tcPr>
            <w:tcW w:w="156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(16,506)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(913)</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60" w:type="dxa"/>
            <w:vAlign w:val="bottom"/>
          </w:tcPr>
          <w:p>
            <w:pPr>
              <w:jc w:val="right"/>
              <w:ind w:right="869"/>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474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0" w:name="page51"/>
    <w:bookmarkEnd w:id="5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8" w:lineRule="exact"/>
        <w:rPr>
          <w:sz w:val="20"/>
          <w:szCs w:val="20"/>
          <w:color w:val="auto"/>
        </w:rPr>
      </w:pPr>
    </w:p>
    <w:p>
      <w:pPr>
        <w:ind w:right="500" w:firstLine="696"/>
        <w:spacing w:after="0" w:line="262" w:lineRule="auto"/>
        <w:rPr>
          <w:sz w:val="20"/>
          <w:szCs w:val="20"/>
          <w:color w:val="auto"/>
        </w:rPr>
      </w:pPr>
      <w:r>
        <w:rPr>
          <w:rFonts w:ascii="Arial" w:cs="Arial" w:eastAsia="Arial" w:hAnsi="Arial"/>
          <w:sz w:val="16"/>
          <w:szCs w:val="16"/>
          <w:color w:val="auto"/>
        </w:rPr>
        <w:t>The reconciliation between reportable segment Adjusted net (loss) income to consolidated loss from continuing operations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rPr>
              <w:t>Successor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Predecessor</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rPr>
              <w:t>Period from January 15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Period from January 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rPr>
              <w:t>through March 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through January 14,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right="51"/>
              <w:spacing w:after="0"/>
              <w:rPr>
                <w:sz w:val="20"/>
                <w:szCs w:val="20"/>
                <w:color w:val="auto"/>
              </w:rPr>
            </w:pPr>
            <w:r>
              <w:rPr>
                <w:rFonts w:ascii="Arial" w:cs="Arial" w:eastAsia="Arial" w:hAnsi="Arial"/>
                <w:sz w:val="13"/>
                <w:szCs w:val="13"/>
                <w:b w:val="1"/>
                <w:bCs w:val="1"/>
                <w:color w:val="auto"/>
              </w:rPr>
              <w:t>2025</w:t>
            </w:r>
          </w:p>
        </w:tc>
        <w:tc>
          <w:tcPr>
            <w:tcW w:w="3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center"/>
              <w:ind w:right="71"/>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173"/>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Adjusted net income (loss)</w:t>
            </w:r>
          </w:p>
        </w:tc>
        <w:tc>
          <w:tcPr>
            <w:tcW w:w="1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4"/>
                <w:szCs w:val="14"/>
                <w:color w:val="auto"/>
              </w:rPr>
              <w:t>UACC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(834)</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4"/>
                <w:szCs w:val="14"/>
                <w:color w:val="auto"/>
              </w:rPr>
              <w:t>(5,910)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(16,506)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CarStory</w:t>
            </w:r>
          </w:p>
        </w:tc>
        <w:tc>
          <w:tcPr>
            <w:tcW w:w="120" w:type="dxa"/>
            <w:vAlign w:val="bottom"/>
            <w:shd w:val="clear" w:color="auto" w:fill="CFF0FC"/>
          </w:tcPr>
          <w:p>
            <w:pPr>
              <w:spacing w:after="0"/>
              <w:rPr>
                <w:sz w:val="14"/>
                <w:szCs w:val="14"/>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(153)</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68"/>
        </w:trPr>
        <w:tc>
          <w:tcPr>
            <w:tcW w:w="4060" w:type="dxa"/>
            <w:vAlign w:val="bottom"/>
            <w:gridSpan w:val="2"/>
          </w:tcPr>
          <w:p>
            <w:pPr>
              <w:spacing w:after="0" w:line="148"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line="148" w:lineRule="exact"/>
              <w:rPr>
                <w:sz w:val="20"/>
                <w:szCs w:val="20"/>
                <w:color w:val="auto"/>
              </w:rPr>
            </w:pPr>
            <w:r>
              <w:rPr>
                <w:rFonts w:ascii="Arial" w:cs="Arial" w:eastAsia="Arial" w:hAnsi="Arial"/>
                <w:sz w:val="14"/>
                <w:szCs w:val="14"/>
                <w:color w:val="auto"/>
              </w:rPr>
              <w:t>5</w:t>
            </w:r>
          </w:p>
        </w:tc>
        <w:tc>
          <w:tcPr>
            <w:tcW w:w="320" w:type="dxa"/>
            <w:vAlign w:val="bottom"/>
            <w:tcBorders>
              <w:right w:val="single" w:sz="8" w:color="auto"/>
            </w:tcBorders>
          </w:tcPr>
          <w:p>
            <w:pPr>
              <w:spacing w:after="0"/>
              <w:rPr>
                <w:sz w:val="14"/>
                <w:szCs w:val="14"/>
                <w:color w:val="auto"/>
              </w:rPr>
            </w:pPr>
          </w:p>
        </w:tc>
        <w:tc>
          <w:tcPr>
            <w:tcW w:w="36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140"/>
              <w:spacing w:after="0" w:line="148" w:lineRule="exact"/>
              <w:rPr>
                <w:sz w:val="20"/>
                <w:szCs w:val="20"/>
                <w:color w:val="auto"/>
              </w:rPr>
            </w:pPr>
            <w:r>
              <w:rPr>
                <w:rFonts w:ascii="Arial" w:cs="Arial" w:eastAsia="Arial" w:hAnsi="Arial"/>
                <w:sz w:val="11"/>
                <w:szCs w:val="11"/>
                <w:color w:val="auto"/>
              </w:rPr>
              <w:t>(6,063</w:t>
            </w:r>
            <w:r>
              <w:rPr>
                <w:rFonts w:ascii="Arial" w:cs="Arial" w:eastAsia="Arial" w:hAnsi="Arial"/>
                <w:sz w:val="17"/>
                <w:szCs w:val="17"/>
                <w:color w:val="auto"/>
                <w:vertAlign w:val="subscript"/>
              </w:rPr>
              <w:t>)</w:t>
            </w:r>
          </w:p>
        </w:tc>
        <w:tc>
          <w:tcPr>
            <w:tcW w:w="3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0"/>
              <w:spacing w:after="0" w:line="148" w:lineRule="exact"/>
              <w:rPr>
                <w:sz w:val="20"/>
                <w:szCs w:val="20"/>
                <w:color w:val="auto"/>
              </w:rPr>
            </w:pPr>
            <w:r>
              <w:rPr>
                <w:rFonts w:ascii="Arial" w:cs="Arial" w:eastAsia="Arial" w:hAnsi="Arial"/>
                <w:sz w:val="11"/>
                <w:szCs w:val="11"/>
                <w:color w:val="auto"/>
              </w:rPr>
              <w:t>(17,419</w:t>
            </w:r>
            <w:r>
              <w:rPr>
                <w:rFonts w:ascii="Arial" w:cs="Arial" w:eastAsia="Arial" w:hAnsi="Arial"/>
                <w:sz w:val="17"/>
                <w:szCs w:val="17"/>
                <w:color w:val="auto"/>
                <w:vertAlign w:val="subscript"/>
              </w:rPr>
              <w:t>)</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60" w:type="dxa"/>
            <w:vAlign w:val="bottom"/>
            <w:tcBorders>
              <w:right w:val="single" w:sz="8" w:color="auto"/>
            </w:tcBorders>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120" w:type="dxa"/>
            <w:vAlign w:val="bottom"/>
          </w:tcPr>
          <w:p>
            <w:pPr>
              <w:spacing w:after="0"/>
              <w:rPr>
                <w:sz w:val="14"/>
                <w:szCs w:val="14"/>
                <w:color w:val="auto"/>
              </w:rPr>
            </w:pPr>
          </w:p>
        </w:tc>
        <w:tc>
          <w:tcPr>
            <w:tcW w:w="20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(297)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Severance expense</w:t>
            </w:r>
          </w:p>
        </w:tc>
        <w:tc>
          <w:tcPr>
            <w:tcW w:w="120" w:type="dxa"/>
            <w:vAlign w:val="bottom"/>
            <w:shd w:val="clear" w:color="auto" w:fill="CFF0FC"/>
          </w:tcPr>
          <w:p>
            <w:pPr>
              <w:spacing w:after="0"/>
              <w:rPr>
                <w:sz w:val="18"/>
                <w:szCs w:val="18"/>
                <w:color w:val="auto"/>
              </w:rPr>
            </w:pPr>
          </w:p>
        </w:tc>
        <w:tc>
          <w:tcPr>
            <w:tcW w:w="20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Impairment charges</w:t>
            </w:r>
          </w:p>
        </w:tc>
        <w:tc>
          <w:tcPr>
            <w:tcW w:w="120" w:type="dxa"/>
            <w:vAlign w:val="bottom"/>
          </w:tcPr>
          <w:p>
            <w:pPr>
              <w:spacing w:after="0"/>
              <w:rPr>
                <w:sz w:val="14"/>
                <w:szCs w:val="14"/>
                <w:color w:val="auto"/>
              </w:rPr>
            </w:pPr>
          </w:p>
        </w:tc>
        <w:tc>
          <w:tcPr>
            <w:tcW w:w="20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(3,479)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Corporate income (loss) from continuing operations</w:t>
            </w:r>
          </w:p>
        </w:tc>
        <w:tc>
          <w:tcPr>
            <w:tcW w:w="120" w:type="dxa"/>
            <w:vAlign w:val="bottom"/>
            <w:shd w:val="clear" w:color="auto" w:fill="CFF0FC"/>
          </w:tcPr>
          <w:p>
            <w:pPr>
              <w:spacing w:after="0"/>
              <w:rPr>
                <w:sz w:val="14"/>
                <w:szCs w:val="14"/>
                <w:color w:val="auto"/>
              </w:rPr>
            </w:pPr>
          </w:p>
        </w:tc>
        <w:tc>
          <w:tcPr>
            <w:tcW w:w="20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(2,658)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(24,136)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Reorganization items, net</w:t>
            </w:r>
          </w:p>
        </w:tc>
        <w:tc>
          <w:tcPr>
            <w:tcW w:w="120" w:type="dxa"/>
            <w:vAlign w:val="bottom"/>
          </w:tcPr>
          <w:p>
            <w:pPr>
              <w:spacing w:after="0"/>
              <w:rPr>
                <w:sz w:val="14"/>
                <w:szCs w:val="14"/>
                <w:color w:val="auto"/>
              </w:rPr>
            </w:pPr>
          </w:p>
        </w:tc>
        <w:tc>
          <w:tcPr>
            <w:tcW w:w="20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51,036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40" w:type="dxa"/>
            <w:vAlign w:val="bottom"/>
            <w:shd w:val="clear" w:color="auto" w:fill="CFF0FC"/>
          </w:tcPr>
          <w:p>
            <w:pPr>
              <w:spacing w:after="0" w:line="148" w:lineRule="exact"/>
              <w:rPr>
                <w:sz w:val="20"/>
                <w:szCs w:val="20"/>
                <w:color w:val="auto"/>
              </w:rPr>
            </w:pPr>
            <w:r>
              <w:rPr>
                <w:rFonts w:ascii="Arial" w:cs="Arial" w:eastAsia="Arial" w:hAnsi="Arial"/>
                <w:sz w:val="14"/>
                <w:szCs w:val="14"/>
                <w:color w:val="auto"/>
              </w:rPr>
              <w:t>Net (loss) income from continuing operations</w:t>
            </w:r>
          </w:p>
        </w:tc>
        <w:tc>
          <w:tcPr>
            <w:tcW w:w="12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w w:val="76"/>
              </w:rPr>
              <w:t>$</w:t>
            </w:r>
          </w:p>
        </w:tc>
        <w:tc>
          <w:tcPr>
            <w:tcW w:w="2060" w:type="dxa"/>
            <w:vAlign w:val="bottom"/>
            <w:tcBorders>
              <w:right w:val="single" w:sz="8" w:color="auto"/>
            </w:tcBorders>
            <w:gridSpan w:val="2"/>
            <w:shd w:val="clear" w:color="auto" w:fill="CFF0FC"/>
          </w:tcPr>
          <w:p>
            <w:pPr>
              <w:jc w:val="right"/>
              <w:ind w:right="280"/>
              <w:spacing w:after="0" w:line="148" w:lineRule="exact"/>
              <w:rPr>
                <w:sz w:val="20"/>
                <w:szCs w:val="20"/>
                <w:color w:val="auto"/>
              </w:rPr>
            </w:pPr>
            <w:r>
              <w:rPr>
                <w:rFonts w:ascii="Arial" w:cs="Arial" w:eastAsia="Arial" w:hAnsi="Arial"/>
                <w:sz w:val="11"/>
                <w:szCs w:val="11"/>
                <w:color w:val="auto"/>
              </w:rPr>
              <w:t>(6,450</w:t>
            </w:r>
            <w:r>
              <w:rPr>
                <w:rFonts w:ascii="Arial" w:cs="Arial" w:eastAsia="Arial" w:hAnsi="Arial"/>
                <w:sz w:val="17"/>
                <w:szCs w:val="17"/>
                <w:color w:val="auto"/>
                <w:vertAlign w:val="subscript"/>
              </w:rPr>
              <w:t>)</w:t>
            </w:r>
          </w:p>
        </w:tc>
        <w:tc>
          <w:tcPr>
            <w:tcW w:w="360" w:type="dxa"/>
            <w:vAlign w:val="bottom"/>
            <w:gridSpan w:val="2"/>
            <w:shd w:val="clear" w:color="auto" w:fill="CFF0FC"/>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172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rPr>
              <w:t>45,090</w:t>
            </w:r>
          </w:p>
        </w:tc>
        <w:tc>
          <w:tcPr>
            <w:tcW w:w="1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FF0FC"/>
          </w:tcPr>
          <w:p>
            <w:pPr>
              <w:jc w:val="right"/>
              <w:ind w:right="40"/>
              <w:spacing w:after="0" w:line="148" w:lineRule="exact"/>
              <w:rPr>
                <w:sz w:val="20"/>
                <w:szCs w:val="20"/>
                <w:color w:val="auto"/>
              </w:rPr>
            </w:pPr>
            <w:r>
              <w:rPr>
                <w:rFonts w:ascii="Arial" w:cs="Arial" w:eastAsia="Arial" w:hAnsi="Arial"/>
                <w:sz w:val="11"/>
                <w:szCs w:val="11"/>
                <w:color w:val="auto"/>
              </w:rPr>
              <w:t>(44,676</w:t>
            </w:r>
            <w:r>
              <w:rPr>
                <w:rFonts w:ascii="Arial" w:cs="Arial" w:eastAsia="Arial" w:hAnsi="Arial"/>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Income Taxes</w:t>
      </w:r>
    </w:p>
    <w:p>
      <w:pPr>
        <w:spacing w:after="0" w:line="178" w:lineRule="exact"/>
        <w:rPr>
          <w:sz w:val="20"/>
          <w:szCs w:val="20"/>
          <w:color w:val="auto"/>
        </w:rPr>
      </w:pPr>
    </w:p>
    <w:p>
      <w:pPr>
        <w:ind w:firstLine="708"/>
        <w:spacing w:after="0" w:line="239" w:lineRule="auto"/>
        <w:rPr>
          <w:sz w:val="20"/>
          <w:szCs w:val="20"/>
          <w:color w:val="auto"/>
        </w:rPr>
      </w:pPr>
      <w:r>
        <w:rPr>
          <w:rFonts w:ascii="Arial" w:cs="Arial" w:eastAsia="Arial" w:hAnsi="Arial"/>
          <w:sz w:val="16"/>
          <w:szCs w:val="16"/>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p>
    <w:p>
      <w:pPr>
        <w:spacing w:after="0" w:line="158" w:lineRule="exact"/>
        <w:rPr>
          <w:sz w:val="20"/>
          <w:szCs w:val="20"/>
          <w:color w:val="auto"/>
        </w:rPr>
      </w:pPr>
    </w:p>
    <w:p>
      <w:pPr>
        <w:ind w:right="200" w:firstLine="696"/>
        <w:spacing w:after="0" w:line="262" w:lineRule="auto"/>
        <w:rPr>
          <w:sz w:val="20"/>
          <w:szCs w:val="20"/>
          <w:color w:val="auto"/>
        </w:rPr>
      </w:pPr>
      <w:r>
        <w:rPr>
          <w:rFonts w:ascii="Arial" w:cs="Arial" w:eastAsia="Arial" w:hAnsi="Arial"/>
          <w:sz w:val="16"/>
          <w:szCs w:val="16"/>
          <w:color w:val="auto"/>
        </w:rPr>
        <w:t>The Company’s effective tax rate from continuing operations was 0.4% for the three months ended March 31, 2025, and (1.0)% for the three months ended March 31, 2024.</w:t>
      </w:r>
    </w:p>
    <w:p>
      <w:pPr>
        <w:spacing w:after="0" w:line="138" w:lineRule="exact"/>
        <w:rPr>
          <w:sz w:val="20"/>
          <w:szCs w:val="20"/>
          <w:color w:val="auto"/>
        </w:rPr>
      </w:pPr>
    </w:p>
    <w:p>
      <w:pPr>
        <w:ind w:right="100" w:firstLine="708"/>
        <w:spacing w:after="0" w:line="248" w:lineRule="auto"/>
        <w:rPr>
          <w:sz w:val="20"/>
          <w:szCs w:val="20"/>
          <w:color w:val="auto"/>
        </w:rPr>
      </w:pPr>
      <w:r>
        <w:rPr>
          <w:rFonts w:ascii="Arial" w:cs="Arial" w:eastAsia="Arial" w:hAnsi="Arial"/>
          <w:sz w:val="16"/>
          <w:szCs w:val="16"/>
          <w:color w:val="auto"/>
        </w:rPr>
        <w:t>The Company is subject to tax in the United States and many state and local jurisdictions. The Company, with certain exceptions, is no longer subject to income tax examinations by U.S. federal, state and local for tax years 2018 and prior. The company is not currently under audit for any US federal or state income tax audits.</w:t>
      </w:r>
    </w:p>
    <w:p>
      <w:pPr>
        <w:spacing w:after="0" w:line="150" w:lineRule="exact"/>
        <w:rPr>
          <w:sz w:val="20"/>
          <w:szCs w:val="20"/>
          <w:color w:val="auto"/>
        </w:rPr>
      </w:pPr>
    </w:p>
    <w:p>
      <w:pPr>
        <w:ind w:right="40" w:firstLine="708"/>
        <w:spacing w:after="0" w:line="248" w:lineRule="auto"/>
        <w:rPr>
          <w:sz w:val="20"/>
          <w:szCs w:val="20"/>
          <w:color w:val="auto"/>
        </w:rPr>
      </w:pPr>
      <w:r>
        <w:rPr>
          <w:rFonts w:ascii="Arial" w:cs="Arial" w:eastAsia="Arial" w:hAnsi="Arial"/>
          <w:sz w:val="16"/>
          <w:szCs w:val="16"/>
          <w:color w:val="auto"/>
        </w:rPr>
        <w:t>The Company has not identified any uncertain tax positions as of March 31, 2025, or December 31, 2024. Any interest and penalties related to uncertain tax positions shall be recorded as a component of income tax expense. To date, no interest or penalties have been accrued in relation to uncertain tax positions.</w:t>
      </w:r>
    </w:p>
    <w:p>
      <w:pPr>
        <w:spacing w:after="0" w:line="150" w:lineRule="exact"/>
        <w:rPr>
          <w:sz w:val="20"/>
          <w:szCs w:val="20"/>
          <w:color w:val="auto"/>
        </w:rPr>
      </w:pPr>
    </w:p>
    <w:p>
      <w:pPr>
        <w:ind w:firstLine="708"/>
        <w:spacing w:after="0" w:line="238" w:lineRule="auto"/>
        <w:rPr>
          <w:sz w:val="20"/>
          <w:szCs w:val="20"/>
          <w:color w:val="auto"/>
        </w:rPr>
      </w:pPr>
      <w:r>
        <w:rPr>
          <w:rFonts w:ascii="Arial" w:cs="Arial" w:eastAsia="Arial" w:hAnsi="Arial"/>
          <w:sz w:val="16"/>
          <w:szCs w:val="16"/>
          <w:color w:val="auto"/>
        </w:rPr>
        <w:t>The Internal Revenue Code (“IRC”) Section 382 provides for a limitation of the annual use of net operating loss and tax credit carryforwards following certain ownership changes (as defined by the IRC Section 382). The Company completed a Section 382 study and determined that the Company has undergone five ownership changes, the most recent of which occurred on the Effective Date. The IRC Section 382 limitations arising as a result of these ownership changes generally limit the use of the net operating losses generated before the applicable ownership change. However, an exception to the IRC Section 382 limitation applies when, among other requirements, so-called “qualified creditors” and shareholders of a corporation in a title 11 Case receive, in respect of their claims and interests, as applicable, at least 50% of the vote and value of the stock of the corporation pursuant to a confirmed chapter 11 plan (the “382(l)(5) Exception”) . The Company expects that the 382(l)(5) Exception applied to the ownership change occurring on the Effective Date and, accordingly, that the Company may not have any limitation on its utilization of federal NOL carryforwards generated prior to emergence from the Prepackaged Chapter 11 Case (other than limitations which existed before the commencement of the Prepackaged Chapter 11 Case). However, the Company may be limited in its utilization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1" w:name="page52"/>
    <w:bookmarkEnd w:id="5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of its federal NOL carryforwards generated before the Effective Date if it triggers another ownership change within two years after the Effective Date.</w:t>
      </w:r>
    </w:p>
    <w:p>
      <w:pPr>
        <w:spacing w:after="0" w:line="176" w:lineRule="exact"/>
        <w:rPr>
          <w:sz w:val="20"/>
          <w:szCs w:val="20"/>
          <w:color w:val="auto"/>
        </w:rPr>
      </w:pPr>
    </w:p>
    <w:p>
      <w:pPr>
        <w:ind w:firstLine="708"/>
        <w:spacing w:after="0"/>
        <w:rPr>
          <w:sz w:val="20"/>
          <w:szCs w:val="20"/>
          <w:color w:val="auto"/>
        </w:rPr>
      </w:pPr>
      <w:r>
        <w:rPr>
          <w:rFonts w:ascii="Arial" w:cs="Arial" w:eastAsia="Arial" w:hAnsi="Arial"/>
          <w:sz w:val="16"/>
          <w:szCs w:val="16"/>
          <w:color w:val="auto"/>
        </w:rPr>
        <w:t>On the Effective Date, the Company consummated its Prepackaged Chapter 11 Case. For US tax purposes the Company would be required to recognize cancellation of debt income (“CODI”) in the amount equal to the excess of the adjusted issue price of the debt discharged over the value of any new debt or equity that was issued. However, IRC Section 108 provides that CODI may be excluded from gross income to the extent that the debt is discharged in a title 11 Case. In lieu of recognizing CODI, IRC Section 108 requires the Company to reduce its tax attributes, including net operating losses, capital losses, tax credits, depreciable assets, investment in subsidiaries and other investments, in the amount of the CODI that is excluded from gross income.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Net Income (Loss) Per Share</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sets forth the computation of basic and diluted net income (loss) per share attributable to common stockholders: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3"/>
                <w:szCs w:val="13"/>
                <w:b w:val="1"/>
                <w:bCs w:val="1"/>
                <w:color w:val="auto"/>
              </w:rPr>
              <w:t>Successor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3"/>
                <w:szCs w:val="13"/>
                <w:b w:val="1"/>
                <w:bCs w:val="1"/>
                <w:color w:val="auto"/>
              </w:rPr>
              <w:t>Predecessor</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70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3"/>
                <w:szCs w:val="13"/>
                <w:b w:val="1"/>
                <w:bCs w:val="1"/>
                <w:color w:val="auto"/>
              </w:rPr>
              <w:t>Period from January</w:t>
            </w:r>
          </w:p>
        </w:tc>
        <w:tc>
          <w:tcPr>
            <w:tcW w:w="160" w:type="dxa"/>
            <w:vAlign w:val="bottom"/>
          </w:tcPr>
          <w:p>
            <w:pPr>
              <w:spacing w:after="0"/>
              <w:rPr>
                <w:sz w:val="13"/>
                <w:szCs w:val="13"/>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Period from January 1</w:t>
            </w:r>
          </w:p>
        </w:tc>
        <w:tc>
          <w:tcPr>
            <w:tcW w:w="15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Three Months Ended</w:t>
            </w: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7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rPr>
              <w:t>15 through 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through January 14,</w:t>
            </w:r>
          </w:p>
        </w:tc>
        <w:tc>
          <w:tcPr>
            <w:tcW w:w="32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9"/>
              </w:rPr>
              <w:t>March 31,</w:t>
            </w:r>
          </w:p>
        </w:tc>
      </w:tr>
      <w:tr>
        <w:trPr>
          <w:trHeight w:val="168"/>
        </w:trPr>
        <w:tc>
          <w:tcPr>
            <w:tcW w:w="552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40" w:type="dxa"/>
            <w:vAlign w:val="bottom"/>
          </w:tcPr>
          <w:p>
            <w:pPr>
              <w:spacing w:after="0"/>
              <w:rPr>
                <w:sz w:val="14"/>
                <w:szCs w:val="14"/>
                <w:color w:val="auto"/>
              </w:rPr>
            </w:pPr>
          </w:p>
        </w:tc>
        <w:tc>
          <w:tcPr>
            <w:tcW w:w="1200" w:type="dxa"/>
            <w:vAlign w:val="bottom"/>
          </w:tcPr>
          <w:p>
            <w:pPr>
              <w:jc w:val="center"/>
              <w:ind w:right="167"/>
              <w:spacing w:after="0"/>
              <w:rPr>
                <w:sz w:val="20"/>
                <w:szCs w:val="20"/>
                <w:color w:val="auto"/>
              </w:rPr>
            </w:pPr>
            <w:r>
              <w:rPr>
                <w:rFonts w:ascii="Arial" w:cs="Arial" w:eastAsia="Arial" w:hAnsi="Arial"/>
                <w:sz w:val="13"/>
                <w:szCs w:val="13"/>
                <w:b w:val="1"/>
                <w:bCs w:val="1"/>
                <w:color w:val="auto"/>
                <w:w w:val="96"/>
              </w:rPr>
              <w:t>2025</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ind w:right="5"/>
              <w:spacing w:after="0"/>
              <w:rPr>
                <w:sz w:val="20"/>
                <w:szCs w:val="20"/>
                <w:color w:val="auto"/>
              </w:rPr>
            </w:pPr>
            <w:r>
              <w:rPr>
                <w:rFonts w:ascii="Arial" w:cs="Arial" w:eastAsia="Arial" w:hAnsi="Arial"/>
                <w:sz w:val="13"/>
                <w:szCs w:val="13"/>
                <w:b w:val="1"/>
                <w:bCs w:val="1"/>
                <w:color w:val="auto"/>
                <w:w w:val="96"/>
              </w:rPr>
              <w:t>2025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4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(loss) income from continuing operations</w:t>
            </w: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(6,450)</w:t>
            </w:r>
          </w:p>
        </w:tc>
        <w:tc>
          <w:tcPr>
            <w:tcW w:w="2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45,090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(44,676)</w:t>
            </w: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Arial" w:cs="Arial" w:eastAsia="Arial" w:hAnsi="Arial"/>
                <w:sz w:val="16"/>
                <w:szCs w:val="16"/>
                <w:color w:val="auto"/>
              </w:rPr>
              <w:t>Net income (loss) from discontinued operations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tcPr>
          <w:p>
            <w:pPr>
              <w:jc w:val="right"/>
              <w:ind w:right="260"/>
              <w:spacing w:after="0" w:line="180" w:lineRule="exact"/>
              <w:rPr>
                <w:sz w:val="20"/>
                <w:szCs w:val="20"/>
                <w:color w:val="auto"/>
              </w:rPr>
            </w:pPr>
            <w:r>
              <w:rPr>
                <w:rFonts w:ascii="Arial" w:cs="Arial" w:eastAsia="Arial" w:hAnsi="Arial"/>
                <w:sz w:val="16"/>
                <w:szCs w:val="16"/>
                <w:color w:val="auto"/>
              </w:rPr>
              <w:t>99</w:t>
            </w:r>
          </w:p>
        </w:tc>
        <w:tc>
          <w:tcPr>
            <w:tcW w:w="2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(4)</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(22,941)</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(loss) income</w:t>
            </w: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(6,351)</w:t>
            </w:r>
          </w:p>
        </w:tc>
        <w:tc>
          <w:tcPr>
            <w:tcW w:w="2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45,086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(67,617)</w:t>
            </w: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Arial" w:cs="Arial" w:eastAsia="Arial" w:hAnsi="Arial"/>
                <w:sz w:val="16"/>
                <w:szCs w:val="16"/>
                <w:color w:val="auto"/>
              </w:rPr>
              <w:t>Net (loss) income per share attributable to common stockholders, basic:</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Continuing operations</w:t>
            </w:r>
          </w:p>
        </w:tc>
        <w:tc>
          <w:tcPr>
            <w:tcW w:w="240" w:type="dxa"/>
            <w:vAlign w:val="bottom"/>
            <w:shd w:val="clear" w:color="auto" w:fill="CFF0FC"/>
          </w:tcPr>
          <w:p>
            <w:pPr>
              <w:spacing w:after="0"/>
              <w:rPr>
                <w:sz w:val="15"/>
                <w:szCs w:val="15"/>
                <w:color w:val="auto"/>
              </w:rPr>
            </w:pPr>
          </w:p>
        </w:tc>
        <w:tc>
          <w:tcPr>
            <w:tcW w:w="1460" w:type="dxa"/>
            <w:vAlign w:val="bottom"/>
            <w:tcBorders>
              <w:right w:val="single" w:sz="8" w:color="auto"/>
            </w:tcBorders>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(1.25)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24.74</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(24.90)</w:t>
            </w:r>
          </w:p>
        </w:tc>
      </w:tr>
      <w:tr>
        <w:trPr>
          <w:trHeight w:val="180"/>
        </w:trPr>
        <w:tc>
          <w:tcPr>
            <w:tcW w:w="20" w:type="dxa"/>
            <w:vAlign w:val="bottom"/>
          </w:tcPr>
          <w:p>
            <w:pPr>
              <w:spacing w:after="0"/>
              <w:rPr>
                <w:sz w:val="15"/>
                <w:szCs w:val="15"/>
                <w:color w:val="auto"/>
              </w:rPr>
            </w:pPr>
          </w:p>
        </w:tc>
        <w:tc>
          <w:tcPr>
            <w:tcW w:w="5500" w:type="dxa"/>
            <w:vAlign w:val="bottom"/>
          </w:tcPr>
          <w:p>
            <w:pPr>
              <w:ind w:left="40"/>
              <w:spacing w:after="0" w:line="180" w:lineRule="exact"/>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15"/>
                <w:szCs w:val="15"/>
                <w:color w:val="auto"/>
              </w:rPr>
            </w:pPr>
          </w:p>
        </w:tc>
        <w:tc>
          <w:tcPr>
            <w:tcW w:w="1460" w:type="dxa"/>
            <w:vAlign w:val="bottom"/>
            <w:tcBorders>
              <w:right w:val="single" w:sz="8" w:color="auto"/>
            </w:tcBorders>
            <w:gridSpan w:val="2"/>
          </w:tcPr>
          <w:p>
            <w:pPr>
              <w:jc w:val="right"/>
              <w:ind w:right="260"/>
              <w:spacing w:after="0" w:line="180" w:lineRule="exact"/>
              <w:rPr>
                <w:sz w:val="20"/>
                <w:szCs w:val="20"/>
                <w:color w:val="auto"/>
              </w:rPr>
            </w:pPr>
            <w:r>
              <w:rPr>
                <w:rFonts w:ascii="Arial" w:cs="Arial" w:eastAsia="Arial" w:hAnsi="Arial"/>
                <w:sz w:val="16"/>
                <w:szCs w:val="16"/>
                <w:color w:val="auto"/>
              </w:rPr>
              <w:t>0.02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(0.00)</w:t>
            </w:r>
          </w:p>
        </w:tc>
        <w:tc>
          <w:tcPr>
            <w:tcW w:w="32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(12.79)</w:t>
            </w:r>
          </w:p>
        </w:tc>
      </w:tr>
      <w:tr>
        <w:trPr>
          <w:trHeight w:val="220"/>
        </w:trPr>
        <w:tc>
          <w:tcPr>
            <w:tcW w:w="20" w:type="dxa"/>
            <w:vAlign w:val="bottom"/>
          </w:tcPr>
          <w:p>
            <w:pPr>
              <w:spacing w:after="0"/>
              <w:rPr>
                <w:sz w:val="19"/>
                <w:szCs w:val="19"/>
                <w:color w:val="auto"/>
              </w:rPr>
            </w:pPr>
          </w:p>
        </w:tc>
        <w:tc>
          <w:tcPr>
            <w:tcW w:w="5500" w:type="dxa"/>
            <w:vAlign w:val="bottom"/>
            <w:shd w:val="clear" w:color="auto" w:fill="CFF0FC"/>
          </w:tcPr>
          <w:p>
            <w:pPr>
              <w:ind w:left="40"/>
              <w:spacing w:after="0" w:line="160" w:lineRule="exact"/>
              <w:rPr>
                <w:sz w:val="20"/>
                <w:szCs w:val="20"/>
                <w:color w:val="auto"/>
              </w:rPr>
            </w:pPr>
            <w:r>
              <w:rPr>
                <w:rFonts w:ascii="Arial" w:cs="Arial" w:eastAsia="Arial" w:hAnsi="Arial"/>
                <w:sz w:val="16"/>
                <w:szCs w:val="16"/>
                <w:color w:val="auto"/>
              </w:rPr>
              <w:t>Basic</w:t>
            </w: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shd w:val="clear" w:color="auto" w:fill="CFF0FC"/>
          </w:tcPr>
          <w:p>
            <w:pPr>
              <w:jc w:val="right"/>
              <w:ind w:right="220"/>
              <w:spacing w:after="0" w:line="160" w:lineRule="exact"/>
              <w:rPr>
                <w:sz w:val="20"/>
                <w:szCs w:val="20"/>
                <w:color w:val="auto"/>
              </w:rPr>
            </w:pPr>
            <w:r>
              <w:rPr>
                <w:rFonts w:ascii="Arial" w:cs="Arial" w:eastAsia="Arial" w:hAnsi="Arial"/>
                <w:sz w:val="11"/>
                <w:szCs w:val="11"/>
                <w:color w:val="auto"/>
              </w:rPr>
              <w:t>(1.23</w:t>
            </w:r>
            <w:r>
              <w:rPr>
                <w:rFonts w:ascii="Arial" w:cs="Arial" w:eastAsia="Arial" w:hAnsi="Arial"/>
                <w:sz w:val="18"/>
                <w:szCs w:val="18"/>
                <w:color w:val="auto"/>
                <w:vertAlign w:val="subscript"/>
              </w:rPr>
              <w:t>)</w:t>
            </w:r>
          </w:p>
        </w:tc>
        <w:tc>
          <w:tcPr>
            <w:tcW w:w="240" w:type="dxa"/>
            <w:vAlign w:val="bottom"/>
            <w:gridSpan w:val="2"/>
            <w:shd w:val="clear" w:color="auto" w:fill="CFF0FC"/>
          </w:tcPr>
          <w:p>
            <w:pPr>
              <w:jc w:val="right"/>
              <w:spacing w:after="0" w:line="160"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ind w:right="240"/>
              <w:spacing w:after="0" w:line="160" w:lineRule="exact"/>
              <w:rPr>
                <w:sz w:val="20"/>
                <w:szCs w:val="20"/>
                <w:color w:val="auto"/>
              </w:rPr>
            </w:pPr>
            <w:r>
              <w:rPr>
                <w:rFonts w:ascii="Arial" w:cs="Arial" w:eastAsia="Arial" w:hAnsi="Arial"/>
                <w:sz w:val="16"/>
                <w:szCs w:val="16"/>
                <w:color w:val="auto"/>
              </w:rPr>
              <w:t>24.74</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1"/>
                <w:szCs w:val="11"/>
                <w:color w:val="auto"/>
              </w:rPr>
              <w:t>(37.68</w:t>
            </w:r>
            <w:r>
              <w:rPr>
                <w:rFonts w:ascii="Arial" w:cs="Arial" w:eastAsia="Arial" w:hAnsi="Arial"/>
                <w:sz w:val="18"/>
                <w:szCs w:val="18"/>
                <w:color w:val="auto"/>
                <w:vertAlign w:val="subscript"/>
              </w:rPr>
              <w:t>)</w:t>
            </w:r>
          </w:p>
        </w:tc>
      </w:tr>
      <w:tr>
        <w:trPr>
          <w:trHeight w:val="156"/>
        </w:trPr>
        <w:tc>
          <w:tcPr>
            <w:tcW w:w="20" w:type="dxa"/>
            <w:vAlign w:val="bottom"/>
          </w:tcPr>
          <w:p>
            <w:pPr>
              <w:spacing w:after="0"/>
              <w:rPr>
                <w:sz w:val="13"/>
                <w:szCs w:val="13"/>
                <w:color w:val="auto"/>
              </w:rPr>
            </w:pPr>
          </w:p>
        </w:tc>
        <w:tc>
          <w:tcPr>
            <w:tcW w:w="5500" w:type="dxa"/>
            <w:vAlign w:val="bottom"/>
            <w:tcBorders>
              <w:top w:val="single" w:sz="8" w:color="CFF0FC"/>
            </w:tcBorders>
          </w:tcPr>
          <w:p>
            <w:pPr>
              <w:spacing w:after="0" w:line="156" w:lineRule="exact"/>
              <w:rPr>
                <w:sz w:val="20"/>
                <w:szCs w:val="20"/>
                <w:color w:val="auto"/>
              </w:rPr>
            </w:pPr>
            <w:r>
              <w:rPr>
                <w:rFonts w:ascii="Arial" w:cs="Arial" w:eastAsia="Arial" w:hAnsi="Arial"/>
                <w:sz w:val="16"/>
                <w:szCs w:val="16"/>
                <w:color w:val="auto"/>
              </w:rPr>
              <w:t>Net (loss) income per share attributable to common stockholders, diluted:</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Borders>
              <w:top w:val="single" w:sz="8" w:color="CFF0FC"/>
              <w:right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Continuing operations</w:t>
            </w:r>
          </w:p>
        </w:tc>
        <w:tc>
          <w:tcPr>
            <w:tcW w:w="240" w:type="dxa"/>
            <w:vAlign w:val="bottom"/>
            <w:shd w:val="clear" w:color="auto" w:fill="CFF0FC"/>
          </w:tcPr>
          <w:p>
            <w:pPr>
              <w:spacing w:after="0"/>
              <w:rPr>
                <w:sz w:val="15"/>
                <w:szCs w:val="15"/>
                <w:color w:val="auto"/>
              </w:rPr>
            </w:pPr>
          </w:p>
        </w:tc>
        <w:tc>
          <w:tcPr>
            <w:tcW w:w="1460" w:type="dxa"/>
            <w:vAlign w:val="bottom"/>
            <w:tcBorders>
              <w:right w:val="single" w:sz="8" w:color="auto"/>
            </w:tcBorders>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(1.25)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23.89</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(24.90)</w:t>
            </w:r>
          </w:p>
        </w:tc>
      </w:tr>
      <w:tr>
        <w:trPr>
          <w:trHeight w:val="180"/>
        </w:trPr>
        <w:tc>
          <w:tcPr>
            <w:tcW w:w="20" w:type="dxa"/>
            <w:vAlign w:val="bottom"/>
          </w:tcPr>
          <w:p>
            <w:pPr>
              <w:spacing w:after="0"/>
              <w:rPr>
                <w:sz w:val="15"/>
                <w:szCs w:val="15"/>
                <w:color w:val="auto"/>
              </w:rPr>
            </w:pPr>
          </w:p>
        </w:tc>
        <w:tc>
          <w:tcPr>
            <w:tcW w:w="5500" w:type="dxa"/>
            <w:vAlign w:val="bottom"/>
          </w:tcPr>
          <w:p>
            <w:pPr>
              <w:ind w:left="40"/>
              <w:spacing w:after="0" w:line="180" w:lineRule="exact"/>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15"/>
                <w:szCs w:val="15"/>
                <w:color w:val="auto"/>
              </w:rPr>
            </w:pPr>
          </w:p>
        </w:tc>
        <w:tc>
          <w:tcPr>
            <w:tcW w:w="1460" w:type="dxa"/>
            <w:vAlign w:val="bottom"/>
            <w:tcBorders>
              <w:right w:val="single" w:sz="8" w:color="auto"/>
            </w:tcBorders>
            <w:gridSpan w:val="2"/>
          </w:tcPr>
          <w:p>
            <w:pPr>
              <w:jc w:val="right"/>
              <w:ind w:right="260"/>
              <w:spacing w:after="0" w:line="180" w:lineRule="exact"/>
              <w:rPr>
                <w:sz w:val="20"/>
                <w:szCs w:val="20"/>
                <w:color w:val="auto"/>
              </w:rPr>
            </w:pPr>
            <w:r>
              <w:rPr>
                <w:rFonts w:ascii="Arial" w:cs="Arial" w:eastAsia="Arial" w:hAnsi="Arial"/>
                <w:sz w:val="16"/>
                <w:szCs w:val="16"/>
                <w:color w:val="auto"/>
              </w:rPr>
              <w:t>0.02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(0.00)</w:t>
            </w:r>
          </w:p>
        </w:tc>
        <w:tc>
          <w:tcPr>
            <w:tcW w:w="32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(12.79)</w:t>
            </w:r>
          </w:p>
        </w:tc>
      </w:tr>
      <w:tr>
        <w:trPr>
          <w:trHeight w:val="220"/>
        </w:trPr>
        <w:tc>
          <w:tcPr>
            <w:tcW w:w="20" w:type="dxa"/>
            <w:vAlign w:val="bottom"/>
          </w:tcPr>
          <w:p>
            <w:pPr>
              <w:spacing w:after="0"/>
              <w:rPr>
                <w:sz w:val="19"/>
                <w:szCs w:val="19"/>
                <w:color w:val="auto"/>
              </w:rPr>
            </w:pPr>
          </w:p>
        </w:tc>
        <w:tc>
          <w:tcPr>
            <w:tcW w:w="5500" w:type="dxa"/>
            <w:vAlign w:val="bottom"/>
            <w:shd w:val="clear" w:color="auto" w:fill="CFF0FC"/>
          </w:tcPr>
          <w:p>
            <w:pPr>
              <w:ind w:left="40"/>
              <w:spacing w:after="0" w:line="160" w:lineRule="exact"/>
              <w:rPr>
                <w:sz w:val="20"/>
                <w:szCs w:val="20"/>
                <w:color w:val="auto"/>
              </w:rPr>
            </w:pPr>
            <w:r>
              <w:rPr>
                <w:rFonts w:ascii="Arial" w:cs="Arial" w:eastAsia="Arial" w:hAnsi="Arial"/>
                <w:sz w:val="16"/>
                <w:szCs w:val="16"/>
                <w:color w:val="auto"/>
              </w:rPr>
              <w:t>Diluted</w:t>
            </w: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tcBorders>
              <w:right w:val="single" w:sz="8" w:color="auto"/>
            </w:tcBorders>
            <w:gridSpan w:val="2"/>
            <w:shd w:val="clear" w:color="auto" w:fill="CFF0FC"/>
          </w:tcPr>
          <w:p>
            <w:pPr>
              <w:jc w:val="right"/>
              <w:ind w:right="220"/>
              <w:spacing w:after="0" w:line="160" w:lineRule="exact"/>
              <w:rPr>
                <w:sz w:val="20"/>
                <w:szCs w:val="20"/>
                <w:color w:val="auto"/>
              </w:rPr>
            </w:pPr>
            <w:r>
              <w:rPr>
                <w:rFonts w:ascii="Arial" w:cs="Arial" w:eastAsia="Arial" w:hAnsi="Arial"/>
                <w:sz w:val="11"/>
                <w:szCs w:val="11"/>
                <w:color w:val="auto"/>
              </w:rPr>
              <w:t>(1.23</w:t>
            </w:r>
            <w:r>
              <w:rPr>
                <w:rFonts w:ascii="Arial" w:cs="Arial" w:eastAsia="Arial" w:hAnsi="Arial"/>
                <w:sz w:val="18"/>
                <w:szCs w:val="18"/>
                <w:color w:val="auto"/>
                <w:vertAlign w:val="subscript"/>
              </w:rPr>
              <w:t>)</w:t>
            </w:r>
          </w:p>
        </w:tc>
        <w:tc>
          <w:tcPr>
            <w:tcW w:w="240" w:type="dxa"/>
            <w:vAlign w:val="bottom"/>
            <w:gridSpan w:val="2"/>
            <w:shd w:val="clear" w:color="auto" w:fill="CFF0FC"/>
          </w:tcPr>
          <w:p>
            <w:pPr>
              <w:jc w:val="right"/>
              <w:spacing w:after="0" w:line="160"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ind w:right="240"/>
              <w:spacing w:after="0" w:line="160" w:lineRule="exact"/>
              <w:rPr>
                <w:sz w:val="20"/>
                <w:szCs w:val="20"/>
                <w:color w:val="auto"/>
              </w:rPr>
            </w:pPr>
            <w:r>
              <w:rPr>
                <w:rFonts w:ascii="Arial" w:cs="Arial" w:eastAsia="Arial" w:hAnsi="Arial"/>
                <w:sz w:val="16"/>
                <w:szCs w:val="16"/>
                <w:color w:val="auto"/>
              </w:rPr>
              <w:t>23.89</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1"/>
                <w:szCs w:val="11"/>
                <w:color w:val="auto"/>
              </w:rPr>
              <w:t>(37.68</w:t>
            </w:r>
            <w:r>
              <w:rPr>
                <w:rFonts w:ascii="Arial" w:cs="Arial" w:eastAsia="Arial" w:hAnsi="Arial"/>
                <w:sz w:val="18"/>
                <w:szCs w:val="18"/>
                <w:color w:val="auto"/>
                <w:vertAlign w:val="subscript"/>
              </w:rPr>
              <w:t>)</w:t>
            </w:r>
          </w:p>
        </w:tc>
      </w:tr>
      <w:tr>
        <w:trPr>
          <w:trHeight w:val="145"/>
        </w:trPr>
        <w:tc>
          <w:tcPr>
            <w:tcW w:w="20" w:type="dxa"/>
            <w:vAlign w:val="bottom"/>
          </w:tcPr>
          <w:p>
            <w:pPr>
              <w:spacing w:after="0"/>
              <w:rPr>
                <w:sz w:val="12"/>
                <w:szCs w:val="12"/>
                <w:color w:val="auto"/>
              </w:rPr>
            </w:pPr>
          </w:p>
        </w:tc>
        <w:tc>
          <w:tcPr>
            <w:tcW w:w="5500" w:type="dxa"/>
            <w:vAlign w:val="bottom"/>
            <w:tcBorders>
              <w:top w:val="single" w:sz="8" w:color="CFF0FC"/>
            </w:tcBorders>
          </w:tcPr>
          <w:p>
            <w:pPr>
              <w:spacing w:after="0" w:line="145" w:lineRule="exact"/>
              <w:rPr>
                <w:sz w:val="20"/>
                <w:szCs w:val="20"/>
                <w:color w:val="auto"/>
              </w:rPr>
            </w:pPr>
            <w:r>
              <w:rPr>
                <w:rFonts w:ascii="Arial" w:cs="Arial" w:eastAsia="Arial" w:hAnsi="Arial"/>
                <w:sz w:val="16"/>
                <w:szCs w:val="16"/>
                <w:color w:val="auto"/>
              </w:rPr>
              <w:t>Weighted-average number of shares outstanding used to compute net (loss)</w:t>
            </w: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60" w:type="dxa"/>
            <w:vAlign w:val="bottom"/>
            <w:tcBorders>
              <w:top w:val="single" w:sz="8" w:color="CFF0FC"/>
              <w:right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91"/>
        </w:trPr>
        <w:tc>
          <w:tcPr>
            <w:tcW w:w="5520" w:type="dxa"/>
            <w:vAlign w:val="bottom"/>
            <w:gridSpan w:val="2"/>
          </w:tcPr>
          <w:p>
            <w:pPr>
              <w:spacing w:after="0"/>
              <w:rPr>
                <w:sz w:val="20"/>
                <w:szCs w:val="20"/>
                <w:color w:val="auto"/>
              </w:rPr>
            </w:pPr>
            <w:r>
              <w:rPr>
                <w:rFonts w:ascii="Arial" w:cs="Arial" w:eastAsia="Arial" w:hAnsi="Arial"/>
                <w:sz w:val="16"/>
                <w:szCs w:val="16"/>
                <w:color w:val="auto"/>
              </w:rPr>
              <w:t>income per share attributable to common stockholders: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40"/>
              <w:spacing w:after="0" w:line="180" w:lineRule="exact"/>
              <w:rPr>
                <w:sz w:val="20"/>
                <w:szCs w:val="20"/>
                <w:color w:val="auto"/>
              </w:rPr>
            </w:pPr>
            <w:r>
              <w:rPr>
                <w:rFonts w:ascii="Arial" w:cs="Arial" w:eastAsia="Arial" w:hAnsi="Arial"/>
                <w:sz w:val="16"/>
                <w:szCs w:val="16"/>
                <w:color w:val="auto"/>
              </w:rPr>
              <w:t>Basic</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5,163,109</w:t>
            </w:r>
          </w:p>
        </w:tc>
        <w:tc>
          <w:tcPr>
            <w:tcW w:w="26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1,822,541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1,794,303</w:t>
            </w: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500" w:type="dxa"/>
            <w:vAlign w:val="bottom"/>
          </w:tcPr>
          <w:p>
            <w:pPr>
              <w:ind w:left="40"/>
              <w:spacing w:after="0" w:line="180" w:lineRule="exact"/>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6"/>
                <w:szCs w:val="16"/>
                <w:color w:val="auto"/>
              </w:rPr>
              <w:t>5,163,109</w:t>
            </w: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Arial" w:cs="Arial" w:eastAsia="Arial" w:hAnsi="Arial"/>
                <w:sz w:val="16"/>
                <w:szCs w:val="16"/>
                <w:color w:val="auto"/>
              </w:rPr>
              <w:t>1,887,371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1,794,303</w:t>
            </w:r>
          </w:p>
        </w:tc>
        <w:tc>
          <w:tcPr>
            <w:tcW w:w="80" w:type="dxa"/>
            <w:vAlign w:val="bottom"/>
          </w:tcPr>
          <w:p>
            <w:pPr>
              <w:spacing w:after="0"/>
              <w:rPr>
                <w:sz w:val="15"/>
                <w:szCs w:val="15"/>
                <w:color w:val="auto"/>
              </w:rPr>
            </w:pPr>
          </w:p>
        </w:tc>
      </w:tr>
    </w:tbl>
    <w:p>
      <w:pPr>
        <w:spacing w:after="0" w:line="169" w:lineRule="exact"/>
        <w:rPr>
          <w:sz w:val="20"/>
          <w:szCs w:val="20"/>
          <w:color w:val="auto"/>
        </w:rPr>
      </w:pPr>
    </w:p>
    <w:p>
      <w:pPr>
        <w:ind w:right="400" w:firstLine="708"/>
        <w:spacing w:after="0" w:line="262" w:lineRule="auto"/>
        <w:rPr>
          <w:sz w:val="20"/>
          <w:szCs w:val="20"/>
          <w:color w:val="auto"/>
        </w:rPr>
      </w:pPr>
      <w:r>
        <w:rPr>
          <w:rFonts w:ascii="Arial" w:cs="Arial" w:eastAsia="Arial" w:hAnsi="Arial"/>
          <w:sz w:val="16"/>
          <w:szCs w:val="16"/>
          <w:color w:val="auto"/>
        </w:rPr>
        <w:t>The following potentially dilutive shares were not included in the calculation of diluted shares outstanding for the periods presented as the effect would have been anti-dilutive: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60" w:type="dxa"/>
            <w:vAlign w:val="bottom"/>
          </w:tcPr>
          <w:p>
            <w:pPr>
              <w:jc w:val="center"/>
              <w:ind w:right="30"/>
              <w:spacing w:after="0"/>
              <w:rPr>
                <w:sz w:val="20"/>
                <w:szCs w:val="20"/>
                <w:color w:val="auto"/>
              </w:rPr>
            </w:pPr>
            <w:r>
              <w:rPr>
                <w:rFonts w:ascii="Arial" w:cs="Arial" w:eastAsia="Arial" w:hAnsi="Arial"/>
                <w:sz w:val="13"/>
                <w:szCs w:val="13"/>
                <w:b w:val="1"/>
                <w:bCs w:val="1"/>
                <w:color w:val="auto"/>
              </w:rPr>
              <w:t>Successor</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3"/>
          </w:tcPr>
          <w:p>
            <w:pPr>
              <w:jc w:val="right"/>
              <w:ind w:right="1214"/>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Arial" w:cs="Arial" w:eastAsia="Arial" w:hAnsi="Arial"/>
                <w:sz w:val="13"/>
                <w:szCs w:val="13"/>
                <w:b w:val="1"/>
                <w:bCs w:val="1"/>
                <w:color w:val="auto"/>
              </w:rPr>
              <w:t>As of March 31,</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230"/>
              <w:spacing w:after="0"/>
              <w:rPr>
                <w:sz w:val="20"/>
                <w:szCs w:val="20"/>
                <w:color w:val="auto"/>
              </w:rPr>
            </w:pPr>
            <w:r>
              <w:rPr>
                <w:rFonts w:ascii="Arial" w:cs="Arial" w:eastAsia="Arial" w:hAnsi="Arial"/>
                <w:sz w:val="13"/>
                <w:szCs w:val="13"/>
                <w:b w:val="1"/>
                <w:bCs w:val="1"/>
                <w:color w:val="auto"/>
              </w:rPr>
              <w:t>As of January 14,</w:t>
            </w:r>
          </w:p>
        </w:tc>
        <w:tc>
          <w:tcPr>
            <w:tcW w:w="100" w:type="dxa"/>
            <w:vAlign w:val="bottom"/>
          </w:tcPr>
          <w:p>
            <w:pPr>
              <w:spacing w:after="0"/>
              <w:rPr>
                <w:sz w:val="16"/>
                <w:szCs w:val="16"/>
                <w:color w:val="auto"/>
              </w:rPr>
            </w:pPr>
          </w:p>
        </w:tc>
        <w:tc>
          <w:tcPr>
            <w:tcW w:w="1580" w:type="dxa"/>
            <w:vAlign w:val="bottom"/>
          </w:tcPr>
          <w:p>
            <w:pPr>
              <w:jc w:val="right"/>
              <w:ind w:right="294"/>
              <w:spacing w:after="0"/>
              <w:rPr>
                <w:sz w:val="20"/>
                <w:szCs w:val="20"/>
                <w:color w:val="auto"/>
              </w:rPr>
            </w:pPr>
            <w:r>
              <w:rPr>
                <w:rFonts w:ascii="Arial" w:cs="Arial" w:eastAsia="Arial" w:hAnsi="Arial"/>
                <w:sz w:val="13"/>
                <w:szCs w:val="13"/>
                <w:b w:val="1"/>
                <w:bCs w:val="1"/>
                <w:color w:val="auto"/>
              </w:rPr>
              <w:t>As of March 31,</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3620" w:type="dxa"/>
            <w:vAlign w:val="bottom"/>
            <w:gridSpan w:val="2"/>
          </w:tcPr>
          <w:p>
            <w:pPr>
              <w:jc w:val="center"/>
              <w:ind w:left="1884"/>
              <w:spacing w:after="0"/>
              <w:rPr>
                <w:sz w:val="20"/>
                <w:szCs w:val="20"/>
                <w:color w:val="auto"/>
              </w:rPr>
            </w:pPr>
            <w:r>
              <w:rPr>
                <w:rFonts w:ascii="Arial" w:cs="Arial" w:eastAsia="Arial" w:hAnsi="Arial"/>
                <w:sz w:val="13"/>
                <w:szCs w:val="13"/>
                <w:b w:val="1"/>
                <w:bCs w:val="1"/>
                <w:color w:val="auto"/>
              </w:rPr>
              <w:t>2025</w:t>
            </w:r>
          </w:p>
        </w:tc>
        <w:tc>
          <w:tcPr>
            <w:tcW w:w="140" w:type="dxa"/>
            <w:vAlign w:val="bottom"/>
            <w:tcBorders>
              <w:right w:val="single" w:sz="8" w:color="auto"/>
            </w:tcBorders>
          </w:tcPr>
          <w:p>
            <w:pPr>
              <w:spacing w:after="0"/>
              <w:rPr>
                <w:sz w:val="14"/>
                <w:szCs w:val="14"/>
                <w:color w:val="auto"/>
              </w:rPr>
            </w:pPr>
          </w:p>
        </w:tc>
        <w:tc>
          <w:tcPr>
            <w:tcW w:w="1680" w:type="dxa"/>
            <w:vAlign w:val="bottom"/>
            <w:gridSpan w:val="2"/>
          </w:tcPr>
          <w:p>
            <w:pPr>
              <w:jc w:val="right"/>
              <w:ind w:right="610"/>
              <w:spacing w:after="0"/>
              <w:rPr>
                <w:sz w:val="20"/>
                <w:szCs w:val="20"/>
                <w:color w:val="auto"/>
              </w:rPr>
            </w:pPr>
            <w:r>
              <w:rPr>
                <w:rFonts w:ascii="Arial" w:cs="Arial" w:eastAsia="Arial" w:hAnsi="Arial"/>
                <w:sz w:val="13"/>
                <w:szCs w:val="13"/>
                <w:b w:val="1"/>
                <w:bCs w:val="1"/>
                <w:color w:val="auto"/>
              </w:rPr>
              <w:t>2025</w:t>
            </w:r>
          </w:p>
        </w:tc>
        <w:tc>
          <w:tcPr>
            <w:tcW w:w="1680" w:type="dxa"/>
            <w:vAlign w:val="bottom"/>
            <w:gridSpan w:val="2"/>
          </w:tcPr>
          <w:p>
            <w:pPr>
              <w:jc w:val="right"/>
              <w:ind w:right="634"/>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80"/>
        </w:trPr>
        <w:tc>
          <w:tcPr>
            <w:tcW w:w="34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Convertible senior notes</w:t>
            </w:r>
          </w:p>
        </w:tc>
        <w:tc>
          <w:tcPr>
            <w:tcW w:w="206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ind w:right="34"/>
              <w:spacing w:after="0" w:line="180" w:lineRule="exact"/>
              <w:rPr>
                <w:sz w:val="20"/>
                <w:szCs w:val="20"/>
                <w:color w:val="auto"/>
              </w:rPr>
            </w:pPr>
            <w:r>
              <w:rPr>
                <w:rFonts w:ascii="Arial" w:cs="Arial" w:eastAsia="Arial" w:hAnsi="Arial"/>
                <w:sz w:val="16"/>
                <w:szCs w:val="16"/>
                <w:color w:val="auto"/>
              </w:rPr>
              <w:t>64,830</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20"/>
                <w:szCs w:val="20"/>
                <w:color w:val="auto"/>
              </w:rPr>
            </w:pPr>
            <w:r>
              <w:rPr>
                <w:rFonts w:ascii="Arial" w:cs="Arial" w:eastAsia="Arial" w:hAnsi="Arial"/>
                <w:sz w:val="16"/>
                <w:szCs w:val="16"/>
                <w:color w:val="auto"/>
              </w:rPr>
              <w:t>Stock options</w:t>
            </w:r>
          </w:p>
        </w:tc>
        <w:tc>
          <w:tcPr>
            <w:tcW w:w="3620" w:type="dxa"/>
            <w:vAlign w:val="bottom"/>
            <w:gridSpan w:val="2"/>
          </w:tcPr>
          <w:p>
            <w:pPr>
              <w:jc w:val="right"/>
              <w:ind w:right="30"/>
              <w:spacing w:after="0"/>
              <w:rPr>
                <w:sz w:val="20"/>
                <w:szCs w:val="20"/>
                <w:color w:val="auto"/>
              </w:rPr>
            </w:pPr>
            <w:r>
              <w:rPr>
                <w:rFonts w:ascii="Arial" w:cs="Arial" w:eastAsia="Arial" w:hAnsi="Arial"/>
                <w:sz w:val="16"/>
                <w:szCs w:val="16"/>
                <w:color w:val="auto"/>
              </w:rPr>
              <w:t>328,960</w:t>
            </w:r>
          </w:p>
        </w:tc>
        <w:tc>
          <w:tcPr>
            <w:tcW w:w="140" w:type="dxa"/>
            <w:vAlign w:val="bottom"/>
            <w:tcBorders>
              <w:right w:val="single" w:sz="8" w:color="auto"/>
            </w:tcBorders>
          </w:tcPr>
          <w:p>
            <w:pPr>
              <w:spacing w:after="0"/>
              <w:rPr>
                <w:sz w:val="17"/>
                <w:szCs w:val="17"/>
                <w:color w:val="auto"/>
              </w:rPr>
            </w:pP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6"/>
                <w:szCs w:val="16"/>
                <w:color w:val="auto"/>
              </w:rPr>
              <w:t>23,214</w:t>
            </w:r>
          </w:p>
        </w:tc>
        <w:tc>
          <w:tcPr>
            <w:tcW w:w="1680" w:type="dxa"/>
            <w:vAlign w:val="bottom"/>
            <w:gridSpan w:val="2"/>
          </w:tcPr>
          <w:p>
            <w:pPr>
              <w:jc w:val="right"/>
              <w:ind w:right="34"/>
              <w:spacing w:after="0"/>
              <w:rPr>
                <w:sz w:val="20"/>
                <w:szCs w:val="20"/>
                <w:color w:val="auto"/>
              </w:rPr>
            </w:pPr>
            <w:r>
              <w:rPr>
                <w:rFonts w:ascii="Arial" w:cs="Arial" w:eastAsia="Arial" w:hAnsi="Arial"/>
                <w:sz w:val="16"/>
                <w:szCs w:val="16"/>
                <w:color w:val="auto"/>
              </w:rPr>
              <w:t>26,042</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Restricted stock units</w:t>
            </w:r>
          </w:p>
        </w:tc>
        <w:tc>
          <w:tcPr>
            <w:tcW w:w="3620" w:type="dxa"/>
            <w:vAlign w:val="bottom"/>
            <w:gridSpan w:val="2"/>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703,549</w:t>
            </w:r>
          </w:p>
        </w:tc>
        <w:tc>
          <w:tcPr>
            <w:tcW w:w="140" w:type="dxa"/>
            <w:vAlign w:val="bottom"/>
            <w:tcBorders>
              <w:right w:val="single" w:sz="8" w:color="auto"/>
            </w:tcBorders>
            <w:shd w:val="clear" w:color="auto" w:fill="CFF0FC"/>
          </w:tcPr>
          <w:p>
            <w:pPr>
              <w:spacing w:after="0"/>
              <w:rPr>
                <w:sz w:val="15"/>
                <w:szCs w:val="15"/>
                <w:color w:val="auto"/>
              </w:rPr>
            </w:pPr>
          </w:p>
        </w:tc>
        <w:tc>
          <w:tcPr>
            <w:tcW w:w="1680" w:type="dxa"/>
            <w:vAlign w:val="bottom"/>
            <w:gridSpan w:val="2"/>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131,422</w:t>
            </w:r>
          </w:p>
        </w:tc>
        <w:tc>
          <w:tcPr>
            <w:tcW w:w="1680" w:type="dxa"/>
            <w:vAlign w:val="bottom"/>
            <w:gridSpan w:val="2"/>
            <w:shd w:val="clear" w:color="auto" w:fill="CFF0FC"/>
          </w:tcPr>
          <w:p>
            <w:pPr>
              <w:jc w:val="right"/>
              <w:ind w:right="34"/>
              <w:spacing w:after="0" w:line="180" w:lineRule="exact"/>
              <w:rPr>
                <w:sz w:val="20"/>
                <w:szCs w:val="20"/>
                <w:color w:val="auto"/>
              </w:rPr>
            </w:pPr>
            <w:r>
              <w:rPr>
                <w:rFonts w:ascii="Arial" w:cs="Arial" w:eastAsia="Arial" w:hAnsi="Arial"/>
                <w:sz w:val="16"/>
                <w:szCs w:val="16"/>
                <w:color w:val="auto"/>
              </w:rPr>
              <w:t>170,406</w:t>
            </w: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Arial" w:cs="Arial" w:eastAsia="Arial" w:hAnsi="Arial"/>
                <w:sz w:val="16"/>
                <w:szCs w:val="16"/>
                <w:color w:val="auto"/>
              </w:rPr>
              <w:t>Total</w:t>
            </w:r>
          </w:p>
        </w:tc>
        <w:tc>
          <w:tcPr>
            <w:tcW w:w="3620" w:type="dxa"/>
            <w:vAlign w:val="bottom"/>
            <w:gridSpan w:val="2"/>
          </w:tcPr>
          <w:p>
            <w:pPr>
              <w:jc w:val="right"/>
              <w:ind w:right="30"/>
              <w:spacing w:after="0" w:line="180" w:lineRule="exact"/>
              <w:rPr>
                <w:sz w:val="20"/>
                <w:szCs w:val="20"/>
                <w:color w:val="auto"/>
              </w:rPr>
            </w:pPr>
            <w:r>
              <w:rPr>
                <w:rFonts w:ascii="Arial" w:cs="Arial" w:eastAsia="Arial" w:hAnsi="Arial"/>
                <w:sz w:val="16"/>
                <w:szCs w:val="16"/>
                <w:color w:val="auto"/>
              </w:rPr>
              <w:t>1,032,509</w:t>
            </w:r>
          </w:p>
        </w:tc>
        <w:tc>
          <w:tcPr>
            <w:tcW w:w="140" w:type="dxa"/>
            <w:vAlign w:val="bottom"/>
            <w:tcBorders>
              <w:right w:val="single" w:sz="8" w:color="auto"/>
            </w:tcBorders>
          </w:tcPr>
          <w:p>
            <w:pPr>
              <w:spacing w:after="0"/>
              <w:rPr>
                <w:sz w:val="15"/>
                <w:szCs w:val="15"/>
                <w:color w:val="auto"/>
              </w:rPr>
            </w:pPr>
          </w:p>
        </w:tc>
        <w:tc>
          <w:tcPr>
            <w:tcW w:w="1680" w:type="dxa"/>
            <w:vAlign w:val="bottom"/>
            <w:gridSpan w:val="2"/>
          </w:tcPr>
          <w:p>
            <w:pPr>
              <w:jc w:val="right"/>
              <w:ind w:right="30"/>
              <w:spacing w:after="0" w:line="180" w:lineRule="exact"/>
              <w:rPr>
                <w:sz w:val="20"/>
                <w:szCs w:val="20"/>
                <w:color w:val="auto"/>
              </w:rPr>
            </w:pPr>
            <w:r>
              <w:rPr>
                <w:rFonts w:ascii="Arial" w:cs="Arial" w:eastAsia="Arial" w:hAnsi="Arial"/>
                <w:sz w:val="16"/>
                <w:szCs w:val="16"/>
                <w:color w:val="auto"/>
              </w:rPr>
              <w:t>154,636</w:t>
            </w:r>
          </w:p>
        </w:tc>
        <w:tc>
          <w:tcPr>
            <w:tcW w:w="1680" w:type="dxa"/>
            <w:vAlign w:val="bottom"/>
            <w:gridSpan w:val="2"/>
          </w:tcPr>
          <w:p>
            <w:pPr>
              <w:jc w:val="right"/>
              <w:ind w:right="34"/>
              <w:spacing w:after="0" w:line="180" w:lineRule="exact"/>
              <w:rPr>
                <w:sz w:val="20"/>
                <w:szCs w:val="20"/>
                <w:color w:val="auto"/>
              </w:rPr>
            </w:pPr>
            <w:r>
              <w:rPr>
                <w:rFonts w:ascii="Arial" w:cs="Arial" w:eastAsia="Arial" w:hAnsi="Arial"/>
                <w:sz w:val="16"/>
                <w:szCs w:val="16"/>
                <w:color w:val="auto"/>
              </w:rPr>
              <w:t>261,278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60" w:type="dxa"/>
            <w:vAlign w:val="bottom"/>
            <w:vMerge w:val="restart"/>
          </w:tcPr>
          <w:p>
            <w:pPr>
              <w:jc w:val="right"/>
              <w:ind w:right="44"/>
              <w:spacing w:after="0"/>
              <w:rPr>
                <w:sz w:val="20"/>
                <w:szCs w:val="20"/>
                <w:color w:val="auto"/>
              </w:rPr>
            </w:pPr>
            <w:r>
              <w:rPr>
                <w:rFonts w:ascii="Arial" w:cs="Arial" w:eastAsia="Arial" w:hAnsi="Arial"/>
                <w:sz w:val="16"/>
                <w:szCs w:val="16"/>
                <w:color w:val="auto"/>
              </w:rPr>
              <w:t>52</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4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344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2" w:name="page53"/>
    <w:bookmarkEnd w:id="5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VROOM,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sets forth a reconciliation from basic to diluted weighted-average number of shares outstanding used to compute net (loss)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income per share attributable to common stockholders: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680" w:type="dxa"/>
            <w:vAlign w:val="bottom"/>
          </w:tcPr>
          <w:p>
            <w:pPr>
              <w:spacing w:after="0"/>
              <w:rPr>
                <w:sz w:val="13"/>
                <w:szCs w:val="13"/>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Predecessor</w:t>
            </w:r>
          </w:p>
        </w:tc>
      </w:tr>
      <w:tr>
        <w:trPr>
          <w:trHeight w:val="156"/>
        </w:trPr>
        <w:tc>
          <w:tcPr>
            <w:tcW w:w="8680" w:type="dxa"/>
            <w:vAlign w:val="bottom"/>
          </w:tcPr>
          <w:p>
            <w:pPr>
              <w:spacing w:after="0"/>
              <w:rPr>
                <w:sz w:val="13"/>
                <w:szCs w:val="13"/>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Period from January 1</w:t>
            </w:r>
          </w:p>
        </w:tc>
      </w:tr>
      <w:tr>
        <w:trPr>
          <w:trHeight w:val="179"/>
        </w:trPr>
        <w:tc>
          <w:tcPr>
            <w:tcW w:w="8680" w:type="dxa"/>
            <w:vAlign w:val="bottom"/>
          </w:tcPr>
          <w:p>
            <w:pPr>
              <w:spacing w:after="0"/>
              <w:rPr>
                <w:sz w:val="15"/>
                <w:szCs w:val="15"/>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through January 14,</w:t>
            </w:r>
          </w:p>
        </w:tc>
      </w:tr>
      <w:tr>
        <w:trPr>
          <w:trHeight w:val="204"/>
        </w:trPr>
        <w:tc>
          <w:tcPr>
            <w:tcW w:w="868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7"/>
                <w:szCs w:val="17"/>
                <w:color w:val="auto"/>
              </w:rPr>
            </w:pPr>
          </w:p>
        </w:tc>
      </w:tr>
      <w:tr>
        <w:trPr>
          <w:trHeight w:val="169"/>
        </w:trPr>
        <w:tc>
          <w:tcPr>
            <w:tcW w:w="868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Weighted-average number of shares outstanding used to compute net (loss) income per share attributable to common</w:t>
            </w:r>
          </w:p>
        </w:tc>
        <w:tc>
          <w:tcPr>
            <w:tcW w:w="1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1"/>
        </w:trPr>
        <w:tc>
          <w:tcPr>
            <w:tcW w:w="8680" w:type="dxa"/>
            <w:vAlign w:val="bottom"/>
            <w:shd w:val="clear" w:color="auto" w:fill="CFF0FC"/>
          </w:tcPr>
          <w:p>
            <w:pPr>
              <w:spacing w:after="0"/>
              <w:rPr>
                <w:sz w:val="20"/>
                <w:szCs w:val="20"/>
                <w:color w:val="auto"/>
              </w:rPr>
            </w:pPr>
            <w:r>
              <w:rPr>
                <w:rFonts w:ascii="Arial" w:cs="Arial" w:eastAsia="Arial" w:hAnsi="Arial"/>
                <w:sz w:val="16"/>
                <w:szCs w:val="16"/>
                <w:color w:val="auto"/>
              </w:rPr>
              <w:t>stockholders:</w:t>
            </w:r>
          </w:p>
        </w:tc>
        <w:tc>
          <w:tcPr>
            <w:tcW w:w="1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8680" w:type="dxa"/>
            <w:vAlign w:val="bottom"/>
          </w:tcPr>
          <w:p>
            <w:pPr>
              <w:ind w:left="120"/>
              <w:spacing w:after="0" w:line="180" w:lineRule="exact"/>
              <w:rPr>
                <w:sz w:val="20"/>
                <w:szCs w:val="20"/>
                <w:color w:val="auto"/>
              </w:rPr>
            </w:pPr>
            <w:r>
              <w:rPr>
                <w:rFonts w:ascii="Arial" w:cs="Arial" w:eastAsia="Arial" w:hAnsi="Arial"/>
                <w:sz w:val="16"/>
                <w:szCs w:val="16"/>
                <w:color w:val="auto"/>
              </w:rPr>
              <w:t>Basic</w:t>
            </w:r>
          </w:p>
        </w:tc>
        <w:tc>
          <w:tcPr>
            <w:tcW w:w="1800" w:type="dxa"/>
            <w:vAlign w:val="bottom"/>
          </w:tcPr>
          <w:p>
            <w:pPr>
              <w:jc w:val="right"/>
              <w:spacing w:after="0" w:line="180" w:lineRule="exact"/>
              <w:rPr>
                <w:sz w:val="20"/>
                <w:szCs w:val="20"/>
                <w:color w:val="auto"/>
              </w:rPr>
            </w:pPr>
            <w:r>
              <w:rPr>
                <w:rFonts w:ascii="Arial" w:cs="Arial" w:eastAsia="Arial" w:hAnsi="Arial"/>
                <w:sz w:val="16"/>
                <w:szCs w:val="16"/>
                <w:color w:val="auto"/>
              </w:rPr>
              <w:t>1,822,541</w:t>
            </w:r>
          </w:p>
        </w:tc>
        <w:tc>
          <w:tcPr>
            <w:tcW w:w="80" w:type="dxa"/>
            <w:vAlign w:val="bottom"/>
          </w:tcPr>
          <w:p>
            <w:pPr>
              <w:spacing w:after="0"/>
              <w:rPr>
                <w:sz w:val="15"/>
                <w:szCs w:val="15"/>
                <w:color w:val="auto"/>
              </w:rPr>
            </w:pPr>
          </w:p>
        </w:tc>
      </w:tr>
      <w:tr>
        <w:trPr>
          <w:trHeight w:val="180"/>
        </w:trPr>
        <w:tc>
          <w:tcPr>
            <w:tcW w:w="8680" w:type="dxa"/>
            <w:vAlign w:val="bottom"/>
            <w:shd w:val="clear" w:color="auto" w:fill="CFF0FC"/>
          </w:tcPr>
          <w:p>
            <w:pPr>
              <w:ind w:left="120"/>
              <w:spacing w:after="0" w:line="180" w:lineRule="exact"/>
              <w:rPr>
                <w:sz w:val="20"/>
                <w:szCs w:val="20"/>
                <w:color w:val="auto"/>
              </w:rPr>
            </w:pPr>
            <w:r>
              <w:rPr>
                <w:rFonts w:ascii="Arial" w:cs="Arial" w:eastAsia="Arial" w:hAnsi="Arial"/>
                <w:sz w:val="16"/>
                <w:szCs w:val="16"/>
                <w:color w:val="auto"/>
              </w:rPr>
              <w:t>Convertible senior notes</w:t>
            </w:r>
          </w:p>
        </w:tc>
        <w:tc>
          <w:tcPr>
            <w:tcW w:w="18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64,830</w:t>
            </w:r>
          </w:p>
        </w:tc>
        <w:tc>
          <w:tcPr>
            <w:tcW w:w="80" w:type="dxa"/>
            <w:vAlign w:val="bottom"/>
            <w:shd w:val="clear" w:color="auto" w:fill="CFF0FC"/>
          </w:tcPr>
          <w:p>
            <w:pPr>
              <w:spacing w:after="0"/>
              <w:rPr>
                <w:sz w:val="15"/>
                <w:szCs w:val="15"/>
                <w:color w:val="auto"/>
              </w:rPr>
            </w:pPr>
          </w:p>
        </w:tc>
      </w:tr>
      <w:tr>
        <w:trPr>
          <w:trHeight w:val="180"/>
        </w:trPr>
        <w:tc>
          <w:tcPr>
            <w:tcW w:w="8680" w:type="dxa"/>
            <w:vAlign w:val="bottom"/>
          </w:tcPr>
          <w:p>
            <w:pPr>
              <w:ind w:left="120"/>
              <w:spacing w:after="0" w:line="180" w:lineRule="exact"/>
              <w:rPr>
                <w:sz w:val="20"/>
                <w:szCs w:val="20"/>
                <w:color w:val="auto"/>
              </w:rPr>
            </w:pPr>
            <w:r>
              <w:rPr>
                <w:rFonts w:ascii="Arial" w:cs="Arial" w:eastAsia="Arial" w:hAnsi="Arial"/>
                <w:sz w:val="16"/>
                <w:szCs w:val="16"/>
                <w:color w:val="auto"/>
              </w:rPr>
              <w:t>Diluted</w:t>
            </w:r>
          </w:p>
        </w:tc>
        <w:tc>
          <w:tcPr>
            <w:tcW w:w="18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1,887,371</w:t>
            </w:r>
          </w:p>
        </w:tc>
        <w:tc>
          <w:tcPr>
            <w:tcW w:w="80" w:type="dxa"/>
            <w:vAlign w:val="bottom"/>
          </w:tcPr>
          <w:p>
            <w:pPr>
              <w:spacing w:after="0"/>
              <w:rPr>
                <w:sz w:val="15"/>
                <w:szCs w:val="15"/>
                <w:color w:val="auto"/>
              </w:rPr>
            </w:pPr>
          </w:p>
        </w:tc>
      </w:tr>
      <w:tr>
        <w:trPr>
          <w:trHeight w:val="20"/>
        </w:trPr>
        <w:tc>
          <w:tcPr>
            <w:tcW w:w="86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Potentially dilutive common shares assumed conversion of debt using the if-converted method.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Related Party Transactions</w:t>
      </w:r>
    </w:p>
    <w:p>
      <w:pPr>
        <w:spacing w:after="0" w:line="178" w:lineRule="exact"/>
        <w:rPr>
          <w:sz w:val="20"/>
          <w:szCs w:val="20"/>
          <w:color w:val="auto"/>
        </w:rPr>
      </w:pPr>
    </w:p>
    <w:p>
      <w:pPr>
        <w:ind w:right="20" w:firstLine="708"/>
        <w:spacing w:after="0" w:line="238" w:lineRule="auto"/>
        <w:rPr>
          <w:sz w:val="20"/>
          <w:szCs w:val="20"/>
          <w:color w:val="auto"/>
        </w:rPr>
      </w:pPr>
      <w:r>
        <w:rPr>
          <w:rFonts w:ascii="Arial" w:cs="Arial" w:eastAsia="Arial" w:hAnsi="Arial"/>
          <w:sz w:val="16"/>
          <w:szCs w:val="16"/>
          <w:color w:val="auto"/>
        </w:rPr>
        <w:t>On March 8, 2025, Vroom, Inc., UACC and its indirect subsidiary Darkwater Funding LLC, as co-borrowers, entered into a credit agreement for a $25.0 million Delayed Draw Facility with Mudrick Capital Management, L.P. (“Lender”), who is a 76.5% shareholder of the Company and as of January 14, 2025 became a related party.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of March 31, 2025, the Company did not have any Drawdown on the Delayed Draw Facility.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3" w:name="page54"/>
    <w:bookmarkEnd w:id="5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10 -K for the year ended December 31, 2024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spacing w:after="0" w:line="159"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Recent Events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Recapitalization of Balance Sheet Debt: the Prepackaged Chapter 11 Case</w:t>
      </w:r>
    </w:p>
    <w:p>
      <w:pPr>
        <w:spacing w:after="0" w:line="176" w:lineRule="exact"/>
        <w:rPr>
          <w:sz w:val="20"/>
          <w:szCs w:val="20"/>
          <w:color w:val="auto"/>
        </w:rPr>
      </w:pPr>
    </w:p>
    <w:p>
      <w:pPr>
        <w:ind w:right="100" w:firstLine="708"/>
        <w:spacing w:after="0"/>
        <w:rPr>
          <w:sz w:val="20"/>
          <w:szCs w:val="20"/>
          <w:color w:val="auto"/>
        </w:rPr>
      </w:pPr>
      <w:r>
        <w:rPr>
          <w:rFonts w:ascii="Arial" w:cs="Arial" w:eastAsia="Arial" w:hAnsi="Arial"/>
          <w:sz w:val="16"/>
          <w:szCs w:val="16"/>
          <w:color w:val="auto"/>
        </w:rPr>
        <w:t>On November 12, 2024, in connection with the Prepackaged Chapter 11 Case (as defined below), we entered into a Restructuring Support Agreement (together with all exhibits and schedules thereto, the “RSA”) with creditors holding the overwhelming majority of the aggregate outstanding principal amount of the 0.75% unsecured Convertible Senior Notes due 2026 (the “Notes”), issued pursuant to an indenture (the “Indenture”), between the Company and U.S. Bank National Association, as trustee, and the largest shareholder. The RSA contemplated a comprehensive restructuring of the Company’s debt obligations and capital structure to be implemented through a prepackaged plan of reorganization (the “Plan”) to be implemented through the filing of the Prepackaged Chapter 11 Case.</w:t>
      </w:r>
    </w:p>
    <w:p>
      <w:pPr>
        <w:spacing w:after="0" w:line="156"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On November 13, 2024, we commenced a voluntary proceeding (the "Prepackaged Chapter 11 Case") under Chapter 11 of the United States Code, 11 U.S.C. §§ 101- 1532, as amended from time to (the “Bankruptcy Code”) in the United States Bankruptcy Court for the Southern District of Texas (the “Bankruptcy Court”) under the name “In re Vroom, Inc.” None of our subsidiaries were debtors in the Chapter 11 proceedings.</w:t>
      </w:r>
    </w:p>
    <w:p>
      <w:pPr>
        <w:spacing w:after="0" w:line="150" w:lineRule="exact"/>
        <w:rPr>
          <w:sz w:val="20"/>
          <w:szCs w:val="20"/>
          <w:color w:val="auto"/>
        </w:rPr>
      </w:pPr>
    </w:p>
    <w:p>
      <w:pPr>
        <w:ind w:right="100" w:firstLine="708"/>
        <w:spacing w:after="0" w:line="248" w:lineRule="auto"/>
        <w:rPr>
          <w:sz w:val="20"/>
          <w:szCs w:val="20"/>
          <w:color w:val="auto"/>
        </w:rPr>
      </w:pPr>
      <w:r>
        <w:rPr>
          <w:rFonts w:ascii="Arial" w:cs="Arial" w:eastAsia="Arial" w:hAnsi="Arial"/>
          <w:sz w:val="16"/>
          <w:szCs w:val="16"/>
          <w:color w:val="auto"/>
        </w:rPr>
        <w:t>On January 14, 2025 (the “Effective Date”), the conditions to the effectiveness of the Plan were satisfied or waived and the Plan became effective. We emerged from the Prepackaged Chapter 11 Case on January 14, 2025. On February 20, 2025, our common stock was re-listed for trading on the Nasdaq Global Market.</w:t>
      </w:r>
    </w:p>
    <w:p>
      <w:pPr>
        <w:spacing w:after="0" w:line="150" w:lineRule="exact"/>
        <w:rPr>
          <w:sz w:val="20"/>
          <w:szCs w:val="20"/>
          <w:color w:val="auto"/>
        </w:rPr>
      </w:pPr>
    </w:p>
    <w:p>
      <w:pPr>
        <w:jc w:val="both"/>
        <w:ind w:right="220" w:firstLine="752"/>
        <w:spacing w:after="0" w:line="248" w:lineRule="auto"/>
        <w:rPr>
          <w:sz w:val="20"/>
          <w:szCs w:val="20"/>
          <w:color w:val="auto"/>
        </w:rPr>
      </w:pPr>
      <w:r>
        <w:rPr>
          <w:rFonts w:ascii="Arial" w:cs="Arial" w:eastAsia="Arial" w:hAnsi="Arial"/>
          <w:sz w:val="16"/>
          <w:szCs w:val="16"/>
          <w:color w:val="auto"/>
        </w:rPr>
        <w:t>In connection with the Prepackaged Chapter 11 Case, the ordinary course operations of Vroom, Inc.’s subsidiaries continued with minimal impact. We emerged without any remaining Notes or long -term debt at the Vroom, Inc. level, but still maintain UACC’s Warehouse Credit Facilities (as defined below), securitization debt, financing of beneficial interest in securitizations, and junior subordinated debentures.</w:t>
      </w:r>
    </w:p>
    <w:p>
      <w:pPr>
        <w:spacing w:after="0" w:line="150" w:lineRule="exact"/>
        <w:rPr>
          <w:sz w:val="20"/>
          <w:szCs w:val="20"/>
          <w:color w:val="auto"/>
        </w:rPr>
      </w:pPr>
    </w:p>
    <w:p>
      <w:pPr>
        <w:ind w:firstLine="708"/>
        <w:spacing w:after="0"/>
        <w:rPr>
          <w:sz w:val="20"/>
          <w:szCs w:val="20"/>
          <w:color w:val="auto"/>
        </w:rPr>
      </w:pPr>
      <w:r>
        <w:rPr>
          <w:rFonts w:ascii="Arial" w:cs="Arial" w:eastAsia="Arial" w:hAnsi="Arial"/>
          <w:sz w:val="16"/>
          <w:szCs w:val="16"/>
          <w:color w:val="auto"/>
        </w:rPr>
        <w:t>The Prepackaged Chapter 11 Case was intended to address the impact of the Notes and their upcoming maturity, or any potential acceleration, while providing the potential for our stockholders to retain value in their investment, limiting disruption to our ongoing ordinary course operations, emerging as a public company without any long-term debt at the Vroom, Inc. level, and maximizing the ability to utilize a substantial portion of our net operating losses. See “Liquidity and Capital Resources” for more information on our Notes and the restructuring of our debt obligations as a result of the Prepackaged Chapter 11 Case, and Part I, Item 1A Risk Factors for risks associated with the Prepackaged Chapter 11 Case and our ability to realize its intended benefits.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of Common Stock</w:t>
      </w:r>
    </w:p>
    <w:p>
      <w:pPr>
        <w:spacing w:after="0" w:line="176" w:lineRule="exact"/>
        <w:rPr>
          <w:sz w:val="20"/>
          <w:szCs w:val="20"/>
          <w:color w:val="auto"/>
        </w:rPr>
      </w:pPr>
    </w:p>
    <w:p>
      <w:pPr>
        <w:ind w:right="80" w:firstLine="708"/>
        <w:spacing w:after="0" w:line="241" w:lineRule="auto"/>
        <w:rPr>
          <w:sz w:val="20"/>
          <w:szCs w:val="20"/>
          <w:color w:val="auto"/>
        </w:rPr>
      </w:pPr>
      <w:r>
        <w:rPr>
          <w:rFonts w:ascii="Arial" w:cs="Arial" w:eastAsia="Arial" w:hAnsi="Arial"/>
          <w:sz w:val="16"/>
          <w:szCs w:val="16"/>
          <w:color w:val="auto"/>
        </w:rPr>
        <w:t>Immediately prior to the Effective Date, there were 1,822,577 outstanding shares of our common stock, $0.001 par value per share (the “Common Stock”). We adopted an Amended and Restated Certificate of Incorporation (the “Certificate of Incorporation”) to, among other changes to our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“New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of Warrants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4" w:name="page55"/>
    <w:bookmarkEnd w:id="5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 w:firstLine="696"/>
        <w:spacing w:after="0" w:line="241" w:lineRule="auto"/>
        <w:rPr>
          <w:sz w:val="20"/>
          <w:szCs w:val="20"/>
          <w:color w:val="auto"/>
        </w:rPr>
      </w:pPr>
      <w:r>
        <w:rPr>
          <w:rFonts w:ascii="Arial" w:cs="Arial" w:eastAsia="Arial" w:hAnsi="Arial"/>
          <w:sz w:val="16"/>
          <w:szCs w:val="16"/>
          <w:color w:val="auto"/>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 shares of the New Common Stock, at an exercise price of $60.95 per share, to stockholders of the Company in accordance with the Prepackaged Chapter 11 Case. Each Warrant was immediately exercisable upon the issuance date and will expire five years from the issuance date.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2020 Incentive Award Plan</w:t>
      </w:r>
    </w:p>
    <w:p>
      <w:pPr>
        <w:spacing w:after="0" w:line="176" w:lineRule="exact"/>
        <w:rPr>
          <w:sz w:val="20"/>
          <w:szCs w:val="20"/>
          <w:color w:val="auto"/>
        </w:rPr>
      </w:pPr>
    </w:p>
    <w:p>
      <w:pPr>
        <w:ind w:right="160" w:firstLine="708"/>
        <w:spacing w:after="0" w:line="241" w:lineRule="auto"/>
        <w:rPr>
          <w:sz w:val="20"/>
          <w:szCs w:val="20"/>
          <w:color w:val="auto"/>
        </w:rPr>
      </w:pPr>
      <w:r>
        <w:rPr>
          <w:rFonts w:ascii="Arial" w:cs="Arial" w:eastAsia="Arial" w:hAnsi="Arial"/>
          <w:sz w:val="16"/>
          <w:szCs w:val="16"/>
          <w:color w:val="auto"/>
        </w:rPr>
        <w:t>Pursuant to the Plan, our existing 2020 Incentive Award Plan (as amended from time to time, the “2020 Plan”), was amended to increase the number of shares reserved for issuance under the 2020 Plan to account for the proposed post- emergence management incentive program, which accounts for 15% of the fully-diluted shares of New Common Stock as of immediately following the Effective Date, inclusive of the Warrants, the management incentive program and the converted existing equity awards: 10% will be allocated for awards of restricted stock units and 5% will be allocated for awards of stock options.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2025-1 Securitization Transaction</w:t>
      </w:r>
    </w:p>
    <w:p>
      <w:pPr>
        <w:spacing w:after="0" w:line="176" w:lineRule="exact"/>
        <w:rPr>
          <w:sz w:val="20"/>
          <w:szCs w:val="20"/>
          <w:color w:val="auto"/>
        </w:rPr>
      </w:pPr>
    </w:p>
    <w:p>
      <w:pPr>
        <w:ind w:right="20" w:firstLine="696"/>
        <w:spacing w:after="0" w:line="280" w:lineRule="auto"/>
        <w:rPr>
          <w:sz w:val="20"/>
          <w:szCs w:val="20"/>
          <w:color w:val="auto"/>
        </w:rPr>
      </w:pPr>
      <w:r>
        <w:rPr>
          <w:rFonts w:ascii="Arial" w:cs="Arial" w:eastAsia="Arial" w:hAnsi="Arial"/>
          <w:sz w:val="14"/>
          <w:szCs w:val="14"/>
          <w:color w:val="auto"/>
        </w:rPr>
        <w:t>In March 2025, United Auto Credit Corporation, our wholly owned subsidiary (“UACC”) sold approximately $307.8 million of rated asset-backed securities in an auto finance receivable securitization transaction from a securitization trust established and sponsored by UACC for proceeds of $306.5 million. The trust is collateralized by finance receivables with an aggregate principal balance of $382.1 million as of March 12, 2025. These finance receivables are serviced by UACC. UACC retained the residual interests, which required us to account for the 2025 -1 securitization as secured borrowings and the assets and liabilities of the trust remain on balance sheet. We also pledged an additional $16.2 million of our retained beneficial interests in the 2025-1 securitization transaction as collateral under the Risk Retention Financing Facility (as described further below), and received proceeds of $16.1 million, with expected repurchase dates ranging from June 2027 to October 2031 at the initial closing date.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Going Concern</w:t>
      </w:r>
    </w:p>
    <w:p>
      <w:pPr>
        <w:spacing w:after="0" w:line="176" w:lineRule="exact"/>
        <w:rPr>
          <w:sz w:val="20"/>
          <w:szCs w:val="20"/>
          <w:color w:val="auto"/>
        </w:rPr>
      </w:pPr>
    </w:p>
    <w:p>
      <w:pPr>
        <w:ind w:right="220" w:firstLine="708"/>
        <w:spacing w:after="0" w:line="262" w:lineRule="auto"/>
        <w:rPr>
          <w:sz w:val="20"/>
          <w:szCs w:val="20"/>
          <w:color w:val="auto"/>
        </w:rPr>
      </w:pPr>
      <w:r>
        <w:rPr>
          <w:rFonts w:ascii="Arial" w:cs="Arial" w:eastAsia="Arial" w:hAnsi="Arial"/>
          <w:sz w:val="16"/>
          <w:szCs w:val="16"/>
          <w:color w:val="auto"/>
        </w:rPr>
        <w:t>As described above, we filed the Prepackaged Chapter 11 Case to implement the transactions described herein. As of January 14, 2025 we emerged from the Prepackaged Chapter 11 Case and continue to operate as a viable going concern.</w:t>
      </w:r>
    </w:p>
    <w:p>
      <w:pPr>
        <w:spacing w:after="0" w:line="138" w:lineRule="exact"/>
        <w:rPr>
          <w:sz w:val="20"/>
          <w:szCs w:val="20"/>
          <w:color w:val="auto"/>
        </w:rPr>
      </w:pPr>
    </w:p>
    <w:p>
      <w:pPr>
        <w:jc w:val="both"/>
        <w:ind w:right="120" w:firstLine="708"/>
        <w:spacing w:after="0" w:line="248" w:lineRule="auto"/>
        <w:rPr>
          <w:sz w:val="20"/>
          <w:szCs w:val="20"/>
          <w:color w:val="auto"/>
        </w:rPr>
      </w:pPr>
      <w:r>
        <w:rPr>
          <w:rFonts w:ascii="Arial" w:cs="Arial" w:eastAsia="Arial" w:hAnsi="Arial"/>
          <w:sz w:val="16"/>
          <w:szCs w:val="16"/>
          <w:color w:val="auto"/>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Overview</w:t>
      </w:r>
    </w:p>
    <w:p>
      <w:pPr>
        <w:spacing w:after="0" w:line="178" w:lineRule="exact"/>
        <w:rPr>
          <w:sz w:val="20"/>
          <w:szCs w:val="20"/>
          <w:color w:val="auto"/>
        </w:rPr>
      </w:pPr>
    </w:p>
    <w:p>
      <w:pPr>
        <w:ind w:right="180" w:firstLine="708"/>
        <w:spacing w:after="0" w:line="262" w:lineRule="auto"/>
        <w:rPr>
          <w:sz w:val="20"/>
          <w:szCs w:val="20"/>
          <w:color w:val="auto"/>
        </w:rPr>
      </w:pPr>
      <w:r>
        <w:rPr>
          <w:rFonts w:ascii="Arial" w:cs="Arial" w:eastAsia="Arial" w:hAnsi="Arial"/>
          <w:sz w:val="16"/>
          <w:szCs w:val="16"/>
          <w:color w:val="auto"/>
        </w:rPr>
        <w:t>Vroom owns United Auto Credit Corporation, a leading automotive finance company that offers vehicle financing to consumers through third-party dealers under the UACC brand, and CarStory, a leader in AI-powered analytics and digital services for automotive retail.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UACC</w:t>
      </w:r>
    </w:p>
    <w:p>
      <w:pPr>
        <w:spacing w:after="0" w:line="178" w:lineRule="exact"/>
        <w:rPr>
          <w:sz w:val="20"/>
          <w:szCs w:val="20"/>
          <w:color w:val="auto"/>
        </w:rPr>
      </w:pPr>
    </w:p>
    <w:p>
      <w:pPr>
        <w:ind w:firstLine="708"/>
        <w:spacing w:after="0" w:line="248" w:lineRule="auto"/>
        <w:rPr>
          <w:sz w:val="20"/>
          <w:szCs w:val="20"/>
          <w:color w:val="auto"/>
        </w:rPr>
      </w:pPr>
      <w:r>
        <w:rPr>
          <w:rFonts w:ascii="Arial" w:cs="Arial" w:eastAsia="Arial" w:hAnsi="Arial"/>
          <w:sz w:val="16"/>
          <w:szCs w:val="16"/>
          <w:color w:val="auto"/>
        </w:rPr>
        <w:t>UACC, which Vroom acquired in February 2022, is an indirect lender that offers vehicle financing under the UACC brand to consumers through third-party dealers, focusing primarily on the non-prime market. Prior to the Ecommerce Wind-Down, UACC also offered vehicle financing to Vroom’s customers through its ecommerce platform.</w:t>
      </w:r>
    </w:p>
    <w:p>
      <w:pPr>
        <w:spacing w:after="0" w:line="150" w:lineRule="exact"/>
        <w:rPr>
          <w:sz w:val="20"/>
          <w:szCs w:val="20"/>
          <w:color w:val="auto"/>
        </w:rPr>
      </w:pPr>
    </w:p>
    <w:p>
      <w:pPr>
        <w:ind w:right="80" w:firstLine="708"/>
        <w:spacing w:after="0" w:line="290" w:lineRule="auto"/>
        <w:rPr>
          <w:sz w:val="20"/>
          <w:szCs w:val="20"/>
          <w:color w:val="auto"/>
        </w:rPr>
      </w:pPr>
      <w:r>
        <w:rPr>
          <w:rFonts w:ascii="Arial" w:cs="Arial" w:eastAsia="Arial" w:hAnsi="Arial"/>
          <w:sz w:val="14"/>
          <w:szCs w:val="14"/>
          <w:color w:val="auto"/>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automobiles, medium and light-duty trucks and vans with competitive financing terms. The credit programs offered by UACC are primarily designed to serve consumers who have limited access to traditional motor vehicle financing.</w:t>
      </w:r>
    </w:p>
    <w:p>
      <w:pPr>
        <w:spacing w:after="0" w:line="122" w:lineRule="exact"/>
        <w:rPr>
          <w:sz w:val="20"/>
          <w:szCs w:val="20"/>
          <w:color w:val="auto"/>
        </w:rPr>
      </w:pPr>
    </w:p>
    <w:p>
      <w:pPr>
        <w:ind w:right="60" w:firstLine="708"/>
        <w:spacing w:after="0" w:line="262" w:lineRule="auto"/>
        <w:rPr>
          <w:sz w:val="20"/>
          <w:szCs w:val="20"/>
          <w:color w:val="auto"/>
        </w:rPr>
      </w:pPr>
      <w:r>
        <w:rPr>
          <w:rFonts w:ascii="Arial" w:cs="Arial" w:eastAsia="Arial" w:hAnsi="Arial"/>
          <w:sz w:val="16"/>
          <w:szCs w:val="16"/>
          <w:color w:val="auto"/>
        </w:rPr>
        <w:t>In addition to its financing expertise, the UACC platform brings with it extensive application processing, underwriting and servicing capabilities. UACC services the retail installment sales contracts it originates or purchases and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5" w:name="page56"/>
    <w:bookmarkEnd w:id="5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March 31, 2025, UACC serviced a portfolio of approximately 79,000 retail installment sales contracts with an aggregate principal outstanding balance of $1.0 billion.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CarStory</w:t>
      </w:r>
    </w:p>
    <w:p>
      <w:pPr>
        <w:spacing w:after="0" w:line="190" w:lineRule="exact"/>
        <w:rPr>
          <w:sz w:val="20"/>
          <w:szCs w:val="20"/>
          <w:color w:val="auto"/>
        </w:rPr>
      </w:pPr>
    </w:p>
    <w:p>
      <w:pPr>
        <w:ind w:right="320" w:firstLine="696"/>
        <w:spacing w:after="0" w:line="262" w:lineRule="auto"/>
        <w:rPr>
          <w:sz w:val="20"/>
          <w:szCs w:val="20"/>
          <w:color w:val="auto"/>
        </w:rPr>
      </w:pPr>
      <w:r>
        <w:rPr>
          <w:rFonts w:ascii="Arial" w:cs="Arial" w:eastAsia="Arial" w:hAnsi="Arial"/>
          <w:sz w:val="16"/>
          <w:szCs w:val="16"/>
          <w:color w:val="auto"/>
        </w:rPr>
        <w:t>CarStory offers AI-powered analytics and digital services to dealers, automotive financial services companies and others in the automotive industry, which use CarStory’s solutions to enhance their customer experience and drive increased vehicle purchases.</w:t>
      </w:r>
    </w:p>
    <w:p>
      <w:pPr>
        <w:spacing w:after="0" w:line="150" w:lineRule="exact"/>
        <w:rPr>
          <w:sz w:val="20"/>
          <w:szCs w:val="20"/>
          <w:color w:val="auto"/>
        </w:rPr>
      </w:pPr>
    </w:p>
    <w:p>
      <w:pPr>
        <w:ind w:right="160" w:firstLine="696"/>
        <w:spacing w:after="0" w:line="241" w:lineRule="auto"/>
        <w:rPr>
          <w:sz w:val="20"/>
          <w:szCs w:val="20"/>
          <w:color w:val="auto"/>
        </w:rPr>
      </w:pPr>
      <w:r>
        <w:rPr>
          <w:rFonts w:ascii="Arial" w:cs="Arial" w:eastAsia="Arial" w:hAnsi="Arial"/>
          <w:sz w:val="16"/>
          <w:szCs w:val="16"/>
          <w:color w:val="auto"/>
        </w:rPr>
        <w:t xml:space="preserve">Leveraging computer vision and AI, CarStory has curated a comprehensive used vehicle information database, including over 245 million vehicle identification numbers ("VINs"), 183 million window stickers, 3.9 billion vehicle photos and 370 million sales cycles, along with price and price elasticity models. CarStory receives data for over three and a half million unique VINs listed for sale every day, resulting in CarStory having data for an estimated 90% of U.S. consumer vehicles. </w:t>
      </w:r>
      <w:r>
        <w:rPr>
          <w:rFonts w:ascii="Arial" w:cs="Arial" w:eastAsia="Arial" w:hAnsi="Arial"/>
          <w:sz w:val="16"/>
          <w:szCs w:val="16"/>
          <w:color w:val="1D1C1D"/>
        </w:rPr>
        <w:t>This data is aggregated with demand insights from millions of consumer sessions and data from CarStory’s</w:t>
      </w:r>
      <w:r>
        <w:rPr>
          <w:rFonts w:ascii="Arial" w:cs="Arial" w:eastAsia="Arial" w:hAnsi="Arial"/>
          <w:sz w:val="16"/>
          <w:szCs w:val="16"/>
          <w:color w:val="auto"/>
        </w:rPr>
        <w:t xml:space="preserve"> </w:t>
      </w:r>
      <w:r>
        <w:rPr>
          <w:rFonts w:ascii="Arial" w:cs="Arial" w:eastAsia="Arial" w:hAnsi="Arial"/>
          <w:sz w:val="16"/>
          <w:szCs w:val="16"/>
          <w:color w:val="1D1C1D"/>
        </w:rPr>
        <w:t>proprietary VIN database to generate more accurate vehicle valuations</w:t>
      </w:r>
      <w:r>
        <w:rPr>
          <w:rFonts w:ascii="Arial" w:cs="Arial" w:eastAsia="Arial" w:hAnsi="Arial"/>
          <w:sz w:val="16"/>
          <w:szCs w:val="16"/>
          <w:color w:val="000000"/>
        </w:rPr>
        <w:t>.</w:t>
      </w:r>
    </w:p>
    <w:p>
      <w:pPr>
        <w:spacing w:after="0" w:line="169" w:lineRule="exact"/>
        <w:rPr>
          <w:sz w:val="20"/>
          <w:szCs w:val="20"/>
          <w:color w:val="auto"/>
        </w:rPr>
      </w:pPr>
    </w:p>
    <w:p>
      <w:pPr>
        <w:ind w:firstLine="696"/>
        <w:spacing w:after="0" w:line="244" w:lineRule="auto"/>
        <w:rPr>
          <w:sz w:val="20"/>
          <w:szCs w:val="20"/>
          <w:color w:val="auto"/>
        </w:rPr>
      </w:pPr>
      <w:r>
        <w:rPr>
          <w:rFonts w:ascii="Arial" w:cs="Arial" w:eastAsia="Arial" w:hAnsi="Arial"/>
          <w:sz w:val="16"/>
          <w:szCs w:val="16"/>
          <w:color w:val="auto"/>
        </w:rPr>
        <w:t>CarStory helps dealers optimize their pricing by leveraging data science models for retail pricing that provide predictive pricing for marketing, buying, selling and VIN-level features. Unlike simple averages, we believe CarStory’s patented neural-net algorithm can provide a highly accurate market price (the “CarStory Real Market Price”) for vehicle valuations. We believe that the CarStory Real Market Price accounts for factors that averages often miss, such as local market dynamics and dealer performance.</w:t>
      </w:r>
    </w:p>
    <w:p>
      <w:pPr>
        <w:spacing w:after="0" w:line="164" w:lineRule="exact"/>
        <w:rPr>
          <w:sz w:val="20"/>
          <w:szCs w:val="20"/>
          <w:color w:val="auto"/>
        </w:rPr>
      </w:pPr>
    </w:p>
    <w:p>
      <w:pPr>
        <w:ind w:right="140" w:firstLine="696"/>
        <w:spacing w:after="0" w:line="248" w:lineRule="auto"/>
        <w:rPr>
          <w:sz w:val="20"/>
          <w:szCs w:val="20"/>
          <w:color w:val="auto"/>
        </w:rPr>
      </w:pPr>
      <w:r>
        <w:rPr>
          <w:rFonts w:ascii="Arial" w:cs="Arial" w:eastAsia="Arial" w:hAnsi="Arial"/>
          <w:sz w:val="16"/>
          <w:szCs w:val="16"/>
          <w:color w:val="auto"/>
        </w:rPr>
        <w:t>In addition to its data analytics and AI-based pricing solutions, CarStory creates and powers digital experiences for end consumers, including automotive marketplaces, vehicle market reports, and trade-in and appraisal products. CarStory's digital experiences are designed with user behavior data to engage consumers and drive more consumers to vehicle purchase decisions.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Long-term Strategic Plan</w:t>
      </w:r>
    </w:p>
    <w:p>
      <w:pPr>
        <w:spacing w:after="0" w:line="178" w:lineRule="exact"/>
        <w:rPr>
          <w:sz w:val="20"/>
          <w:szCs w:val="20"/>
          <w:color w:val="auto"/>
        </w:rPr>
      </w:pPr>
    </w:p>
    <w:p>
      <w:pPr>
        <w:ind w:right="20" w:firstLine="696"/>
        <w:spacing w:after="0" w:line="248" w:lineRule="auto"/>
        <w:rPr>
          <w:sz w:val="20"/>
          <w:szCs w:val="20"/>
          <w:color w:val="auto"/>
        </w:rPr>
      </w:pPr>
      <w:r>
        <w:rPr>
          <w:rFonts w:ascii="Arial" w:cs="Arial" w:eastAsia="Arial" w:hAnsi="Arial"/>
          <w:sz w:val="16"/>
          <w:szCs w:val="16"/>
          <w:color w:val="auto"/>
        </w:rPr>
        <w:t>Since the announcement of the Value Maximization Plan in January 2024, we have been focused on building a long-term strategic plan leveraging our remaining assets to improve the profitability of the business and achieve three key objectives: achieve pre-COVID Cumulative Net Losses (CNL) or lower, grow origination with pre-COVID CNL or lower, and lower operating cost.</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order to achieve these objectives, we are focused on four strategic initiatives:</w:t>
      </w:r>
    </w:p>
    <w:p>
      <w:pPr>
        <w:spacing w:after="0" w:line="270" w:lineRule="exact"/>
        <w:rPr>
          <w:sz w:val="20"/>
          <w:szCs w:val="20"/>
          <w:color w:val="auto"/>
        </w:rPr>
      </w:pPr>
    </w:p>
    <w:p>
      <w:pPr>
        <w:ind w:left="480" w:right="500"/>
        <w:spacing w:after="0" w:line="336" w:lineRule="auto"/>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Build a world class lending program: Focus on using advanced models and analytics to predict losses and drive profitable growth, bringing</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subprime CNL to pre-COVID levels. Expand the near-prime program to enable UACC to become a more significant partner to dealers.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Build a world class sales and marketing program: Attract and retain the best dealers and drive deeper dealer engagement to enable growth.</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Improve the Fast Lane, a portal built to provide the dealer with everything they need from application through contracting.</w:t>
      </w:r>
    </w:p>
    <w:p>
      <w:pPr>
        <w:spacing w:after="0" w:line="256" w:lineRule="exact"/>
        <w:rPr>
          <w:sz w:val="20"/>
          <w:szCs w:val="20"/>
          <w:color w:val="auto"/>
        </w:rPr>
      </w:pPr>
    </w:p>
    <w:p>
      <w:pPr>
        <w:jc w:val="both"/>
        <w:ind w:left="480" w:right="10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Build operational excellence in originations: Enhance systemic capabilities and decisioning for a more efficient process. Integrate Vroom patent-pending AI agent into UACC's funding process to reduce costs, improve accuracy, and reduce fraud. Build a pre-verification automated engine to improve dealer service, improve credit quality and increase capture rates.</w:t>
      </w:r>
    </w:p>
    <w:p>
      <w:pPr>
        <w:spacing w:after="0" w:line="244" w:lineRule="exact"/>
        <w:rPr>
          <w:sz w:val="20"/>
          <w:szCs w:val="20"/>
          <w:color w:val="auto"/>
        </w:rPr>
      </w:pPr>
    </w:p>
    <w:p>
      <w:pPr>
        <w:ind w:left="480" w:right="20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Build operational excellence in servicing: Utilize data science, advanced analytics and technology to enable an improved approach to servicing</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effectiveness. Utilize the native consumer mobile app, which was launched in September 2024, to improve customer engagement and communication and target more on-time payments.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56" w:name="page57"/>
    <w:bookmarkEnd w:id="5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178" w:lineRule="exact"/>
        <w:rPr>
          <w:sz w:val="20"/>
          <w:szCs w:val="20"/>
          <w:color w:val="auto"/>
        </w:rPr>
      </w:pPr>
    </w:p>
    <w:p>
      <w:pPr>
        <w:ind w:right="100" w:firstLine="708"/>
        <w:spacing w:after="0" w:line="262" w:lineRule="auto"/>
        <w:rPr>
          <w:sz w:val="20"/>
          <w:szCs w:val="20"/>
          <w:color w:val="auto"/>
        </w:rPr>
      </w:pPr>
      <w:r>
        <w:rPr>
          <w:rFonts w:ascii="Arial" w:cs="Arial" w:eastAsia="Arial" w:hAnsi="Arial"/>
          <w:sz w:val="16"/>
          <w:szCs w:val="16"/>
          <w:color w:val="auto"/>
        </w:rPr>
        <w:t>In addition to our results determined in accordance with U.S. GAAP, we believe certain non-GAAP financial measures are useful in evaluating our operating performance.</w:t>
      </w:r>
    </w:p>
    <w:p>
      <w:pPr>
        <w:spacing w:after="0" w:line="138" w:lineRule="exact"/>
        <w:rPr>
          <w:sz w:val="20"/>
          <w:szCs w:val="20"/>
          <w:color w:val="auto"/>
        </w:rPr>
      </w:pPr>
    </w:p>
    <w:p>
      <w:pPr>
        <w:ind w:right="20" w:firstLine="708"/>
        <w:spacing w:after="0" w:line="244" w:lineRule="auto"/>
        <w:rPr>
          <w:sz w:val="20"/>
          <w:szCs w:val="20"/>
          <w:color w:val="auto"/>
        </w:rPr>
      </w:pPr>
      <w:r>
        <w:rPr>
          <w:rFonts w:ascii="Arial" w:cs="Arial" w:eastAsia="Arial" w:hAnsi="Arial"/>
          <w:sz w:val="16"/>
          <w:szCs w:val="16"/>
          <w:color w:val="auto"/>
        </w:rPr>
        <w:t>In the period from January 15, 2025, to March 31, 2025, we changed one of the measures that we review to evaluate our performance from Adjusted EBITDA to Adjusted net income (loss). Adjusted net income (loss) is a supplemental performance measure that our management uses to assess our operating performance and the operating leverage in our business. Because Adjusted net income (loss) facilitates internal comparisons of our historical operating performance on a more consistent basis, we use this measure for business planning purposes.</w:t>
      </w:r>
    </w:p>
    <w:p>
      <w:pPr>
        <w:spacing w:after="0" w:line="152" w:lineRule="exact"/>
        <w:rPr>
          <w:sz w:val="20"/>
          <w:szCs w:val="20"/>
          <w:color w:val="auto"/>
        </w:rPr>
      </w:pPr>
    </w:p>
    <w:p>
      <w:pPr>
        <w:ind w:right="180" w:firstLine="696"/>
        <w:spacing w:after="0" w:line="244" w:lineRule="auto"/>
        <w:rPr>
          <w:sz w:val="20"/>
          <w:szCs w:val="20"/>
          <w:color w:val="auto"/>
        </w:rPr>
      </w:pPr>
      <w:r>
        <w:rPr>
          <w:rFonts w:ascii="Arial" w:cs="Arial" w:eastAsia="Arial" w:hAnsi="Arial"/>
          <w:sz w:val="16"/>
          <w:szCs w:val="16"/>
          <w:color w:val="auto"/>
        </w:rPr>
        <w:t>Management believes Adjusted net income (loss) is a better indication of our profitability on a Non -GAAP basis as we no longer have significant depreciation and amortization expenses as a result of the fresh start accounting and we recorded our intangible assets at fair value upon emergence from the Prepackaged Chapter 11 Case. Additionally, due to the elimination of our long-term debt in the Prepackaged Chapter 11 Case we have significantly lower interest expense.</w:t>
      </w:r>
    </w:p>
    <w:p>
      <w:pPr>
        <w:spacing w:after="0" w:line="152" w:lineRule="exact"/>
        <w:rPr>
          <w:sz w:val="20"/>
          <w:szCs w:val="20"/>
          <w:color w:val="auto"/>
        </w:rPr>
      </w:pPr>
    </w:p>
    <w:p>
      <w:pPr>
        <w:ind w:right="140" w:firstLine="696"/>
        <w:spacing w:after="0" w:line="279" w:lineRule="auto"/>
        <w:rPr>
          <w:sz w:val="20"/>
          <w:szCs w:val="20"/>
          <w:color w:val="auto"/>
        </w:rPr>
      </w:pPr>
      <w:r>
        <w:rPr>
          <w:rFonts w:ascii="Arial" w:cs="Arial" w:eastAsia="Arial" w:hAnsi="Arial"/>
          <w:sz w:val="14"/>
          <w:szCs w:val="14"/>
          <w:color w:val="auto"/>
        </w:rPr>
        <w:t>Adjusted net income (loss) has limitations as an analytical tool because it does not reflect all of the amounts associated with our results of operations as determined in accordance with U.S. GAAP. Additionally, it may not be comparable to similarly titled measures of other companies. Other companies, including companies in our industry, may calculate non-GAAP financial measures differently than we do, limiting the usefulness of those measures for those comparative purposes. Because of these limitations, this non-GAAP financial measure should be considered along with other operating and financial performance measures presented in accordance with U.S. GAAP. The presentation of this non-GAAP financial measure is not intended to be considered in isolation or as a substitute for, or superior to, financial information prepared and presented in accordance with U.S. GAAP. We have reconciled this non-GAAP financial measure with the most directly comparable U.S. GAAP financial measure below.</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net income (loss)</w:t>
      </w:r>
    </w:p>
    <w:p>
      <w:pPr>
        <w:spacing w:after="0" w:line="176" w:lineRule="exact"/>
        <w:rPr>
          <w:sz w:val="20"/>
          <w:szCs w:val="20"/>
          <w:color w:val="auto"/>
        </w:rPr>
      </w:pPr>
    </w:p>
    <w:p>
      <w:pPr>
        <w:ind w:right="40" w:firstLine="708"/>
        <w:spacing w:after="0" w:line="241" w:lineRule="auto"/>
        <w:rPr>
          <w:sz w:val="20"/>
          <w:szCs w:val="20"/>
          <w:color w:val="auto"/>
        </w:rPr>
      </w:pPr>
      <w:r>
        <w:rPr>
          <w:rFonts w:ascii="Arial" w:cs="Arial" w:eastAsia="Arial" w:hAnsi="Arial"/>
          <w:sz w:val="16"/>
          <w:szCs w:val="16"/>
          <w:color w:val="auto"/>
        </w:rPr>
        <w:t>We calculate Adjusted net income (loss) as net income (loss) from continuing operations adjusted for stock compensation expense, severance expense, bankruptcy costs (which represent professional fees incurred related to the bankruptcy prior to filing of the petition and post -emergence),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spacing w:after="0" w:line="157" w:lineRule="exact"/>
        <w:rPr>
          <w:sz w:val="20"/>
          <w:szCs w:val="20"/>
          <w:color w:val="auto"/>
        </w:rPr>
      </w:pPr>
    </w:p>
    <w:p>
      <w:pPr>
        <w:ind w:right="200" w:firstLine="708"/>
        <w:spacing w:after="0" w:line="262" w:lineRule="auto"/>
        <w:rPr>
          <w:sz w:val="20"/>
          <w:szCs w:val="20"/>
          <w:color w:val="auto"/>
        </w:rPr>
      </w:pPr>
      <w:r>
        <w:rPr>
          <w:rFonts w:ascii="Arial" w:cs="Arial" w:eastAsia="Arial" w:hAnsi="Arial"/>
          <w:sz w:val="16"/>
          <w:szCs w:val="16"/>
          <w:color w:val="auto"/>
        </w:rPr>
        <w:t>The following table presents a reconciliation of Adjusted net income (loss) to net income (loss) from continuing operations, which is the most directly comparable U.S. GAAP measure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Non-GAAP</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3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rPr>
              <w:t>Successor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Predecessor</w:t>
            </w:r>
          </w:p>
        </w:tc>
        <w:tc>
          <w:tcPr>
            <w:tcW w:w="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Predecessor</w:t>
            </w:r>
          </w:p>
        </w:tc>
      </w:tr>
      <w:tr>
        <w:trPr>
          <w:trHeight w:val="132"/>
        </w:trPr>
        <w:tc>
          <w:tcPr>
            <w:tcW w:w="3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1"/>
                <w:szCs w:val="11"/>
                <w:b w:val="1"/>
                <w:bCs w:val="1"/>
                <w:color w:val="auto"/>
                <w:w w:val="98"/>
              </w:rPr>
              <w:t>Period from January 15</w:t>
            </w:r>
          </w:p>
        </w:tc>
        <w:tc>
          <w:tcPr>
            <w:tcW w:w="140" w:type="dxa"/>
            <w:vAlign w:val="bottom"/>
          </w:tcPr>
          <w:p>
            <w:pPr>
              <w:spacing w:after="0"/>
              <w:rPr>
                <w:sz w:val="11"/>
                <w:szCs w:val="11"/>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Period from January 1</w:t>
            </w:r>
          </w:p>
        </w:tc>
        <w:tc>
          <w:tcPr>
            <w:tcW w:w="80" w:type="dxa"/>
            <w:vAlign w:val="bottom"/>
          </w:tcPr>
          <w:p>
            <w:pPr>
              <w:spacing w:after="0"/>
              <w:rPr>
                <w:sz w:val="11"/>
                <w:szCs w:val="11"/>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Three Months Ended</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Three Months Ended</w:t>
            </w:r>
          </w:p>
        </w:tc>
      </w:tr>
      <w:tr>
        <w:trPr>
          <w:trHeight w:val="120"/>
        </w:trPr>
        <w:tc>
          <w:tcPr>
            <w:tcW w:w="3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Borders>
              <w:right w:val="single" w:sz="8" w:color="auto"/>
            </w:tcBorders>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8"/>
              </w:rPr>
              <w:t>through March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96"/>
              </w:rPr>
              <w:t>through January 14,</w:t>
            </w:r>
          </w:p>
        </w:tc>
        <w:tc>
          <w:tcPr>
            <w:tcW w:w="80" w:type="dxa"/>
            <w:vAlign w:val="bottom"/>
          </w:tcPr>
          <w:p>
            <w:pPr>
              <w:spacing w:after="0"/>
              <w:rPr>
                <w:sz w:val="10"/>
                <w:szCs w:val="10"/>
                <w:color w:val="auto"/>
              </w:rPr>
            </w:pPr>
          </w:p>
        </w:tc>
        <w:tc>
          <w:tcPr>
            <w:tcW w:w="142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8"/>
              </w:rPr>
              <w:t>March 31,</w:t>
            </w: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8"/>
              </w:rPr>
              <w:t>March 31,</w:t>
            </w:r>
          </w:p>
        </w:tc>
      </w:tr>
      <w:tr>
        <w:trPr>
          <w:trHeight w:val="168"/>
        </w:trPr>
        <w:tc>
          <w:tcPr>
            <w:tcW w:w="3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48"/>
              <w:spacing w:after="0"/>
              <w:rPr>
                <w:sz w:val="20"/>
                <w:szCs w:val="20"/>
                <w:color w:val="auto"/>
              </w:rPr>
            </w:pPr>
            <w:r>
              <w:rPr>
                <w:rFonts w:ascii="Arial" w:cs="Arial" w:eastAsia="Arial" w:hAnsi="Arial"/>
                <w:sz w:val="13"/>
                <w:szCs w:val="13"/>
                <w:b w:val="1"/>
                <w:bCs w:val="1"/>
                <w:color w:val="auto"/>
                <w:w w:val="96"/>
              </w:rPr>
              <w:t>2025</w:t>
            </w: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9"/>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11"/>
              <w:spacing w:after="0"/>
              <w:rPr>
                <w:sz w:val="20"/>
                <w:szCs w:val="20"/>
                <w:color w:val="auto"/>
              </w:rPr>
            </w:pPr>
            <w:r>
              <w:rPr>
                <w:rFonts w:ascii="Arial" w:cs="Arial" w:eastAsia="Arial" w:hAnsi="Arial"/>
                <w:sz w:val="13"/>
                <w:szCs w:val="13"/>
                <w:b w:val="1"/>
                <w:bCs w:val="1"/>
                <w:color w:val="auto"/>
                <w:w w:val="96"/>
              </w:rPr>
              <w:t>2025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4"/>
                <w:szCs w:val="14"/>
                <w:color w:val="auto"/>
              </w:rPr>
            </w:pPr>
          </w:p>
        </w:tc>
      </w:tr>
      <w:tr>
        <w:trPr>
          <w:trHeight w:val="180"/>
        </w:trPr>
        <w:tc>
          <w:tcPr>
            <w:tcW w:w="38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(loss) income from continuing operations</w:t>
            </w:r>
          </w:p>
        </w:tc>
        <w:tc>
          <w:tcPr>
            <w:tcW w:w="8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380" w:type="dxa"/>
            <w:vAlign w:val="bottom"/>
            <w:tcBorders>
              <w:right w:val="single" w:sz="8" w:color="auto"/>
            </w:tcBorders>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(6,450)</w:t>
            </w:r>
          </w:p>
        </w:tc>
        <w:tc>
          <w:tcPr>
            <w:tcW w:w="2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45,090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38,640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(44,676)</w:t>
            </w:r>
          </w:p>
        </w:tc>
      </w:tr>
      <w:tr>
        <w:trPr>
          <w:trHeight w:val="180"/>
        </w:trPr>
        <w:tc>
          <w:tcPr>
            <w:tcW w:w="3800" w:type="dxa"/>
            <w:vAlign w:val="bottom"/>
          </w:tcPr>
          <w:p>
            <w:pPr>
              <w:spacing w:after="0" w:line="180" w:lineRule="exact"/>
              <w:rPr>
                <w:sz w:val="20"/>
                <w:szCs w:val="20"/>
                <w:color w:val="auto"/>
              </w:rPr>
            </w:pPr>
            <w:r>
              <w:rPr>
                <w:rFonts w:ascii="Arial" w:cs="Arial" w:eastAsia="Arial" w:hAnsi="Arial"/>
                <w:sz w:val="16"/>
                <w:szCs w:val="16"/>
                <w:color w:val="auto"/>
              </w:rPr>
              <w:t>Adjusted to exclude the following:</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38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Stock compensation expense</w:t>
            </w: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491</w:t>
            </w:r>
          </w:p>
        </w:tc>
        <w:tc>
          <w:tcPr>
            <w:tcW w:w="2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144</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635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1,324</w:t>
            </w:r>
          </w:p>
        </w:tc>
      </w:tr>
      <w:tr>
        <w:trPr>
          <w:trHeight w:val="180"/>
        </w:trPr>
        <w:tc>
          <w:tcPr>
            <w:tcW w:w="3800" w:type="dxa"/>
            <w:vAlign w:val="bottom"/>
          </w:tcPr>
          <w:p>
            <w:pPr>
              <w:spacing w:after="0" w:line="180" w:lineRule="exact"/>
              <w:rPr>
                <w:sz w:val="20"/>
                <w:szCs w:val="20"/>
                <w:color w:val="auto"/>
              </w:rPr>
            </w:pPr>
            <w:r>
              <w:rPr>
                <w:rFonts w:ascii="Arial" w:cs="Arial" w:eastAsia="Arial" w:hAnsi="Arial"/>
                <w:sz w:val="16"/>
                <w:szCs w:val="16"/>
                <w:color w:val="auto"/>
              </w:rPr>
              <w:t>Severance expense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right w:val="single" w:sz="8" w:color="auto"/>
            </w:tcBorders>
            <w:gridSpan w:val="2"/>
          </w:tcPr>
          <w:p>
            <w:pPr>
              <w:jc w:val="right"/>
              <w:ind w:right="220"/>
              <w:spacing w:after="0" w:line="180" w:lineRule="exact"/>
              <w:rPr>
                <w:sz w:val="20"/>
                <w:szCs w:val="20"/>
                <w:color w:val="auto"/>
              </w:rPr>
            </w:pPr>
            <w:r>
              <w:rPr>
                <w:rFonts w:ascii="Arial" w:cs="Arial" w:eastAsia="Arial" w:hAnsi="Arial"/>
                <w:sz w:val="16"/>
                <w:szCs w:val="16"/>
                <w:color w:val="auto"/>
              </w:rPr>
              <w:t>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4</w:t>
            </w:r>
          </w:p>
        </w:tc>
        <w:tc>
          <w:tcPr>
            <w:tcW w:w="80" w:type="dxa"/>
            <w:vAlign w:val="bottom"/>
          </w:tcPr>
          <w:p>
            <w:pPr>
              <w:spacing w:after="0"/>
              <w:rPr>
                <w:sz w:val="15"/>
                <w:szCs w:val="15"/>
                <w:color w:val="auto"/>
              </w:rPr>
            </w:pPr>
          </w:p>
        </w:tc>
        <w:tc>
          <w:tcPr>
            <w:tcW w:w="1420" w:type="dxa"/>
            <w:vAlign w:val="bottom"/>
            <w:gridSpan w:val="2"/>
          </w:tcPr>
          <w:p>
            <w:pPr>
              <w:jc w:val="right"/>
              <w:ind w:right="220"/>
              <w:spacing w:after="0" w:line="180" w:lineRule="exact"/>
              <w:rPr>
                <w:sz w:val="20"/>
                <w:szCs w:val="20"/>
                <w:color w:val="auto"/>
              </w:rPr>
            </w:pPr>
            <w:r>
              <w:rPr>
                <w:rFonts w:ascii="Arial" w:cs="Arial" w:eastAsia="Arial" w:hAnsi="Arial"/>
                <w:sz w:val="16"/>
                <w:szCs w:val="16"/>
                <w:color w:val="auto"/>
              </w:rPr>
              <w:t>25</w:t>
            </w:r>
          </w:p>
        </w:tc>
        <w:tc>
          <w:tcPr>
            <w:tcW w:w="100" w:type="dxa"/>
            <w:vAlign w:val="bottom"/>
          </w:tcPr>
          <w:p>
            <w:pPr>
              <w:spacing w:after="0"/>
              <w:rPr>
                <w:sz w:val="15"/>
                <w:szCs w:val="15"/>
                <w:color w:val="auto"/>
              </w:rPr>
            </w:pPr>
          </w:p>
        </w:tc>
        <w:tc>
          <w:tcPr>
            <w:tcW w:w="13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r>
      <w:tr>
        <w:trPr>
          <w:trHeight w:val="180"/>
        </w:trPr>
        <w:tc>
          <w:tcPr>
            <w:tcW w:w="38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Bankruptcy costs (post-emergence)</w:t>
            </w: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913</w:t>
            </w:r>
          </w:p>
        </w:tc>
        <w:tc>
          <w:tcPr>
            <w:tcW w:w="2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913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r>
      <w:tr>
        <w:trPr>
          <w:trHeight w:val="180"/>
        </w:trPr>
        <w:tc>
          <w:tcPr>
            <w:tcW w:w="3800" w:type="dxa"/>
            <w:vAlign w:val="bottom"/>
          </w:tcPr>
          <w:p>
            <w:pPr>
              <w:spacing w:after="0" w:line="180" w:lineRule="exact"/>
              <w:rPr>
                <w:sz w:val="20"/>
                <w:szCs w:val="20"/>
                <w:color w:val="auto"/>
              </w:rPr>
            </w:pPr>
            <w:r>
              <w:rPr>
                <w:rFonts w:ascii="Arial" w:cs="Arial" w:eastAsia="Arial" w:hAnsi="Arial"/>
                <w:sz w:val="16"/>
                <w:szCs w:val="16"/>
                <w:color w:val="auto"/>
              </w:rPr>
              <w:t>Reorganization items, net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right w:val="single" w:sz="8" w:color="auto"/>
            </w:tcBorders>
            <w:gridSpan w:val="2"/>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(51,036)</w:t>
            </w:r>
          </w:p>
        </w:tc>
        <w:tc>
          <w:tcPr>
            <w:tcW w:w="80" w:type="dxa"/>
            <w:vAlign w:val="bottom"/>
          </w:tcPr>
          <w:p>
            <w:pPr>
              <w:spacing w:after="0"/>
              <w:rPr>
                <w:sz w:val="15"/>
                <w:szCs w:val="15"/>
                <w:color w:val="auto"/>
              </w:rPr>
            </w:pPr>
          </w:p>
        </w:tc>
        <w:tc>
          <w:tcPr>
            <w:tcW w:w="142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(51,036)</w:t>
            </w:r>
          </w:p>
        </w:tc>
        <w:tc>
          <w:tcPr>
            <w:tcW w:w="100" w:type="dxa"/>
            <w:vAlign w:val="bottom"/>
          </w:tcPr>
          <w:p>
            <w:pPr>
              <w:spacing w:after="0"/>
              <w:rPr>
                <w:sz w:val="15"/>
                <w:szCs w:val="15"/>
                <w:color w:val="auto"/>
              </w:rPr>
            </w:pPr>
          </w:p>
        </w:tc>
        <w:tc>
          <w:tcPr>
            <w:tcW w:w="13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r>
      <w:tr>
        <w:trPr>
          <w:trHeight w:val="180"/>
        </w:trPr>
        <w:tc>
          <w:tcPr>
            <w:tcW w:w="38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Impairment charges</w:t>
            </w: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tcBorders>
              <w:right w:val="single" w:sz="8" w:color="auto"/>
            </w:tcBorders>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4,156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4,156</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2,752</w:t>
            </w:r>
          </w:p>
        </w:tc>
      </w:tr>
      <w:tr>
        <w:trPr>
          <w:trHeight w:val="180"/>
        </w:trPr>
        <w:tc>
          <w:tcPr>
            <w:tcW w:w="3800" w:type="dxa"/>
            <w:vAlign w:val="bottom"/>
          </w:tcPr>
          <w:p>
            <w:pPr>
              <w:spacing w:after="0" w:line="160" w:lineRule="exact"/>
              <w:rPr>
                <w:sz w:val="20"/>
                <w:szCs w:val="20"/>
                <w:color w:val="auto"/>
              </w:rPr>
            </w:pPr>
            <w:r>
              <w:rPr>
                <w:rFonts w:ascii="Arial" w:cs="Arial" w:eastAsia="Arial" w:hAnsi="Arial"/>
                <w:sz w:val="16"/>
                <w:szCs w:val="16"/>
                <w:color w:val="auto"/>
              </w:rPr>
              <w:t>Adjusted net loss</w:t>
            </w:r>
          </w:p>
        </w:tc>
        <w:tc>
          <w:tcPr>
            <w:tcW w:w="8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w:t>
            </w:r>
          </w:p>
        </w:tc>
        <w:tc>
          <w:tcPr>
            <w:tcW w:w="1380" w:type="dxa"/>
            <w:vAlign w:val="bottom"/>
            <w:tcBorders>
              <w:right w:val="single" w:sz="8" w:color="auto"/>
            </w:tcBorders>
            <w:gridSpan w:val="2"/>
          </w:tcPr>
          <w:p>
            <w:pPr>
              <w:jc w:val="right"/>
              <w:ind w:right="180"/>
              <w:spacing w:after="0" w:line="160" w:lineRule="exact"/>
              <w:rPr>
                <w:sz w:val="20"/>
                <w:szCs w:val="20"/>
                <w:color w:val="auto"/>
              </w:rPr>
            </w:pPr>
            <w:r>
              <w:rPr>
                <w:rFonts w:ascii="Arial" w:cs="Arial" w:eastAsia="Arial" w:hAnsi="Arial"/>
                <w:sz w:val="11"/>
                <w:szCs w:val="11"/>
                <w:color w:val="auto"/>
              </w:rPr>
              <w:t>(869</w:t>
            </w:r>
            <w:r>
              <w:rPr>
                <w:rFonts w:ascii="Arial" w:cs="Arial" w:eastAsia="Arial" w:hAnsi="Arial"/>
                <w:sz w:val="18"/>
                <w:szCs w:val="18"/>
                <w:color w:val="auto"/>
                <w:vertAlign w:val="subscript"/>
              </w:rPr>
              <w:t>)</w:t>
            </w:r>
          </w:p>
        </w:tc>
        <w:tc>
          <w:tcPr>
            <w:tcW w:w="24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80"/>
              <w:spacing w:after="0" w:line="160" w:lineRule="exact"/>
              <w:rPr>
                <w:sz w:val="20"/>
                <w:szCs w:val="20"/>
                <w:color w:val="auto"/>
              </w:rPr>
            </w:pPr>
            <w:r>
              <w:rPr>
                <w:rFonts w:ascii="Arial" w:cs="Arial" w:eastAsia="Arial" w:hAnsi="Arial"/>
                <w:sz w:val="11"/>
                <w:szCs w:val="11"/>
                <w:color w:val="auto"/>
              </w:rPr>
              <w:t>(5,798</w:t>
            </w:r>
            <w:r>
              <w:rPr>
                <w:rFonts w:ascii="Arial" w:cs="Arial" w:eastAsia="Arial" w:hAnsi="Arial"/>
                <w:sz w:val="18"/>
                <w:szCs w:val="18"/>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80"/>
              <w:spacing w:after="0" w:line="160" w:lineRule="exact"/>
              <w:rPr>
                <w:sz w:val="20"/>
                <w:szCs w:val="20"/>
                <w:color w:val="auto"/>
              </w:rPr>
            </w:pPr>
            <w:r>
              <w:rPr>
                <w:rFonts w:ascii="Arial" w:cs="Arial" w:eastAsia="Arial" w:hAnsi="Arial"/>
                <w:sz w:val="11"/>
                <w:szCs w:val="11"/>
                <w:color w:val="auto"/>
              </w:rPr>
              <w:t>(6,667</w:t>
            </w:r>
            <w:r>
              <w:rPr>
                <w:rFonts w:ascii="Arial" w:cs="Arial" w:eastAsia="Arial" w:hAnsi="Arial"/>
                <w:sz w:val="18"/>
                <w:szCs w:val="18"/>
                <w:color w:val="auto"/>
                <w:vertAlign w:val="subscript"/>
              </w:rPr>
              <w:t>)</w:t>
            </w:r>
          </w:p>
        </w:tc>
        <w:tc>
          <w:tcPr>
            <w:tcW w:w="100" w:type="dxa"/>
            <w:vAlign w:val="bottom"/>
          </w:tcPr>
          <w:p>
            <w:pPr>
              <w:jc w:val="right"/>
              <w:spacing w:after="0" w:line="160" w:lineRule="exact"/>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40"/>
              <w:spacing w:after="0" w:line="160" w:lineRule="exact"/>
              <w:rPr>
                <w:sz w:val="20"/>
                <w:szCs w:val="20"/>
                <w:color w:val="auto"/>
              </w:rPr>
            </w:pPr>
            <w:r>
              <w:rPr>
                <w:rFonts w:ascii="Arial" w:cs="Arial" w:eastAsia="Arial" w:hAnsi="Arial"/>
                <w:sz w:val="11"/>
                <w:szCs w:val="11"/>
                <w:color w:val="auto"/>
              </w:rPr>
              <w:t>(40,600</w:t>
            </w:r>
            <w:r>
              <w:rPr>
                <w:rFonts w:ascii="Arial" w:cs="Arial" w:eastAsia="Arial" w:hAnsi="Arial"/>
                <w:sz w:val="18"/>
                <w:szCs w:val="18"/>
                <w:color w:val="auto"/>
                <w:vertAlign w:val="subscript"/>
              </w:rPr>
              <w:t>)</w:t>
            </w:r>
          </w:p>
        </w:tc>
      </w:tr>
      <w:tr>
        <w:trPr>
          <w:trHeight w:val="20"/>
        </w:trPr>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0"/>
        </w:trPr>
        <w:tc>
          <w:tcPr>
            <w:tcW w:w="3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348"/>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0"/>
        </w:trPr>
        <w:tc>
          <w:tcPr>
            <w:tcW w:w="38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7" w:name="page58"/>
    <w:bookmarkEnd w:id="5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Combined Three Months Ended March 31, 2025</w:t>
      </w:r>
    </w:p>
    <w:p>
      <w:pPr>
        <w:spacing w:after="0" w:line="17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Our financial results for the periods from January 1, 2025 through January 14, 2025 and the three months ended March 31, 2024 are referred to as those of the “Predecessor” period. Our financial results for the period from January 15, 2025 through March 31, 2025 are referred to as those of the “Successor” period. Our results of operations as reported in our Condensed Consolidated Financial Statements for these periods are prepared in accordance with U.S. GAAP. Although U.S. GAAP requires that we report our results for the period from January 1, 2025 through January 14, 2025 and the period from January 15, 2025 through March 31, 2025 separately, management views our operating results for the three months ended March 31, 2025 by combining the results of the applicable Predecessor and Successor periods because such presentation provides the most meaningful comparison of our results to prior periods. We believe we cannot adequately benchmark the operating results of the period from January 15, 2025 through March 31, 2025 against any of the previous periods reported in our Condensed Consolidated Financial Statements without combining it with the period from January 1, 2025 through January 14, 2025, and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Condensed Consolidated Financial Statements in accordance with U.S. GAAP, the tables and discussion below also present the combined results for the three months ended March 31, 2025. The combined results for the three months ended March 31, 2025 represent the sum of the reported amounts for the Predecessor period from January 1, 2025 through January 14, 2025 and the Successor period from January 15, 2025 through March 31, 2025. These combined results are not considered to be prepared in accordance with U.S.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three months ended March 31, 2025 (prepared on a Non-GAAP basis) and three months ended March 31, 2024 (prepared on a GAAP basis) may not be comparable, particularly for statement of operations line items significantly impacted by the Reorganization transactions and the impact of fresh start accounting.</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Key Factors and Trends Affecting our Operating Results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Our financial condition and results of operations have been, and will continue to be, affected by a number of factors and trends, including the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following: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Prepackaged Chapter 11 Case</w:t>
      </w:r>
    </w:p>
    <w:p>
      <w:pPr>
        <w:spacing w:after="0" w:line="176" w:lineRule="exact"/>
        <w:rPr>
          <w:sz w:val="20"/>
          <w:szCs w:val="20"/>
          <w:color w:val="auto"/>
        </w:rPr>
      </w:pPr>
    </w:p>
    <w:p>
      <w:pPr>
        <w:ind w:firstLine="696"/>
        <w:spacing w:after="0" w:line="238" w:lineRule="auto"/>
        <w:rPr>
          <w:sz w:val="20"/>
          <w:szCs w:val="20"/>
          <w:color w:val="auto"/>
        </w:rPr>
      </w:pPr>
      <w:r>
        <w:rPr>
          <w:rFonts w:ascii="Arial" w:cs="Arial" w:eastAsia="Arial" w:hAnsi="Arial"/>
          <w:sz w:val="16"/>
          <w:szCs w:val="16"/>
          <w:color w:val="auto"/>
        </w:rPr>
        <w:t>Even though we have emerged from the Prepackaged Chapter 11 Case, our Prepackaged Chapter 11 Case could have a material adverse effect on our business, financial condition, results of operations and liquidity. For example, it could adversely affect our business and relationships with customers, vendors, contractors, employees or suppliers. Furthermore, we may not realize any or all of the intended benefits of the Prepackaged Chapter 11 Case, the benefits may not be on the terms, in the manner, or during the time period we expect, and the costs incurred may exceed the intended benefits. The occurrence of one or more of these events could have a material and adverse effect on our operations, financial condition and reputation and we cannot assure you that having been subject to bankruptcy proceedings will not adversely affect our operations in the future. Additionally, other risks we face, as described in our Annual Report on Form 10-K for the year ended December 31, 2024, may be exacerbated by the impacts of our emergence from the Prepackaged Chapter 11 Case. All of these factors could limit our ability to pursue growth strategies for our business in the near- to mid-term.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Fresh Start Accounting</w:t>
      </w:r>
    </w:p>
    <w:p>
      <w:pPr>
        <w:spacing w:after="0" w:line="116" w:lineRule="exact"/>
        <w:rPr>
          <w:sz w:val="20"/>
          <w:szCs w:val="20"/>
          <w:color w:val="auto"/>
        </w:rPr>
      </w:pPr>
    </w:p>
    <w:p>
      <w:pPr>
        <w:ind w:right="80" w:firstLine="696"/>
        <w:spacing w:after="0" w:line="239" w:lineRule="auto"/>
        <w:rPr>
          <w:sz w:val="20"/>
          <w:szCs w:val="20"/>
          <w:color w:val="auto"/>
        </w:rPr>
      </w:pPr>
      <w:r>
        <w:rPr>
          <w:rFonts w:ascii="Arial" w:cs="Arial" w:eastAsia="Arial" w:hAnsi="Arial"/>
          <w:sz w:val="16"/>
          <w:szCs w:val="16"/>
          <w:color w:val="auto"/>
        </w:rPr>
        <w:t>Upon emergence from the Prepackaged Chapter 11 Case, the Company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which emphasizes the lack of comparability between amounts presented. References to “Successor” relate to the Company's financial position and results of operations after the Effective Date. References to “Predecessor” refer to the Company's financial position and results of operations on or before the Effective Date. For further information on comparability of Predecessor and Successor periods, see discussion within Results of Operations section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8" w:name="page59"/>
    <w:bookmarkEnd w:id="5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Ability to manage credit losses</w:t>
      </w:r>
    </w:p>
    <w:p>
      <w:pPr>
        <w:spacing w:after="0" w:line="176" w:lineRule="exact"/>
        <w:rPr>
          <w:sz w:val="20"/>
          <w:szCs w:val="20"/>
          <w:color w:val="auto"/>
        </w:rPr>
      </w:pPr>
    </w:p>
    <w:p>
      <w:pPr>
        <w:ind w:firstLine="708"/>
        <w:spacing w:after="0" w:line="274" w:lineRule="auto"/>
        <w:rPr>
          <w:sz w:val="20"/>
          <w:szCs w:val="20"/>
          <w:color w:val="auto"/>
        </w:rPr>
      </w:pPr>
      <w:r>
        <w:rPr>
          <w:rFonts w:ascii="Arial" w:cs="Arial" w:eastAsia="Arial" w:hAnsi="Arial"/>
          <w:sz w:val="14"/>
          <w:szCs w:val="14"/>
          <w:color w:val="auto"/>
        </w:rPr>
        <w:t>While credit losses are inherent in the automotive finance receivables business, several variables have negatively affected UACC’s recent loss and delinquency rates, including rising interest rates, the current inflationary environment and vehicle depreciation. However, UACC has seen some improvement in our more recently issued finance receivable vintages, leading to lower losses as the more seasoned finance receivables are replaced with new originations, which has positively impacted the fair value of our finance receivables and the losses recognized for the three months ended March 31, 2025. Some of this is driven by seasonality and the current rate environment. While we expect long term improvements in our finance receivable portfolio we expect some downward trends to continue to negatively impact our business for the remainder of 2025.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our credit program, such as tightening credit, which is starting to return our delinquencies and expected portfolio performance on those vintages to normalized levels. We also intend to leverage CarStory data to improve VIN-level valuations to support underwriting decisions and servicing operations. Certain advance rates available to UACC on borrowings from the Warehouse Credit Facilities have decreased as a result of the increasing credit losses in UACC's portfolio. Any future decreases on available advance rates may have an adverse impact on our liquidity.</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 profitability at UACC</w:t>
      </w:r>
    </w:p>
    <w:p>
      <w:pPr>
        <w:spacing w:after="0" w:line="176" w:lineRule="exact"/>
        <w:rPr>
          <w:sz w:val="20"/>
          <w:szCs w:val="20"/>
          <w:color w:val="auto"/>
        </w:rPr>
      </w:pPr>
    </w:p>
    <w:p>
      <w:pPr>
        <w:ind w:right="140" w:firstLine="708"/>
        <w:spacing w:after="0"/>
        <w:rPr>
          <w:sz w:val="20"/>
          <w:szCs w:val="20"/>
          <w:color w:val="auto"/>
        </w:rPr>
      </w:pPr>
      <w:r>
        <w:rPr>
          <w:rFonts w:ascii="Arial" w:cs="Arial" w:eastAsia="Arial" w:hAnsi="Arial"/>
          <w:sz w:val="16"/>
          <w:szCs w:val="16"/>
          <w:color w:val="auto"/>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Ability to continue to access capital</w:t>
      </w:r>
    </w:p>
    <w:p>
      <w:pPr>
        <w:spacing w:after="0" w:line="176"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UACC has four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w:t>
      </w:r>
    </w:p>
    <w:p>
      <w:pPr>
        <w:spacing w:after="0" w:line="150" w:lineRule="exact"/>
        <w:rPr>
          <w:sz w:val="20"/>
          <w:szCs w:val="20"/>
          <w:color w:val="auto"/>
        </w:rPr>
      </w:pPr>
    </w:p>
    <w:p>
      <w:pPr>
        <w:ind w:right="200" w:firstLine="708"/>
        <w:spacing w:after="0" w:line="241" w:lineRule="auto"/>
        <w:rPr>
          <w:sz w:val="20"/>
          <w:szCs w:val="20"/>
          <w:color w:val="auto"/>
        </w:rPr>
      </w:pPr>
      <w:r>
        <w:rPr>
          <w:rFonts w:ascii="Arial" w:cs="Arial" w:eastAsia="Arial" w:hAnsi="Arial"/>
          <w:sz w:val="16"/>
          <w:szCs w:val="16"/>
          <w:color w:val="auto"/>
        </w:rPr>
        <w:t>The success of UACC's business is highly dependent on the ability to continue to access capital through both its warehousing arrangements and securitization program. As a result of fluctuating interest rates, the current inflationary environment and vehicle depreciation in the used automotive industry, UACC is experiencing higher loss severity. Certain advance rates available to UACC on borrowings from UACC’s four senior secured warehouse credit facility agreements (the “Warehouse Credit Facilities”) have decreased as a result of the increasing credit losses in UACC's portfolio. Any future decreases on available advance rates may have an adverse impact on our liquidity.</w:t>
      </w:r>
    </w:p>
    <w:p>
      <w:pPr>
        <w:spacing w:after="0" w:line="157" w:lineRule="exact"/>
        <w:rPr>
          <w:sz w:val="20"/>
          <w:szCs w:val="20"/>
          <w:color w:val="auto"/>
        </w:rPr>
      </w:pPr>
    </w:p>
    <w:p>
      <w:pPr>
        <w:ind w:right="80" w:firstLine="696"/>
        <w:spacing w:after="0" w:line="239" w:lineRule="auto"/>
        <w:rPr>
          <w:sz w:val="20"/>
          <w:szCs w:val="20"/>
          <w:color w:val="auto"/>
        </w:rPr>
      </w:pPr>
      <w:r>
        <w:rPr>
          <w:rFonts w:ascii="Arial" w:cs="Arial" w:eastAsia="Arial" w:hAnsi="Arial"/>
          <w:sz w:val="16"/>
          <w:szCs w:val="16"/>
          <w:color w:val="auto"/>
        </w:rPr>
        <w:t>In March 2025, we renewed two of our Warehouse Credit Facilities, Facility Two and Facility Four, with an aggregate borrowing capacity of $400 million, now expiring in June 2026 and April 2027, respectively. The remaining Warehouse Credit Facilities, with aggregate borrowing capacity of $400 million, expire between July and August 2025. We are in ongoing discussions with the remaining lenders to extend the terms beyond the current expiration dates and expect facilities to be amended and renewed at sufficient borrowing capacity. However, there can be no assurance that adequate additional financing will be available to us on acceptable terms, or at all. See "Risk Factors—We may not generate sufficient liquidity to operate our business, and, UACC may be unable to continue to access or renew funding sources and obtain capital needed to maintain and grow its business" in our Annual Report on Form 10-K for the year ended December 31, 2024.</w:t>
      </w:r>
    </w:p>
    <w:p>
      <w:pPr>
        <w:spacing w:after="0" w:line="158" w:lineRule="exact"/>
        <w:rPr>
          <w:sz w:val="20"/>
          <w:szCs w:val="20"/>
          <w:color w:val="auto"/>
        </w:rPr>
      </w:pPr>
    </w:p>
    <w:p>
      <w:pPr>
        <w:ind w:right="40" w:firstLine="696"/>
        <w:spacing w:after="0" w:line="248" w:lineRule="auto"/>
        <w:rPr>
          <w:sz w:val="20"/>
          <w:szCs w:val="20"/>
          <w:color w:val="auto"/>
        </w:rPr>
      </w:pPr>
      <w:r>
        <w:rPr>
          <w:rFonts w:ascii="Arial" w:cs="Arial" w:eastAsia="Arial" w:hAnsi="Arial"/>
          <w:sz w:val="16"/>
          <w:szCs w:val="16"/>
          <w:color w:val="auto"/>
        </w:rPr>
        <w:t>In addition, due to UACC's increased credit losses, UACC may not be able to securitize its loan portfolio on favorable terms, or may not be able to sell the subordinate notes in its securitizations at a favorable price or at all. UACC retained the residual interests for all our securitization transactions since 2023.</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59" w:name="page60"/>
    <w:bookmarkEnd w:id="5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Ability to optimize our dealer network to increase vehicle finance offerings</w:t>
      </w:r>
    </w:p>
    <w:p>
      <w:pPr>
        <w:spacing w:after="0" w:line="176" w:lineRule="exact"/>
        <w:rPr>
          <w:sz w:val="20"/>
          <w:szCs w:val="20"/>
          <w:color w:val="auto"/>
        </w:rPr>
      </w:pPr>
    </w:p>
    <w:p>
      <w:pPr>
        <w:ind w:right="20" w:firstLine="708"/>
        <w:spacing w:after="0"/>
        <w:rPr>
          <w:sz w:val="20"/>
          <w:szCs w:val="20"/>
          <w:color w:val="auto"/>
        </w:rPr>
      </w:pPr>
      <w:r>
        <w:rPr>
          <w:rFonts w:ascii="Arial" w:cs="Arial" w:eastAsia="Arial" w:hAnsi="Arial"/>
          <w:sz w:val="16"/>
          <w:szCs w:val="16"/>
          <w:color w:val="auto"/>
        </w:rPr>
        <w:t>We intend to moderately grow our automotive financing business while focusing on achieving profitability. UACC will seek to optimize its dealer network over time. UACC provides funding that allows independent motor vehicle dealers and manufacturer- 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although UACC intends to expand its offerings across a broader range of the credit spectrum going forward and has launched a pilot program for near-prime consumers. We also intend to drive dealer and customer engagement through technology innovations.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w:t>
      </w:r>
    </w:p>
    <w:p>
      <w:pPr>
        <w:spacing w:after="0" w:line="176" w:lineRule="exact"/>
        <w:rPr>
          <w:sz w:val="20"/>
          <w:szCs w:val="20"/>
          <w:color w:val="auto"/>
        </w:rPr>
      </w:pPr>
    </w:p>
    <w:p>
      <w:pPr>
        <w:ind w:firstLine="708"/>
        <w:spacing w:after="0" w:line="238" w:lineRule="auto"/>
        <w:rPr>
          <w:sz w:val="20"/>
          <w:szCs w:val="20"/>
          <w:color w:val="auto"/>
        </w:rPr>
      </w:pPr>
      <w:r>
        <w:rPr>
          <w:rFonts w:ascii="Arial" w:cs="Arial" w:eastAsia="Arial" w:hAnsi="Arial"/>
          <w:sz w:val="16"/>
          <w:szCs w:val="16"/>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Operations—We may experience seasonal and other fluctuations in our quarterly results of operations, which may not fully reflect the underlying performance of our business” in our Annual Report on Form 10-K for the year ended December 31, 2024.</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Macroeconomic Factors</w:t>
      </w:r>
    </w:p>
    <w:p>
      <w:pPr>
        <w:spacing w:after="0" w:line="176" w:lineRule="exact"/>
        <w:rPr>
          <w:sz w:val="20"/>
          <w:szCs w:val="20"/>
          <w:color w:val="auto"/>
        </w:rPr>
      </w:pPr>
    </w:p>
    <w:p>
      <w:pPr>
        <w:ind w:right="100" w:firstLine="708"/>
        <w:spacing w:after="0" w:line="284" w:lineRule="auto"/>
        <w:rPr>
          <w:sz w:val="20"/>
          <w:szCs w:val="20"/>
          <w:color w:val="auto"/>
        </w:rPr>
      </w:pPr>
      <w:r>
        <w:rPr>
          <w:rFonts w:ascii="Arial" w:cs="Arial" w:eastAsia="Arial" w:hAnsi="Arial"/>
          <w:sz w:val="14"/>
          <w:szCs w:val="14"/>
          <w:color w:val="auto"/>
        </w:rPr>
        <w:t>The United States and global economies have recently and are continuing to experience a sustained inflationary environment. The Federal Reserve’s efforts to tame inflation have led to increased interest rates, which affects automotive finance rates and our borrowing rates, thereby reducing discretionary spending and making vehicle financing more costly and less accessible or desirable to many consumers. While interest rate cuts were expected in 2024, only slight cuts were enacted in the latter half of the year. Based on the March 2025 meeting, the Federal Reserve interest rates remained unchanged. We are not able to predict if, when, and to what degree rates may change in 2025 and the impact it may have on the economy.</w:t>
      </w:r>
    </w:p>
    <w:p>
      <w:pPr>
        <w:spacing w:after="0" w:line="128" w:lineRule="exact"/>
        <w:rPr>
          <w:sz w:val="20"/>
          <w:szCs w:val="20"/>
          <w:color w:val="auto"/>
        </w:rPr>
      </w:pPr>
    </w:p>
    <w:p>
      <w:pPr>
        <w:ind w:right="20" w:firstLine="708"/>
        <w:spacing w:after="0" w:line="274" w:lineRule="auto"/>
        <w:rPr>
          <w:sz w:val="20"/>
          <w:szCs w:val="20"/>
          <w:color w:val="auto"/>
        </w:rPr>
      </w:pPr>
      <w:r>
        <w:rPr>
          <w:rFonts w:ascii="Arial" w:cs="Arial" w:eastAsia="Arial" w:hAnsi="Arial"/>
          <w:sz w:val="14"/>
          <w:szCs w:val="14"/>
          <w:color w:val="auto"/>
        </w:rPr>
        <w:t>In addition, the new Presidential administration has recently announced (and in some cases, partially delayed or rescinded) new tariffs on imports to the United States from other countries, including European Union countries, Japan, Canada and Mexico. Many such countries have announced plans to impose retaliatory tariffs as well as other trade restrictions and retaliatory measures. Such significant tariffs, restrictions or other retaliatory measures could have a major impact on the United States automotive industry, which depends heavily on cross border trade. Should additional tariffs be implemented and sustained by the United States and other countries for an extended period of time, they would have a significant adverse effect, including financial, on the automotive industry. Further, any additional restrictions by the United States or other governments would exacerbate the impact, as could the uncertainty regarding the magnitude or duration of these measures. Steps taken by governments to implement tariffs on raw materials (including steel), automobiles, parts, and other products and materials have the potential to disrupt existing supply chains and impose additional costs on businesses in the automotive industry in the United States and globally. While negotiations regarding tariffs and other restrictions are ongoing, if the resulting environment of retaliatory tariffs or other practices of additional trade restrictions or barriers increase automobile prices in the U.S., this could lead to negative consumer sentiment and decreased consumer demand for automobiles, and in turn, decreased demand for motor vehicle contracts financed through UACC, which would negatively impact our results of operations, cash flows, and financial condition.</w:t>
      </w:r>
    </w:p>
    <w:p>
      <w:pPr>
        <w:spacing w:after="0" w:line="319" w:lineRule="exact"/>
        <w:rPr>
          <w:sz w:val="20"/>
          <w:szCs w:val="20"/>
          <w:color w:val="auto"/>
        </w:rPr>
      </w:pPr>
    </w:p>
    <w:p>
      <w:pPr>
        <w:ind w:right="140" w:firstLine="708"/>
        <w:spacing w:after="0" w:line="301" w:lineRule="auto"/>
        <w:rPr>
          <w:sz w:val="20"/>
          <w:szCs w:val="20"/>
          <w:color w:val="auto"/>
        </w:rPr>
      </w:pPr>
      <w:r>
        <w:rPr>
          <w:rFonts w:ascii="Arial" w:cs="Arial" w:eastAsia="Arial" w:hAnsi="Arial"/>
          <w:sz w:val="14"/>
          <w:szCs w:val="14"/>
          <w:color w:val="auto"/>
        </w:rPr>
        <w:t>Moreover, geopolitical conflicts and war, including those in Europe and the Middle East, have increased global economic and political uncertainty, which has caused dramatic fluctuations in global financial markets. A significant escalation or expansion of economic disruption could continue to impact consumer sentiment and spending, broaden inflationary costs, and could have a material adverse effect on our results of operations.</w:t>
      </w:r>
    </w:p>
    <w:p>
      <w:pPr>
        <w:spacing w:after="0" w:line="114"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We will continue to actively monitor and develop responses to these disruptions, including the developing role that geopolitical, climate, and labor concerns are playing in trade relations, but depending on the duration and severity of such events, these trends could continue to negatively impact our business through 2025.</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0" w:name="page61"/>
    <w:bookmarkEnd w:id="6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Results of Operations</w:t>
      </w:r>
    </w:p>
    <w:p>
      <w:pPr>
        <w:spacing w:after="0" w:line="178" w:lineRule="exact"/>
        <w:rPr>
          <w:sz w:val="20"/>
          <w:szCs w:val="20"/>
          <w:color w:val="auto"/>
        </w:rPr>
      </w:pPr>
    </w:p>
    <w:p>
      <w:pPr>
        <w:ind w:firstLine="708"/>
        <w:spacing w:after="0" w:line="248" w:lineRule="auto"/>
        <w:rPr>
          <w:sz w:val="20"/>
          <w:szCs w:val="20"/>
          <w:color w:val="auto"/>
        </w:rPr>
      </w:pPr>
      <w:r>
        <w:rPr>
          <w:rFonts w:ascii="Arial" w:cs="Arial" w:eastAsia="Arial" w:hAnsi="Arial"/>
          <w:sz w:val="16"/>
          <w:szCs w:val="16"/>
          <w:color w:val="auto"/>
        </w:rPr>
        <w:t>We historically managed and reported operating results through three reportable segments. As a result of the Value Maximization Plan and the wind-down of our ecommerce operations, we discontinued reporting our results through our Ecommerce and Wholesale segments starting in the first quarter of 2024. The Company is now organized into two reportable segments: UACC and CarStory.</w:t>
      </w:r>
    </w:p>
    <w:p>
      <w:pPr>
        <w:spacing w:after="0" w:line="150" w:lineRule="exact"/>
        <w:rPr>
          <w:sz w:val="20"/>
          <w:szCs w:val="20"/>
          <w:color w:val="auto"/>
        </w:rPr>
      </w:pPr>
    </w:p>
    <w:p>
      <w:pPr>
        <w:ind w:right="180" w:firstLine="708"/>
        <w:spacing w:after="0" w:line="241" w:lineRule="auto"/>
        <w:rPr>
          <w:sz w:val="20"/>
          <w:szCs w:val="20"/>
          <w:color w:val="auto"/>
        </w:rPr>
      </w:pPr>
      <w:r>
        <w:rPr>
          <w:rFonts w:ascii="Arial" w:cs="Arial" w:eastAsia="Arial" w:hAnsi="Arial"/>
          <w:sz w:val="16"/>
          <w:szCs w:val="16"/>
          <w:color w:val="auto"/>
        </w:rPr>
        <w:t>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1" w:name="page62"/>
    <w:bookmarkEnd w:id="6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presents our condensed consolidated results of operations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Non-GAAP</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right w:val="single" w:sz="8" w:color="auto"/>
            </w:tcBorders>
            <w:gridSpan w:val="2"/>
          </w:tcPr>
          <w:p>
            <w:pPr>
              <w:jc w:val="center"/>
              <w:ind w:right="315"/>
              <w:spacing w:after="0"/>
              <w:rPr>
                <w:sz w:val="20"/>
                <w:szCs w:val="20"/>
                <w:color w:val="auto"/>
              </w:rPr>
            </w:pPr>
            <w:r>
              <w:rPr>
                <w:rFonts w:ascii="Arial" w:cs="Arial" w:eastAsia="Arial" w:hAnsi="Arial"/>
                <w:sz w:val="13"/>
                <w:szCs w:val="13"/>
                <w:b w:val="1"/>
                <w:bCs w:val="1"/>
                <w:color w:val="auto"/>
              </w:rPr>
              <w:t>Successor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Predecessor</w:t>
            </w:r>
          </w:p>
        </w:tc>
        <w:tc>
          <w:tcPr>
            <w:tcW w:w="1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3"/>
                <w:szCs w:val="13"/>
                <w:color w:val="auto"/>
              </w:rPr>
            </w:pPr>
          </w:p>
        </w:tc>
        <w:tc>
          <w:tcPr>
            <w:tcW w:w="1240" w:type="dxa"/>
            <w:vAlign w:val="bottom"/>
            <w:gridSpan w:val="2"/>
          </w:tcPr>
          <w:p>
            <w:pPr>
              <w:jc w:val="center"/>
              <w:ind w:right="299"/>
              <w:spacing w:after="0"/>
              <w:rPr>
                <w:sz w:val="20"/>
                <w:szCs w:val="20"/>
                <w:color w:val="auto"/>
              </w:rPr>
            </w:pPr>
            <w:r>
              <w:rPr>
                <w:rFonts w:ascii="Arial" w:cs="Arial" w:eastAsia="Arial" w:hAnsi="Arial"/>
                <w:sz w:val="13"/>
                <w:szCs w:val="13"/>
                <w:b w:val="1"/>
                <w:bCs w:val="1"/>
                <w:color w:val="auto"/>
                <w:w w:val="99"/>
              </w:rPr>
              <w:t>Predecessor</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right w:val="single" w:sz="8" w:color="auto"/>
            </w:tcBorders>
            <w:gridSpan w:val="2"/>
          </w:tcPr>
          <w:p>
            <w:pPr>
              <w:jc w:val="center"/>
              <w:ind w:right="315"/>
              <w:spacing w:after="0"/>
              <w:rPr>
                <w:sz w:val="20"/>
                <w:szCs w:val="20"/>
                <w:color w:val="auto"/>
              </w:rPr>
            </w:pPr>
            <w:r>
              <w:rPr>
                <w:rFonts w:ascii="Arial" w:cs="Arial" w:eastAsia="Arial" w:hAnsi="Arial"/>
                <w:sz w:val="13"/>
                <w:szCs w:val="13"/>
                <w:b w:val="1"/>
                <w:bCs w:val="1"/>
                <w:color w:val="auto"/>
              </w:rPr>
              <w:t>Period from</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right w:val="single" w:sz="8" w:color="auto"/>
            </w:tcBorders>
            <w:gridSpan w:val="2"/>
          </w:tcPr>
          <w:p>
            <w:pPr>
              <w:jc w:val="center"/>
              <w:ind w:right="315"/>
              <w:spacing w:after="0"/>
              <w:rPr>
                <w:sz w:val="20"/>
                <w:szCs w:val="20"/>
                <w:color w:val="auto"/>
              </w:rPr>
            </w:pPr>
            <w:r>
              <w:rPr>
                <w:rFonts w:ascii="Arial" w:cs="Arial" w:eastAsia="Arial" w:hAnsi="Arial"/>
                <w:sz w:val="13"/>
                <w:szCs w:val="13"/>
                <w:b w:val="1"/>
                <w:bCs w:val="1"/>
                <w:color w:val="auto"/>
              </w:rPr>
              <w:t>January 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3"/>
                <w:szCs w:val="13"/>
                <w:color w:val="auto"/>
              </w:rPr>
            </w:pPr>
          </w:p>
        </w:tc>
        <w:tc>
          <w:tcPr>
            <w:tcW w:w="1240" w:type="dxa"/>
            <w:vAlign w:val="bottom"/>
            <w:gridSpan w:val="2"/>
          </w:tcPr>
          <w:p>
            <w:pPr>
              <w:jc w:val="center"/>
              <w:ind w:right="299"/>
              <w:spacing w:after="0"/>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right w:val="single" w:sz="8" w:color="auto"/>
            </w:tcBorders>
            <w:gridSpan w:val="2"/>
          </w:tcPr>
          <w:p>
            <w:pPr>
              <w:jc w:val="center"/>
              <w:ind w:right="315"/>
              <w:spacing w:after="0"/>
              <w:rPr>
                <w:sz w:val="20"/>
                <w:szCs w:val="20"/>
                <w:color w:val="auto"/>
              </w:rPr>
            </w:pPr>
            <w:r>
              <w:rPr>
                <w:rFonts w:ascii="Arial" w:cs="Arial" w:eastAsia="Arial" w:hAnsi="Arial"/>
                <w:sz w:val="13"/>
                <w:szCs w:val="13"/>
                <w:b w:val="1"/>
                <w:bCs w:val="1"/>
                <w:color w:val="auto"/>
              </w:rPr>
              <w:t>through March</w:t>
            </w:r>
          </w:p>
        </w:tc>
        <w:tc>
          <w:tcPr>
            <w:tcW w:w="160" w:type="dxa"/>
            <w:vAlign w:val="bottom"/>
          </w:tcPr>
          <w:p>
            <w:pPr>
              <w:spacing w:after="0"/>
              <w:rPr>
                <w:sz w:val="13"/>
                <w:szCs w:val="13"/>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through January</w:t>
            </w:r>
          </w:p>
        </w:tc>
        <w:tc>
          <w:tcPr>
            <w:tcW w:w="10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3"/>
                <w:szCs w:val="13"/>
                <w:color w:val="auto"/>
              </w:rPr>
            </w:pPr>
          </w:p>
        </w:tc>
        <w:tc>
          <w:tcPr>
            <w:tcW w:w="1240" w:type="dxa"/>
            <w:vAlign w:val="bottom"/>
            <w:gridSpan w:val="2"/>
          </w:tcPr>
          <w:p>
            <w:pPr>
              <w:jc w:val="center"/>
              <w:ind w:right="279"/>
              <w:spacing w:after="0"/>
              <w:rPr>
                <w:sz w:val="20"/>
                <w:szCs w:val="20"/>
                <w:color w:val="auto"/>
              </w:rPr>
            </w:pPr>
            <w:r>
              <w:rPr>
                <w:rFonts w:ascii="Arial" w:cs="Arial" w:eastAsia="Arial" w:hAnsi="Arial"/>
                <w:sz w:val="13"/>
                <w:szCs w:val="13"/>
                <w:b w:val="1"/>
                <w:bCs w:val="1"/>
                <w:color w:val="auto"/>
              </w:rPr>
              <w:t>Ended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ind w:right="410"/>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90"/>
              <w:spacing w:after="0"/>
              <w:rPr>
                <w:sz w:val="20"/>
                <w:szCs w:val="20"/>
                <w:color w:val="auto"/>
              </w:rPr>
            </w:pPr>
            <w:r>
              <w:rPr>
                <w:rFonts w:ascii="Arial" w:cs="Arial" w:eastAsia="Arial" w:hAnsi="Arial"/>
                <w:sz w:val="13"/>
                <w:szCs w:val="13"/>
                <w:b w:val="1"/>
                <w:bCs w:val="1"/>
                <w:color w:val="auto"/>
              </w:rPr>
              <w:t>14,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3"/>
                <w:szCs w:val="13"/>
                <w:color w:val="auto"/>
              </w:rPr>
            </w:pPr>
          </w:p>
        </w:tc>
        <w:tc>
          <w:tcPr>
            <w:tcW w:w="1240" w:type="dxa"/>
            <w:vAlign w:val="bottom"/>
            <w:gridSpan w:val="2"/>
          </w:tcPr>
          <w:p>
            <w:pPr>
              <w:jc w:val="center"/>
              <w:ind w:right="299"/>
              <w:spacing w:after="0"/>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ind w:right="350"/>
              <w:spacing w:after="0"/>
              <w:rPr>
                <w:sz w:val="20"/>
                <w:szCs w:val="20"/>
                <w:color w:val="auto"/>
              </w:rPr>
            </w:pPr>
            <w:r>
              <w:rPr>
                <w:rFonts w:ascii="Arial" w:cs="Arial" w:eastAsia="Arial" w:hAnsi="Arial"/>
                <w:sz w:val="13"/>
                <w:szCs w:val="13"/>
                <w:b w:val="1"/>
                <w:bCs w:val="1"/>
                <w:color w:val="auto"/>
              </w:rPr>
              <w:t>2025</w:t>
            </w: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30"/>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29"/>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0"/>
              <w:spacing w:after="0"/>
              <w:rPr>
                <w:sz w:val="20"/>
                <w:szCs w:val="20"/>
                <w:color w:val="auto"/>
              </w:rPr>
            </w:pPr>
            <w:r>
              <w:rPr>
                <w:rFonts w:ascii="Arial" w:cs="Arial" w:eastAsia="Arial" w:hAnsi="Arial"/>
                <w:sz w:val="13"/>
                <w:szCs w:val="13"/>
                <w:b w:val="1"/>
                <w:bCs w:val="1"/>
                <w:color w:val="auto"/>
                <w:w w:val="96"/>
              </w:rPr>
              <w:t>2024</w:t>
            </w:r>
          </w:p>
        </w:tc>
        <w:tc>
          <w:tcPr>
            <w:tcW w:w="2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37,157</w:t>
            </w:r>
          </w:p>
        </w:tc>
        <w:tc>
          <w:tcPr>
            <w:tcW w:w="220" w:type="dxa"/>
            <w:vAlign w:val="bottom"/>
            <w:tcBorders>
              <w:right w:val="single" w:sz="8" w:color="auto"/>
            </w:tcBorders>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44,340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51,077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(6,737)</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4,618</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9,471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6,548</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Total interest expense</w:t>
            </w: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11,166</w:t>
            </w:r>
          </w:p>
        </w:tc>
        <w:tc>
          <w:tcPr>
            <w:tcW w:w="2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2,195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13,361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14,340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Net interest income</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25,991</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30,979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36,737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11,100</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30,819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(12,927)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Net interest income (loss) after losses and recoveries</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14,891</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(1,804)</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Noninterest income:</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Warranties and GAP income (loss), net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4,079</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4,386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4"/>
                <w:szCs w:val="14"/>
                <w:color w:val="auto"/>
              </w:rPr>
              <w:t>(9,642)</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CarStory revenue</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2,392</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2,481</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2,594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2,784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Total noninterest income (loss)</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10,206</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(1,860)</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16,067</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(5,220)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5,347</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2,402</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2,859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(5,994)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Interest expense on corporate debt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1,391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Impairment charges</w:t>
            </w:r>
          </w:p>
        </w:tc>
        <w:tc>
          <w:tcPr>
            <w:tcW w:w="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2,752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2,370</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4,454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Total expenses</w:t>
            </w:r>
          </w:p>
        </w:tc>
        <w:tc>
          <w:tcPr>
            <w:tcW w:w="6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31,397</w:t>
            </w:r>
          </w:p>
        </w:tc>
        <w:tc>
          <w:tcPr>
            <w:tcW w:w="22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48,298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(11,720)</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1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Loss from continuing operations before reorganization items</w:t>
            </w:r>
          </w:p>
        </w:tc>
        <w:tc>
          <w:tcPr>
            <w:tcW w:w="60" w:type="dxa"/>
            <w:vAlign w:val="bottom"/>
            <w:shd w:val="clear" w:color="auto" w:fill="CFF0FC"/>
          </w:tcPr>
          <w:p>
            <w:pPr>
              <w:spacing w:after="0"/>
              <w:rPr>
                <w:sz w:val="13"/>
                <w:szCs w:val="13"/>
                <w:color w:val="auto"/>
              </w:rPr>
            </w:pPr>
          </w:p>
        </w:tc>
        <w:tc>
          <w:tcPr>
            <w:tcW w:w="104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and provision for income taxes</w:t>
            </w:r>
          </w:p>
        </w:tc>
        <w:tc>
          <w:tcPr>
            <w:tcW w:w="60" w:type="dxa"/>
            <w:vAlign w:val="bottom"/>
            <w:shd w:val="clear" w:color="auto" w:fill="CFF0FC"/>
          </w:tcPr>
          <w:p>
            <w:pPr>
              <w:spacing w:after="0"/>
              <w:rPr>
                <w:sz w:val="15"/>
                <w:szCs w:val="15"/>
                <w:color w:val="auto"/>
              </w:rPr>
            </w:pPr>
          </w:p>
        </w:tc>
        <w:tc>
          <w:tcPr>
            <w:tcW w:w="1260" w:type="dxa"/>
            <w:vAlign w:val="bottom"/>
            <w:tcBorders>
              <w:right w:val="single" w:sz="8" w:color="auto"/>
            </w:tcBorders>
            <w:gridSpan w:val="2"/>
            <w:shd w:val="clear" w:color="auto" w:fill="CFF0FC"/>
          </w:tcPr>
          <w:p>
            <w:pPr>
              <w:jc w:val="right"/>
              <w:ind w:right="195"/>
              <w:spacing w:after="0"/>
              <w:rPr>
                <w:sz w:val="20"/>
                <w:szCs w:val="20"/>
                <w:color w:val="auto"/>
              </w:rPr>
            </w:pPr>
            <w:r>
              <w:rPr>
                <w:rFonts w:ascii="Arial" w:cs="Arial" w:eastAsia="Arial" w:hAnsi="Arial"/>
                <w:sz w:val="14"/>
                <w:szCs w:val="14"/>
                <w:color w:val="auto"/>
              </w:rPr>
              <w:t>(6,300)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(5,941)</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(12,241)</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(44,240)</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Reorganization items, net</w:t>
            </w:r>
          </w:p>
        </w:tc>
        <w:tc>
          <w:tcPr>
            <w:tcW w:w="6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235"/>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51,036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51,036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51,036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(Loss) income from continuing operations before provision for</w:t>
            </w:r>
          </w:p>
        </w:tc>
        <w:tc>
          <w:tcPr>
            <w:tcW w:w="60" w:type="dxa"/>
            <w:vAlign w:val="bottom"/>
            <w:shd w:val="clear" w:color="auto" w:fill="CFF0FC"/>
          </w:tcPr>
          <w:p>
            <w:pPr>
              <w:spacing w:after="0"/>
              <w:rPr>
                <w:sz w:val="13"/>
                <w:szCs w:val="13"/>
                <w:color w:val="auto"/>
              </w:rPr>
            </w:pPr>
          </w:p>
        </w:tc>
        <w:tc>
          <w:tcPr>
            <w:tcW w:w="104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4"/>
                <w:szCs w:val="14"/>
                <w:color w:val="auto"/>
              </w:rPr>
              <w:t>income taxes</w:t>
            </w:r>
          </w:p>
        </w:tc>
        <w:tc>
          <w:tcPr>
            <w:tcW w:w="60" w:type="dxa"/>
            <w:vAlign w:val="bottom"/>
            <w:shd w:val="clear" w:color="auto" w:fill="CFF0FC"/>
          </w:tcPr>
          <w:p>
            <w:pPr>
              <w:spacing w:after="0"/>
              <w:rPr>
                <w:sz w:val="15"/>
                <w:szCs w:val="15"/>
                <w:color w:val="auto"/>
              </w:rPr>
            </w:pPr>
          </w:p>
        </w:tc>
        <w:tc>
          <w:tcPr>
            <w:tcW w:w="1260" w:type="dxa"/>
            <w:vAlign w:val="bottom"/>
            <w:tcBorders>
              <w:right w:val="single" w:sz="8" w:color="auto"/>
            </w:tcBorders>
            <w:gridSpan w:val="2"/>
            <w:shd w:val="clear" w:color="auto" w:fill="CFF0FC"/>
          </w:tcPr>
          <w:p>
            <w:pPr>
              <w:jc w:val="right"/>
              <w:ind w:right="195"/>
              <w:spacing w:after="0"/>
              <w:rPr>
                <w:sz w:val="20"/>
                <w:szCs w:val="20"/>
                <w:color w:val="auto"/>
              </w:rPr>
            </w:pPr>
            <w:r>
              <w:rPr>
                <w:rFonts w:ascii="Arial" w:cs="Arial" w:eastAsia="Arial" w:hAnsi="Arial"/>
                <w:sz w:val="14"/>
                <w:szCs w:val="14"/>
                <w:color w:val="auto"/>
              </w:rPr>
              <w:t>(6,300)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38,795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(44,240)</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2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shd w:val="clear" w:color="auto" w:fill="CFF0FC"/>
          </w:tcPr>
          <w:p>
            <w:pPr>
              <w:spacing w:after="0" w:line="148" w:lineRule="exact"/>
              <w:rPr>
                <w:sz w:val="20"/>
                <w:szCs w:val="20"/>
                <w:color w:val="auto"/>
              </w:rPr>
            </w:pPr>
            <w:r>
              <w:rPr>
                <w:rFonts w:ascii="Arial" w:cs="Arial" w:eastAsia="Arial" w:hAnsi="Arial"/>
                <w:sz w:val="14"/>
                <w:szCs w:val="14"/>
                <w:color w:val="auto"/>
              </w:rPr>
              <w:t>Net (loss) income from continuing operations</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auto"/>
            </w:tcBorders>
            <w:gridSpan w:val="2"/>
            <w:shd w:val="clear" w:color="auto" w:fill="CFF0FC"/>
          </w:tcPr>
          <w:p>
            <w:pPr>
              <w:jc w:val="right"/>
              <w:ind w:right="195"/>
              <w:spacing w:after="0" w:line="148" w:lineRule="exact"/>
              <w:rPr>
                <w:sz w:val="20"/>
                <w:szCs w:val="20"/>
                <w:color w:val="auto"/>
              </w:rPr>
            </w:pPr>
            <w:r>
              <w:rPr>
                <w:rFonts w:ascii="Arial" w:cs="Arial" w:eastAsia="Arial" w:hAnsi="Arial"/>
                <w:sz w:val="11"/>
                <w:szCs w:val="11"/>
                <w:color w:val="auto"/>
              </w:rPr>
              <w:t>(6,450</w:t>
            </w:r>
            <w:r>
              <w:rPr>
                <w:rFonts w:ascii="Arial" w:cs="Arial" w:eastAsia="Arial" w:hAnsi="Arial"/>
                <w:sz w:val="17"/>
                <w:szCs w:val="17"/>
                <w:color w:val="auto"/>
                <w:vertAlign w:val="subscript"/>
              </w:rPr>
              <w:t>)</w:t>
            </w:r>
          </w:p>
        </w:tc>
        <w:tc>
          <w:tcPr>
            <w:tcW w:w="28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rPr>
              <w:t>45,090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rPr>
              <w:t>38,640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59"/>
              <w:spacing w:after="0" w:line="148" w:lineRule="exact"/>
              <w:rPr>
                <w:sz w:val="20"/>
                <w:szCs w:val="20"/>
                <w:color w:val="auto"/>
              </w:rPr>
            </w:pPr>
            <w:r>
              <w:rPr>
                <w:rFonts w:ascii="Arial" w:cs="Arial" w:eastAsia="Arial" w:hAnsi="Arial"/>
                <w:sz w:val="11"/>
                <w:szCs w:val="11"/>
                <w:color w:val="auto"/>
              </w:rPr>
              <w:t>(44,676</w:t>
            </w:r>
            <w:r>
              <w:rPr>
                <w:rFonts w:ascii="Arial" w:cs="Arial" w:eastAsia="Arial" w:hAnsi="Arial"/>
                <w:sz w:val="17"/>
                <w:szCs w:val="17"/>
                <w:color w:val="auto"/>
                <w:vertAlign w:val="subscript"/>
              </w:rPr>
              <w:t>)</w:t>
            </w:r>
          </w:p>
        </w:tc>
        <w:tc>
          <w:tcPr>
            <w:tcW w:w="180" w:type="dxa"/>
            <w:vAlign w:val="bottom"/>
            <w:shd w:val="clear" w:color="auto" w:fill="CFF0FC"/>
          </w:tcPr>
          <w:p>
            <w:pPr>
              <w:jc w:val="right"/>
              <w:ind w:right="3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4"/>
                <w:szCs w:val="14"/>
                <w:color w:val="auto"/>
              </w:rPr>
              <w:t>83,316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60" w:type="dxa"/>
            <w:vAlign w:val="bottom"/>
          </w:tcPr>
          <w:p>
            <w:pPr>
              <w:spacing w:after="0" w:line="144" w:lineRule="exact"/>
              <w:rPr>
                <w:sz w:val="20"/>
                <w:szCs w:val="20"/>
                <w:color w:val="auto"/>
              </w:rPr>
            </w:pPr>
            <w:r>
              <w:rPr>
                <w:rFonts w:ascii="Arial" w:cs="Arial" w:eastAsia="Arial" w:hAnsi="Arial"/>
                <w:sz w:val="14"/>
                <w:szCs w:val="14"/>
                <w:color w:val="auto"/>
              </w:rPr>
              <w:t>Net income (loss) from discontinued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4" w:lineRule="exact"/>
              <w:rPr>
                <w:sz w:val="20"/>
                <w:szCs w:val="20"/>
                <w:color w:val="auto"/>
              </w:rPr>
            </w:pPr>
            <w:r>
              <w:rPr>
                <w:rFonts w:ascii="Arial" w:cs="Arial" w:eastAsia="Arial" w:hAnsi="Arial"/>
                <w:sz w:val="14"/>
                <w:szCs w:val="14"/>
                <w:color w:val="auto"/>
              </w:rPr>
              <w:t>99</w:t>
            </w:r>
          </w:p>
        </w:tc>
        <w:tc>
          <w:tcPr>
            <w:tcW w:w="220" w:type="dxa"/>
            <w:vAlign w:val="bottom"/>
            <w:tcBorders>
              <w:right w:val="single" w:sz="8" w:color="auto"/>
            </w:tcBorders>
          </w:tcPr>
          <w:p>
            <w:pPr>
              <w:spacing w:after="0"/>
              <w:rPr>
                <w:sz w:val="12"/>
                <w:szCs w:val="12"/>
                <w:color w:val="auto"/>
              </w:rPr>
            </w:pPr>
          </w:p>
        </w:tc>
        <w:tc>
          <w:tcPr>
            <w:tcW w:w="2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44" w:lineRule="exact"/>
              <w:rPr>
                <w:sz w:val="20"/>
                <w:szCs w:val="20"/>
                <w:color w:val="auto"/>
              </w:rPr>
            </w:pPr>
            <w:r>
              <w:rPr>
                <w:rFonts w:ascii="Arial" w:cs="Arial" w:eastAsia="Arial" w:hAnsi="Arial"/>
                <w:sz w:val="10"/>
                <w:szCs w:val="10"/>
                <w:color w:val="auto"/>
              </w:rPr>
              <w:t>(4</w:t>
            </w:r>
            <w:r>
              <w:rPr>
                <w:rFonts w:ascii="Arial" w:cs="Arial" w:eastAsia="Arial" w:hAnsi="Arial"/>
                <w:sz w:val="16"/>
                <w:szCs w:val="16"/>
                <w:color w:val="auto"/>
                <w:vertAlign w:val="subscript"/>
              </w:rPr>
              <w:t>)</w:t>
            </w:r>
          </w:p>
        </w:tc>
        <w:tc>
          <w:tcPr>
            <w:tcW w:w="100" w:type="dxa"/>
            <w:vAlign w:val="bottom"/>
          </w:tcPr>
          <w:p>
            <w:pPr>
              <w:jc w:val="right"/>
              <w:spacing w:after="0" w:line="144"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40"/>
              <w:spacing w:after="0" w:line="144" w:lineRule="exact"/>
              <w:rPr>
                <w:sz w:val="20"/>
                <w:szCs w:val="20"/>
                <w:color w:val="auto"/>
              </w:rPr>
            </w:pPr>
            <w:r>
              <w:rPr>
                <w:rFonts w:ascii="Arial" w:cs="Arial" w:eastAsia="Arial" w:hAnsi="Arial"/>
                <w:sz w:val="14"/>
                <w:szCs w:val="14"/>
                <w:color w:val="auto"/>
              </w:rPr>
              <w:t>95</w:t>
            </w:r>
          </w:p>
        </w:tc>
        <w:tc>
          <w:tcPr>
            <w:tcW w:w="100" w:type="dxa"/>
            <w:vAlign w:val="bottom"/>
          </w:tcPr>
          <w:p>
            <w:pPr>
              <w:jc w:val="right"/>
              <w:spacing w:after="0" w:line="144"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59"/>
              <w:spacing w:after="0" w:line="144" w:lineRule="exact"/>
              <w:rPr>
                <w:sz w:val="20"/>
                <w:szCs w:val="20"/>
                <w:color w:val="auto"/>
              </w:rPr>
            </w:pPr>
            <w:r>
              <w:rPr>
                <w:rFonts w:ascii="Arial" w:cs="Arial" w:eastAsia="Arial" w:hAnsi="Arial"/>
                <w:sz w:val="10"/>
                <w:szCs w:val="10"/>
                <w:color w:val="auto"/>
              </w:rPr>
              <w:t>(22,941</w:t>
            </w:r>
            <w:r>
              <w:rPr>
                <w:rFonts w:ascii="Arial" w:cs="Arial" w:eastAsia="Arial" w:hAnsi="Arial"/>
                <w:sz w:val="16"/>
                <w:szCs w:val="16"/>
                <w:color w:val="auto"/>
                <w:vertAlign w:val="subscript"/>
              </w:rPr>
              <w:t>)</w:t>
            </w:r>
          </w:p>
        </w:tc>
        <w:tc>
          <w:tcPr>
            <w:tcW w:w="180" w:type="dxa"/>
            <w:vAlign w:val="bottom"/>
          </w:tcPr>
          <w:p>
            <w:pPr>
              <w:jc w:val="right"/>
              <w:ind w:right="30"/>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4" w:lineRule="exact"/>
              <w:rPr>
                <w:sz w:val="20"/>
                <w:szCs w:val="20"/>
                <w:color w:val="auto"/>
              </w:rPr>
            </w:pPr>
            <w:r>
              <w:rPr>
                <w:rFonts w:ascii="Arial" w:cs="Arial" w:eastAsia="Arial" w:hAnsi="Arial"/>
                <w:sz w:val="14"/>
                <w:szCs w:val="14"/>
                <w:color w:val="auto"/>
              </w:rPr>
              <w:t>23,036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160" w:type="dxa"/>
            <w:vAlign w:val="bottom"/>
            <w:tcBorders>
              <w:bottom w:val="single" w:sz="8" w:color="CFF0FC"/>
            </w:tcBorders>
            <w:shd w:val="clear" w:color="auto" w:fill="CFF0FC"/>
          </w:tcPr>
          <w:p>
            <w:pPr>
              <w:spacing w:after="0" w:line="144" w:lineRule="exact"/>
              <w:rPr>
                <w:sz w:val="20"/>
                <w:szCs w:val="20"/>
                <w:color w:val="auto"/>
              </w:rPr>
            </w:pPr>
            <w:r>
              <w:rPr>
                <w:rFonts w:ascii="Arial" w:cs="Arial" w:eastAsia="Arial" w:hAnsi="Arial"/>
                <w:sz w:val="14"/>
                <w:szCs w:val="14"/>
                <w:color w:val="auto"/>
              </w:rPr>
              <w:t>Net (loss) income</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FF0FC"/>
            </w:tcBorders>
            <w:shd w:val="clear" w:color="auto" w:fill="CFF0FC"/>
          </w:tcPr>
          <w:p>
            <w:pPr>
              <w:jc w:val="right"/>
              <w:spacing w:after="0" w:line="144" w:lineRule="exact"/>
              <w:rPr>
                <w:sz w:val="20"/>
                <w:szCs w:val="20"/>
                <w:color w:val="auto"/>
              </w:rPr>
            </w:pPr>
            <w:r>
              <w:rPr>
                <w:rFonts w:ascii="Arial" w:cs="Arial" w:eastAsia="Arial" w:hAnsi="Arial"/>
                <w:sz w:val="14"/>
                <w:szCs w:val="14"/>
                <w:color w:val="auto"/>
              </w:rPr>
              <w:t>(6,351</w:t>
            </w:r>
          </w:p>
        </w:tc>
        <w:tc>
          <w:tcPr>
            <w:tcW w:w="220" w:type="dxa"/>
            <w:vAlign w:val="bottom"/>
            <w:tcBorders>
              <w:bottom w:val="single" w:sz="8" w:color="CFF0FC"/>
              <w:right w:val="single" w:sz="8" w:color="auto"/>
            </w:tcBorders>
            <w:shd w:val="clear" w:color="auto" w:fill="CFF0FC"/>
          </w:tcPr>
          <w:p>
            <w:pPr>
              <w:jc w:val="right"/>
              <w:ind w:right="195"/>
              <w:spacing w:after="0"/>
              <w:rPr>
                <w:sz w:val="20"/>
                <w:szCs w:val="20"/>
                <w:color w:val="auto"/>
              </w:rPr>
            </w:pPr>
            <w:r>
              <w:rPr>
                <w:rFonts w:ascii="Arial" w:cs="Arial" w:eastAsia="Arial" w:hAnsi="Arial"/>
                <w:sz w:val="1"/>
                <w:szCs w:val="1"/>
                <w:color w:val="auto"/>
                <w:w w:val="4294967281"/>
              </w:rPr>
              <w:t>)</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rPr>
              <w:t>45,086</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rPr>
              <w:t>38,735</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rPr>
              <w:t>(67,617</w:t>
            </w:r>
          </w:p>
        </w:tc>
        <w:tc>
          <w:tcPr>
            <w:tcW w:w="2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shd w:val="clear" w:color="auto" w:fill="CFF0FC"/>
          </w:tcPr>
          <w:p>
            <w:pPr>
              <w:jc w:val="right"/>
              <w:ind w:right="30"/>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4"/>
                <w:szCs w:val="14"/>
                <w:color w:val="auto"/>
              </w:rPr>
              <w:t>106,352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Segments</w:t>
      </w:r>
    </w:p>
    <w:p>
      <w:pPr>
        <w:spacing w:after="0" w:line="174" w:lineRule="exact"/>
        <w:rPr>
          <w:sz w:val="20"/>
          <w:szCs w:val="20"/>
          <w:color w:val="auto"/>
        </w:rPr>
      </w:pPr>
    </w:p>
    <w:p>
      <w:pPr>
        <w:ind w:left="720" w:right="300"/>
        <w:spacing w:after="0" w:line="249"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b w:val="1"/>
          <w:bCs w:val="1"/>
          <w:color w:val="auto"/>
        </w:rPr>
        <w:t>UACC</w:t>
      </w:r>
      <w:r>
        <w:rPr>
          <w:rFonts w:ascii="Arial" w:cs="Arial" w:eastAsia="Arial" w:hAnsi="Arial"/>
          <w:sz w:val="16"/>
          <w:szCs w:val="16"/>
          <w:color w:val="auto"/>
        </w:rPr>
        <w:t>: The UACC reportable segment represents UACC’s operations with its network of third-party dealership customers, including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purchases and servicing of vehicle retail installment sales contracts. The segment also includes the runoff portfolio of retail installment sale contracts originated for Vroom or purchased from Vroom prior to the Ecommerce Wind-Down.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2" w:name="page63"/>
    <w:bookmarkEnd w:id="6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right="6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b w:val="1"/>
          <w:bCs w:val="1"/>
          <w:color w:val="auto"/>
        </w:rPr>
        <w:t>CarStory</w:t>
      </w:r>
      <w:r>
        <w:rPr>
          <w:rFonts w:ascii="Arial" w:cs="Arial" w:eastAsia="Arial" w:hAnsi="Arial"/>
          <w:sz w:val="16"/>
          <w:szCs w:val="16"/>
          <w:color w:val="auto"/>
        </w:rPr>
        <w:t>: The CarStory reportable segment represents sales of AI-powered analytics and digital services to automotive dealers, automotive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financial services companies and others in the automotive industry.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Combined Three Months Ended March 31, 2025 and Three Months Ended March 31, 2024</w:t>
      </w:r>
    </w:p>
    <w:p>
      <w:pPr>
        <w:spacing w:after="0" w:line="178"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The Successor Period and the Predecessor Periods are distinct reporting periods as a result of our emergence from the Prepackaged Chapter 11 Case on January 14, 2025. References in these results of operations to the change and the percentage change combine the period from January 1, 2025, to January 14, 2025 (Predecessor) with the period from January 15, 2025 to March 31, 2025 (Successor) Period, which we refer to as the three months ended March 31, 2025, in order to provide some comparability of such information to the three months ended March 31, 2024. See "Non-GAAP Financial Measures" above.</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5" w:right="740" w:bottom="1440" w:gutter="0" w:footer="0" w:header="0"/>
        </w:sectPr>
      </w:pPr>
    </w:p>
    <w:bookmarkStart w:id="63" w:name="page64"/>
    <w:bookmarkEnd w:id="6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UACC</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49"/>
              <w:spacing w:after="0"/>
              <w:rPr>
                <w:sz w:val="20"/>
                <w:szCs w:val="20"/>
                <w:color w:val="auto"/>
              </w:rPr>
            </w:pPr>
            <w:r>
              <w:rPr>
                <w:rFonts w:ascii="Arial" w:cs="Arial" w:eastAsia="Arial" w:hAnsi="Arial"/>
                <w:sz w:val="13"/>
                <w:szCs w:val="13"/>
                <w:b w:val="1"/>
                <w:bCs w:val="1"/>
                <w:color w:val="auto"/>
              </w:rPr>
              <w:t>Non-GAAP</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Borders>
              <w:right w:val="single" w:sz="8" w:color="auto"/>
            </w:tcBorders>
          </w:tcPr>
          <w:p>
            <w:pPr>
              <w:jc w:val="center"/>
              <w:ind w:right="249"/>
              <w:spacing w:after="0"/>
              <w:rPr>
                <w:sz w:val="20"/>
                <w:szCs w:val="20"/>
                <w:color w:val="auto"/>
              </w:rPr>
            </w:pPr>
            <w:r>
              <w:rPr>
                <w:rFonts w:ascii="Arial" w:cs="Arial" w:eastAsia="Arial" w:hAnsi="Arial"/>
                <w:sz w:val="13"/>
                <w:szCs w:val="13"/>
                <w:b w:val="1"/>
                <w:bCs w:val="1"/>
                <w:color w:val="auto"/>
              </w:rPr>
              <w:t>Successor</w:t>
            </w:r>
          </w:p>
        </w:tc>
        <w:tc>
          <w:tcPr>
            <w:tcW w:w="180" w:type="dxa"/>
            <w:vAlign w:val="bottom"/>
          </w:tcPr>
          <w:p>
            <w:pPr>
              <w:spacing w:after="0"/>
              <w:rPr>
                <w:sz w:val="13"/>
                <w:szCs w:val="13"/>
                <w:color w:val="auto"/>
              </w:rPr>
            </w:pPr>
          </w:p>
        </w:tc>
        <w:tc>
          <w:tcPr>
            <w:tcW w:w="1000" w:type="dxa"/>
            <w:vAlign w:val="bottom"/>
          </w:tcPr>
          <w:p>
            <w:pPr>
              <w:jc w:val="center"/>
              <w:ind w:right="129"/>
              <w:spacing w:after="0"/>
              <w:rPr>
                <w:sz w:val="20"/>
                <w:szCs w:val="20"/>
                <w:color w:val="auto"/>
              </w:rPr>
            </w:pPr>
            <w:r>
              <w:rPr>
                <w:rFonts w:ascii="Arial" w:cs="Arial" w:eastAsia="Arial" w:hAnsi="Arial"/>
                <w:sz w:val="13"/>
                <w:szCs w:val="13"/>
                <w:b w:val="1"/>
                <w:bCs w:val="1"/>
                <w:color w:val="auto"/>
              </w:rPr>
              <w:t>Predecessor</w:t>
            </w:r>
          </w:p>
        </w:tc>
        <w:tc>
          <w:tcPr>
            <w:tcW w:w="200" w:type="dxa"/>
            <w:vAlign w:val="bottom"/>
          </w:tcPr>
          <w:p>
            <w:pPr>
              <w:spacing w:after="0"/>
              <w:rPr>
                <w:sz w:val="13"/>
                <w:szCs w:val="13"/>
                <w:color w:val="auto"/>
              </w:rPr>
            </w:pPr>
          </w:p>
        </w:tc>
        <w:tc>
          <w:tcPr>
            <w:tcW w:w="940" w:type="dxa"/>
            <w:vAlign w:val="bottom"/>
          </w:tcPr>
          <w:p>
            <w:pPr>
              <w:jc w:val="center"/>
              <w:ind w:right="149"/>
              <w:spacing w:after="0"/>
              <w:rPr>
                <w:sz w:val="20"/>
                <w:szCs w:val="20"/>
                <w:color w:val="auto"/>
              </w:rPr>
            </w:pPr>
            <w:r>
              <w:rPr>
                <w:rFonts w:ascii="Arial" w:cs="Arial" w:eastAsia="Arial" w:hAnsi="Arial"/>
                <w:sz w:val="13"/>
                <w:szCs w:val="13"/>
                <w:b w:val="1"/>
                <w:bCs w:val="1"/>
                <w:color w:val="auto"/>
              </w:rPr>
              <w:t>Combined</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rPr>
              <w:t>Predecessor</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Non-GAAP</w:t>
            </w:r>
          </w:p>
        </w:tc>
        <w:tc>
          <w:tcPr>
            <w:tcW w:w="1040" w:type="dxa"/>
            <w:vAlign w:val="bottom"/>
          </w:tcPr>
          <w:p>
            <w:pPr>
              <w:jc w:val="right"/>
              <w:ind w:right="188"/>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Borders>
              <w:right w:val="single" w:sz="8" w:color="auto"/>
            </w:tcBorders>
          </w:tcPr>
          <w:p>
            <w:pPr>
              <w:jc w:val="center"/>
              <w:ind w:right="249"/>
              <w:spacing w:after="0"/>
              <w:rPr>
                <w:sz w:val="20"/>
                <w:szCs w:val="20"/>
                <w:color w:val="auto"/>
              </w:rPr>
            </w:pPr>
            <w:r>
              <w:rPr>
                <w:rFonts w:ascii="Arial" w:cs="Arial" w:eastAsia="Arial" w:hAnsi="Arial"/>
                <w:sz w:val="13"/>
                <w:szCs w:val="13"/>
                <w:b w:val="1"/>
                <w:bCs w:val="1"/>
                <w:color w:val="auto"/>
              </w:rPr>
              <w:t>Period from</w:t>
            </w:r>
          </w:p>
        </w:tc>
        <w:tc>
          <w:tcPr>
            <w:tcW w:w="180" w:type="dxa"/>
            <w:vAlign w:val="bottom"/>
          </w:tcPr>
          <w:p>
            <w:pPr>
              <w:spacing w:after="0"/>
              <w:rPr>
                <w:sz w:val="13"/>
                <w:szCs w:val="13"/>
                <w:color w:val="auto"/>
              </w:rPr>
            </w:pPr>
          </w:p>
        </w:tc>
        <w:tc>
          <w:tcPr>
            <w:tcW w:w="1000" w:type="dxa"/>
            <w:vAlign w:val="bottom"/>
          </w:tcPr>
          <w:p>
            <w:pPr>
              <w:jc w:val="center"/>
              <w:ind w:right="149"/>
              <w:spacing w:after="0"/>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Borders>
              <w:right w:val="single" w:sz="8" w:color="auto"/>
            </w:tcBorders>
          </w:tcPr>
          <w:p>
            <w:pPr>
              <w:jc w:val="center"/>
              <w:ind w:right="249"/>
              <w:spacing w:after="0"/>
              <w:rPr>
                <w:sz w:val="20"/>
                <w:szCs w:val="20"/>
                <w:color w:val="auto"/>
              </w:rPr>
            </w:pPr>
            <w:r>
              <w:rPr>
                <w:rFonts w:ascii="Arial" w:cs="Arial" w:eastAsia="Arial" w:hAnsi="Arial"/>
                <w:sz w:val="13"/>
                <w:szCs w:val="13"/>
                <w:b w:val="1"/>
                <w:bCs w:val="1"/>
                <w:color w:val="auto"/>
              </w:rPr>
              <w:t>January 15</w:t>
            </w:r>
          </w:p>
        </w:tc>
        <w:tc>
          <w:tcPr>
            <w:tcW w:w="180" w:type="dxa"/>
            <w:vAlign w:val="bottom"/>
          </w:tcPr>
          <w:p>
            <w:pPr>
              <w:spacing w:after="0"/>
              <w:rPr>
                <w:sz w:val="13"/>
                <w:szCs w:val="13"/>
                <w:color w:val="auto"/>
              </w:rPr>
            </w:pPr>
          </w:p>
        </w:tc>
        <w:tc>
          <w:tcPr>
            <w:tcW w:w="1000" w:type="dxa"/>
            <w:vAlign w:val="bottom"/>
          </w:tcPr>
          <w:p>
            <w:pPr>
              <w:jc w:val="center"/>
              <w:ind w:right="129"/>
              <w:spacing w:after="0"/>
              <w:rPr>
                <w:sz w:val="20"/>
                <w:szCs w:val="20"/>
                <w:color w:val="auto"/>
              </w:rPr>
            </w:pPr>
            <w:r>
              <w:rPr>
                <w:rFonts w:ascii="Arial" w:cs="Arial" w:eastAsia="Arial" w:hAnsi="Arial"/>
                <w:sz w:val="13"/>
                <w:szCs w:val="13"/>
                <w:b w:val="1"/>
                <w:bCs w:val="1"/>
                <w:color w:val="auto"/>
                <w:w w:val="98"/>
              </w:rPr>
              <w:t>January 1</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rPr>
              <w:t>Three Months</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2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through March</w:t>
            </w:r>
          </w:p>
        </w:tc>
        <w:tc>
          <w:tcPr>
            <w:tcW w:w="180" w:type="dxa"/>
            <w:vAlign w:val="bottom"/>
          </w:tcPr>
          <w:p>
            <w:pPr>
              <w:spacing w:after="0"/>
              <w:rPr>
                <w:sz w:val="13"/>
                <w:szCs w:val="13"/>
                <w:color w:val="auto"/>
              </w:rPr>
            </w:pPr>
          </w:p>
        </w:tc>
        <w:tc>
          <w:tcPr>
            <w:tcW w:w="1000" w:type="dxa"/>
            <w:vAlign w:val="bottom"/>
          </w:tcPr>
          <w:p>
            <w:pPr>
              <w:jc w:val="center"/>
              <w:ind w:right="149"/>
              <w:spacing w:after="0"/>
              <w:rPr>
                <w:sz w:val="20"/>
                <w:szCs w:val="20"/>
                <w:color w:val="auto"/>
              </w:rPr>
            </w:pPr>
            <w:r>
              <w:rPr>
                <w:rFonts w:ascii="Arial" w:cs="Arial" w:eastAsia="Arial" w:hAnsi="Arial"/>
                <w:sz w:val="13"/>
                <w:szCs w:val="13"/>
                <w:b w:val="1"/>
                <w:bCs w:val="1"/>
                <w:color w:val="auto"/>
              </w:rPr>
              <w:t>through</w:t>
            </w:r>
          </w:p>
        </w:tc>
        <w:tc>
          <w:tcPr>
            <w:tcW w:w="200" w:type="dxa"/>
            <w:vAlign w:val="bottom"/>
          </w:tcPr>
          <w:p>
            <w:pPr>
              <w:spacing w:after="0"/>
              <w:rPr>
                <w:sz w:val="13"/>
                <w:szCs w:val="13"/>
                <w:color w:val="auto"/>
              </w:rPr>
            </w:pPr>
          </w:p>
        </w:tc>
        <w:tc>
          <w:tcPr>
            <w:tcW w:w="940" w:type="dxa"/>
            <w:vAlign w:val="bottom"/>
          </w:tcPr>
          <w:p>
            <w:pPr>
              <w:jc w:val="center"/>
              <w:ind w:right="149"/>
              <w:spacing w:after="0"/>
              <w:rPr>
                <w:sz w:val="20"/>
                <w:szCs w:val="20"/>
                <w:color w:val="auto"/>
              </w:rPr>
            </w:pPr>
            <w:r>
              <w:rPr>
                <w:rFonts w:ascii="Arial" w:cs="Arial" w:eastAsia="Arial" w:hAnsi="Arial"/>
                <w:sz w:val="13"/>
                <w:szCs w:val="13"/>
                <w:b w:val="1"/>
                <w:bCs w:val="1"/>
                <w:color w:val="auto"/>
              </w:rPr>
              <w:t>Ended</w:t>
            </w:r>
          </w:p>
        </w:tc>
        <w:tc>
          <w:tcPr>
            <w:tcW w:w="200" w:type="dxa"/>
            <w:vAlign w:val="bottom"/>
          </w:tcPr>
          <w:p>
            <w:pPr>
              <w:spacing w:after="0"/>
              <w:rPr>
                <w:sz w:val="13"/>
                <w:szCs w:val="13"/>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rPr>
              <w:t>Ended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right w:val="single" w:sz="8" w:color="auto"/>
            </w:tcBorders>
          </w:tcPr>
          <w:p>
            <w:pPr>
              <w:jc w:val="right"/>
              <w:ind w:right="529"/>
              <w:spacing w:after="0"/>
              <w:rPr>
                <w:sz w:val="20"/>
                <w:szCs w:val="20"/>
                <w:color w:val="auto"/>
              </w:rPr>
            </w:pPr>
            <w:r>
              <w:rPr>
                <w:rFonts w:ascii="Arial" w:cs="Arial" w:eastAsia="Arial" w:hAnsi="Arial"/>
                <w:sz w:val="13"/>
                <w:szCs w:val="13"/>
                <w:b w:val="1"/>
                <w:bCs w:val="1"/>
                <w:color w:val="auto"/>
              </w:rPr>
              <w:t>31,</w:t>
            </w:r>
          </w:p>
        </w:tc>
        <w:tc>
          <w:tcPr>
            <w:tcW w:w="180" w:type="dxa"/>
            <w:vAlign w:val="bottom"/>
          </w:tcPr>
          <w:p>
            <w:pPr>
              <w:spacing w:after="0"/>
              <w:rPr>
                <w:sz w:val="15"/>
                <w:szCs w:val="15"/>
                <w:color w:val="auto"/>
              </w:rPr>
            </w:pPr>
          </w:p>
        </w:tc>
        <w:tc>
          <w:tcPr>
            <w:tcW w:w="1000" w:type="dxa"/>
            <w:vAlign w:val="bottom"/>
          </w:tcPr>
          <w:p>
            <w:pPr>
              <w:jc w:val="center"/>
              <w:ind w:right="129"/>
              <w:spacing w:after="0"/>
              <w:rPr>
                <w:sz w:val="20"/>
                <w:szCs w:val="20"/>
                <w:color w:val="auto"/>
              </w:rPr>
            </w:pPr>
            <w:r>
              <w:rPr>
                <w:rFonts w:ascii="Arial" w:cs="Arial" w:eastAsia="Arial" w:hAnsi="Arial"/>
                <w:sz w:val="13"/>
                <w:szCs w:val="13"/>
                <w:b w:val="1"/>
                <w:bCs w:val="1"/>
                <w:color w:val="auto"/>
              </w:rPr>
              <w:t>January 14,</w:t>
            </w:r>
          </w:p>
        </w:tc>
        <w:tc>
          <w:tcPr>
            <w:tcW w:w="200" w:type="dxa"/>
            <w:vAlign w:val="bottom"/>
          </w:tcPr>
          <w:p>
            <w:pPr>
              <w:spacing w:after="0"/>
              <w:rPr>
                <w:sz w:val="15"/>
                <w:szCs w:val="15"/>
                <w:color w:val="auto"/>
              </w:rPr>
            </w:pPr>
          </w:p>
        </w:tc>
        <w:tc>
          <w:tcPr>
            <w:tcW w:w="940" w:type="dxa"/>
            <w:vAlign w:val="bottom"/>
          </w:tcPr>
          <w:p>
            <w:pPr>
              <w:jc w:val="center"/>
              <w:ind w:right="169"/>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5"/>
                <w:szCs w:val="15"/>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99"/>
              </w:rPr>
              <w:t>March 31,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right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5"/>
                <w:szCs w:val="15"/>
                <w:color w:val="auto"/>
              </w:rPr>
            </w:pPr>
          </w:p>
        </w:tc>
        <w:tc>
          <w:tcPr>
            <w:tcW w:w="1000" w:type="dxa"/>
            <w:vAlign w:val="bottom"/>
          </w:tcPr>
          <w:p>
            <w:pPr>
              <w:jc w:val="center"/>
              <w:ind w:right="129"/>
              <w:spacing w:after="0"/>
              <w:rPr>
                <w:sz w:val="20"/>
                <w:szCs w:val="20"/>
                <w:color w:val="auto"/>
              </w:rPr>
            </w:pPr>
            <w:r>
              <w:rPr>
                <w:rFonts w:ascii="Arial" w:cs="Arial" w:eastAsia="Arial" w:hAnsi="Arial"/>
                <w:sz w:val="13"/>
                <w:szCs w:val="13"/>
                <w:b w:val="1"/>
                <w:bCs w:val="1"/>
                <w:color w:val="auto"/>
                <w:w w:val="96"/>
              </w:rPr>
              <w:t>2025</w:t>
            </w:r>
          </w:p>
        </w:tc>
        <w:tc>
          <w:tcPr>
            <w:tcW w:w="200" w:type="dxa"/>
            <w:vAlign w:val="bottom"/>
          </w:tcPr>
          <w:p>
            <w:pPr>
              <w:spacing w:after="0"/>
              <w:rPr>
                <w:sz w:val="15"/>
                <w:szCs w:val="15"/>
                <w:color w:val="auto"/>
              </w:rPr>
            </w:pPr>
          </w:p>
        </w:tc>
        <w:tc>
          <w:tcPr>
            <w:tcW w:w="940" w:type="dxa"/>
            <w:vAlign w:val="bottom"/>
          </w:tcPr>
          <w:p>
            <w:pPr>
              <w:jc w:val="center"/>
              <w:ind w:right="149"/>
              <w:spacing w:after="0"/>
              <w:rPr>
                <w:sz w:val="20"/>
                <w:szCs w:val="20"/>
                <w:color w:val="auto"/>
              </w:rPr>
            </w:pPr>
            <w:r>
              <w:rPr>
                <w:rFonts w:ascii="Arial" w:cs="Arial" w:eastAsia="Arial" w:hAnsi="Arial"/>
                <w:sz w:val="13"/>
                <w:szCs w:val="13"/>
                <w:b w:val="1"/>
                <w:bCs w:val="1"/>
                <w:color w:val="auto"/>
                <w:w w:val="96"/>
              </w:rPr>
              <w:t>2025</w:t>
            </w:r>
          </w:p>
        </w:tc>
        <w:tc>
          <w:tcPr>
            <w:tcW w:w="200" w:type="dxa"/>
            <w:vAlign w:val="bottom"/>
          </w:tcPr>
          <w:p>
            <w:pPr>
              <w:spacing w:after="0"/>
              <w:rPr>
                <w:sz w:val="15"/>
                <w:szCs w:val="15"/>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96"/>
              </w:rPr>
              <w:t>2024</w:t>
            </w:r>
          </w:p>
        </w:tc>
        <w:tc>
          <w:tcPr>
            <w:tcW w:w="180" w:type="dxa"/>
            <w:vAlign w:val="bottom"/>
          </w:tcPr>
          <w:p>
            <w:pPr>
              <w:spacing w:after="0"/>
              <w:rPr>
                <w:sz w:val="15"/>
                <w:szCs w:val="15"/>
                <w:color w:val="auto"/>
              </w:rPr>
            </w:pPr>
          </w:p>
        </w:tc>
        <w:tc>
          <w:tcPr>
            <w:tcW w:w="800" w:type="dxa"/>
            <w:vAlign w:val="bottom"/>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1040" w:type="dxa"/>
            <w:vAlign w:val="bottom"/>
          </w:tcPr>
          <w:p>
            <w:pPr>
              <w:jc w:val="right"/>
              <w:ind w:right="208"/>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3"/>
          </w:tcPr>
          <w:p>
            <w:pPr>
              <w:jc w:val="right"/>
              <w:ind w:right="629"/>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37,157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7,254</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44,411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51,541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(7,130)</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360" w:type="dxa"/>
            <w:vAlign w:val="bottom"/>
          </w:tcPr>
          <w:p>
            <w:pPr>
              <w:spacing w:after="0"/>
              <w:rPr>
                <w:sz w:val="14"/>
                <w:szCs w:val="14"/>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4,618</w:t>
            </w:r>
          </w:p>
        </w:tc>
        <w:tc>
          <w:tcPr>
            <w:tcW w:w="18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1,017</w:t>
            </w:r>
          </w:p>
        </w:tc>
        <w:tc>
          <w:tcPr>
            <w:tcW w:w="2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5,635</w:t>
            </w:r>
          </w:p>
        </w:tc>
        <w:tc>
          <w:tcPr>
            <w:tcW w:w="2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9,471</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(3,836)</w:t>
            </w:r>
          </w:p>
        </w:tc>
        <w:tc>
          <w:tcPr>
            <w:tcW w:w="1040" w:type="dxa"/>
            <w:vAlign w:val="bottom"/>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6,548</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1,178</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7,726</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4,869</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2,857</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interest expense</w:t>
            </w:r>
          </w:p>
        </w:tc>
        <w:tc>
          <w:tcPr>
            <w:tcW w:w="360" w:type="dxa"/>
            <w:vAlign w:val="bottom"/>
          </w:tcPr>
          <w:p>
            <w:pPr>
              <w:spacing w:after="0"/>
              <w:rPr>
                <w:sz w:val="14"/>
                <w:szCs w:val="14"/>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11,166</w:t>
            </w:r>
          </w:p>
        </w:tc>
        <w:tc>
          <w:tcPr>
            <w:tcW w:w="18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2,195</w:t>
            </w:r>
          </w:p>
        </w:tc>
        <w:tc>
          <w:tcPr>
            <w:tcW w:w="2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13,361</w:t>
            </w:r>
          </w:p>
        </w:tc>
        <w:tc>
          <w:tcPr>
            <w:tcW w:w="2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14,340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(979)</w:t>
            </w:r>
          </w:p>
        </w:tc>
        <w:tc>
          <w:tcPr>
            <w:tcW w:w="10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Net interest income</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25,991</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5,059</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31,050</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37,201</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(6,151)</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12,691</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7,647</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20,338</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27,761</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(7,423)</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line="132" w:lineRule="exact"/>
              <w:rPr>
                <w:sz w:val="20"/>
                <w:szCs w:val="20"/>
                <w:color w:val="auto"/>
              </w:rPr>
            </w:pPr>
            <w:r>
              <w:rPr>
                <w:rFonts w:ascii="Arial" w:cs="Arial" w:eastAsia="Arial" w:hAnsi="Arial"/>
                <w:sz w:val="14"/>
                <w:szCs w:val="14"/>
                <w:color w:val="auto"/>
              </w:rPr>
              <w:t>Net interest income (loss) after losses and recoveries</w:t>
            </w:r>
          </w:p>
        </w:tc>
        <w:tc>
          <w:tcPr>
            <w:tcW w:w="360" w:type="dxa"/>
            <w:vAlign w:val="bottom"/>
          </w:tcPr>
          <w:p>
            <w:pPr>
              <w:spacing w:after="0"/>
              <w:rPr>
                <w:sz w:val="11"/>
                <w:szCs w:val="11"/>
                <w:color w:val="auto"/>
              </w:rPr>
            </w:pPr>
          </w:p>
        </w:tc>
        <w:tc>
          <w:tcPr>
            <w:tcW w:w="1060" w:type="dxa"/>
            <w:vAlign w:val="bottom"/>
            <w:tcBorders>
              <w:right w:val="single" w:sz="8" w:color="auto"/>
            </w:tcBorders>
            <w:vMerge w:val="restart"/>
          </w:tcPr>
          <w:p>
            <w:pPr>
              <w:jc w:val="right"/>
              <w:ind w:right="149"/>
              <w:spacing w:after="0"/>
              <w:rPr>
                <w:sz w:val="20"/>
                <w:szCs w:val="20"/>
                <w:color w:val="auto"/>
              </w:rPr>
            </w:pPr>
            <w:r>
              <w:rPr>
                <w:rFonts w:ascii="Arial" w:cs="Arial" w:eastAsia="Arial" w:hAnsi="Arial"/>
                <w:sz w:val="14"/>
                <w:szCs w:val="14"/>
                <w:color w:val="auto"/>
              </w:rPr>
              <w:t>13,300</w:t>
            </w:r>
          </w:p>
        </w:tc>
        <w:tc>
          <w:tcPr>
            <w:tcW w:w="180" w:type="dxa"/>
            <w:vAlign w:val="bottom"/>
          </w:tcPr>
          <w:p>
            <w:pPr>
              <w:spacing w:after="0"/>
              <w:rPr>
                <w:sz w:val="11"/>
                <w:szCs w:val="11"/>
                <w:color w:val="auto"/>
              </w:rPr>
            </w:pPr>
          </w:p>
        </w:tc>
        <w:tc>
          <w:tcPr>
            <w:tcW w:w="1000" w:type="dxa"/>
            <w:vAlign w:val="bottom"/>
          </w:tcPr>
          <w:p>
            <w:pPr>
              <w:jc w:val="right"/>
              <w:ind w:right="49"/>
              <w:spacing w:after="0" w:line="132" w:lineRule="exact"/>
              <w:rPr>
                <w:sz w:val="20"/>
                <w:szCs w:val="20"/>
                <w:color w:val="auto"/>
              </w:rPr>
            </w:pPr>
            <w:r>
              <w:rPr>
                <w:rFonts w:ascii="Arial" w:cs="Arial" w:eastAsia="Arial" w:hAnsi="Arial"/>
                <w:sz w:val="14"/>
                <w:szCs w:val="14"/>
                <w:color w:val="auto"/>
              </w:rPr>
              <w:t>(2,588</w:t>
            </w:r>
          </w:p>
        </w:tc>
        <w:tc>
          <w:tcPr>
            <w:tcW w:w="200" w:type="dxa"/>
            <w:vAlign w:val="bottom"/>
          </w:tcPr>
          <w:p>
            <w:pPr>
              <w:spacing w:after="0"/>
              <w:rPr>
                <w:sz w:val="11"/>
                <w:szCs w:val="11"/>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4"/>
                <w:szCs w:val="14"/>
                <w:color w:val="auto"/>
              </w:rPr>
              <w:t>10,712</w:t>
            </w:r>
          </w:p>
        </w:tc>
        <w:tc>
          <w:tcPr>
            <w:tcW w:w="200" w:type="dxa"/>
            <w:vAlign w:val="bottom"/>
          </w:tcPr>
          <w:p>
            <w:pPr>
              <w:spacing w:after="0"/>
              <w:rPr>
                <w:sz w:val="11"/>
                <w:szCs w:val="11"/>
                <w:color w:val="auto"/>
              </w:rPr>
            </w:pPr>
          </w:p>
        </w:tc>
        <w:tc>
          <w:tcPr>
            <w:tcW w:w="920" w:type="dxa"/>
            <w:vAlign w:val="bottom"/>
          </w:tcPr>
          <w:p>
            <w:pPr>
              <w:jc w:val="right"/>
              <w:ind w:right="49"/>
              <w:spacing w:after="0" w:line="132" w:lineRule="exact"/>
              <w:rPr>
                <w:sz w:val="20"/>
                <w:szCs w:val="20"/>
                <w:color w:val="auto"/>
              </w:rPr>
            </w:pPr>
            <w:r>
              <w:rPr>
                <w:rFonts w:ascii="Arial" w:cs="Arial" w:eastAsia="Arial" w:hAnsi="Arial"/>
                <w:sz w:val="14"/>
                <w:szCs w:val="14"/>
                <w:color w:val="auto"/>
              </w:rPr>
              <w:t>9,439</w:t>
            </w:r>
          </w:p>
        </w:tc>
        <w:tc>
          <w:tcPr>
            <w:tcW w:w="180" w:type="dxa"/>
            <w:vAlign w:val="bottom"/>
          </w:tcPr>
          <w:p>
            <w:pPr>
              <w:spacing w:after="0"/>
              <w:rPr>
                <w:sz w:val="11"/>
                <w:szCs w:val="11"/>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1,273</w:t>
            </w:r>
          </w:p>
        </w:tc>
        <w:tc>
          <w:tcPr>
            <w:tcW w:w="1040" w:type="dxa"/>
            <w:vAlign w:val="bottom"/>
          </w:tcPr>
          <w:p>
            <w:pPr>
              <w:jc w:val="right"/>
              <w:ind w:right="88"/>
              <w:spacing w:after="0" w:line="132"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Noninterest income:</w:t>
            </w:r>
          </w:p>
        </w:tc>
        <w:tc>
          <w:tcPr>
            <w:tcW w:w="3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1,254</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192</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1,446</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(573)</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Warranties and GAP income, net</w:t>
            </w:r>
          </w:p>
        </w:tc>
        <w:tc>
          <w:tcPr>
            <w:tcW w:w="360" w:type="dxa"/>
            <w:vAlign w:val="bottom"/>
          </w:tcPr>
          <w:p>
            <w:pPr>
              <w:spacing w:after="0"/>
              <w:rPr>
                <w:sz w:val="14"/>
                <w:szCs w:val="14"/>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3,571</w:t>
            </w:r>
          </w:p>
        </w:tc>
        <w:tc>
          <w:tcPr>
            <w:tcW w:w="18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390</w:t>
            </w:r>
          </w:p>
        </w:tc>
        <w:tc>
          <w:tcPr>
            <w:tcW w:w="2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3,961</w:t>
            </w:r>
          </w:p>
        </w:tc>
        <w:tc>
          <w:tcPr>
            <w:tcW w:w="2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1,610</w:t>
            </w:r>
          </w:p>
        </w:tc>
        <w:tc>
          <w:tcPr>
            <w:tcW w:w="18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2,351</w:t>
            </w:r>
          </w:p>
        </w:tc>
        <w:tc>
          <w:tcPr>
            <w:tcW w:w="1040" w:type="dxa"/>
            <w:vAlign w:val="bottom"/>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2,235</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66</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2,301</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2,470</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noninterest income</w:t>
            </w:r>
          </w:p>
        </w:tc>
        <w:tc>
          <w:tcPr>
            <w:tcW w:w="360" w:type="dxa"/>
            <w:vAlign w:val="bottom"/>
          </w:tcPr>
          <w:p>
            <w:pPr>
              <w:spacing w:after="0"/>
              <w:rPr>
                <w:sz w:val="14"/>
                <w:szCs w:val="14"/>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7,060</w:t>
            </w:r>
          </w:p>
        </w:tc>
        <w:tc>
          <w:tcPr>
            <w:tcW w:w="18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648</w:t>
            </w:r>
          </w:p>
        </w:tc>
        <w:tc>
          <w:tcPr>
            <w:tcW w:w="2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7,708</w:t>
            </w:r>
          </w:p>
        </w:tc>
        <w:tc>
          <w:tcPr>
            <w:tcW w:w="2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6,099</w:t>
            </w:r>
          </w:p>
        </w:tc>
        <w:tc>
          <w:tcPr>
            <w:tcW w:w="18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1,609</w:t>
            </w:r>
          </w:p>
        </w:tc>
        <w:tc>
          <w:tcPr>
            <w:tcW w:w="104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Expenses:</w:t>
            </w:r>
          </w:p>
        </w:tc>
        <w:tc>
          <w:tcPr>
            <w:tcW w:w="3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 and benefits</w:t>
            </w:r>
          </w:p>
        </w:tc>
        <w:tc>
          <w:tcPr>
            <w:tcW w:w="36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13,694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2,398</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16,092</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18,788</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(2,696)</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60" w:type="dxa"/>
            <w:vAlign w:val="bottom"/>
          </w:tcPr>
          <w:p>
            <w:pPr>
              <w:spacing w:after="0"/>
              <w:rPr>
                <w:sz w:val="14"/>
                <w:szCs w:val="14"/>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3,069</w:t>
            </w:r>
          </w:p>
        </w:tc>
        <w:tc>
          <w:tcPr>
            <w:tcW w:w="18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3,241</w:t>
            </w:r>
          </w:p>
        </w:tc>
        <w:tc>
          <w:tcPr>
            <w:tcW w:w="2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876</w:t>
            </w:r>
          </w:p>
        </w:tc>
        <w:tc>
          <w:tcPr>
            <w:tcW w:w="18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2,365</w:t>
            </w:r>
          </w:p>
        </w:tc>
        <w:tc>
          <w:tcPr>
            <w:tcW w:w="1040" w:type="dxa"/>
            <w:vAlign w:val="bottom"/>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Software and IT costs</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2,086</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367</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2,453</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3,097</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(644)</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4"/>
                <w:szCs w:val="14"/>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817</w:t>
            </w:r>
          </w:p>
        </w:tc>
        <w:tc>
          <w:tcPr>
            <w:tcW w:w="2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1,296</w:t>
            </w:r>
          </w:p>
        </w:tc>
        <w:tc>
          <w:tcPr>
            <w:tcW w:w="2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6,021</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(4,725)</w:t>
            </w:r>
          </w:p>
        </w:tc>
        <w:tc>
          <w:tcPr>
            <w:tcW w:w="1040" w:type="dxa"/>
            <w:vAlign w:val="bottom"/>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on corporate debt</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480</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85</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565</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471</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94</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360" w:type="dxa"/>
            <w:vAlign w:val="bottom"/>
          </w:tcPr>
          <w:p>
            <w:pPr>
              <w:spacing w:after="0"/>
              <w:rPr>
                <w:sz w:val="14"/>
                <w:szCs w:val="14"/>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3,479</w:t>
            </w:r>
          </w:p>
        </w:tc>
        <w:tc>
          <w:tcPr>
            <w:tcW w:w="18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3,479</w:t>
            </w:r>
          </w:p>
        </w:tc>
        <w:tc>
          <w:tcPr>
            <w:tcW w:w="2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2,752</w:t>
            </w:r>
          </w:p>
        </w:tc>
        <w:tc>
          <w:tcPr>
            <w:tcW w:w="18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727</w:t>
            </w:r>
          </w:p>
        </w:tc>
        <w:tc>
          <w:tcPr>
            <w:tcW w:w="104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1,670</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262</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1,932</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2,523</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(591)</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360" w:type="dxa"/>
            <w:vAlign w:val="bottom"/>
          </w:tcPr>
          <w:p>
            <w:pPr>
              <w:spacing w:after="0"/>
              <w:rPr>
                <w:sz w:val="16"/>
                <w:szCs w:val="16"/>
                <w:color w:val="auto"/>
              </w:rPr>
            </w:pP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24,957</w:t>
            </w:r>
          </w:p>
        </w:tc>
        <w:tc>
          <w:tcPr>
            <w:tcW w:w="18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4,101</w:t>
            </w:r>
          </w:p>
        </w:tc>
        <w:tc>
          <w:tcPr>
            <w:tcW w:w="20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29,058</w:t>
            </w:r>
          </w:p>
        </w:tc>
        <w:tc>
          <w:tcPr>
            <w:tcW w:w="2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34,529</w:t>
            </w:r>
          </w:p>
        </w:tc>
        <w:tc>
          <w:tcPr>
            <w:tcW w:w="18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(5,471)</w:t>
            </w:r>
          </w:p>
        </w:tc>
        <w:tc>
          <w:tcPr>
            <w:tcW w:w="104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360" w:type="dxa"/>
            <w:vAlign w:val="bottom"/>
            <w:shd w:val="clear" w:color="auto" w:fill="CFF0FC"/>
          </w:tcPr>
          <w:p>
            <w:pPr>
              <w:spacing w:after="0"/>
              <w:rPr>
                <w:sz w:val="14"/>
                <w:szCs w:val="14"/>
                <w:color w:val="auto"/>
              </w:rPr>
            </w:pP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436</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(397)</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Adjusted net income (loss)</w:t>
            </w:r>
          </w:p>
        </w:tc>
        <w:tc>
          <w:tcPr>
            <w:tcW w:w="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(834)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(5,910)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(6,744)</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(16,506)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9,762</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336"/>
        </w:trPr>
        <w:tc>
          <w:tcPr>
            <w:tcW w:w="3680" w:type="dxa"/>
            <w:vAlign w:val="bottom"/>
            <w:gridSpan w:val="2"/>
          </w:tcPr>
          <w:p>
            <w:pPr>
              <w:spacing w:after="0"/>
              <w:rPr>
                <w:sz w:val="20"/>
                <w:szCs w:val="20"/>
                <w:color w:val="auto"/>
              </w:rPr>
            </w:pPr>
            <w:r>
              <w:rPr>
                <w:rFonts w:ascii="Arial" w:cs="Arial" w:eastAsia="Arial" w:hAnsi="Arial"/>
                <w:sz w:val="14"/>
                <w:szCs w:val="14"/>
                <w:color w:val="auto"/>
              </w:rPr>
              <w:t>Stock compensation expense</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color w:val="auto"/>
              </w:rPr>
              <w:t>302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429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168</w:t>
            </w:r>
          </w:p>
        </w:tc>
        <w:tc>
          <w:tcPr>
            <w:tcW w:w="18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261</w:t>
            </w:r>
          </w:p>
        </w:tc>
        <w:tc>
          <w:tcPr>
            <w:tcW w:w="1040" w:type="dxa"/>
            <w:vAlign w:val="bottom"/>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Severance</w:t>
            </w:r>
          </w:p>
        </w:tc>
        <w:tc>
          <w:tcPr>
            <w:tcW w:w="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76" w:lineRule="exact"/>
        <w:rPr>
          <w:sz w:val="20"/>
          <w:szCs w:val="20"/>
          <w:color w:val="auto"/>
        </w:rPr>
      </w:pPr>
    </w:p>
    <w:p>
      <w:pPr>
        <w:ind w:right="60" w:firstLine="708"/>
        <w:spacing w:after="0" w:line="252" w:lineRule="auto"/>
        <w:rPr>
          <w:sz w:val="20"/>
          <w:szCs w:val="20"/>
          <w:color w:val="auto"/>
        </w:rPr>
      </w:pPr>
      <w:r>
        <w:rPr>
          <w:rFonts w:ascii="Arial" w:cs="Arial" w:eastAsia="Arial" w:hAnsi="Arial"/>
          <w:sz w:val="16"/>
          <w:szCs w:val="16"/>
          <w:color w:val="auto"/>
        </w:rPr>
        <w:t>UACC acquires and services finance receivables from its network of third-party dealership customers and generates interest income. Prior to our Prepackaged Chapter 11 Case this consisted of discount income and interest income. However, upon emergence and on the Effective Date, we made an accounting policy election to recognize discount income as a component of 'Realized and unrealized losses, net of recoveries' on a prospective basis. Discount income represents the amortization of unearned discounts over the contractual life of the underlying finance receivables held for investment at fair value. We also made an accounting policy election to elect the fair value option on all finance receivables and classify them as held for investment. Discounts on the finance receivables held-for-sale were previously deferred until they were sold.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4" w:name="page65"/>
    <w:bookmarkEnd w:id="6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spacing w:after="0" w:line="150" w:lineRule="exact"/>
        <w:rPr>
          <w:sz w:val="20"/>
          <w:szCs w:val="20"/>
          <w:color w:val="auto"/>
        </w:rPr>
      </w:pPr>
    </w:p>
    <w:p>
      <w:pPr>
        <w:jc w:val="both"/>
        <w:ind w:right="40" w:firstLine="708"/>
        <w:spacing w:after="0" w:line="248" w:lineRule="auto"/>
        <w:rPr>
          <w:sz w:val="20"/>
          <w:szCs w:val="20"/>
          <w:color w:val="auto"/>
        </w:rPr>
      </w:pPr>
      <w:r>
        <w:rPr>
          <w:rFonts w:ascii="Arial" w:cs="Arial" w:eastAsia="Arial" w:hAnsi="Arial"/>
          <w:sz w:val="16"/>
          <w:szCs w:val="16"/>
          <w:color w:val="auto"/>
        </w:rPr>
        <w:t>For securitization transactions that are accounted as a sale of finance receivables in accordance with ASC Topic 860, Transfers and Servicing of Financial Assets ("ASC 860"), we recognize a gain on sale of finance receivables. There were no securitizations which were accounted for as sales in the periods presented.</w:t>
      </w:r>
    </w:p>
    <w:p>
      <w:pPr>
        <w:spacing w:after="0" w:line="150" w:lineRule="exact"/>
        <w:rPr>
          <w:sz w:val="20"/>
          <w:szCs w:val="20"/>
          <w:color w:val="auto"/>
        </w:rPr>
      </w:pPr>
    </w:p>
    <w:p>
      <w:pPr>
        <w:jc w:val="both"/>
        <w:ind w:right="80" w:firstLine="708"/>
        <w:spacing w:after="0" w:line="244" w:lineRule="auto"/>
        <w:rPr>
          <w:sz w:val="20"/>
          <w:szCs w:val="20"/>
          <w:color w:val="auto"/>
        </w:rPr>
      </w:pPr>
      <w:r>
        <w:rPr>
          <w:rFonts w:ascii="Arial" w:cs="Arial" w:eastAsia="Arial" w:hAnsi="Arial"/>
          <w:sz w:val="16"/>
          <w:szCs w:val="16"/>
          <w:color w:val="auto"/>
        </w:rPr>
        <w:t>Interest income decreased $7.1 million, or 13.8%, to $44.4 million for the three months ended March 31, 2025, from $51.5 million for the three months ended March 31, 2024. This decrease was primarily a result of the accounting policy change which resulted in lower discount income as well as a decrease driven by a lower finance receivable balance. The loan portfolio decreased to $858.2 million as of March 31, 2025, from $875.5 million as of March 31, 2024.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76" w:lineRule="exact"/>
        <w:rPr>
          <w:sz w:val="20"/>
          <w:szCs w:val="20"/>
          <w:color w:val="auto"/>
        </w:rPr>
      </w:pPr>
    </w:p>
    <w:p>
      <w:pPr>
        <w:jc w:val="both"/>
        <w:ind w:right="80" w:firstLine="708"/>
        <w:spacing w:after="0" w:line="262" w:lineRule="auto"/>
        <w:rPr>
          <w:sz w:val="20"/>
          <w:szCs w:val="20"/>
          <w:color w:val="auto"/>
        </w:rPr>
      </w:pPr>
      <w:r>
        <w:rPr>
          <w:rFonts w:ascii="Arial" w:cs="Arial" w:eastAsia="Arial" w:hAnsi="Arial"/>
          <w:sz w:val="16"/>
          <w:szCs w:val="16"/>
          <w:color w:val="auto"/>
        </w:rPr>
        <w:t>Interest expense primarily includes interest expense on UACC's Warehouse Credit Facilities, interest expense incurred on securitization debt, and interest expense on financing of beneficial interests in securitizations.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Interest expense decreased $0.9 million, or 6.8%, to $13.4 million for the three months ended March 31, 2025 from $14.3 million for the three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months ended March 31, 2024, primarily as a result of lower interest expense incurred on the Warehouse Credit Facilities, which decreased $3.9 million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 $5.6 million for the three months ended March 31, 2025 from $9.5 million for the three months ended March 31, 2024. The decrease was offset by</w:t>
      </w:r>
    </w:p>
    <w:p>
      <w:pPr>
        <w:spacing w:after="0" w:line="234" w:lineRule="auto"/>
        <w:rPr>
          <w:sz w:val="20"/>
          <w:szCs w:val="20"/>
          <w:color w:val="auto"/>
        </w:rPr>
      </w:pPr>
      <w:r>
        <w:rPr>
          <w:rFonts w:ascii="Arial" w:cs="Arial" w:eastAsia="Arial" w:hAnsi="Arial"/>
          <w:sz w:val="16"/>
          <w:szCs w:val="16"/>
          <w:color w:val="auto"/>
        </w:rPr>
        <w:t>higher interest expense incurred on securitization debt, which increased $2.8 million to $7.7 million for the three months ended March 31, 2025, from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$4.9 million for the three months ended March 31, 2024. The decrease of interest expense incurred on the Warehouse Credit Facilities is attributable to 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lower outstanding balance of $114.2 million as of March 31, 2025 as compared to $516.3 million as of March 31, 2024, due to repayments of the</w:t>
      </w:r>
    </w:p>
    <w:p>
      <w:pPr>
        <w:spacing w:after="0" w:line="234" w:lineRule="auto"/>
        <w:rPr>
          <w:sz w:val="20"/>
          <w:szCs w:val="20"/>
          <w:color w:val="auto"/>
        </w:rPr>
      </w:pPr>
      <w:r>
        <w:rPr>
          <w:rFonts w:ascii="Arial" w:cs="Arial" w:eastAsia="Arial" w:hAnsi="Arial"/>
          <w:sz w:val="16"/>
          <w:szCs w:val="16"/>
          <w:color w:val="auto"/>
        </w:rPr>
        <w:t>Warehouse Credit Facilities in connection with completion of the 2025-1 securitization, as well as a decrease in the weighted average interest rates,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which decreased from 7.22% to 5.95%. The increase of interest expense incurred on securitization debt is attributable to a higher outstanding balance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$613.9 million as of March 31, 2025, as compared to $237.9 million as of March 31, 2024, as well as overall higher interest rates on securitization debt.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Realized and unrealized losses, net of recoveries</w:t>
      </w:r>
    </w:p>
    <w:p>
      <w:pPr>
        <w:spacing w:after="0" w:line="176" w:lineRule="exact"/>
        <w:rPr>
          <w:sz w:val="20"/>
          <w:szCs w:val="20"/>
          <w:color w:val="auto"/>
        </w:rPr>
      </w:pPr>
    </w:p>
    <w:p>
      <w:pPr>
        <w:ind w:right="40" w:firstLine="708"/>
        <w:spacing w:after="0" w:line="238" w:lineRule="auto"/>
        <w:rPr>
          <w:sz w:val="20"/>
          <w:szCs w:val="20"/>
          <w:color w:val="auto"/>
        </w:rPr>
      </w:pPr>
      <w:r>
        <w:rPr>
          <w:rFonts w:ascii="Arial" w:cs="Arial" w:eastAsia="Arial" w:hAnsi="Arial"/>
          <w:sz w:val="16"/>
          <w:szCs w:val="16"/>
          <w:color w:val="auto"/>
        </w:rPr>
        <w:t>Upon emergence from the Prepackaged Chapter 11 Case, and application of fresh start accounting, we made an accounting policy election to report discount income as a component of "Realized and unrealized losses, net of recoveries". We also made an accounting policy election to elect the fair value option for all finance receivables held for sale on a prospective basis. Realized and unrealized losses, net of recoveries, represents changes in the fair value of finance receivables for which the fair value option was selected under ASC 825, changes in the fair value of securitization debt accounted for in accordance with the measurement alternative under ASC 810- 30, changes in the fair value of beneficial interests, as well as collection expenses related to servicing finance receivables. Prior to emergence from the Prepackaged Chapter 11 Case, when we still had finance receivables held for sale, realized and unrealized losses, net of recoveries also represented charge-offs of finance receivables held for sale and changes in the valuation allowance on the held for sale portfolio.</w:t>
      </w:r>
    </w:p>
    <w:p>
      <w:pPr>
        <w:spacing w:after="0" w:line="161" w:lineRule="exact"/>
        <w:rPr>
          <w:sz w:val="20"/>
          <w:szCs w:val="20"/>
          <w:color w:val="auto"/>
        </w:rPr>
      </w:pPr>
    </w:p>
    <w:p>
      <w:pPr>
        <w:ind w:right="160" w:firstLine="708"/>
        <w:spacing w:after="0" w:line="248" w:lineRule="auto"/>
        <w:rPr>
          <w:sz w:val="20"/>
          <w:szCs w:val="20"/>
          <w:color w:val="auto"/>
        </w:rPr>
      </w:pPr>
      <w:r>
        <w:rPr>
          <w:rFonts w:ascii="Arial" w:cs="Arial" w:eastAsia="Arial" w:hAnsi="Arial"/>
          <w:sz w:val="16"/>
          <w:szCs w:val="16"/>
          <w:color w:val="auto"/>
        </w:rPr>
        <w:t>Realized and unrealized losses, net of recoveries, decreased by $7.5 million or 26.7% to $20.3 million for the three months ended March 31, 2025, from $27.8 million for the three months ended March 31, 2024, primarily driven by lower losses on finance receivables as well as the change in accounting policy related to discount income that offset credit losses in the current period.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income</w:t>
      </w:r>
    </w:p>
    <w:p>
      <w:pPr>
        <w:spacing w:after="0" w:line="176" w:lineRule="exact"/>
        <w:rPr>
          <w:sz w:val="20"/>
          <w:szCs w:val="20"/>
          <w:color w:val="auto"/>
        </w:rPr>
      </w:pPr>
    </w:p>
    <w:p>
      <w:pPr>
        <w:ind w:right="120" w:firstLine="708"/>
        <w:spacing w:after="0" w:line="244" w:lineRule="auto"/>
        <w:rPr>
          <w:sz w:val="20"/>
          <w:szCs w:val="20"/>
          <w:color w:val="auto"/>
        </w:rPr>
      </w:pPr>
      <w:r>
        <w:rPr>
          <w:rFonts w:ascii="Arial" w:cs="Arial" w:eastAsia="Arial" w:hAnsi="Arial"/>
          <w:sz w:val="16"/>
          <w:szCs w:val="16"/>
          <w:color w:val="auto"/>
        </w:rPr>
        <w:t>Servicing income primarily represents the annual fees earned as a percentage of the outstanding principal balance of the finance receivables sold that were accounted for as off -balance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5" w:name="page66"/>
    <w:bookmarkEnd w:id="6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firstLine="708"/>
        <w:spacing w:after="0" w:line="248" w:lineRule="auto"/>
        <w:rPr>
          <w:sz w:val="20"/>
          <w:szCs w:val="20"/>
          <w:color w:val="auto"/>
        </w:rPr>
      </w:pPr>
      <w:r>
        <w:rPr>
          <w:rFonts w:ascii="Arial" w:cs="Arial" w:eastAsia="Arial" w:hAnsi="Arial"/>
          <w:sz w:val="16"/>
          <w:szCs w:val="16"/>
          <w:color w:val="auto"/>
        </w:rPr>
        <w:t>Servicing income decreased by $0.6 million or 28.4% to $1.4 million for the three months ended March 31, 2025 from $2.0 million for the three months ended March 31, 2024, primarily driven by a lower balance of the 2022-1 securitization, which is accounted for as an off-balance sheet securitization.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Warranties and GAP income, net</w:t>
      </w:r>
    </w:p>
    <w:p>
      <w:pPr>
        <w:spacing w:after="0" w:line="176" w:lineRule="exact"/>
        <w:rPr>
          <w:sz w:val="20"/>
          <w:szCs w:val="20"/>
          <w:color w:val="auto"/>
        </w:rPr>
      </w:pPr>
    </w:p>
    <w:p>
      <w:pPr>
        <w:ind w:right="100" w:firstLine="708"/>
        <w:spacing w:after="0" w:line="244" w:lineRule="auto"/>
        <w:rPr>
          <w:sz w:val="20"/>
          <w:szCs w:val="20"/>
          <w:color w:val="auto"/>
        </w:rPr>
      </w:pPr>
      <w:r>
        <w:rPr>
          <w:rFonts w:ascii="Arial" w:cs="Arial" w:eastAsia="Arial" w:hAnsi="Arial"/>
          <w:sz w:val="16"/>
          <w:szCs w:val="16"/>
          <w:color w:val="auto"/>
        </w:rPr>
        <w:t>UACC earns fees by selling third -party value -added products, such as vehicle service contracts. UACC is also contractually entitled to receive profit- sharing based on the performance of the vehicle service contract policies once a required claims period has passed. UACC recognizes a profit-share to the extent it is probable that it will not result in a significant revenue reversal. The Company estimates the revenue based on historical claims and cancellation data from its consumers, as well as other qualitative assumptions.</w:t>
      </w:r>
    </w:p>
    <w:p>
      <w:pPr>
        <w:spacing w:after="0" w:line="152" w:lineRule="exact"/>
        <w:rPr>
          <w:sz w:val="20"/>
          <w:szCs w:val="20"/>
          <w:color w:val="auto"/>
        </w:rPr>
      </w:pPr>
    </w:p>
    <w:p>
      <w:pPr>
        <w:ind w:firstLine="708"/>
        <w:spacing w:after="0" w:line="244" w:lineRule="auto"/>
        <w:rPr>
          <w:sz w:val="20"/>
          <w:szCs w:val="20"/>
          <w:color w:val="auto"/>
        </w:rPr>
      </w:pPr>
      <w:r>
        <w:rPr>
          <w:rFonts w:ascii="Arial" w:cs="Arial" w:eastAsia="Arial" w:hAnsi="Arial"/>
          <w:sz w:val="16"/>
          <w:szCs w:val="16"/>
          <w:color w:val="auto"/>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 loss resulting from collision or theft. The total fees are earned over the contractual life of the related financial receivables on straight-line basis.</w:t>
      </w:r>
    </w:p>
    <w:p>
      <w:pPr>
        <w:spacing w:after="0" w:line="152" w:lineRule="exact"/>
        <w:rPr>
          <w:sz w:val="20"/>
          <w:szCs w:val="20"/>
          <w:color w:val="auto"/>
        </w:rPr>
      </w:pPr>
    </w:p>
    <w:p>
      <w:pPr>
        <w:ind w:right="20" w:firstLine="708"/>
        <w:spacing w:after="0" w:line="248" w:lineRule="auto"/>
        <w:rPr>
          <w:sz w:val="20"/>
          <w:szCs w:val="20"/>
          <w:color w:val="auto"/>
        </w:rPr>
      </w:pPr>
      <w:r>
        <w:rPr>
          <w:rFonts w:ascii="Arial" w:cs="Arial" w:eastAsia="Arial" w:hAnsi="Arial"/>
          <w:sz w:val="16"/>
          <w:szCs w:val="16"/>
          <w:color w:val="auto"/>
        </w:rPr>
        <w:t>Warranties and GAP income, net increased by $ 2.4 million or 146.0% to $4.0 million for the three months ended March 31, 2025, as compared to $1.6 million for the three months ended March 31, 2024 primarily as a result of funding more contracts with GAP and warranty products and charging higher fees in the current year period.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w:t>
      </w:r>
    </w:p>
    <w:p>
      <w:pPr>
        <w:spacing w:after="0" w:line="176" w:lineRule="exact"/>
        <w:rPr>
          <w:sz w:val="20"/>
          <w:szCs w:val="20"/>
          <w:color w:val="auto"/>
        </w:rPr>
      </w:pPr>
    </w:p>
    <w:p>
      <w:pPr>
        <w:jc w:val="both"/>
        <w:ind w:right="20" w:firstLine="708"/>
        <w:spacing w:after="0" w:line="262" w:lineRule="auto"/>
        <w:rPr>
          <w:sz w:val="20"/>
          <w:szCs w:val="20"/>
          <w:color w:val="auto"/>
        </w:rPr>
      </w:pPr>
      <w:r>
        <w:rPr>
          <w:rFonts w:ascii="Arial" w:cs="Arial" w:eastAsia="Arial" w:hAnsi="Arial"/>
          <w:sz w:val="16"/>
          <w:szCs w:val="16"/>
          <w:color w:val="auto"/>
        </w:rPr>
        <w:t>Other income decreased $0.2 million or 6.8% to $2.3 million for the three months ended March 31, 2025, from $2.5 million for the three months ended March 31, 2024.</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and benefits</w:t>
      </w:r>
    </w:p>
    <w:p>
      <w:pPr>
        <w:spacing w:after="0" w:line="176" w:lineRule="exact"/>
        <w:rPr>
          <w:sz w:val="20"/>
          <w:szCs w:val="20"/>
          <w:color w:val="auto"/>
        </w:rPr>
      </w:pPr>
    </w:p>
    <w:p>
      <w:pPr>
        <w:jc w:val="both"/>
        <w:ind w:right="20" w:firstLine="696"/>
        <w:spacing w:after="0" w:line="248" w:lineRule="auto"/>
        <w:rPr>
          <w:sz w:val="20"/>
          <w:szCs w:val="20"/>
          <w:color w:val="auto"/>
        </w:rPr>
      </w:pPr>
      <w:r>
        <w:rPr>
          <w:rFonts w:ascii="Arial" w:cs="Arial" w:eastAsia="Arial" w:hAnsi="Arial"/>
          <w:sz w:val="16"/>
          <w:szCs w:val="16"/>
          <w:color w:val="auto"/>
        </w:rPr>
        <w:t>Compensation and benefits decreased $2.7 million or 14.3% to $ 16.1 million for the three months ended March 31, 2025, from $18.8 million for the three months ended March 31, 2024. The decrease is primarily a result of fewer employees as we continue right-sizing our workforce, which resulted in lower salary, accrued bonus and benefit expense.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fees</w:t>
      </w:r>
    </w:p>
    <w:p>
      <w:pPr>
        <w:spacing w:after="0" w:line="176" w:lineRule="exact"/>
        <w:rPr>
          <w:sz w:val="20"/>
          <w:szCs w:val="20"/>
          <w:color w:val="auto"/>
        </w:rPr>
      </w:pPr>
    </w:p>
    <w:p>
      <w:pPr>
        <w:ind w:firstLine="696"/>
        <w:spacing w:after="0" w:line="262" w:lineRule="auto"/>
        <w:rPr>
          <w:sz w:val="20"/>
          <w:szCs w:val="20"/>
          <w:color w:val="auto"/>
        </w:rPr>
      </w:pPr>
      <w:r>
        <w:rPr>
          <w:rFonts w:ascii="Arial" w:cs="Arial" w:eastAsia="Arial" w:hAnsi="Arial"/>
          <w:sz w:val="16"/>
          <w:szCs w:val="16"/>
          <w:color w:val="auto"/>
        </w:rPr>
        <w:t>Professional fees increased by $2.3 million or 270.0% to $3.2 million for the three months ended March 31, 2025, from $0.9 million for the three months ended March 31, 2024, primarily as a result of costs incurred in connection with our 2025-1 securitization.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Software and IT costs</w:t>
      </w:r>
    </w:p>
    <w:p>
      <w:pPr>
        <w:spacing w:after="0" w:line="176" w:lineRule="exact"/>
        <w:rPr>
          <w:sz w:val="20"/>
          <w:szCs w:val="20"/>
          <w:color w:val="auto"/>
        </w:rPr>
      </w:pPr>
    </w:p>
    <w:p>
      <w:pPr>
        <w:ind w:right="220" w:firstLine="696"/>
        <w:spacing w:after="0" w:line="248" w:lineRule="auto"/>
        <w:rPr>
          <w:sz w:val="20"/>
          <w:szCs w:val="20"/>
          <w:color w:val="auto"/>
        </w:rPr>
      </w:pPr>
      <w:r>
        <w:rPr>
          <w:rFonts w:ascii="Arial" w:cs="Arial" w:eastAsia="Arial" w:hAnsi="Arial"/>
          <w:sz w:val="16"/>
          <w:szCs w:val="16"/>
          <w:color w:val="auto"/>
        </w:rPr>
        <w:t>Software and IT costs decreased $0.6 million or 20.8% to $2.5 million for the three months ended March 31, 2025, from $3.1 million for the three months ended March 31, 2024, primarily as a result of more efficient targeted software use as well as renegotiating and right-sizing our Software and IT contracts.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76" w:lineRule="exact"/>
        <w:rPr>
          <w:sz w:val="20"/>
          <w:szCs w:val="20"/>
          <w:color w:val="auto"/>
        </w:rPr>
      </w:pPr>
    </w:p>
    <w:p>
      <w:pPr>
        <w:ind w:right="60" w:firstLine="696"/>
        <w:spacing w:after="0" w:line="248" w:lineRule="auto"/>
        <w:rPr>
          <w:sz w:val="20"/>
          <w:szCs w:val="20"/>
          <w:color w:val="auto"/>
        </w:rPr>
      </w:pPr>
      <w:r>
        <w:rPr>
          <w:rFonts w:ascii="Arial" w:cs="Arial" w:eastAsia="Arial" w:hAnsi="Arial"/>
          <w:sz w:val="16"/>
          <w:szCs w:val="16"/>
          <w:color w:val="auto"/>
        </w:rPr>
        <w:t>Depreciation and amortization decreased $ 4.7 million or 78.5% to $1.3 million for the three months ended March 31, 2025 from $6.0 million for the three months ended March 31, 2024, primarily as a result of lower intangible assets upon emergence from our Prepackaged Chapter 11 Case, leading to lower amortization expense in the current year period.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charges</w:t>
      </w:r>
    </w:p>
    <w:p>
      <w:pPr>
        <w:spacing w:after="0" w:line="176" w:lineRule="exact"/>
        <w:rPr>
          <w:sz w:val="20"/>
          <w:szCs w:val="20"/>
          <w:color w:val="auto"/>
        </w:rPr>
      </w:pPr>
    </w:p>
    <w:p>
      <w:pPr>
        <w:ind w:right="340" w:firstLine="696"/>
        <w:spacing w:after="0" w:line="248" w:lineRule="auto"/>
        <w:rPr>
          <w:sz w:val="20"/>
          <w:szCs w:val="20"/>
          <w:color w:val="auto"/>
        </w:rPr>
      </w:pPr>
      <w:r>
        <w:rPr>
          <w:rFonts w:ascii="Arial" w:cs="Arial" w:eastAsia="Arial" w:hAnsi="Arial"/>
          <w:sz w:val="16"/>
          <w:szCs w:val="16"/>
          <w:color w:val="auto"/>
        </w:rPr>
        <w:t>Impairment charges increased $0.7 million or 26.4% to $3.5 million related to lease impairment charges incurred during the three months ended March 31, 2025, as compared to $2.8 million of capitalized internal-use software related impairment charges incurred during the three months ended March 31, 2024.</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6" w:name="page67"/>
    <w:bookmarkEnd w:id="6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expenses</w:t>
      </w:r>
    </w:p>
    <w:p>
      <w:pPr>
        <w:spacing w:after="0" w:line="176" w:lineRule="exact"/>
        <w:rPr>
          <w:sz w:val="20"/>
          <w:szCs w:val="20"/>
          <w:color w:val="auto"/>
        </w:rPr>
      </w:pPr>
    </w:p>
    <w:p>
      <w:pPr>
        <w:ind w:right="320" w:firstLine="708"/>
        <w:spacing w:after="0" w:line="262" w:lineRule="auto"/>
        <w:rPr>
          <w:sz w:val="20"/>
          <w:szCs w:val="20"/>
          <w:color w:val="auto"/>
        </w:rPr>
      </w:pPr>
      <w:r>
        <w:rPr>
          <w:rFonts w:ascii="Arial" w:cs="Arial" w:eastAsia="Arial" w:hAnsi="Arial"/>
          <w:sz w:val="16"/>
          <w:szCs w:val="16"/>
          <w:color w:val="auto"/>
        </w:rPr>
        <w:t>Other expenses decreased $0.6 million or 23.4% to $1.9 million for the three months ended March 31, 2025, from $2.5 million for the three months ended March 31, 2024, primarily as a result of changing the existing dealer incentives program.</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net income (loss)</w:t>
      </w:r>
    </w:p>
    <w:p>
      <w:pPr>
        <w:spacing w:after="0" w:line="176" w:lineRule="exact"/>
        <w:rPr>
          <w:sz w:val="20"/>
          <w:szCs w:val="20"/>
          <w:color w:val="auto"/>
        </w:rPr>
      </w:pPr>
    </w:p>
    <w:p>
      <w:pPr>
        <w:ind w:right="180" w:firstLine="696"/>
        <w:spacing w:after="0" w:line="241" w:lineRule="auto"/>
        <w:rPr>
          <w:sz w:val="20"/>
          <w:szCs w:val="20"/>
          <w:color w:val="auto"/>
        </w:rPr>
      </w:pPr>
      <w:r>
        <w:rPr>
          <w:rFonts w:ascii="Arial" w:cs="Arial" w:eastAsia="Arial" w:hAnsi="Arial"/>
          <w:sz w:val="16"/>
          <w:szCs w:val="16"/>
          <w:color w:val="auto"/>
        </w:rPr>
        <w:t>Adjusted net income (loss) decreased $9.8 million or 59.1% to $(6.7) million for the three months ended March 31, 2025, from $(16.5) million for the three months ended March 31, 2024, primarily as a result of a decrease of $7.4 million in Realized and unrealized losses, net of recoveries, a decrease of $5.4 million in expenses, primarily driven by a $4.7 million decrease in depreciation and amortization expense, as discussed above, an increase in income from warranties and GAP products and a decrease of $0.9 million in interest expense, partially offset by a $6.1 million decrease in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CarStory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14"/>
              <w:spacing w:after="0"/>
              <w:rPr>
                <w:sz w:val="20"/>
                <w:szCs w:val="20"/>
                <w:color w:val="auto"/>
              </w:rPr>
            </w:pPr>
            <w:r>
              <w:rPr>
                <w:rFonts w:ascii="Arial" w:cs="Arial" w:eastAsia="Arial" w:hAnsi="Arial"/>
                <w:sz w:val="11"/>
                <w:szCs w:val="11"/>
                <w:b w:val="1"/>
                <w:bCs w:val="1"/>
                <w:color w:val="auto"/>
                <w:w w:val="98"/>
              </w:rPr>
              <w:t>Non-GAAP</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w w:val="96"/>
              </w:rPr>
              <w:t>Successor</w:t>
            </w:r>
          </w:p>
        </w:tc>
        <w:tc>
          <w:tcPr>
            <w:tcW w:w="220" w:type="dxa"/>
            <w:vAlign w:val="bottom"/>
          </w:tcPr>
          <w:p>
            <w:pPr>
              <w:spacing w:after="0"/>
              <w:rPr>
                <w:sz w:val="11"/>
                <w:szCs w:val="11"/>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6"/>
              </w:rPr>
              <w:t>Predecessor</w:t>
            </w:r>
          </w:p>
        </w:tc>
        <w:tc>
          <w:tcPr>
            <w:tcW w:w="180" w:type="dxa"/>
            <w:vAlign w:val="bottom"/>
          </w:tcPr>
          <w:p>
            <w:pPr>
              <w:spacing w:after="0"/>
              <w:rPr>
                <w:sz w:val="11"/>
                <w:szCs w:val="11"/>
                <w:color w:val="auto"/>
              </w:rPr>
            </w:pPr>
          </w:p>
        </w:tc>
        <w:tc>
          <w:tcPr>
            <w:tcW w:w="940" w:type="dxa"/>
            <w:vAlign w:val="bottom"/>
          </w:tcPr>
          <w:p>
            <w:pPr>
              <w:jc w:val="center"/>
              <w:ind w:right="114"/>
              <w:spacing w:after="0"/>
              <w:rPr>
                <w:sz w:val="20"/>
                <w:szCs w:val="20"/>
                <w:color w:val="auto"/>
              </w:rPr>
            </w:pPr>
            <w:r>
              <w:rPr>
                <w:rFonts w:ascii="Arial" w:cs="Arial" w:eastAsia="Arial" w:hAnsi="Arial"/>
                <w:sz w:val="11"/>
                <w:szCs w:val="11"/>
                <w:b w:val="1"/>
                <w:bCs w:val="1"/>
                <w:color w:val="auto"/>
                <w:w w:val="96"/>
              </w:rPr>
              <w:t>Combined</w:t>
            </w:r>
          </w:p>
        </w:tc>
        <w:tc>
          <w:tcPr>
            <w:tcW w:w="18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6"/>
              </w:rPr>
              <w:t>Predecessor</w:t>
            </w:r>
          </w:p>
        </w:tc>
        <w:tc>
          <w:tcPr>
            <w:tcW w:w="160" w:type="dxa"/>
            <w:vAlign w:val="bottom"/>
          </w:tcPr>
          <w:p>
            <w:pPr>
              <w:spacing w:after="0"/>
              <w:rPr>
                <w:sz w:val="11"/>
                <w:szCs w:val="11"/>
                <w:color w:val="auto"/>
              </w:rPr>
            </w:pPr>
          </w:p>
        </w:tc>
        <w:tc>
          <w:tcPr>
            <w:tcW w:w="840" w:type="dxa"/>
            <w:vAlign w:val="bottom"/>
          </w:tcPr>
          <w:p>
            <w:pPr>
              <w:jc w:val="right"/>
              <w:ind w:right="211"/>
              <w:spacing w:after="0"/>
              <w:rPr>
                <w:sz w:val="20"/>
                <w:szCs w:val="20"/>
                <w:color w:val="auto"/>
              </w:rPr>
            </w:pPr>
            <w:r>
              <w:rPr>
                <w:rFonts w:ascii="Arial" w:cs="Arial" w:eastAsia="Arial" w:hAnsi="Arial"/>
                <w:sz w:val="11"/>
                <w:szCs w:val="11"/>
                <w:b w:val="1"/>
                <w:bCs w:val="1"/>
                <w:color w:val="auto"/>
                <w:w w:val="94"/>
              </w:rPr>
              <w:t>Non-GAAP</w:t>
            </w:r>
          </w:p>
        </w:tc>
        <w:tc>
          <w:tcPr>
            <w:tcW w:w="1020" w:type="dxa"/>
            <w:vAlign w:val="bottom"/>
          </w:tcPr>
          <w:p>
            <w:pPr>
              <w:jc w:val="right"/>
              <w:ind w:right="251"/>
              <w:spacing w:after="0"/>
              <w:rPr>
                <w:sz w:val="20"/>
                <w:szCs w:val="20"/>
                <w:color w:val="auto"/>
              </w:rPr>
            </w:pPr>
            <w:r>
              <w:rPr>
                <w:rFonts w:ascii="Arial" w:cs="Arial" w:eastAsia="Arial" w:hAnsi="Arial"/>
                <w:sz w:val="11"/>
                <w:szCs w:val="11"/>
                <w:b w:val="1"/>
                <w:bCs w:val="1"/>
                <w:color w:val="auto"/>
              </w:rPr>
              <w:t>Non-GAAP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jc w:val="center"/>
              <w:ind w:right="252"/>
              <w:spacing w:after="0"/>
              <w:rPr>
                <w:sz w:val="20"/>
                <w:szCs w:val="20"/>
                <w:color w:val="auto"/>
              </w:rPr>
            </w:pPr>
            <w:r>
              <w:rPr>
                <w:rFonts w:ascii="Arial" w:cs="Arial" w:eastAsia="Arial" w:hAnsi="Arial"/>
                <w:sz w:val="11"/>
                <w:szCs w:val="11"/>
                <w:b w:val="1"/>
                <w:bCs w:val="1"/>
                <w:color w:val="auto"/>
                <w:w w:val="97"/>
              </w:rPr>
              <w:t>Period from</w:t>
            </w:r>
          </w:p>
        </w:tc>
        <w:tc>
          <w:tcPr>
            <w:tcW w:w="220" w:type="dxa"/>
            <w:vAlign w:val="bottom"/>
          </w:tcPr>
          <w:p>
            <w:pPr>
              <w:spacing w:after="0"/>
              <w:rPr>
                <w:sz w:val="11"/>
                <w:szCs w:val="11"/>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7"/>
              </w:rPr>
              <w:t>Period from</w:t>
            </w:r>
          </w:p>
        </w:tc>
        <w:tc>
          <w:tcPr>
            <w:tcW w:w="180" w:type="dxa"/>
            <w:vAlign w:val="bottom"/>
          </w:tcPr>
          <w:p>
            <w:pPr>
              <w:spacing w:after="0"/>
              <w:rPr>
                <w:sz w:val="11"/>
                <w:szCs w:val="11"/>
                <w:color w:val="auto"/>
              </w:rPr>
            </w:pPr>
          </w:p>
        </w:tc>
        <w:tc>
          <w:tcPr>
            <w:tcW w:w="940" w:type="dxa"/>
            <w:vAlign w:val="bottom"/>
          </w:tcPr>
          <w:p>
            <w:pPr>
              <w:jc w:val="center"/>
              <w:ind w:right="134"/>
              <w:spacing w:after="0"/>
              <w:rPr>
                <w:sz w:val="20"/>
                <w:szCs w:val="20"/>
                <w:color w:val="auto"/>
              </w:rPr>
            </w:pPr>
            <w:r>
              <w:rPr>
                <w:rFonts w:ascii="Arial" w:cs="Arial" w:eastAsia="Arial" w:hAnsi="Arial"/>
                <w:sz w:val="11"/>
                <w:szCs w:val="11"/>
                <w:b w:val="1"/>
                <w:bCs w:val="1"/>
                <w:color w:val="auto"/>
                <w:w w:val="96"/>
              </w:rPr>
              <w:t>Three Months</w:t>
            </w:r>
          </w:p>
        </w:tc>
        <w:tc>
          <w:tcPr>
            <w:tcW w:w="18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9"/>
              </w:rPr>
              <w:t>Three Months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rPr>
              <w:t>January 15</w:t>
            </w:r>
          </w:p>
        </w:tc>
        <w:tc>
          <w:tcPr>
            <w:tcW w:w="1180" w:type="dxa"/>
            <w:vAlign w:val="bottom"/>
            <w:gridSpan w:val="2"/>
          </w:tcPr>
          <w:p>
            <w:pPr>
              <w:ind w:left="100"/>
              <w:spacing w:after="0"/>
              <w:rPr>
                <w:sz w:val="20"/>
                <w:szCs w:val="20"/>
                <w:color w:val="auto"/>
              </w:rPr>
            </w:pPr>
            <w:r>
              <w:rPr>
                <w:rFonts w:ascii="Arial" w:cs="Arial" w:eastAsia="Arial" w:hAnsi="Arial"/>
                <w:sz w:val="11"/>
                <w:szCs w:val="11"/>
                <w:b w:val="1"/>
                <w:bCs w:val="1"/>
                <w:color w:val="auto"/>
              </w:rPr>
              <w:t>January 1 through</w:t>
            </w:r>
          </w:p>
        </w:tc>
        <w:tc>
          <w:tcPr>
            <w:tcW w:w="180" w:type="dxa"/>
            <w:vAlign w:val="bottom"/>
          </w:tcPr>
          <w:p>
            <w:pPr>
              <w:spacing w:after="0"/>
              <w:rPr>
                <w:sz w:val="11"/>
                <w:szCs w:val="11"/>
                <w:color w:val="auto"/>
              </w:rPr>
            </w:pPr>
          </w:p>
        </w:tc>
        <w:tc>
          <w:tcPr>
            <w:tcW w:w="940" w:type="dxa"/>
            <w:vAlign w:val="bottom"/>
          </w:tcPr>
          <w:p>
            <w:pPr>
              <w:jc w:val="center"/>
              <w:ind w:right="114"/>
              <w:spacing w:after="0"/>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5"/>
              </w:rPr>
              <w:t>Ended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20" w:type="dxa"/>
            <w:vAlign w:val="bottom"/>
            <w:tcBorders>
              <w:right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through March 31,</w:t>
            </w:r>
          </w:p>
        </w:tc>
        <w:tc>
          <w:tcPr>
            <w:tcW w:w="220" w:type="dxa"/>
            <w:vAlign w:val="bottom"/>
          </w:tcPr>
          <w:p>
            <w:pPr>
              <w:spacing w:after="0"/>
              <w:rPr>
                <w:sz w:val="12"/>
                <w:szCs w:val="12"/>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9"/>
              </w:rPr>
              <w:t>January 14,</w:t>
            </w:r>
          </w:p>
        </w:tc>
        <w:tc>
          <w:tcPr>
            <w:tcW w:w="180" w:type="dxa"/>
            <w:vAlign w:val="bottom"/>
          </w:tcPr>
          <w:p>
            <w:pPr>
              <w:spacing w:after="0"/>
              <w:rPr>
                <w:sz w:val="12"/>
                <w:szCs w:val="12"/>
                <w:color w:val="auto"/>
              </w:rPr>
            </w:pPr>
          </w:p>
        </w:tc>
        <w:tc>
          <w:tcPr>
            <w:tcW w:w="940" w:type="dxa"/>
            <w:vAlign w:val="bottom"/>
          </w:tcPr>
          <w:p>
            <w:pPr>
              <w:jc w:val="center"/>
              <w:ind w:right="134"/>
              <w:spacing w:after="0"/>
              <w:rPr>
                <w:sz w:val="20"/>
                <w:szCs w:val="20"/>
                <w:color w:val="auto"/>
              </w:rPr>
            </w:pPr>
            <w:r>
              <w:rPr>
                <w:rFonts w:ascii="Arial" w:cs="Arial" w:eastAsia="Arial" w:hAnsi="Arial"/>
                <w:sz w:val="11"/>
                <w:szCs w:val="11"/>
                <w:b w:val="1"/>
                <w:bCs w:val="1"/>
                <w:color w:val="auto"/>
                <w:w w:val="98"/>
              </w:rPr>
              <w:t>March 31,</w:t>
            </w:r>
          </w:p>
        </w:tc>
        <w:tc>
          <w:tcPr>
            <w:tcW w:w="180" w:type="dxa"/>
            <w:vAlign w:val="bottom"/>
          </w:tcPr>
          <w:p>
            <w:pPr>
              <w:spacing w:after="0"/>
              <w:rPr>
                <w:sz w:val="12"/>
                <w:szCs w:val="12"/>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4"/>
              </w:rPr>
              <w:t>March 31,</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auto"/>
            </w:tcBorders>
          </w:tcPr>
          <w:p>
            <w:pPr>
              <w:jc w:val="center"/>
              <w:ind w:right="252"/>
              <w:spacing w:after="0"/>
              <w:rPr>
                <w:sz w:val="20"/>
                <w:szCs w:val="20"/>
                <w:color w:val="auto"/>
              </w:rPr>
            </w:pPr>
            <w:r>
              <w:rPr>
                <w:rFonts w:ascii="Arial" w:cs="Arial" w:eastAsia="Arial" w:hAnsi="Arial"/>
                <w:sz w:val="11"/>
                <w:szCs w:val="11"/>
                <w:b w:val="1"/>
                <w:bCs w:val="1"/>
                <w:color w:val="auto"/>
                <w:w w:val="97"/>
              </w:rPr>
              <w:t>2025</w:t>
            </w:r>
          </w:p>
        </w:tc>
        <w:tc>
          <w:tcPr>
            <w:tcW w:w="220" w:type="dxa"/>
            <w:vAlign w:val="bottom"/>
          </w:tcPr>
          <w:p>
            <w:pPr>
              <w:spacing w:after="0"/>
              <w:rPr>
                <w:sz w:val="15"/>
                <w:szCs w:val="15"/>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7"/>
              </w:rPr>
              <w:t>2025</w:t>
            </w:r>
          </w:p>
        </w:tc>
        <w:tc>
          <w:tcPr>
            <w:tcW w:w="180" w:type="dxa"/>
            <w:vAlign w:val="bottom"/>
          </w:tcPr>
          <w:p>
            <w:pPr>
              <w:spacing w:after="0"/>
              <w:rPr>
                <w:sz w:val="15"/>
                <w:szCs w:val="15"/>
                <w:color w:val="auto"/>
              </w:rPr>
            </w:pPr>
          </w:p>
        </w:tc>
        <w:tc>
          <w:tcPr>
            <w:tcW w:w="940" w:type="dxa"/>
            <w:vAlign w:val="bottom"/>
          </w:tcPr>
          <w:p>
            <w:pPr>
              <w:jc w:val="center"/>
              <w:ind w:right="114"/>
              <w:spacing w:after="0"/>
              <w:rPr>
                <w:sz w:val="20"/>
                <w:szCs w:val="20"/>
                <w:color w:val="auto"/>
              </w:rPr>
            </w:pPr>
            <w:r>
              <w:rPr>
                <w:rFonts w:ascii="Arial" w:cs="Arial" w:eastAsia="Arial" w:hAnsi="Arial"/>
                <w:sz w:val="11"/>
                <w:szCs w:val="11"/>
                <w:b w:val="1"/>
                <w:bCs w:val="1"/>
                <w:color w:val="auto"/>
                <w:w w:val="97"/>
              </w:rPr>
              <w:t>2025</w:t>
            </w:r>
          </w:p>
        </w:tc>
        <w:tc>
          <w:tcPr>
            <w:tcW w:w="180" w:type="dxa"/>
            <w:vAlign w:val="bottom"/>
          </w:tcPr>
          <w:p>
            <w:pPr>
              <w:spacing w:after="0"/>
              <w:rPr>
                <w:sz w:val="15"/>
                <w:szCs w:val="15"/>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7"/>
              </w:rPr>
              <w:t>2024</w:t>
            </w:r>
          </w:p>
        </w:tc>
        <w:tc>
          <w:tcPr>
            <w:tcW w:w="16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Arial" w:cs="Arial" w:eastAsia="Arial" w:hAnsi="Arial"/>
                <w:sz w:val="11"/>
                <w:szCs w:val="11"/>
                <w:b w:val="1"/>
                <w:bCs w:val="1"/>
                <w:color w:val="auto"/>
              </w:rPr>
              <w:t>Change</w:t>
            </w:r>
          </w:p>
        </w:tc>
        <w:tc>
          <w:tcPr>
            <w:tcW w:w="1020" w:type="dxa"/>
            <w:vAlign w:val="bottom"/>
          </w:tcPr>
          <w:p>
            <w:pPr>
              <w:jc w:val="right"/>
              <w:ind w:right="25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3"/>
          </w:tcPr>
          <w:p>
            <w:pPr>
              <w:jc w:val="right"/>
              <w:ind w:right="633"/>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Noninterest income:</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CarStory revenue</w:t>
            </w:r>
          </w:p>
        </w:tc>
        <w:tc>
          <w:tcPr>
            <w:tcW w:w="380" w:type="dxa"/>
            <w:vAlign w:val="bottom"/>
          </w:tcPr>
          <w:p>
            <w:pPr>
              <w:ind w:left="2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2,392</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2,824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2,979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(155)</w:t>
            </w:r>
          </w:p>
        </w:tc>
        <w:tc>
          <w:tcPr>
            <w:tcW w:w="10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62</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75</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173</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(98)</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noninterest income</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2,454</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445</w:t>
            </w:r>
          </w:p>
        </w:tc>
        <w:tc>
          <w:tcPr>
            <w:tcW w:w="18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2,899</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3,152</w:t>
            </w:r>
          </w:p>
        </w:tc>
        <w:tc>
          <w:tcPr>
            <w:tcW w:w="16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(253)</w:t>
            </w:r>
          </w:p>
        </w:tc>
        <w:tc>
          <w:tcPr>
            <w:tcW w:w="10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Expenses:</w:t>
            </w:r>
          </w:p>
        </w:tc>
        <w:tc>
          <w:tcPr>
            <w:tcW w:w="3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 and benefits</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1,360</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326</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1,686</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2,214</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(528)</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122</w:t>
            </w:r>
          </w:p>
        </w:tc>
        <w:tc>
          <w:tcPr>
            <w:tcW w:w="16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(109)</w:t>
            </w:r>
          </w:p>
        </w:tc>
        <w:tc>
          <w:tcPr>
            <w:tcW w:w="1020" w:type="dxa"/>
            <w:vAlign w:val="bottom"/>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Software and IT costs</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167</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(165)</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240</w:t>
            </w:r>
          </w:p>
        </w:tc>
        <w:tc>
          <w:tcPr>
            <w:tcW w:w="18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336</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1,605</w:t>
            </w:r>
          </w:p>
        </w:tc>
        <w:tc>
          <w:tcPr>
            <w:tcW w:w="16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(1,269)</w:t>
            </w:r>
          </w:p>
        </w:tc>
        <w:tc>
          <w:tcPr>
            <w:tcW w:w="1020" w:type="dxa"/>
            <w:vAlign w:val="bottom"/>
          </w:tcPr>
          <w:p>
            <w:pPr>
              <w:jc w:val="right"/>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380" w:type="dxa"/>
            <w:vAlign w:val="bottom"/>
            <w:shd w:val="clear" w:color="auto" w:fill="CFF0FC"/>
          </w:tcPr>
          <w:p>
            <w:pPr>
              <w:spacing w:after="0"/>
              <w:rPr>
                <w:sz w:val="19"/>
                <w:szCs w:val="19"/>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138</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158</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118</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4"/>
                <w:szCs w:val="14"/>
                <w:color w:val="auto"/>
              </w:rPr>
              <w:t>40</w:t>
            </w:r>
          </w:p>
        </w:tc>
        <w:tc>
          <w:tcPr>
            <w:tcW w:w="1020" w:type="dxa"/>
            <w:vAlign w:val="bottom"/>
            <w:shd w:val="clear" w:color="auto" w:fill="CFF0FC"/>
          </w:tcPr>
          <w:p>
            <w:pPr>
              <w:jc w:val="right"/>
              <w:spacing w:after="0" w:line="228" w:lineRule="exact"/>
              <w:rPr>
                <w:sz w:val="20"/>
                <w:szCs w:val="20"/>
                <w:color w:val="auto"/>
              </w:rPr>
            </w:pPr>
            <w:r>
              <w:rPr>
                <w:rFonts w:ascii="Arial" w:cs="Arial" w:eastAsia="Arial" w:hAnsi="Arial"/>
                <w:sz w:val="14"/>
                <w:szCs w:val="14"/>
                <w:color w:val="auto"/>
              </w:rPr>
              <w:t>33.9</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1,594</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601</w:t>
            </w:r>
          </w:p>
        </w:tc>
        <w:tc>
          <w:tcPr>
            <w:tcW w:w="18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2,195</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4,226</w:t>
            </w:r>
          </w:p>
        </w:tc>
        <w:tc>
          <w:tcPr>
            <w:tcW w:w="16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(2,031)</w:t>
            </w:r>
          </w:p>
        </w:tc>
        <w:tc>
          <w:tcPr>
            <w:tcW w:w="102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(18)</w:t>
            </w:r>
          </w:p>
        </w:tc>
        <w:tc>
          <w:tcPr>
            <w:tcW w:w="102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Adjusted net income (loss)</w:t>
            </w:r>
          </w:p>
        </w:tc>
        <w:tc>
          <w:tcPr>
            <w:tcW w:w="380" w:type="dxa"/>
            <w:vAlign w:val="bottom"/>
          </w:tcPr>
          <w:p>
            <w:pPr>
              <w:ind w:left="2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839</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686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(913)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1,599</w:t>
            </w:r>
          </w:p>
        </w:tc>
        <w:tc>
          <w:tcPr>
            <w:tcW w:w="1020" w:type="dxa"/>
            <w:vAlign w:val="bottom"/>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rPr>
              <w:t>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(197)</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382"/>
        </w:trPr>
        <w:tc>
          <w:tcPr>
            <w:tcW w:w="3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CarStory revenue</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696"/>
        <w:spacing w:after="0" w:line="262" w:lineRule="auto"/>
        <w:rPr>
          <w:sz w:val="20"/>
          <w:szCs w:val="20"/>
          <w:color w:val="auto"/>
        </w:rPr>
      </w:pPr>
      <w:r>
        <w:rPr>
          <w:rFonts w:ascii="Arial" w:cs="Arial" w:eastAsia="Arial" w:hAnsi="Arial"/>
          <w:sz w:val="16"/>
          <w:szCs w:val="16"/>
          <w:color w:val="auto"/>
        </w:rPr>
        <w:t>CarStory generates advertiser, publisher and other user service revenue by offering its AI-powered analytics and digital retailing services to dealers, automotive financial services companies and others in the automotive industry.</w:t>
      </w:r>
    </w:p>
    <w:p>
      <w:pPr>
        <w:spacing w:after="0" w:line="138" w:lineRule="exact"/>
        <w:rPr>
          <w:sz w:val="20"/>
          <w:szCs w:val="20"/>
          <w:color w:val="auto"/>
        </w:rPr>
      </w:pPr>
    </w:p>
    <w:p>
      <w:pPr>
        <w:ind w:right="300" w:firstLine="696"/>
        <w:spacing w:after="0" w:line="262" w:lineRule="auto"/>
        <w:rPr>
          <w:sz w:val="20"/>
          <w:szCs w:val="20"/>
          <w:color w:val="auto"/>
        </w:rPr>
      </w:pPr>
      <w:r>
        <w:rPr>
          <w:rFonts w:ascii="Arial" w:cs="Arial" w:eastAsia="Arial" w:hAnsi="Arial"/>
          <w:sz w:val="16"/>
          <w:szCs w:val="16"/>
          <w:color w:val="auto"/>
        </w:rPr>
        <w:t>CarStory revenue decreased $ 0.2 million or 5.2% to $2.8 million for the three months ended March 31, 2025, from $3.0 million for the three months ended March 31, 2024, primarily as a result of a change in the scope of service and data provided to our customers.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76" w:lineRule="exact"/>
        <w:rPr>
          <w:sz w:val="20"/>
          <w:szCs w:val="20"/>
          <w:color w:val="auto"/>
        </w:rPr>
      </w:pPr>
    </w:p>
    <w:p>
      <w:pPr>
        <w:ind w:right="60" w:firstLine="696"/>
        <w:spacing w:after="0" w:line="262" w:lineRule="auto"/>
        <w:rPr>
          <w:sz w:val="20"/>
          <w:szCs w:val="20"/>
          <w:color w:val="auto"/>
        </w:rPr>
      </w:pPr>
      <w:r>
        <w:rPr>
          <w:rFonts w:ascii="Arial" w:cs="Arial" w:eastAsia="Arial" w:hAnsi="Arial"/>
          <w:sz w:val="16"/>
          <w:szCs w:val="16"/>
          <w:color w:val="auto"/>
        </w:rPr>
        <w:t>Depreciation and amortization decreased $ 1.3 million or 79.1% to $ 0.3 million for the three months ended March 31, 2025 from $1.6 million for the three months ended March 31, 2024, primarily as a result lower intangible assets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7" w:name="page68"/>
    <w:bookmarkEnd w:id="6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upon emergence from our Prepackaged Chapter 11 Case, leading to lower amortization expense in the current year period.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net income (loss)</w:t>
      </w:r>
    </w:p>
    <w:p>
      <w:pPr>
        <w:spacing w:after="0" w:line="176" w:lineRule="exact"/>
        <w:rPr>
          <w:sz w:val="20"/>
          <w:szCs w:val="20"/>
          <w:color w:val="auto"/>
        </w:rPr>
      </w:pPr>
    </w:p>
    <w:p>
      <w:pPr>
        <w:jc w:val="both"/>
        <w:ind w:right="40" w:firstLine="696"/>
        <w:spacing w:after="0" w:line="248" w:lineRule="auto"/>
        <w:rPr>
          <w:sz w:val="20"/>
          <w:szCs w:val="20"/>
          <w:color w:val="auto"/>
        </w:rPr>
      </w:pPr>
      <w:r>
        <w:rPr>
          <w:rFonts w:ascii="Arial" w:cs="Arial" w:eastAsia="Arial" w:hAnsi="Arial"/>
          <w:sz w:val="16"/>
          <w:szCs w:val="16"/>
          <w:color w:val="auto"/>
        </w:rPr>
        <w:t>CarStory Adjusted net income (loss) increased $1.6 million or 175.1% to $0.7 million for the three months ended March 31, 2025 as compared to $(0.9) million adjusted net income (loss) for the three months ended March 31, 2024 primarily due to lower depreciation and amortization expense as a result of lower intangible assets upon emergence from the Prepackaged Chapter 11 Case.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8"/>
              </w:rPr>
              <w:t>Non-GAAP</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w w:val="96"/>
              </w:rPr>
              <w:t>Successor</w:t>
            </w:r>
          </w:p>
        </w:tc>
        <w:tc>
          <w:tcPr>
            <w:tcW w:w="220" w:type="dxa"/>
            <w:vAlign w:val="bottom"/>
          </w:tcPr>
          <w:p>
            <w:pPr>
              <w:spacing w:after="0"/>
              <w:rPr>
                <w:sz w:val="11"/>
                <w:szCs w:val="11"/>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6"/>
              </w:rPr>
              <w:t>Predecessor</w:t>
            </w:r>
          </w:p>
        </w:tc>
        <w:tc>
          <w:tcPr>
            <w:tcW w:w="18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6"/>
              </w:rPr>
              <w:t>Combined</w:t>
            </w:r>
          </w:p>
        </w:tc>
        <w:tc>
          <w:tcPr>
            <w:tcW w:w="16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6"/>
              </w:rPr>
              <w:t>Predecessor</w:t>
            </w:r>
          </w:p>
        </w:tc>
        <w:tc>
          <w:tcPr>
            <w:tcW w:w="160" w:type="dxa"/>
            <w:vAlign w:val="bottom"/>
          </w:tcPr>
          <w:p>
            <w:pPr>
              <w:spacing w:after="0"/>
              <w:rPr>
                <w:sz w:val="11"/>
                <w:szCs w:val="11"/>
                <w:color w:val="auto"/>
              </w:rPr>
            </w:pPr>
          </w:p>
        </w:tc>
        <w:tc>
          <w:tcPr>
            <w:tcW w:w="840" w:type="dxa"/>
            <w:vAlign w:val="bottom"/>
          </w:tcPr>
          <w:p>
            <w:pPr>
              <w:jc w:val="right"/>
              <w:ind w:right="211"/>
              <w:spacing w:after="0"/>
              <w:rPr>
                <w:sz w:val="20"/>
                <w:szCs w:val="20"/>
                <w:color w:val="auto"/>
              </w:rPr>
            </w:pPr>
            <w:r>
              <w:rPr>
                <w:rFonts w:ascii="Arial" w:cs="Arial" w:eastAsia="Arial" w:hAnsi="Arial"/>
                <w:sz w:val="11"/>
                <w:szCs w:val="11"/>
                <w:b w:val="1"/>
                <w:bCs w:val="1"/>
                <w:color w:val="auto"/>
                <w:w w:val="94"/>
              </w:rPr>
              <w:t>Non-GAAP</w:t>
            </w:r>
          </w:p>
        </w:tc>
        <w:tc>
          <w:tcPr>
            <w:tcW w:w="1020" w:type="dxa"/>
            <w:vAlign w:val="bottom"/>
          </w:tcPr>
          <w:p>
            <w:pPr>
              <w:jc w:val="right"/>
              <w:ind w:right="250"/>
              <w:spacing w:after="0"/>
              <w:rPr>
                <w:sz w:val="20"/>
                <w:szCs w:val="20"/>
                <w:color w:val="auto"/>
              </w:rPr>
            </w:pPr>
            <w:r>
              <w:rPr>
                <w:rFonts w:ascii="Arial" w:cs="Arial" w:eastAsia="Arial" w:hAnsi="Arial"/>
                <w:sz w:val="11"/>
                <w:szCs w:val="11"/>
                <w:b w:val="1"/>
                <w:bCs w:val="1"/>
                <w:color w:val="auto"/>
              </w:rPr>
              <w:t>Non-GAAP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jc w:val="center"/>
              <w:ind w:right="252"/>
              <w:spacing w:after="0"/>
              <w:rPr>
                <w:sz w:val="20"/>
                <w:szCs w:val="20"/>
                <w:color w:val="auto"/>
              </w:rPr>
            </w:pPr>
            <w:r>
              <w:rPr>
                <w:rFonts w:ascii="Arial" w:cs="Arial" w:eastAsia="Arial" w:hAnsi="Arial"/>
                <w:sz w:val="11"/>
                <w:szCs w:val="11"/>
                <w:b w:val="1"/>
                <w:bCs w:val="1"/>
                <w:color w:val="auto"/>
                <w:w w:val="97"/>
              </w:rPr>
              <w:t>Period from</w:t>
            </w:r>
          </w:p>
        </w:tc>
        <w:tc>
          <w:tcPr>
            <w:tcW w:w="220" w:type="dxa"/>
            <w:vAlign w:val="bottom"/>
          </w:tcPr>
          <w:p>
            <w:pPr>
              <w:spacing w:after="0"/>
              <w:rPr>
                <w:sz w:val="11"/>
                <w:szCs w:val="11"/>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7"/>
              </w:rPr>
              <w:t>Period from</w:t>
            </w:r>
          </w:p>
        </w:tc>
        <w:tc>
          <w:tcPr>
            <w:tcW w:w="180" w:type="dxa"/>
            <w:vAlign w:val="bottom"/>
          </w:tcPr>
          <w:p>
            <w:pPr>
              <w:spacing w:after="0"/>
              <w:rPr>
                <w:sz w:val="11"/>
                <w:szCs w:val="11"/>
                <w:color w:val="auto"/>
              </w:rPr>
            </w:pPr>
          </w:p>
        </w:tc>
        <w:tc>
          <w:tcPr>
            <w:tcW w:w="960" w:type="dxa"/>
            <w:vAlign w:val="bottom"/>
          </w:tcPr>
          <w:p>
            <w:pPr>
              <w:jc w:val="center"/>
              <w:ind w:right="153"/>
              <w:spacing w:after="0"/>
              <w:rPr>
                <w:sz w:val="20"/>
                <w:szCs w:val="20"/>
                <w:color w:val="auto"/>
              </w:rPr>
            </w:pPr>
            <w:r>
              <w:rPr>
                <w:rFonts w:ascii="Arial" w:cs="Arial" w:eastAsia="Arial" w:hAnsi="Arial"/>
                <w:sz w:val="11"/>
                <w:szCs w:val="11"/>
                <w:b w:val="1"/>
                <w:bCs w:val="1"/>
                <w:color w:val="auto"/>
                <w:w w:val="96"/>
              </w:rPr>
              <w:t>Three Months</w:t>
            </w:r>
          </w:p>
        </w:tc>
        <w:tc>
          <w:tcPr>
            <w:tcW w:w="16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9"/>
              </w:rPr>
              <w:t>Three Months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right w:val="single" w:sz="8" w:color="auto"/>
            </w:tcBorders>
          </w:tcPr>
          <w:p>
            <w:pPr>
              <w:jc w:val="center"/>
              <w:ind w:right="272"/>
              <w:spacing w:after="0"/>
              <w:rPr>
                <w:sz w:val="20"/>
                <w:szCs w:val="20"/>
                <w:color w:val="auto"/>
              </w:rPr>
            </w:pPr>
            <w:r>
              <w:rPr>
                <w:rFonts w:ascii="Arial" w:cs="Arial" w:eastAsia="Arial" w:hAnsi="Arial"/>
                <w:sz w:val="11"/>
                <w:szCs w:val="11"/>
                <w:b w:val="1"/>
                <w:bCs w:val="1"/>
                <w:color w:val="auto"/>
              </w:rPr>
              <w:t>January 15</w:t>
            </w:r>
          </w:p>
        </w:tc>
        <w:tc>
          <w:tcPr>
            <w:tcW w:w="11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January 1 through</w:t>
            </w:r>
          </w:p>
        </w:tc>
        <w:tc>
          <w:tcPr>
            <w:tcW w:w="18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5"/>
              </w:rPr>
              <w:t>Ended</w:t>
            </w:r>
          </w:p>
        </w:tc>
        <w:tc>
          <w:tcPr>
            <w:tcW w:w="160" w:type="dxa"/>
            <w:vAlign w:val="bottom"/>
          </w:tcPr>
          <w:p>
            <w:pPr>
              <w:spacing w:after="0"/>
              <w:rPr>
                <w:sz w:val="11"/>
                <w:szCs w:val="11"/>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5"/>
              </w:rPr>
              <w:t>Ended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2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through March 31,</w:t>
            </w:r>
          </w:p>
        </w:tc>
        <w:tc>
          <w:tcPr>
            <w:tcW w:w="220" w:type="dxa"/>
            <w:vAlign w:val="bottom"/>
          </w:tcPr>
          <w:p>
            <w:pPr>
              <w:spacing w:after="0"/>
              <w:rPr>
                <w:sz w:val="12"/>
                <w:szCs w:val="12"/>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9"/>
              </w:rPr>
              <w:t>January 14,</w:t>
            </w:r>
          </w:p>
        </w:tc>
        <w:tc>
          <w:tcPr>
            <w:tcW w:w="180" w:type="dxa"/>
            <w:vAlign w:val="bottom"/>
          </w:tcPr>
          <w:p>
            <w:pPr>
              <w:spacing w:after="0"/>
              <w:rPr>
                <w:sz w:val="12"/>
                <w:szCs w:val="12"/>
                <w:color w:val="auto"/>
              </w:rPr>
            </w:pPr>
          </w:p>
        </w:tc>
        <w:tc>
          <w:tcPr>
            <w:tcW w:w="960" w:type="dxa"/>
            <w:vAlign w:val="bottom"/>
          </w:tcPr>
          <w:p>
            <w:pPr>
              <w:jc w:val="center"/>
              <w:ind w:right="153"/>
              <w:spacing w:after="0"/>
              <w:rPr>
                <w:sz w:val="20"/>
                <w:szCs w:val="20"/>
                <w:color w:val="auto"/>
              </w:rPr>
            </w:pPr>
            <w:r>
              <w:rPr>
                <w:rFonts w:ascii="Arial" w:cs="Arial" w:eastAsia="Arial" w:hAnsi="Arial"/>
                <w:sz w:val="11"/>
                <w:szCs w:val="11"/>
                <w:b w:val="1"/>
                <w:bCs w:val="1"/>
                <w:color w:val="auto"/>
                <w:w w:val="98"/>
              </w:rPr>
              <w:t>March 31,</w:t>
            </w:r>
          </w:p>
        </w:tc>
        <w:tc>
          <w:tcPr>
            <w:tcW w:w="160" w:type="dxa"/>
            <w:vAlign w:val="bottom"/>
          </w:tcPr>
          <w:p>
            <w:pPr>
              <w:spacing w:after="0"/>
              <w:rPr>
                <w:sz w:val="12"/>
                <w:szCs w:val="12"/>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4"/>
              </w:rPr>
              <w:t>March 31,</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auto"/>
            </w:tcBorders>
          </w:tcPr>
          <w:p>
            <w:pPr>
              <w:jc w:val="center"/>
              <w:ind w:right="252"/>
              <w:spacing w:after="0"/>
              <w:rPr>
                <w:sz w:val="20"/>
                <w:szCs w:val="20"/>
                <w:color w:val="auto"/>
              </w:rPr>
            </w:pPr>
            <w:r>
              <w:rPr>
                <w:rFonts w:ascii="Arial" w:cs="Arial" w:eastAsia="Arial" w:hAnsi="Arial"/>
                <w:sz w:val="11"/>
                <w:szCs w:val="11"/>
                <w:b w:val="1"/>
                <w:bCs w:val="1"/>
                <w:color w:val="auto"/>
                <w:w w:val="97"/>
              </w:rPr>
              <w:t>2025</w:t>
            </w:r>
          </w:p>
        </w:tc>
        <w:tc>
          <w:tcPr>
            <w:tcW w:w="220" w:type="dxa"/>
            <w:vAlign w:val="bottom"/>
          </w:tcPr>
          <w:p>
            <w:pPr>
              <w:spacing w:after="0"/>
              <w:rPr>
                <w:sz w:val="15"/>
                <w:szCs w:val="15"/>
                <w:color w:val="auto"/>
              </w:rPr>
            </w:pPr>
          </w:p>
        </w:tc>
        <w:tc>
          <w:tcPr>
            <w:tcW w:w="960" w:type="dxa"/>
            <w:vAlign w:val="bottom"/>
          </w:tcPr>
          <w:p>
            <w:pPr>
              <w:jc w:val="center"/>
              <w:ind w:right="172"/>
              <w:spacing w:after="0"/>
              <w:rPr>
                <w:sz w:val="20"/>
                <w:szCs w:val="20"/>
                <w:color w:val="auto"/>
              </w:rPr>
            </w:pPr>
            <w:r>
              <w:rPr>
                <w:rFonts w:ascii="Arial" w:cs="Arial" w:eastAsia="Arial" w:hAnsi="Arial"/>
                <w:sz w:val="11"/>
                <w:szCs w:val="11"/>
                <w:b w:val="1"/>
                <w:bCs w:val="1"/>
                <w:color w:val="auto"/>
                <w:w w:val="97"/>
              </w:rPr>
              <w:t>2025</w:t>
            </w:r>
          </w:p>
        </w:tc>
        <w:tc>
          <w:tcPr>
            <w:tcW w:w="180" w:type="dxa"/>
            <w:vAlign w:val="bottom"/>
          </w:tcPr>
          <w:p>
            <w:pPr>
              <w:spacing w:after="0"/>
              <w:rPr>
                <w:sz w:val="15"/>
                <w:szCs w:val="15"/>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7"/>
              </w:rPr>
              <w:t>2025</w:t>
            </w:r>
          </w:p>
        </w:tc>
        <w:tc>
          <w:tcPr>
            <w:tcW w:w="160" w:type="dxa"/>
            <w:vAlign w:val="bottom"/>
          </w:tcPr>
          <w:p>
            <w:pPr>
              <w:spacing w:after="0"/>
              <w:rPr>
                <w:sz w:val="15"/>
                <w:szCs w:val="15"/>
                <w:color w:val="auto"/>
              </w:rPr>
            </w:pPr>
          </w:p>
        </w:tc>
        <w:tc>
          <w:tcPr>
            <w:tcW w:w="960" w:type="dxa"/>
            <w:vAlign w:val="bottom"/>
          </w:tcPr>
          <w:p>
            <w:pPr>
              <w:jc w:val="center"/>
              <w:ind w:right="133"/>
              <w:spacing w:after="0"/>
              <w:rPr>
                <w:sz w:val="20"/>
                <w:szCs w:val="20"/>
                <w:color w:val="auto"/>
              </w:rPr>
            </w:pPr>
            <w:r>
              <w:rPr>
                <w:rFonts w:ascii="Arial" w:cs="Arial" w:eastAsia="Arial" w:hAnsi="Arial"/>
                <w:sz w:val="11"/>
                <w:szCs w:val="11"/>
                <w:b w:val="1"/>
                <w:bCs w:val="1"/>
                <w:color w:val="auto"/>
                <w:w w:val="97"/>
              </w:rPr>
              <w:t>2024</w:t>
            </w:r>
          </w:p>
        </w:tc>
        <w:tc>
          <w:tcPr>
            <w:tcW w:w="16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Arial" w:cs="Arial" w:eastAsia="Arial" w:hAnsi="Arial"/>
                <w:sz w:val="11"/>
                <w:szCs w:val="11"/>
                <w:b w:val="1"/>
                <w:bCs w:val="1"/>
                <w:color w:val="auto"/>
              </w:rPr>
              <w:t>Change</w:t>
            </w:r>
          </w:p>
        </w:tc>
        <w:tc>
          <w:tcPr>
            <w:tcW w:w="1020" w:type="dxa"/>
            <w:vAlign w:val="bottom"/>
          </w:tcPr>
          <w:p>
            <w:pPr>
              <w:jc w:val="right"/>
              <w:ind w:right="250"/>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3"/>
          </w:tcPr>
          <w:p>
            <w:pPr>
              <w:jc w:val="right"/>
              <w:ind w:right="633"/>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(71)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4"/>
                <w:szCs w:val="14"/>
                <w:color w:val="auto"/>
              </w:rPr>
              <w:t>(464)</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4"/>
                <w:szCs w:val="14"/>
                <w:color w:val="auto"/>
              </w:rPr>
              <w:t>393</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rPr>
              <w:t>(1,591)</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(855)</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(2,446)</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3,058</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(5,504)</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Net interest income (loss) after losses and recoveries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1,591</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784</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2,375</w:t>
            </w:r>
          </w:p>
        </w:tc>
        <w:tc>
          <w:tcPr>
            <w:tcW w:w="16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(3,521)</w:t>
            </w:r>
          </w:p>
        </w:tc>
        <w:tc>
          <w:tcPr>
            <w:tcW w:w="160" w:type="dxa"/>
            <w:vAlign w:val="bottom"/>
          </w:tcPr>
          <w:p>
            <w:pPr>
              <w:spacing w:after="0"/>
              <w:rPr>
                <w:sz w:val="14"/>
                <w:szCs w:val="14"/>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5,896</w:t>
            </w:r>
          </w:p>
        </w:tc>
        <w:tc>
          <w:tcPr>
            <w:tcW w:w="1020" w:type="dxa"/>
            <w:vAlign w:val="bottom"/>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Noninterest income:</w:t>
            </w:r>
          </w:p>
        </w:tc>
        <w:tc>
          <w:tcPr>
            <w:tcW w:w="3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Warranties and GAP income (loss), net</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508</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(83)</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425</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4"/>
                <w:szCs w:val="14"/>
                <w:color w:val="auto"/>
              </w:rPr>
              <w:t>(11,252)</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4"/>
                <w:szCs w:val="14"/>
                <w:color w:val="auto"/>
              </w:rPr>
              <w:t>11,677</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218</w:t>
            </w:r>
          </w:p>
        </w:tc>
        <w:tc>
          <w:tcPr>
            <w:tcW w:w="16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141</w:t>
            </w:r>
          </w:p>
        </w:tc>
        <w:tc>
          <w:tcPr>
            <w:tcW w:w="160" w:type="dxa"/>
            <w:vAlign w:val="bottom"/>
          </w:tcPr>
          <w:p>
            <w:pPr>
              <w:spacing w:after="0"/>
              <w:rPr>
                <w:sz w:val="14"/>
                <w:szCs w:val="14"/>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77</w:t>
            </w:r>
          </w:p>
        </w:tc>
        <w:tc>
          <w:tcPr>
            <w:tcW w:w="102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Total noninterest income</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692</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643</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4"/>
                <w:szCs w:val="14"/>
                <w:color w:val="auto"/>
              </w:rPr>
              <w:t>(11,111)</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4"/>
                <w:szCs w:val="14"/>
                <w:color w:val="auto"/>
              </w:rPr>
              <w:t>11,754</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1,013</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1,112</w:t>
            </w:r>
          </w:p>
        </w:tc>
        <w:tc>
          <w:tcPr>
            <w:tcW w:w="16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3,109</w:t>
            </w:r>
          </w:p>
        </w:tc>
        <w:tc>
          <w:tcPr>
            <w:tcW w:w="16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(1,997)</w:t>
            </w:r>
          </w:p>
        </w:tc>
        <w:tc>
          <w:tcPr>
            <w:tcW w:w="102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2,278</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112</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2,390</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2,345</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11"/>
              <w:spacing w:after="0"/>
              <w:rPr>
                <w:sz w:val="20"/>
                <w:szCs w:val="20"/>
                <w:color w:val="auto"/>
              </w:rPr>
            </w:pPr>
            <w:r>
              <w:rPr>
                <w:rFonts w:ascii="Arial" w:cs="Arial" w:eastAsia="Arial" w:hAnsi="Arial"/>
                <w:sz w:val="14"/>
                <w:szCs w:val="14"/>
                <w:color w:val="auto"/>
              </w:rPr>
              <w:t>45</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316</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88</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404</w:t>
            </w:r>
          </w:p>
        </w:tc>
        <w:tc>
          <w:tcPr>
            <w:tcW w:w="16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1,358</w:t>
            </w:r>
          </w:p>
        </w:tc>
        <w:tc>
          <w:tcPr>
            <w:tcW w:w="16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(954)</w:t>
            </w:r>
          </w:p>
        </w:tc>
        <w:tc>
          <w:tcPr>
            <w:tcW w:w="102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on corporate debt</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91</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920</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(829)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677</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677</w:t>
            </w:r>
          </w:p>
        </w:tc>
        <w:tc>
          <w:tcPr>
            <w:tcW w:w="16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677</w:t>
            </w: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rPr>
              <w:t>562</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89</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651</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1,813</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(1,162)</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3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4,846</w:t>
            </w: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5,325</w:t>
            </w:r>
          </w:p>
        </w:tc>
        <w:tc>
          <w:tcPr>
            <w:tcW w:w="16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9,544</w:t>
            </w:r>
          </w:p>
        </w:tc>
        <w:tc>
          <w:tcPr>
            <w:tcW w:w="160" w:type="dxa"/>
            <w:vAlign w:val="bottom"/>
          </w:tcPr>
          <w:p>
            <w:pPr>
              <w:spacing w:after="0"/>
              <w:rPr>
                <w:sz w:val="18"/>
                <w:szCs w:val="18"/>
                <w:color w:val="auto"/>
              </w:rPr>
            </w:pPr>
          </w:p>
        </w:tc>
        <w:tc>
          <w:tcPr>
            <w:tcW w:w="840" w:type="dxa"/>
            <w:vAlign w:val="bottom"/>
          </w:tcPr>
          <w:p>
            <w:pPr>
              <w:jc w:val="right"/>
              <w:ind w:right="71"/>
              <w:spacing w:after="0" w:line="216" w:lineRule="exact"/>
              <w:rPr>
                <w:sz w:val="20"/>
                <w:szCs w:val="20"/>
                <w:color w:val="auto"/>
              </w:rPr>
            </w:pPr>
            <w:r>
              <w:rPr>
                <w:rFonts w:ascii="Arial" w:cs="Arial" w:eastAsia="Arial" w:hAnsi="Arial"/>
                <w:sz w:val="13"/>
                <w:szCs w:val="13"/>
                <w:color w:val="auto"/>
              </w:rPr>
              <w:t>(4,219</w:t>
            </w:r>
            <w:r>
              <w:rPr>
                <w:rFonts w:ascii="Arial" w:cs="Arial" w:eastAsia="Arial" w:hAnsi="Arial"/>
                <w:sz w:val="25"/>
                <w:szCs w:val="25"/>
                <w:color w:val="auto"/>
                <w:vertAlign w:val="subscript"/>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380" w:type="dxa"/>
            <w:vAlign w:val="bottom"/>
          </w:tcPr>
          <w:p>
            <w:pPr>
              <w:spacing w:after="0"/>
              <w:rPr>
                <w:sz w:val="14"/>
                <w:szCs w:val="14"/>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95</w:t>
            </w:r>
          </w:p>
        </w:tc>
        <w:tc>
          <w:tcPr>
            <w:tcW w:w="16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4"/>
                <w:szCs w:val="14"/>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133</w:t>
            </w:r>
          </w:p>
        </w:tc>
        <w:tc>
          <w:tcPr>
            <w:tcW w:w="1020" w:type="dxa"/>
            <w:vAlign w:val="bottom"/>
          </w:tcPr>
          <w:p>
            <w:pPr>
              <w:jc w:val="right"/>
              <w:spacing w:after="0"/>
              <w:rPr>
                <w:sz w:val="20"/>
                <w:szCs w:val="20"/>
                <w:color w:val="auto"/>
              </w:rPr>
            </w:pPr>
            <w:r>
              <w:rPr>
                <w:rFonts w:ascii="Arial" w:cs="Arial" w:eastAsia="Arial" w:hAnsi="Arial"/>
                <w:sz w:val="14"/>
                <w:szCs w:val="14"/>
                <w:color w:val="auto"/>
              </w:rPr>
              <w:t>350.0%</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80" w:firstLine="708"/>
        <w:spacing w:after="0"/>
        <w:rPr>
          <w:sz w:val="20"/>
          <w:szCs w:val="20"/>
          <w:color w:val="auto"/>
        </w:rPr>
      </w:pPr>
      <w:r>
        <w:rPr>
          <w:rFonts w:ascii="Arial" w:cs="Arial" w:eastAsia="Arial" w:hAnsi="Arial"/>
          <w:sz w:val="16"/>
          <w:szCs w:val="16"/>
          <w:color w:val="auto"/>
        </w:rPr>
        <w:t>Corporate activities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have been renegotiated and right-sized to account for reduced headcount following the Ecommerce Wind-down.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Warranties and GAP income (loss), net</w:t>
      </w:r>
    </w:p>
    <w:p>
      <w:pPr>
        <w:spacing w:after="0" w:line="176" w:lineRule="exact"/>
        <w:rPr>
          <w:sz w:val="20"/>
          <w:szCs w:val="20"/>
          <w:color w:val="auto"/>
        </w:rPr>
      </w:pPr>
    </w:p>
    <w:p>
      <w:pPr>
        <w:ind w:firstLine="708"/>
        <w:spacing w:after="0" w:line="244" w:lineRule="auto"/>
        <w:rPr>
          <w:sz w:val="20"/>
          <w:szCs w:val="20"/>
          <w:color w:val="auto"/>
        </w:rPr>
      </w:pPr>
      <w:r>
        <w:rPr>
          <w:rFonts w:ascii="Arial" w:cs="Arial" w:eastAsia="Arial" w:hAnsi="Arial"/>
          <w:sz w:val="16"/>
          <w:szCs w:val="16"/>
          <w:color w:val="auto"/>
        </w:rPr>
        <w:t>Prior to the Ecommerce Wind-Down, we offered value-added products to our customers pursuant to arrangements with the third parties that sell and administer these products as well as estimated profit- sharing amounts to which we are entitled based on the performance of third-party protection products once a required claims period has passed. A portion of the fees we received are subject to chargeback in the event of early termination, default, or</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68" w:name="page69"/>
    <w:bookmarkEnd w:id="6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prepayment of the contracts by our customers. Warranties and GAP income (loss), net recorded within Corporate, relates to the runoff of policies sold prior to the Ecommerce Wind-Down.</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See “Note 3 — Revenue Recognition” to our condensed consolidated financial statements included elsewhere in this Quarterly Report on Form</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10-Q.</w:t>
      </w:r>
    </w:p>
    <w:p>
      <w:pPr>
        <w:spacing w:after="0" w:line="162" w:lineRule="exact"/>
        <w:rPr>
          <w:sz w:val="20"/>
          <w:szCs w:val="20"/>
          <w:color w:val="auto"/>
        </w:rPr>
      </w:pPr>
    </w:p>
    <w:p>
      <w:pPr>
        <w:ind w:right="380" w:firstLine="708"/>
        <w:spacing w:after="0" w:line="248" w:lineRule="auto"/>
        <w:rPr>
          <w:sz w:val="20"/>
          <w:szCs w:val="20"/>
          <w:color w:val="auto"/>
        </w:rPr>
      </w:pPr>
      <w:r>
        <w:rPr>
          <w:rFonts w:ascii="Arial" w:cs="Arial" w:eastAsia="Arial" w:hAnsi="Arial"/>
          <w:sz w:val="16"/>
          <w:szCs w:val="16"/>
          <w:color w:val="auto"/>
        </w:rPr>
        <w:t>Warranties and GAP income (loss), net increased $11.7 million or 103.8% to income of $0.4 million for the three months ended March 31, 2025, from a loss of $ 11.3 million for the three months ended March 31, 2024, primarily as a result of a revised estimate of proceeds we expect to recover as a result of the Ecommerce Wind-Down that was recorded in the prior year period.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w:t>
      </w:r>
    </w:p>
    <w:p>
      <w:pPr>
        <w:spacing w:after="0" w:line="176" w:lineRule="exact"/>
        <w:rPr>
          <w:sz w:val="20"/>
          <w:szCs w:val="20"/>
          <w:color w:val="auto"/>
        </w:rPr>
      </w:pPr>
    </w:p>
    <w:p>
      <w:pPr>
        <w:ind w:right="80" w:firstLine="708"/>
        <w:spacing w:after="0" w:line="248" w:lineRule="auto"/>
        <w:rPr>
          <w:sz w:val="20"/>
          <w:szCs w:val="20"/>
          <w:color w:val="auto"/>
        </w:rPr>
      </w:pPr>
      <w:r>
        <w:rPr>
          <w:rFonts w:ascii="Arial" w:cs="Arial" w:eastAsia="Arial" w:hAnsi="Arial"/>
          <w:sz w:val="16"/>
          <w:szCs w:val="16"/>
          <w:color w:val="auto"/>
        </w:rPr>
        <w:t>Other income primarily represents interest earned on cash and cash equivalents. Other income increased $0.1 million or 54.3% to $0.2 million for the three months ended March 31, 2025, from $0.1 million for the three months ended March 31, 2024, primarily driven by lower cash and cash equivalent balances.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and benefits</w:t>
      </w:r>
    </w:p>
    <w:p>
      <w:pPr>
        <w:spacing w:after="0" w:line="176" w:lineRule="exact"/>
        <w:rPr>
          <w:sz w:val="20"/>
          <w:szCs w:val="20"/>
          <w:color w:val="auto"/>
        </w:rPr>
      </w:pPr>
    </w:p>
    <w:p>
      <w:pPr>
        <w:jc w:val="both"/>
        <w:ind w:right="260" w:firstLine="696"/>
        <w:spacing w:after="0" w:line="248" w:lineRule="auto"/>
        <w:rPr>
          <w:sz w:val="20"/>
          <w:szCs w:val="20"/>
          <w:color w:val="auto"/>
        </w:rPr>
      </w:pPr>
      <w:r>
        <w:rPr>
          <w:rFonts w:ascii="Arial" w:cs="Arial" w:eastAsia="Arial" w:hAnsi="Arial"/>
          <w:sz w:val="16"/>
          <w:szCs w:val="16"/>
          <w:color w:val="auto"/>
        </w:rPr>
        <w:t>Compensation and benefits expense decreased $2.0 million or 64.2% to $1.1 million for the three months ended March 31, 2025 from $3.1 million for the three months ended March 31, 2024, primarily as a result of lower expense due to the departure of certain key executives and retention bonuses granted to retain key employees paid out in the prior year period subsequent to the Ecommerce Wind-Down.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fees</w:t>
      </w:r>
    </w:p>
    <w:p>
      <w:pPr>
        <w:spacing w:after="0" w:line="176" w:lineRule="exact"/>
        <w:rPr>
          <w:sz w:val="20"/>
          <w:szCs w:val="20"/>
          <w:color w:val="auto"/>
        </w:rPr>
      </w:pPr>
    </w:p>
    <w:p>
      <w:pPr>
        <w:ind w:right="380" w:firstLine="696"/>
        <w:spacing w:after="0" w:line="262" w:lineRule="auto"/>
        <w:rPr>
          <w:sz w:val="20"/>
          <w:szCs w:val="20"/>
          <w:color w:val="auto"/>
        </w:rPr>
      </w:pPr>
      <w:r>
        <w:rPr>
          <w:rFonts w:ascii="Arial" w:cs="Arial" w:eastAsia="Arial" w:hAnsi="Arial"/>
          <w:sz w:val="16"/>
          <w:szCs w:val="16"/>
          <w:color w:val="auto"/>
        </w:rPr>
        <w:t>Professional fees increased $0.1 million or 1.9% to $2.4 million for the three months ended March 31, 2025, from $2.3 million for the three months ended March 31, 2024.</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Software and IT costs</w:t>
      </w:r>
    </w:p>
    <w:p>
      <w:pPr>
        <w:spacing w:after="0" w:line="176" w:lineRule="exact"/>
        <w:rPr>
          <w:sz w:val="20"/>
          <w:szCs w:val="20"/>
          <w:color w:val="auto"/>
        </w:rPr>
      </w:pPr>
    </w:p>
    <w:p>
      <w:pPr>
        <w:ind w:right="220" w:firstLine="696"/>
        <w:spacing w:after="0" w:line="248" w:lineRule="auto"/>
        <w:rPr>
          <w:sz w:val="20"/>
          <w:szCs w:val="20"/>
          <w:color w:val="auto"/>
        </w:rPr>
      </w:pPr>
      <w:r>
        <w:rPr>
          <w:rFonts w:ascii="Arial" w:cs="Arial" w:eastAsia="Arial" w:hAnsi="Arial"/>
          <w:sz w:val="16"/>
          <w:szCs w:val="16"/>
          <w:color w:val="auto"/>
        </w:rPr>
        <w:t>Software and IT costs decreased $1.0 million or 70.3% to $0.4 million for the three months ended March 31, 2025, from $1.4 million for the three months ended March 31, 2024, primarily as a result of more efficient targeted software use as well as renegotiating and right-sizing our Software and IT contracts.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on corporate debt</w:t>
      </w:r>
    </w:p>
    <w:p>
      <w:pPr>
        <w:spacing w:after="0" w:line="176" w:lineRule="exact"/>
        <w:rPr>
          <w:sz w:val="20"/>
          <w:szCs w:val="20"/>
          <w:color w:val="auto"/>
        </w:rPr>
      </w:pPr>
    </w:p>
    <w:p>
      <w:pPr>
        <w:jc w:val="both"/>
        <w:ind w:right="380" w:firstLine="696"/>
        <w:spacing w:after="0" w:line="248" w:lineRule="auto"/>
        <w:rPr>
          <w:sz w:val="20"/>
          <w:szCs w:val="20"/>
          <w:color w:val="auto"/>
        </w:rPr>
      </w:pPr>
      <w:r>
        <w:rPr>
          <w:rFonts w:ascii="Arial" w:cs="Arial" w:eastAsia="Arial" w:hAnsi="Arial"/>
          <w:sz w:val="16"/>
          <w:szCs w:val="16"/>
          <w:color w:val="auto"/>
        </w:rPr>
        <w:t>Interest expense on corporate debt decreased $0.8 million or 90.1% to $0.1 million for the three months ended March 31, 2025, from $0.9 million for the three months ended March 31, 2024, primarily related to the extinguishment of our Notes that were converted to equity as part of our Prepackaged Chapter 11 Case.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expenses</w:t>
      </w:r>
    </w:p>
    <w:p>
      <w:pPr>
        <w:spacing w:after="0" w:line="176" w:lineRule="exact"/>
        <w:rPr>
          <w:sz w:val="20"/>
          <w:szCs w:val="20"/>
          <w:color w:val="auto"/>
        </w:rPr>
      </w:pPr>
    </w:p>
    <w:p>
      <w:pPr>
        <w:ind w:right="60" w:firstLine="696"/>
        <w:spacing w:after="0" w:line="248" w:lineRule="auto"/>
        <w:rPr>
          <w:sz w:val="20"/>
          <w:szCs w:val="20"/>
          <w:color w:val="auto"/>
        </w:rPr>
      </w:pPr>
      <w:r>
        <w:rPr>
          <w:rFonts w:ascii="Arial" w:cs="Arial" w:eastAsia="Arial" w:hAnsi="Arial"/>
          <w:sz w:val="16"/>
          <w:szCs w:val="16"/>
          <w:color w:val="auto"/>
        </w:rPr>
        <w:t>Other expenses decreased $1.1 million or 64.1% to $0.7 million for the three months ended March 31, 2025 from $1.8 million for the three months ended March 31, 2024, primarily related to a decrease in public-company related insurance costs as we renegotiated our insurance policies as a result of the reduced scale of the business.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178" w:lineRule="exact"/>
        <w:rPr>
          <w:sz w:val="20"/>
          <w:szCs w:val="20"/>
          <w:color w:val="auto"/>
        </w:rPr>
      </w:pPr>
    </w:p>
    <w:p>
      <w:pPr>
        <w:ind w:right="60" w:firstLine="708"/>
        <w:spacing w:after="0" w:line="244" w:lineRule="auto"/>
        <w:rPr>
          <w:sz w:val="20"/>
          <w:szCs w:val="20"/>
          <w:color w:val="auto"/>
        </w:rPr>
      </w:pPr>
      <w:r>
        <w:rPr>
          <w:rFonts w:ascii="Arial" w:cs="Arial" w:eastAsia="Arial" w:hAnsi="Arial"/>
          <w:sz w:val="16"/>
          <w:szCs w:val="16"/>
          <w:color w:val="auto"/>
        </w:rPr>
        <w:t>On January 14, 2025, we emerged from the Prepackaged Chapter 11 Case, as discussed above under "Recent Events". On the Effective Date, each holder of the Notes received a pro rata share of 92.94% of the New Common Stock (subject to dilution) and all of the Company’s outstanding obligations under the Notes and the Indenture were deemed fully satisfied and discharged. Vroom, Inc. no longer has long-term debt, but UACC has securitization debt and its trust preferred securities.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9" w:name="page70"/>
    <w:bookmarkEnd w:id="6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40" w:firstLine="708"/>
        <w:spacing w:after="0" w:line="290" w:lineRule="auto"/>
        <w:rPr>
          <w:sz w:val="20"/>
          <w:szCs w:val="20"/>
          <w:color w:val="auto"/>
        </w:rPr>
      </w:pPr>
      <w:r>
        <w:rPr>
          <w:rFonts w:ascii="Arial" w:cs="Arial" w:eastAsia="Arial" w:hAnsi="Arial"/>
          <w:sz w:val="14"/>
          <w:szCs w:val="14"/>
          <w:color w:val="auto"/>
        </w:rPr>
        <w:t>As of March 31, 2025, we had cash and cash equivalents of $14.6 million and restricted cash of $53.0 million. Restricted cash primarily includes restricted cash required under UACC's securitization transactions and Warehouse Credit Facilities of $52.1 million. Prior to the Ecommerce Wind-Down, our primary source of liquidity was cash generated through financing activities. Additionally, we had excess borrowing capacity of $ 27.3 million under UACC's Warehouse Credit Facilities as of March 31, 2025 and $25.0 million available under our Delayed Draw Facility (as defined below).</w:t>
      </w:r>
    </w:p>
    <w:p>
      <w:pPr>
        <w:spacing w:after="0" w:line="122" w:lineRule="exact"/>
        <w:rPr>
          <w:sz w:val="20"/>
          <w:szCs w:val="20"/>
          <w:color w:val="auto"/>
        </w:rPr>
      </w:pPr>
    </w:p>
    <w:p>
      <w:pPr>
        <w:ind w:firstLine="708"/>
        <w:spacing w:after="0" w:line="248" w:lineRule="auto"/>
        <w:rPr>
          <w:sz w:val="20"/>
          <w:szCs w:val="20"/>
          <w:color w:val="auto"/>
        </w:rPr>
      </w:pPr>
      <w:r>
        <w:rPr>
          <w:rFonts w:ascii="Arial" w:cs="Arial" w:eastAsia="Arial" w:hAnsi="Arial"/>
          <w:sz w:val="16"/>
          <w:szCs w:val="16"/>
          <w:color w:val="auto"/>
        </w:rPr>
        <w:t>We expect to use our cash and cash equivalents to finance our future capital requirements and UACC’s Warehouse Credit Facilities to fund our finance receivables. Certain advance rates available to UACC on borrowings from the Warehouse Credit Facilities have decreased as a result of the increased credit losses in UACC's portfolio. Any future decreases on available advance rates may have an adverse impact on our liquidity.</w:t>
      </w:r>
    </w:p>
    <w:p>
      <w:pPr>
        <w:spacing w:after="0" w:line="150" w:lineRule="exact"/>
        <w:rPr>
          <w:sz w:val="20"/>
          <w:szCs w:val="20"/>
          <w:color w:val="auto"/>
        </w:rPr>
      </w:pPr>
    </w:p>
    <w:p>
      <w:pPr>
        <w:ind w:right="40" w:firstLine="708"/>
        <w:spacing w:after="0" w:line="237" w:lineRule="auto"/>
        <w:rPr>
          <w:sz w:val="20"/>
          <w:szCs w:val="20"/>
          <w:color w:val="auto"/>
        </w:rPr>
      </w:pPr>
      <w:r>
        <w:rPr>
          <w:rFonts w:ascii="Arial" w:cs="Arial" w:eastAsia="Arial" w:hAnsi="Arial"/>
          <w:sz w:val="16"/>
          <w:szCs w:val="16"/>
          <w:color w:val="auto"/>
        </w:rPr>
        <w:t>UACC relies on borrowings under the Warehouse Credit Facilities to finance the origination of finance receivables as well as to provide funding for general operating activities. The terms of those facilities generally mature within two years and we typically renew those facilities in the ordinary course. In March 2025, we renewed two of our Warehouse Credit Facilities, Facility Two and Facility Four, with an aggregate borrowing capacity of $400 million, now expiring in June 2026 and April 2027, respectively. The remaining two Warehouse Credit Facilities, with aggregate borrowing capacity of $400 million, expire between July and August 2025. Refer to Note 10 — Warehouse Credit Facilities and Consolidated VIEs to the Condensed Consolidated Financial Statements included elsewhere in this Quarterly Report on Form 10-Q. We are having ongoing discussions with the remaining lenders under the Warehouse Credit Facilities regarding amended facilities that would extend the terms beyond the current expiration dates and expect these facilities to be amended and renewed at sufficient borrowing capacity. However, there can be no assurance that adequate additional financing will be available to us on acceptable terms, or at all. Failure to secure sufficient warehouse borrowing capacity beyond the expiration of the remaining facilities in the coming months would have a material adverse effect on our ability to finance UACC’s lending operations and our results of operations and liquidity.</w:t>
      </w:r>
    </w:p>
    <w:p>
      <w:pPr>
        <w:spacing w:after="0" w:line="162" w:lineRule="exact"/>
        <w:rPr>
          <w:sz w:val="20"/>
          <w:szCs w:val="20"/>
          <w:color w:val="auto"/>
        </w:rPr>
      </w:pPr>
    </w:p>
    <w:p>
      <w:pPr>
        <w:ind w:right="60" w:firstLine="708"/>
        <w:spacing w:after="0" w:line="273" w:lineRule="auto"/>
        <w:rPr>
          <w:sz w:val="20"/>
          <w:szCs w:val="20"/>
          <w:color w:val="auto"/>
        </w:rPr>
      </w:pPr>
      <w:r>
        <w:rPr>
          <w:rFonts w:ascii="Arial" w:cs="Arial" w:eastAsia="Arial" w:hAnsi="Arial"/>
          <w:sz w:val="14"/>
          <w:szCs w:val="14"/>
          <w:color w:val="auto"/>
        </w:rPr>
        <w:t>On March 8, 2025, Vroom, Inc., UACC and its indirect subsidiary Darkwater Funding LLC, as co-borrowers, entered into a credit agreement with Mudrick Capital Management, L.P. (“Lender”), who as of January 14, 2025 was a 76.5% shareholder of the Company, for a $25.0 million delayed draw term loan facility (“Delayed Draw Facility”). The Delayed Draw Facility allows for multiple drawdowns by each co-borrower, subject to satisfaction of usual and customary conditions precedent. The Delayed Draw Facility bears interest at a rate of Term SOFR +850 bps, payable quarterly in arrears, with</w:t>
      </w:r>
    </w:p>
    <w:p>
      <w:pPr>
        <w:spacing w:after="0" w:line="2" w:lineRule="exact"/>
        <w:rPr>
          <w:sz w:val="20"/>
          <w:szCs w:val="20"/>
          <w:color w:val="auto"/>
        </w:rPr>
      </w:pPr>
    </w:p>
    <w:p>
      <w:pPr>
        <w:jc w:val="both"/>
        <w:ind w:right="100" w:firstLine="6"/>
        <w:spacing w:after="0" w:line="283" w:lineRule="auto"/>
        <w:tabs>
          <w:tab w:leader="none" w:pos="130" w:val="left"/>
        </w:tabs>
        <w:numPr>
          <w:ilvl w:val="0"/>
          <w:numId w:val="9"/>
        </w:numPr>
        <w:rPr>
          <w:rFonts w:ascii="Arial" w:cs="Arial" w:eastAsia="Arial" w:hAnsi="Arial"/>
          <w:sz w:val="14"/>
          <w:szCs w:val="14"/>
          <w:color w:val="auto"/>
        </w:rPr>
      </w:pPr>
      <w:r>
        <w:rPr>
          <w:rFonts w:ascii="Arial" w:cs="Arial" w:eastAsia="Arial" w:hAnsi="Arial"/>
          <w:sz w:val="14"/>
          <w:szCs w:val="14"/>
          <w:color w:val="auto"/>
        </w:rPr>
        <w:t>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w:t>
      </w:r>
    </w:p>
    <w:p>
      <w:pPr>
        <w:spacing w:after="0" w:line="127" w:lineRule="exact"/>
        <w:rPr>
          <w:sz w:val="20"/>
          <w:szCs w:val="20"/>
          <w:color w:val="auto"/>
        </w:rPr>
      </w:pPr>
    </w:p>
    <w:p>
      <w:pPr>
        <w:ind w:right="160" w:firstLine="708"/>
        <w:spacing w:after="0" w:line="301" w:lineRule="auto"/>
        <w:rPr>
          <w:sz w:val="20"/>
          <w:szCs w:val="20"/>
          <w:color w:val="auto"/>
        </w:rPr>
      </w:pPr>
      <w:r>
        <w:rPr>
          <w:rFonts w:ascii="Arial" w:cs="Arial" w:eastAsia="Arial" w:hAnsi="Arial"/>
          <w:sz w:val="14"/>
          <w:szCs w:val="14"/>
          <w:color w:val="auto"/>
        </w:rPr>
        <w:t>Upon our emergence from bankruptcy on January 14, 2025, we continue to operate as a viable going concern. The accompanying audited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spacing w:after="0" w:line="114" w:lineRule="exact"/>
        <w:rPr>
          <w:sz w:val="20"/>
          <w:szCs w:val="20"/>
          <w:color w:val="auto"/>
        </w:rPr>
      </w:pPr>
    </w:p>
    <w:p>
      <w:pPr>
        <w:ind w:right="20" w:firstLine="708"/>
        <w:spacing w:after="0"/>
        <w:rPr>
          <w:sz w:val="20"/>
          <w:szCs w:val="20"/>
          <w:color w:val="auto"/>
        </w:rPr>
      </w:pPr>
      <w:r>
        <w:rPr>
          <w:rFonts w:ascii="Arial" w:cs="Arial" w:eastAsia="Arial" w:hAnsi="Arial"/>
          <w:sz w:val="16"/>
          <w:szCs w:val="16"/>
          <w:color w:val="auto"/>
        </w:rPr>
        <w:t>Our future capital requirements will depend on many factors, including our ability to realize the intended benefits of the Value Maximization Plan, Prepackaged Chapter 11 Case, and our Long-Term Strategic Plan, available advance rates on and the amendment and renewal of the remaining Warehouse Credit Facilities, our ability to meet the requirements for continued listing on the Nasdaq Global Market, our ability to complete additional securitization transactions on favorable terms, and future credit losses. We anticipate that our existing cash and cash equivalents, our credit agreement with Mudrick Capital Management L.P., and UACC's Warehouse Credit Facilities will be sufficient to support our ongoing operations and obligations for at least the next twelve months from the issuance date of this Quarterly Report on Form 10-Q.</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Securitization Transactions</w:t>
      </w:r>
    </w:p>
    <w:p>
      <w:pPr>
        <w:spacing w:after="0" w:line="176" w:lineRule="exact"/>
        <w:rPr>
          <w:sz w:val="20"/>
          <w:szCs w:val="20"/>
          <w:color w:val="auto"/>
        </w:rPr>
      </w:pPr>
    </w:p>
    <w:p>
      <w:pPr>
        <w:ind w:right="100" w:firstLine="708"/>
        <w:spacing w:after="0" w:line="244" w:lineRule="auto"/>
        <w:rPr>
          <w:sz w:val="20"/>
          <w:szCs w:val="20"/>
          <w:color w:val="auto"/>
        </w:rPr>
      </w:pPr>
      <w:r>
        <w:rPr>
          <w:rFonts w:ascii="Arial" w:cs="Arial" w:eastAsia="Arial" w:hAnsi="Arial"/>
          <w:sz w:val="16"/>
          <w:szCs w:val="16"/>
          <w:color w:val="auto"/>
        </w:rPr>
        <w:t>Subject to market conditions, we plan to sell finance receivables originated by UACC through asset- backed securitization transactions. During the first quarter of 2025, UACC completed the 2025-1 securitization transaction, in which it sold approximately $307.8 million of rated asset-backed securities in an auto finance receivable securitization transaction from a securitization trust, established and sponsored by UACC for proceeds of $306.5 million. The trust 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0" w:name="page71"/>
    <w:bookmarkEnd w:id="7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collateralized by finance receivables with an aggregate principal balance of $382.1 million as of March 12, 2025. These finance receivables are serviced by UACC and UACC receives an "at market" servicing fee. UACC retained the residual interests, which required us to account for the 2025-1 securitization as secured borrowings and the assets and liabilities of the trust remain on balance sheet.</w:t>
      </w:r>
    </w:p>
    <w:p>
      <w:pPr>
        <w:spacing w:after="0" w:line="150" w:lineRule="exact"/>
        <w:rPr>
          <w:sz w:val="20"/>
          <w:szCs w:val="20"/>
          <w:color w:val="auto"/>
        </w:rPr>
      </w:pPr>
    </w:p>
    <w:p>
      <w:pPr>
        <w:ind w:right="100" w:firstLine="708"/>
        <w:spacing w:after="0" w:line="334" w:lineRule="auto"/>
        <w:rPr>
          <w:sz w:val="20"/>
          <w:szCs w:val="20"/>
          <w:color w:val="auto"/>
        </w:rPr>
      </w:pPr>
      <w:r>
        <w:rPr>
          <w:rFonts w:ascii="Arial" w:cs="Arial" w:eastAsia="Arial" w:hAnsi="Arial"/>
          <w:sz w:val="14"/>
          <w:szCs w:val="14"/>
          <w:color w:val="auto"/>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spacing w:after="0" w:line="92" w:lineRule="exact"/>
        <w:rPr>
          <w:sz w:val="20"/>
          <w:szCs w:val="20"/>
          <w:color w:val="auto"/>
        </w:rPr>
      </w:pPr>
    </w:p>
    <w:p>
      <w:pPr>
        <w:ind w:right="80" w:firstLine="708"/>
        <w:spacing w:after="0" w:line="262" w:lineRule="auto"/>
        <w:rPr>
          <w:sz w:val="20"/>
          <w:szCs w:val="20"/>
          <w:color w:val="auto"/>
        </w:rPr>
      </w:pPr>
      <w:r>
        <w:rPr>
          <w:rFonts w:ascii="Arial" w:cs="Arial" w:eastAsia="Arial" w:hAnsi="Arial"/>
          <w:sz w:val="16"/>
          <w:szCs w:val="16"/>
          <w:color w:val="auto"/>
        </w:rPr>
        <w:t>Refer to Note 4 — Variable Interest Entities and Securitizations to our condensed consolidated financial statements included elsewhere in this Quarterly Report on Form 10-Q, for further discussion.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UACC Risk Retention Financing Facility</w:t>
      </w:r>
    </w:p>
    <w:p>
      <w:pPr>
        <w:spacing w:after="0" w:line="176" w:lineRule="exact"/>
        <w:rPr>
          <w:sz w:val="20"/>
          <w:szCs w:val="20"/>
          <w:color w:val="auto"/>
        </w:rPr>
      </w:pPr>
    </w:p>
    <w:p>
      <w:pPr>
        <w:ind w:right="40" w:firstLine="696"/>
        <w:spacing w:after="0" w:line="273" w:lineRule="auto"/>
        <w:rPr>
          <w:sz w:val="20"/>
          <w:szCs w:val="20"/>
          <w:color w:val="auto"/>
        </w:rPr>
      </w:pPr>
      <w:r>
        <w:rPr>
          <w:rFonts w:ascii="Arial" w:cs="Arial" w:eastAsia="Arial" w:hAnsi="Arial"/>
          <w:sz w:val="14"/>
          <w:szCs w:val="14"/>
          <w:color w:val="auto"/>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lenders, which will reduce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beneficial interests in securitizations and the related debt balance</w:t>
      </w:r>
      <w:r>
        <w:rPr>
          <w:rFonts w:ascii="Arial" w:cs="Arial" w:eastAsia="Arial" w:hAnsi="Arial"/>
          <w:sz w:val="18"/>
          <w:szCs w:val="18"/>
          <w:color w:val="auto"/>
        </w:rPr>
        <w:t>.</w:t>
      </w:r>
    </w:p>
    <w:p>
      <w:pPr>
        <w:spacing w:after="0" w:line="209" w:lineRule="exact"/>
        <w:rPr>
          <w:sz w:val="20"/>
          <w:szCs w:val="20"/>
          <w:color w:val="auto"/>
        </w:rPr>
      </w:pPr>
    </w:p>
    <w:p>
      <w:pPr>
        <w:jc w:val="both"/>
        <w:ind w:right="300" w:firstLine="696"/>
        <w:spacing w:after="0" w:line="248" w:lineRule="auto"/>
        <w:rPr>
          <w:sz w:val="20"/>
          <w:szCs w:val="20"/>
          <w:color w:val="auto"/>
        </w:rPr>
      </w:pPr>
      <w:r>
        <w:rPr>
          <w:rFonts w:ascii="Arial" w:cs="Arial" w:eastAsia="Arial" w:hAnsi="Arial"/>
          <w:sz w:val="16"/>
          <w:szCs w:val="16"/>
          <w:color w:val="auto"/>
        </w:rPr>
        <w:t>During the second quarter of 2024, UACC pledged an additional $15.8 million of its retained beneficial interest in the 2024-1 securitization transaction as collateral under the Risk Retention Financing Facility, and received proceeds of $15.6 million, with expected repurchase dates ranging from August 2026 to November 2030 at the initial closing date.</w:t>
      </w:r>
    </w:p>
    <w:p>
      <w:pPr>
        <w:spacing w:after="0" w:line="150" w:lineRule="exact"/>
        <w:rPr>
          <w:sz w:val="20"/>
          <w:szCs w:val="20"/>
          <w:color w:val="auto"/>
        </w:rPr>
      </w:pPr>
    </w:p>
    <w:p>
      <w:pPr>
        <w:jc w:val="both"/>
        <w:ind w:right="400" w:firstLine="696"/>
        <w:spacing w:after="0" w:line="334" w:lineRule="auto"/>
        <w:rPr>
          <w:sz w:val="20"/>
          <w:szCs w:val="20"/>
          <w:color w:val="auto"/>
        </w:rPr>
      </w:pPr>
      <w:r>
        <w:rPr>
          <w:rFonts w:ascii="Arial" w:cs="Arial" w:eastAsia="Arial" w:hAnsi="Arial"/>
          <w:sz w:val="14"/>
          <w:szCs w:val="14"/>
          <w:color w:val="auto"/>
        </w:rPr>
        <w:t>In March 2025, we pledged an additional $ 16.2 million of our retained beneficial interests as collateral under the Risk Retention Financing Facility, and received proceeds of $16.1 million, with expected repurchase dates ranging from June 2027 to October 2031 at the initial closing date.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Warehouse Credit Facilities</w:t>
      </w:r>
    </w:p>
    <w:p>
      <w:pPr>
        <w:spacing w:after="0" w:line="176" w:lineRule="exact"/>
        <w:rPr>
          <w:sz w:val="20"/>
          <w:szCs w:val="20"/>
          <w:color w:val="auto"/>
        </w:rPr>
      </w:pPr>
    </w:p>
    <w:p>
      <w:pPr>
        <w:ind w:right="360" w:firstLine="708"/>
        <w:spacing w:after="0" w:line="262" w:lineRule="auto"/>
        <w:rPr>
          <w:sz w:val="20"/>
          <w:szCs w:val="20"/>
          <w:color w:val="auto"/>
        </w:rPr>
      </w:pPr>
      <w:r>
        <w:rPr>
          <w:rFonts w:ascii="Arial" w:cs="Arial" w:eastAsia="Arial" w:hAnsi="Arial"/>
          <w:sz w:val="16"/>
          <w:szCs w:val="16"/>
          <w:color w:val="auto"/>
        </w:rPr>
        <w:t>UACC has four senior secured Warehouse Credit Facilities with banking institutions. The Warehouse Credit Facilities are collateralized by eligible finance receivables and available borrowings are computed based on a percentage of eligible finance receivables.</w:t>
      </w:r>
    </w:p>
    <w:p>
      <w:pPr>
        <w:spacing w:after="0" w:line="138" w:lineRule="exact"/>
        <w:rPr>
          <w:sz w:val="20"/>
          <w:szCs w:val="20"/>
          <w:color w:val="auto"/>
        </w:rPr>
      </w:pPr>
    </w:p>
    <w:p>
      <w:pPr>
        <w:ind w:firstLine="708"/>
        <w:spacing w:after="0"/>
        <w:rPr>
          <w:sz w:val="20"/>
          <w:szCs w:val="20"/>
          <w:color w:val="auto"/>
        </w:rPr>
      </w:pPr>
      <w:r>
        <w:rPr>
          <w:rFonts w:ascii="Arial" w:cs="Arial" w:eastAsia="Arial" w:hAnsi="Arial"/>
          <w:sz w:val="16"/>
          <w:szCs w:val="16"/>
          <w:color w:val="auto"/>
        </w:rPr>
        <w:t>In March 2025, we renewed Facility Two, now expiring in June 2026. The aggregate borrowing limit and significant terms of the agreement remained unchanged except for an increase in the minimum liquidity covenant. In March 2025, we also renewed Facility Four, now expiring in April 2027. The aggregate borrowing limit under this facility decreased from $225.0 million to $200.0 million and all other significant terms of the agreement remained unchanged. The two remaining Warehouse Credit Facilities, with aggregate borrowing capacity of $400.0 million, expire between July and August 2025. We are in ongoing discussions with the remaining lenders to extend the terms beyond the current expiration dates and expect these facilities to be amended and renewed at sufficient borrowing capacity.</w:t>
      </w:r>
    </w:p>
    <w:p>
      <w:pPr>
        <w:spacing w:after="0" w:line="156" w:lineRule="exact"/>
        <w:rPr>
          <w:sz w:val="20"/>
          <w:szCs w:val="20"/>
          <w:color w:val="auto"/>
        </w:rPr>
      </w:pPr>
    </w:p>
    <w:p>
      <w:pPr>
        <w:ind w:firstLine="708"/>
        <w:spacing w:after="0" w:line="239" w:lineRule="auto"/>
        <w:rPr>
          <w:sz w:val="20"/>
          <w:szCs w:val="20"/>
          <w:color w:val="auto"/>
        </w:rPr>
      </w:pPr>
      <w:r>
        <w:rPr>
          <w:rFonts w:ascii="Arial" w:cs="Arial" w:eastAsia="Arial" w:hAnsi="Arial"/>
          <w:sz w:val="16"/>
          <w:szCs w:val="16"/>
          <w:color w:val="auto"/>
        </w:rPr>
        <w:t>The aggregate borrowing limit under the Warehouse Credit Facilities as of March 31, 2025 was $800.0 million. As of March 31, 2025, outstanding borrowings related to the Warehouse Credit Facilities were $ 114.2 million and we were in compliance with all covenants under the terms of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10 — Warehouse Credit Facilities of Consolidated VIEs to our condensed consolidated financial statements included elsewhere in this Quarterly Report on Form 10-Q, for further discussion.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1" w:name="page72"/>
    <w:bookmarkEnd w:id="7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Cash Flows from Operating, Investing, and Financing Activities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summarizes our cash flows for the three months ended March 31,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47"/>
              <w:spacing w:after="0"/>
              <w:rPr>
                <w:sz w:val="20"/>
                <w:szCs w:val="20"/>
                <w:color w:val="auto"/>
              </w:rPr>
            </w:pPr>
            <w:r>
              <w:rPr>
                <w:rFonts w:ascii="Arial" w:cs="Arial" w:eastAsia="Arial" w:hAnsi="Arial"/>
                <w:sz w:val="13"/>
                <w:szCs w:val="13"/>
                <w:b w:val="1"/>
                <w:bCs w:val="1"/>
                <w:color w:val="auto"/>
              </w:rPr>
              <w:t>Non-GAAP</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8"/>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67"/>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7"/>
              <w:spacing w:after="0"/>
              <w:rPr>
                <w:sz w:val="20"/>
                <w:szCs w:val="20"/>
                <w:color w:val="auto"/>
              </w:rPr>
            </w:pPr>
            <w:r>
              <w:rPr>
                <w:rFonts w:ascii="Arial" w:cs="Arial" w:eastAsia="Arial" w:hAnsi="Arial"/>
                <w:sz w:val="13"/>
                <w:szCs w:val="13"/>
                <w:b w:val="1"/>
                <w:bCs w:val="1"/>
                <w:color w:val="auto"/>
              </w:rPr>
              <w:t>Predecessor</w:t>
            </w:r>
          </w:p>
        </w:tc>
        <w:tc>
          <w:tcPr>
            <w:tcW w:w="160" w:type="dxa"/>
            <w:vAlign w:val="bottom"/>
          </w:tcPr>
          <w:p>
            <w:pPr>
              <w:spacing w:after="0"/>
              <w:rPr>
                <w:sz w:val="14"/>
                <w:szCs w:val="14"/>
                <w:color w:val="auto"/>
              </w:rPr>
            </w:pPr>
          </w:p>
        </w:tc>
        <w:tc>
          <w:tcPr>
            <w:tcW w:w="1080" w:type="dxa"/>
            <w:vAlign w:val="bottom"/>
          </w:tcPr>
          <w:p>
            <w:pPr>
              <w:jc w:val="center"/>
              <w:ind w:right="27"/>
              <w:spacing w:after="0"/>
              <w:rPr>
                <w:sz w:val="20"/>
                <w:szCs w:val="20"/>
                <w:color w:val="auto"/>
              </w:rPr>
            </w:pPr>
            <w:r>
              <w:rPr>
                <w:rFonts w:ascii="Arial" w:cs="Arial" w:eastAsia="Arial" w:hAnsi="Arial"/>
                <w:sz w:val="13"/>
                <w:szCs w:val="13"/>
                <w:b w:val="1"/>
                <w:bCs w:val="1"/>
                <w:color w:val="auto"/>
              </w:rPr>
              <w:t>Combined</w:t>
            </w:r>
          </w:p>
        </w:tc>
        <w:tc>
          <w:tcPr>
            <w:tcW w:w="180" w:type="dxa"/>
            <w:vAlign w:val="bottom"/>
          </w:tcPr>
          <w:p>
            <w:pPr>
              <w:spacing w:after="0"/>
              <w:rPr>
                <w:sz w:val="14"/>
                <w:szCs w:val="14"/>
                <w:color w:val="auto"/>
              </w:rPr>
            </w:pPr>
          </w:p>
        </w:tc>
        <w:tc>
          <w:tcPr>
            <w:tcW w:w="1100" w:type="dxa"/>
            <w:vAlign w:val="bottom"/>
          </w:tcPr>
          <w:p>
            <w:pPr>
              <w:jc w:val="center"/>
              <w:ind w:right="66"/>
              <w:spacing w:after="0"/>
              <w:rPr>
                <w:sz w:val="20"/>
                <w:szCs w:val="20"/>
                <w:color w:val="auto"/>
              </w:rPr>
            </w:pPr>
            <w:r>
              <w:rPr>
                <w:rFonts w:ascii="Arial" w:cs="Arial" w:eastAsia="Arial" w:hAnsi="Arial"/>
                <w:sz w:val="13"/>
                <w:szCs w:val="13"/>
                <w:b w:val="1"/>
                <w:bCs w:val="1"/>
                <w:color w:val="auto"/>
              </w:rPr>
              <w:t>Predecessor</w:t>
            </w:r>
          </w:p>
        </w:tc>
      </w:tr>
      <w:tr>
        <w:trPr>
          <w:trHeight w:val="145"/>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67"/>
              <w:spacing w:after="0" w:line="145" w:lineRule="exact"/>
              <w:rPr>
                <w:sz w:val="20"/>
                <w:szCs w:val="20"/>
                <w:color w:val="auto"/>
              </w:rPr>
            </w:pPr>
            <w:r>
              <w:rPr>
                <w:rFonts w:ascii="Arial" w:cs="Arial" w:eastAsia="Arial" w:hAnsi="Arial"/>
                <w:sz w:val="13"/>
                <w:szCs w:val="13"/>
                <w:b w:val="1"/>
                <w:bCs w:val="1"/>
                <w:color w:val="auto"/>
              </w:rPr>
              <w:t>Period from</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7"/>
              <w:spacing w:after="0" w:line="145" w:lineRule="exact"/>
              <w:rPr>
                <w:sz w:val="20"/>
                <w:szCs w:val="20"/>
                <w:color w:val="auto"/>
              </w:rPr>
            </w:pPr>
            <w:r>
              <w:rPr>
                <w:rFonts w:ascii="Arial" w:cs="Arial" w:eastAsia="Arial" w:hAnsi="Arial"/>
                <w:sz w:val="13"/>
                <w:szCs w:val="13"/>
                <w:b w:val="1"/>
                <w:bCs w:val="1"/>
                <w:color w:val="auto"/>
              </w:rPr>
              <w:t>Period from</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47"/>
              <w:spacing w:after="0"/>
              <w:rPr>
                <w:sz w:val="20"/>
                <w:szCs w:val="20"/>
                <w:color w:val="auto"/>
              </w:rPr>
            </w:pPr>
            <w:r>
              <w:rPr>
                <w:rFonts w:ascii="Arial" w:cs="Arial" w:eastAsia="Arial" w:hAnsi="Arial"/>
                <w:sz w:val="13"/>
                <w:szCs w:val="13"/>
                <w:b w:val="1"/>
                <w:bCs w:val="1"/>
                <w:color w:val="auto"/>
              </w:rPr>
              <w:t>January 15</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7"/>
              <w:spacing w:after="0"/>
              <w:rPr>
                <w:sz w:val="20"/>
                <w:szCs w:val="20"/>
                <w:color w:val="auto"/>
              </w:rPr>
            </w:pPr>
            <w:r>
              <w:rPr>
                <w:rFonts w:ascii="Arial" w:cs="Arial" w:eastAsia="Arial" w:hAnsi="Arial"/>
                <w:sz w:val="13"/>
                <w:szCs w:val="13"/>
                <w:b w:val="1"/>
                <w:bCs w:val="1"/>
                <w:color w:val="auto"/>
                <w:w w:val="98"/>
              </w:rPr>
              <w:t>January 1</w:t>
            </w:r>
          </w:p>
        </w:tc>
        <w:tc>
          <w:tcPr>
            <w:tcW w:w="160" w:type="dxa"/>
            <w:vAlign w:val="bottom"/>
          </w:tcPr>
          <w:p>
            <w:pPr>
              <w:spacing w:after="0"/>
              <w:rPr>
                <w:sz w:val="13"/>
                <w:szCs w:val="13"/>
                <w:color w:val="auto"/>
              </w:rPr>
            </w:pPr>
          </w:p>
        </w:tc>
        <w:tc>
          <w:tcPr>
            <w:tcW w:w="1080" w:type="dxa"/>
            <w:vAlign w:val="bottom"/>
          </w:tcPr>
          <w:p>
            <w:pPr>
              <w:jc w:val="center"/>
              <w:ind w:right="27"/>
              <w:spacing w:after="0"/>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3"/>
                <w:szCs w:val="13"/>
                <w:color w:val="auto"/>
              </w:rPr>
            </w:pPr>
          </w:p>
        </w:tc>
        <w:tc>
          <w:tcPr>
            <w:tcW w:w="1100" w:type="dxa"/>
            <w:vAlign w:val="bottom"/>
          </w:tcPr>
          <w:p>
            <w:pPr>
              <w:jc w:val="center"/>
              <w:ind w:right="66"/>
              <w:spacing w:after="0"/>
              <w:rPr>
                <w:sz w:val="20"/>
                <w:szCs w:val="20"/>
                <w:color w:val="auto"/>
              </w:rPr>
            </w:pPr>
            <w:r>
              <w:rPr>
                <w:rFonts w:ascii="Arial" w:cs="Arial" w:eastAsia="Arial" w:hAnsi="Arial"/>
                <w:sz w:val="13"/>
                <w:szCs w:val="13"/>
                <w:b w:val="1"/>
                <w:bCs w:val="1"/>
                <w:color w:val="auto"/>
              </w:rPr>
              <w:t>Three Months</w:t>
            </w: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47"/>
              <w:spacing w:after="0"/>
              <w:rPr>
                <w:sz w:val="20"/>
                <w:szCs w:val="20"/>
                <w:color w:val="auto"/>
              </w:rPr>
            </w:pPr>
            <w:r>
              <w:rPr>
                <w:rFonts w:ascii="Arial" w:cs="Arial" w:eastAsia="Arial" w:hAnsi="Arial"/>
                <w:sz w:val="13"/>
                <w:szCs w:val="13"/>
                <w:b w:val="1"/>
                <w:bCs w:val="1"/>
                <w:color w:val="auto"/>
              </w:rPr>
              <w:t>through March</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7"/>
              <w:spacing w:after="0"/>
              <w:rPr>
                <w:sz w:val="20"/>
                <w:szCs w:val="20"/>
                <w:color w:val="auto"/>
              </w:rPr>
            </w:pPr>
            <w:r>
              <w:rPr>
                <w:rFonts w:ascii="Arial" w:cs="Arial" w:eastAsia="Arial" w:hAnsi="Arial"/>
                <w:sz w:val="13"/>
                <w:szCs w:val="13"/>
                <w:b w:val="1"/>
                <w:bCs w:val="1"/>
                <w:color w:val="auto"/>
              </w:rPr>
              <w:t>through January</w:t>
            </w:r>
          </w:p>
        </w:tc>
        <w:tc>
          <w:tcPr>
            <w:tcW w:w="160" w:type="dxa"/>
            <w:vAlign w:val="bottom"/>
          </w:tcPr>
          <w:p>
            <w:pPr>
              <w:spacing w:after="0"/>
              <w:rPr>
                <w:sz w:val="13"/>
                <w:szCs w:val="13"/>
                <w:color w:val="auto"/>
              </w:rPr>
            </w:pPr>
          </w:p>
        </w:tc>
        <w:tc>
          <w:tcPr>
            <w:tcW w:w="1080" w:type="dxa"/>
            <w:vAlign w:val="bottom"/>
          </w:tcPr>
          <w:p>
            <w:pPr>
              <w:jc w:val="center"/>
              <w:ind w:right="47"/>
              <w:spacing w:after="0"/>
              <w:rPr>
                <w:sz w:val="20"/>
                <w:szCs w:val="20"/>
                <w:color w:val="auto"/>
              </w:rPr>
            </w:pPr>
            <w:r>
              <w:rPr>
                <w:rFonts w:ascii="Arial" w:cs="Arial" w:eastAsia="Arial" w:hAnsi="Arial"/>
                <w:sz w:val="13"/>
                <w:szCs w:val="13"/>
                <w:b w:val="1"/>
                <w:bCs w:val="1"/>
                <w:color w:val="auto"/>
              </w:rPr>
              <w:t>Ended</w:t>
            </w:r>
          </w:p>
        </w:tc>
        <w:tc>
          <w:tcPr>
            <w:tcW w:w="180" w:type="dxa"/>
            <w:vAlign w:val="bottom"/>
          </w:tcPr>
          <w:p>
            <w:pPr>
              <w:spacing w:after="0"/>
              <w:rPr>
                <w:sz w:val="13"/>
                <w:szCs w:val="13"/>
                <w:color w:val="auto"/>
              </w:rPr>
            </w:pPr>
          </w:p>
        </w:tc>
        <w:tc>
          <w:tcPr>
            <w:tcW w:w="1100" w:type="dxa"/>
            <w:vAlign w:val="bottom"/>
          </w:tcPr>
          <w:p>
            <w:pPr>
              <w:jc w:val="center"/>
              <w:ind w:right="66"/>
              <w:spacing w:after="0"/>
              <w:rPr>
                <w:sz w:val="20"/>
                <w:szCs w:val="20"/>
                <w:color w:val="auto"/>
              </w:rPr>
            </w:pPr>
            <w:r>
              <w:rPr>
                <w:rFonts w:ascii="Arial" w:cs="Arial" w:eastAsia="Arial" w:hAnsi="Arial"/>
                <w:sz w:val="13"/>
                <w:szCs w:val="13"/>
                <w:b w:val="1"/>
                <w:bCs w:val="1"/>
                <w:color w:val="auto"/>
              </w:rPr>
              <w:t>Ended</w:t>
            </w: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487"/>
              <w:spacing w:after="0"/>
              <w:rPr>
                <w:sz w:val="20"/>
                <w:szCs w:val="20"/>
                <w:color w:val="auto"/>
              </w:rPr>
            </w:pPr>
            <w:r>
              <w:rPr>
                <w:rFonts w:ascii="Arial" w:cs="Arial" w:eastAsia="Arial" w:hAnsi="Arial"/>
                <w:sz w:val="13"/>
                <w:szCs w:val="13"/>
                <w:b w:val="1"/>
                <w:bCs w:val="1"/>
                <w:color w:val="auto"/>
              </w:rPr>
              <w:t>31,</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447"/>
              <w:spacing w:after="0"/>
              <w:rPr>
                <w:sz w:val="20"/>
                <w:szCs w:val="20"/>
                <w:color w:val="auto"/>
              </w:rPr>
            </w:pPr>
            <w:r>
              <w:rPr>
                <w:rFonts w:ascii="Arial" w:cs="Arial" w:eastAsia="Arial" w:hAnsi="Arial"/>
                <w:sz w:val="13"/>
                <w:szCs w:val="13"/>
                <w:b w:val="1"/>
                <w:bCs w:val="1"/>
                <w:color w:val="auto"/>
              </w:rPr>
              <w:t>14,</w:t>
            </w:r>
          </w:p>
        </w:tc>
        <w:tc>
          <w:tcPr>
            <w:tcW w:w="160" w:type="dxa"/>
            <w:vAlign w:val="bottom"/>
          </w:tcPr>
          <w:p>
            <w:pPr>
              <w:spacing w:after="0"/>
              <w:rPr>
                <w:sz w:val="13"/>
                <w:szCs w:val="13"/>
                <w:color w:val="auto"/>
              </w:rPr>
            </w:pPr>
          </w:p>
        </w:tc>
        <w:tc>
          <w:tcPr>
            <w:tcW w:w="1080" w:type="dxa"/>
            <w:vAlign w:val="bottom"/>
          </w:tcPr>
          <w:p>
            <w:pPr>
              <w:jc w:val="center"/>
              <w:ind w:right="27"/>
              <w:spacing w:after="0"/>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3"/>
                <w:szCs w:val="13"/>
                <w:color w:val="auto"/>
              </w:rPr>
            </w:pPr>
          </w:p>
        </w:tc>
        <w:tc>
          <w:tcPr>
            <w:tcW w:w="1100" w:type="dxa"/>
            <w:vAlign w:val="bottom"/>
          </w:tcPr>
          <w:p>
            <w:pPr>
              <w:jc w:val="center"/>
              <w:ind w:right="66"/>
              <w:spacing w:after="0"/>
              <w:rPr>
                <w:sz w:val="20"/>
                <w:szCs w:val="20"/>
                <w:color w:val="auto"/>
              </w:rPr>
            </w:pPr>
            <w:r>
              <w:rPr>
                <w:rFonts w:ascii="Arial" w:cs="Arial" w:eastAsia="Arial" w:hAnsi="Arial"/>
                <w:sz w:val="13"/>
                <w:szCs w:val="13"/>
                <w:b w:val="1"/>
                <w:bCs w:val="1"/>
                <w:color w:val="auto"/>
                <w:w w:val="99"/>
              </w:rPr>
              <w:t>March 31,</w:t>
            </w:r>
          </w:p>
        </w:tc>
      </w:tr>
      <w:tr>
        <w:trPr>
          <w:trHeight w:val="179"/>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2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07"/>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5"/>
                <w:szCs w:val="15"/>
                <w:color w:val="auto"/>
              </w:rPr>
            </w:pPr>
          </w:p>
        </w:tc>
        <w:tc>
          <w:tcPr>
            <w:tcW w:w="1080" w:type="dxa"/>
            <w:vAlign w:val="bottom"/>
          </w:tcPr>
          <w:p>
            <w:pPr>
              <w:jc w:val="center"/>
              <w:ind w:right="27"/>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5"/>
                <w:szCs w:val="15"/>
                <w:color w:val="auto"/>
              </w:rPr>
            </w:pPr>
          </w:p>
        </w:tc>
        <w:tc>
          <w:tcPr>
            <w:tcW w:w="1100" w:type="dxa"/>
            <w:vAlign w:val="bottom"/>
          </w:tcPr>
          <w:p>
            <w:pPr>
              <w:jc w:val="center"/>
              <w:ind w:right="66"/>
              <w:spacing w:after="0"/>
              <w:rPr>
                <w:sz w:val="20"/>
                <w:szCs w:val="20"/>
                <w:color w:val="auto"/>
              </w:rPr>
            </w:pPr>
            <w:r>
              <w:rPr>
                <w:rFonts w:ascii="Arial" w:cs="Arial" w:eastAsia="Arial" w:hAnsi="Arial"/>
                <w:sz w:val="13"/>
                <w:szCs w:val="13"/>
                <w:b w:val="1"/>
                <w:bCs w:val="1"/>
                <w:color w:val="auto"/>
                <w:w w:val="96"/>
              </w:rPr>
              <w:t>2024</w:t>
            </w:r>
          </w:p>
        </w:tc>
      </w:tr>
      <w:tr>
        <w:trPr>
          <w:trHeight w:val="204"/>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67"/>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9"/>
        </w:trPr>
        <w:tc>
          <w:tcPr>
            <w:tcW w:w="50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cash provided by (used in) operating activities from continuing</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91"/>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operations</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27"/>
              <w:spacing w:after="0"/>
              <w:rPr>
                <w:sz w:val="20"/>
                <w:szCs w:val="20"/>
                <w:color w:val="auto"/>
              </w:rPr>
            </w:pPr>
            <w:r>
              <w:rPr>
                <w:rFonts w:ascii="Arial" w:cs="Arial" w:eastAsia="Arial" w:hAnsi="Arial"/>
                <w:sz w:val="16"/>
                <w:szCs w:val="16"/>
                <w:color w:val="auto"/>
              </w:rPr>
              <w:t>17,289</w:t>
            </w:r>
          </w:p>
        </w:tc>
        <w:tc>
          <w:tcPr>
            <w:tcW w:w="120" w:type="dxa"/>
            <w:vAlign w:val="bottom"/>
            <w:tcBorders>
              <w:right w:val="single" w:sz="8" w:color="auto"/>
            </w:tcBorders>
            <w:shd w:val="clear" w:color="auto" w:fill="CFF0FC"/>
          </w:tcPr>
          <w:p>
            <w:pPr>
              <w:spacing w:after="0"/>
              <w:rPr>
                <w:sz w:val="16"/>
                <w:szCs w:val="16"/>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(5,804)</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11,485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(75,043)</w:t>
            </w:r>
          </w:p>
        </w:tc>
      </w:tr>
      <w:tr>
        <w:trPr>
          <w:trHeight w:val="169"/>
        </w:trPr>
        <w:tc>
          <w:tcPr>
            <w:tcW w:w="5020" w:type="dxa"/>
            <w:vAlign w:val="bottom"/>
          </w:tcPr>
          <w:p>
            <w:pPr>
              <w:spacing w:after="0" w:line="169" w:lineRule="exact"/>
              <w:rPr>
                <w:sz w:val="20"/>
                <w:szCs w:val="20"/>
                <w:color w:val="auto"/>
              </w:rPr>
            </w:pPr>
            <w:r>
              <w:rPr>
                <w:rFonts w:ascii="Arial" w:cs="Arial" w:eastAsia="Arial" w:hAnsi="Arial"/>
                <w:sz w:val="16"/>
                <w:szCs w:val="16"/>
                <w:color w:val="auto"/>
              </w:rPr>
              <w:t>Net cash (used in) provided by investing activities from continuing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1"/>
        </w:trPr>
        <w:tc>
          <w:tcPr>
            <w:tcW w:w="5020" w:type="dxa"/>
            <w:vAlign w:val="bottom"/>
          </w:tcPr>
          <w:p>
            <w:pPr>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(48,334)</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Arial" w:cs="Arial" w:eastAsia="Arial" w:hAnsi="Arial"/>
                <w:sz w:val="16"/>
                <w:szCs w:val="16"/>
                <w:color w:val="auto"/>
              </w:rPr>
              <w:t>2,981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(45,353)</w:t>
            </w:r>
          </w:p>
        </w:tc>
        <w:tc>
          <w:tcPr>
            <w:tcW w:w="180" w:type="dxa"/>
            <w:vAlign w:val="bottom"/>
          </w:tcPr>
          <w:p>
            <w:pPr>
              <w:spacing w:after="0"/>
              <w:rPr>
                <w:sz w:val="16"/>
                <w:szCs w:val="16"/>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auto"/>
              </w:rPr>
              <w:t>35,324</w:t>
            </w:r>
          </w:p>
        </w:tc>
      </w:tr>
      <w:tr>
        <w:trPr>
          <w:trHeight w:val="169"/>
        </w:trPr>
        <w:tc>
          <w:tcPr>
            <w:tcW w:w="50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cash provided by (used in) financing activities from continuing</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91"/>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operations</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7"/>
              <w:spacing w:after="0"/>
              <w:rPr>
                <w:sz w:val="20"/>
                <w:szCs w:val="20"/>
                <w:color w:val="auto"/>
              </w:rPr>
            </w:pPr>
            <w:r>
              <w:rPr>
                <w:rFonts w:ascii="Arial" w:cs="Arial" w:eastAsia="Arial" w:hAnsi="Arial"/>
                <w:sz w:val="16"/>
                <w:szCs w:val="16"/>
                <w:color w:val="auto"/>
              </w:rPr>
              <w:t>36,987</w:t>
            </w:r>
          </w:p>
        </w:tc>
        <w:tc>
          <w:tcPr>
            <w:tcW w:w="1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(13,898)</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23,089</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18,670</w:t>
            </w:r>
          </w:p>
        </w:tc>
      </w:tr>
      <w:tr>
        <w:trPr>
          <w:trHeight w:val="169"/>
        </w:trPr>
        <w:tc>
          <w:tcPr>
            <w:tcW w:w="5020" w:type="dxa"/>
            <w:vAlign w:val="bottom"/>
          </w:tcPr>
          <w:p>
            <w:pPr>
              <w:spacing w:after="0" w:line="169" w:lineRule="exact"/>
              <w:rPr>
                <w:sz w:val="20"/>
                <w:szCs w:val="20"/>
                <w:color w:val="auto"/>
              </w:rPr>
            </w:pPr>
            <w:r>
              <w:rPr>
                <w:rFonts w:ascii="Arial" w:cs="Arial" w:eastAsia="Arial" w:hAnsi="Arial"/>
                <w:sz w:val="16"/>
                <w:szCs w:val="16"/>
                <w:color w:val="auto"/>
              </w:rPr>
              <w:t>Net cash (used in) provided by operating activities from discontinued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1"/>
        </w:trPr>
        <w:tc>
          <w:tcPr>
            <w:tcW w:w="5020" w:type="dxa"/>
            <w:vAlign w:val="bottom"/>
          </w:tcPr>
          <w:p>
            <w:pPr>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(659)</w:t>
            </w:r>
          </w:p>
        </w:tc>
        <w:tc>
          <w:tcPr>
            <w:tcW w:w="180" w:type="dxa"/>
            <w:vAlign w:val="bottom"/>
          </w:tcPr>
          <w:p>
            <w:pPr>
              <w:spacing w:after="0"/>
              <w:rPr>
                <w:sz w:val="16"/>
                <w:szCs w:val="16"/>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auto"/>
              </w:rPr>
              <w:t>98,167</w:t>
            </w:r>
          </w:p>
        </w:tc>
      </w:tr>
      <w:tr>
        <w:trPr>
          <w:trHeight w:val="180"/>
        </w:trPr>
        <w:tc>
          <w:tcPr>
            <w:tcW w:w="50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cash provided by investing activities from discontinued operations</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7"/>
              <w:spacing w:after="0" w:line="180" w:lineRule="exact"/>
              <w:rPr>
                <w:sz w:val="20"/>
                <w:szCs w:val="20"/>
                <w:color w:val="auto"/>
              </w:rPr>
            </w:pPr>
            <w:r>
              <w:rPr>
                <w:rFonts w:ascii="Arial" w:cs="Arial" w:eastAsia="Arial" w:hAnsi="Arial"/>
                <w:sz w:val="16"/>
                <w:szCs w:val="16"/>
                <w:color w:val="auto"/>
              </w:rPr>
              <w:t>637</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7"/>
              <w:spacing w:after="0" w:line="180"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7"/>
              <w:spacing w:after="0" w:line="180" w:lineRule="exact"/>
              <w:rPr>
                <w:sz w:val="20"/>
                <w:szCs w:val="20"/>
                <w:color w:val="auto"/>
              </w:rPr>
            </w:pPr>
            <w:r>
              <w:rPr>
                <w:rFonts w:ascii="Arial" w:cs="Arial" w:eastAsia="Arial" w:hAnsi="Arial"/>
                <w:sz w:val="16"/>
                <w:szCs w:val="16"/>
                <w:color w:val="auto"/>
              </w:rPr>
              <w:t>637</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
              <w:spacing w:after="0" w:line="180" w:lineRule="exact"/>
              <w:rPr>
                <w:sz w:val="20"/>
                <w:szCs w:val="20"/>
                <w:color w:val="auto"/>
              </w:rPr>
            </w:pPr>
            <w:r>
              <w:rPr>
                <w:rFonts w:ascii="Arial" w:cs="Arial" w:eastAsia="Arial" w:hAnsi="Arial"/>
                <w:sz w:val="16"/>
                <w:szCs w:val="16"/>
                <w:color w:val="auto"/>
              </w:rPr>
              <w:t>5,747</w:t>
            </w:r>
          </w:p>
        </w:tc>
      </w:tr>
      <w:tr>
        <w:trPr>
          <w:trHeight w:val="180"/>
        </w:trPr>
        <w:tc>
          <w:tcPr>
            <w:tcW w:w="5020" w:type="dxa"/>
            <w:vAlign w:val="bottom"/>
          </w:tcPr>
          <w:p>
            <w:pPr>
              <w:spacing w:after="0" w:line="180" w:lineRule="exact"/>
              <w:rPr>
                <w:sz w:val="20"/>
                <w:szCs w:val="20"/>
                <w:color w:val="auto"/>
              </w:rPr>
            </w:pPr>
            <w:r>
              <w:rPr>
                <w:rFonts w:ascii="Arial" w:cs="Arial" w:eastAsia="Arial" w:hAnsi="Arial"/>
                <w:sz w:val="16"/>
                <w:szCs w:val="16"/>
                <w:color w:val="auto"/>
              </w:rPr>
              <w:t>Net cash used in financing activities from discontinued operations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27"/>
              <w:spacing w:after="0" w:line="180"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7"/>
              <w:spacing w:after="0" w:line="18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(151,178)</w:t>
            </w:r>
          </w:p>
        </w:tc>
      </w:tr>
      <w:tr>
        <w:trPr>
          <w:trHeight w:val="180"/>
        </w:trPr>
        <w:tc>
          <w:tcPr>
            <w:tcW w:w="50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increase (decrease) in cash, cash equivalents and restricted cash</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7"/>
              <w:spacing w:after="0" w:line="180" w:lineRule="exact"/>
              <w:rPr>
                <w:sz w:val="20"/>
                <w:szCs w:val="20"/>
                <w:color w:val="auto"/>
              </w:rPr>
            </w:pPr>
            <w:r>
              <w:rPr>
                <w:rFonts w:ascii="Arial" w:cs="Arial" w:eastAsia="Arial" w:hAnsi="Arial"/>
                <w:sz w:val="16"/>
                <w:szCs w:val="16"/>
                <w:color w:val="auto"/>
              </w:rPr>
              <w:t>6,127</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(16,928)</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(10,801)</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(68,313)</w:t>
            </w:r>
          </w:p>
        </w:tc>
      </w:tr>
      <w:tr>
        <w:trPr>
          <w:trHeight w:val="180"/>
        </w:trPr>
        <w:tc>
          <w:tcPr>
            <w:tcW w:w="5020" w:type="dxa"/>
            <w:vAlign w:val="bottom"/>
          </w:tcPr>
          <w:p>
            <w:pPr>
              <w:spacing w:after="0" w:line="180" w:lineRule="exact"/>
              <w:rPr>
                <w:sz w:val="20"/>
                <w:szCs w:val="20"/>
                <w:color w:val="auto"/>
              </w:rPr>
            </w:pPr>
            <w:r>
              <w:rPr>
                <w:rFonts w:ascii="Arial" w:cs="Arial" w:eastAsia="Arial" w:hAnsi="Arial"/>
                <w:sz w:val="16"/>
                <w:szCs w:val="16"/>
                <w:color w:val="auto"/>
              </w:rPr>
              <w:t>Cash and cash equivalents and restricted cash at beginning of period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27"/>
              <w:spacing w:after="0" w:line="180" w:lineRule="exact"/>
              <w:rPr>
                <w:sz w:val="20"/>
                <w:szCs w:val="20"/>
                <w:color w:val="auto"/>
              </w:rPr>
            </w:pPr>
            <w:r>
              <w:rPr>
                <w:rFonts w:ascii="Arial" w:cs="Arial" w:eastAsia="Arial" w:hAnsi="Arial"/>
                <w:sz w:val="16"/>
                <w:szCs w:val="16"/>
                <w:color w:val="auto"/>
              </w:rPr>
              <w:t>61,441</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7"/>
              <w:spacing w:after="0" w:line="180" w:lineRule="exact"/>
              <w:rPr>
                <w:sz w:val="20"/>
                <w:szCs w:val="20"/>
                <w:color w:val="auto"/>
              </w:rPr>
            </w:pPr>
            <w:r>
              <w:rPr>
                <w:rFonts w:ascii="Arial" w:cs="Arial" w:eastAsia="Arial" w:hAnsi="Arial"/>
                <w:sz w:val="16"/>
                <w:szCs w:val="16"/>
                <w:color w:val="auto"/>
              </w:rPr>
              <w:t>78,369</w:t>
            </w:r>
          </w:p>
        </w:tc>
        <w:tc>
          <w:tcPr>
            <w:tcW w:w="160" w:type="dxa"/>
            <w:vAlign w:val="bottom"/>
          </w:tcPr>
          <w:p>
            <w:pPr>
              <w:spacing w:after="0"/>
              <w:rPr>
                <w:sz w:val="15"/>
                <w:szCs w:val="15"/>
                <w:color w:val="auto"/>
              </w:rPr>
            </w:pPr>
          </w:p>
        </w:tc>
        <w:tc>
          <w:tcPr>
            <w:tcW w:w="1080" w:type="dxa"/>
            <w:vAlign w:val="bottom"/>
          </w:tcPr>
          <w:p>
            <w:pPr>
              <w:jc w:val="right"/>
              <w:ind w:right="7"/>
              <w:spacing w:after="0" w:line="180" w:lineRule="exact"/>
              <w:rPr>
                <w:sz w:val="20"/>
                <w:szCs w:val="20"/>
                <w:color w:val="auto"/>
              </w:rPr>
            </w:pPr>
            <w:r>
              <w:rPr>
                <w:rFonts w:ascii="Arial" w:cs="Arial" w:eastAsia="Arial" w:hAnsi="Arial"/>
                <w:sz w:val="16"/>
                <w:szCs w:val="16"/>
                <w:color w:val="auto"/>
              </w:rPr>
              <w:t>78,369</w:t>
            </w:r>
          </w:p>
        </w:tc>
        <w:tc>
          <w:tcPr>
            <w:tcW w:w="180" w:type="dxa"/>
            <w:vAlign w:val="bottom"/>
          </w:tcPr>
          <w:p>
            <w:pPr>
              <w:spacing w:after="0"/>
              <w:rPr>
                <w:sz w:val="15"/>
                <w:szCs w:val="15"/>
                <w:color w:val="auto"/>
              </w:rPr>
            </w:pPr>
          </w:p>
        </w:tc>
        <w:tc>
          <w:tcPr>
            <w:tcW w:w="1100" w:type="dxa"/>
            <w:vAlign w:val="bottom"/>
          </w:tcPr>
          <w:p>
            <w:pPr>
              <w:jc w:val="right"/>
              <w:ind w:right="6"/>
              <w:spacing w:after="0" w:line="180" w:lineRule="exact"/>
              <w:rPr>
                <w:sz w:val="20"/>
                <w:szCs w:val="20"/>
                <w:color w:val="auto"/>
              </w:rPr>
            </w:pPr>
            <w:r>
              <w:rPr>
                <w:rFonts w:ascii="Arial" w:cs="Arial" w:eastAsia="Arial" w:hAnsi="Arial"/>
                <w:sz w:val="16"/>
                <w:szCs w:val="16"/>
                <w:color w:val="auto"/>
              </w:rPr>
              <w:t>208,819</w:t>
            </w:r>
          </w:p>
        </w:tc>
      </w:tr>
      <w:tr>
        <w:trPr>
          <w:trHeight w:val="200"/>
        </w:trPr>
        <w:tc>
          <w:tcPr>
            <w:tcW w:w="50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and cash equivalents and restricted cash at end of period</w:t>
            </w:r>
          </w:p>
        </w:tc>
        <w:tc>
          <w:tcPr>
            <w:tcW w:w="3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27"/>
              <w:spacing w:after="0" w:line="180" w:lineRule="exact"/>
              <w:rPr>
                <w:sz w:val="20"/>
                <w:szCs w:val="20"/>
                <w:color w:val="auto"/>
              </w:rPr>
            </w:pPr>
            <w:r>
              <w:rPr>
                <w:rFonts w:ascii="Arial" w:cs="Arial" w:eastAsia="Arial" w:hAnsi="Arial"/>
                <w:sz w:val="16"/>
                <w:szCs w:val="16"/>
                <w:color w:val="auto"/>
              </w:rPr>
              <w:t>67,568</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27"/>
              <w:spacing w:after="0" w:line="180" w:lineRule="exact"/>
              <w:rPr>
                <w:sz w:val="20"/>
                <w:szCs w:val="20"/>
                <w:color w:val="auto"/>
              </w:rPr>
            </w:pPr>
            <w:r>
              <w:rPr>
                <w:rFonts w:ascii="Arial" w:cs="Arial" w:eastAsia="Arial" w:hAnsi="Arial"/>
                <w:sz w:val="16"/>
                <w:szCs w:val="16"/>
                <w:color w:val="auto"/>
              </w:rPr>
              <w:t>61,441</w:t>
            </w: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7"/>
              <w:spacing w:after="0" w:line="180" w:lineRule="exact"/>
              <w:rPr>
                <w:sz w:val="20"/>
                <w:szCs w:val="20"/>
                <w:color w:val="auto"/>
              </w:rPr>
            </w:pPr>
            <w:r>
              <w:rPr>
                <w:rFonts w:ascii="Arial" w:cs="Arial" w:eastAsia="Arial" w:hAnsi="Arial"/>
                <w:sz w:val="16"/>
                <w:szCs w:val="16"/>
                <w:color w:val="auto"/>
              </w:rPr>
              <w:t>67,568</w:t>
            </w: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
              <w:spacing w:after="0" w:line="180" w:lineRule="exact"/>
              <w:rPr>
                <w:sz w:val="20"/>
                <w:szCs w:val="20"/>
                <w:color w:val="auto"/>
              </w:rPr>
            </w:pPr>
            <w:r>
              <w:rPr>
                <w:rFonts w:ascii="Arial" w:cs="Arial" w:eastAsia="Arial" w:hAnsi="Arial"/>
                <w:sz w:val="16"/>
                <w:szCs w:val="16"/>
                <w:color w:val="auto"/>
              </w:rPr>
              <w:t>140,506</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24" w:lineRule="exact"/>
        <w:rPr>
          <w:sz w:val="20"/>
          <w:szCs w:val="20"/>
          <w:color w:val="auto"/>
        </w:rPr>
      </w:pPr>
    </w:p>
    <w:p>
      <w:pPr>
        <w:ind w:firstLine="708"/>
        <w:spacing w:after="0" w:line="238" w:lineRule="auto"/>
        <w:rPr>
          <w:sz w:val="20"/>
          <w:szCs w:val="20"/>
          <w:color w:val="auto"/>
        </w:rPr>
      </w:pPr>
      <w:r>
        <w:rPr>
          <w:rFonts w:ascii="Arial" w:cs="Arial" w:eastAsia="Arial" w:hAnsi="Arial"/>
          <w:sz w:val="16"/>
          <w:szCs w:val="16"/>
          <w:color w:val="auto"/>
        </w:rPr>
        <w:t>Net cash flows provided by (used in) operating activities from continuing operations increased by $86.5 million, from $(75.0) million net cash utilized in operating activities for the three months ended March 31, 2024 to $11.5 million net cash provided by operating activities for the three months ended March 31, 2025. The reduction of cash used in operating activities was primarily due to a $116.1 million decrease in originations of finance receivables held for sale. As a result of emerging from the Prepackaged Chapter 11 Case and applying fresh start accounting, our finance receivables are originated and accounted for as held for investment at fair value and are classified as investing activities prospectively. The increase in net cash flows provided by operating activities was also due to a decrease in working capital of $3.7 million, offset by an decrease in principal payments received on finance receivables held for sale of $33.9 million and a $8.1 million improvement in net income (loss) from continuing operations after reconciling adjustments.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2" w:name="page73"/>
    <w:bookmarkEnd w:id="7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24" w:lineRule="exact"/>
        <w:rPr>
          <w:sz w:val="20"/>
          <w:szCs w:val="20"/>
          <w:color w:val="auto"/>
        </w:rPr>
      </w:pPr>
    </w:p>
    <w:p>
      <w:pPr>
        <w:ind w:right="100" w:firstLine="708"/>
        <w:spacing w:after="0" w:line="281" w:lineRule="auto"/>
        <w:rPr>
          <w:sz w:val="20"/>
          <w:szCs w:val="20"/>
          <w:color w:val="auto"/>
        </w:rPr>
      </w:pPr>
      <w:r>
        <w:rPr>
          <w:rFonts w:ascii="Arial" w:cs="Arial" w:eastAsia="Arial" w:hAnsi="Arial"/>
          <w:sz w:val="14"/>
          <w:szCs w:val="14"/>
          <w:color w:val="auto"/>
        </w:rPr>
        <w:t>Net cash flows provided by (used in) investing activities from continuing operations decreased by $ 80.7 million, from $35.3 million net cash provided by investing activities for the three months ended March 31, 2024 to $(45.4) million net cash utilized in investing activities for the three months ended March 31, 2025. The decrease in cash provided by investing activities was primarily due to a $120.5 million increase in originations of finance receivables held for investment, offset by a $41.0 million increase in principal payments received on finance receivables at fair value as compared to the three months ended March 31, 2024. As a result of emerging from the Prepackaged Chapter 11 Case and applying fresh start accounting, our finance receivables are originated and accounted for as held for investment at fair value and are classified as investing activities prospectively.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6" w:lineRule="exact"/>
        <w:rPr>
          <w:sz w:val="20"/>
          <w:szCs w:val="20"/>
          <w:color w:val="auto"/>
        </w:rPr>
      </w:pPr>
    </w:p>
    <w:p>
      <w:pPr>
        <w:ind w:right="100" w:firstLine="708"/>
        <w:spacing w:after="0" w:line="241" w:lineRule="auto"/>
        <w:rPr>
          <w:sz w:val="20"/>
          <w:szCs w:val="20"/>
          <w:color w:val="auto"/>
        </w:rPr>
      </w:pPr>
      <w:r>
        <w:rPr>
          <w:rFonts w:ascii="Arial" w:cs="Arial" w:eastAsia="Arial" w:hAnsi="Arial"/>
          <w:sz w:val="16"/>
          <w:szCs w:val="16"/>
          <w:color w:val="auto"/>
        </w:rPr>
        <w:t>Net cash flows provided by financing activities from continuing operations increased by $4.4 million, from $18.7 million for the three months ended March 31, 2024, to $23.1 million for the three months ended March 31, 2025. The increase was primarily related to a $15.8 million increase in net cash flows from financing of beneficial interests in securitizations following the financing of our retained residual interests in the 2025-1 securitization, offset by a $10.2 million decrease in net cash flows related to our Warehouse Credit Facilities, as a result of fewer borrowings and higher repayments following the 2025-1 securitization transaction as compared to the three months ended March 31, 2024.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78" w:lineRule="exact"/>
        <w:rPr>
          <w:sz w:val="20"/>
          <w:szCs w:val="20"/>
          <w:color w:val="auto"/>
        </w:rPr>
      </w:pPr>
    </w:p>
    <w:p>
      <w:pPr>
        <w:ind w:right="60" w:firstLine="588"/>
        <w:spacing w:after="0"/>
        <w:rPr>
          <w:sz w:val="20"/>
          <w:szCs w:val="20"/>
          <w:color w:val="auto"/>
        </w:rPr>
      </w:pPr>
      <w:r>
        <w:rPr>
          <w:rFonts w:ascii="Arial" w:cs="Arial" w:eastAsia="Arial" w:hAnsi="Arial"/>
          <w:sz w:val="16"/>
          <w:szCs w:val="16"/>
          <w:color w:val="auto"/>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p>
    <w:p>
      <w:pPr>
        <w:spacing w:after="0" w:line="156" w:lineRule="exact"/>
        <w:rPr>
          <w:sz w:val="20"/>
          <w:szCs w:val="20"/>
          <w:color w:val="auto"/>
        </w:rPr>
      </w:pPr>
    </w:p>
    <w:p>
      <w:pPr>
        <w:ind w:firstLine="588"/>
        <w:spacing w:after="0" w:line="248" w:lineRule="auto"/>
        <w:rPr>
          <w:sz w:val="20"/>
          <w:szCs w:val="20"/>
          <w:color w:val="auto"/>
        </w:rPr>
      </w:pPr>
      <w:r>
        <w:rPr>
          <w:rFonts w:ascii="Arial" w:cs="Arial" w:eastAsia="Arial" w:hAnsi="Arial"/>
          <w:sz w:val="16"/>
          <w:szCs w:val="16"/>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spacing w:after="0" w:line="150" w:lineRule="exact"/>
        <w:rPr>
          <w:sz w:val="20"/>
          <w:szCs w:val="20"/>
          <w:color w:val="auto"/>
        </w:rPr>
      </w:pPr>
    </w:p>
    <w:p>
      <w:pPr>
        <w:ind w:right="300" w:firstLine="588"/>
        <w:spacing w:after="0" w:line="262" w:lineRule="auto"/>
        <w:rPr>
          <w:sz w:val="20"/>
          <w:szCs w:val="20"/>
          <w:color w:val="auto"/>
        </w:rPr>
      </w:pPr>
      <w:r>
        <w:rPr>
          <w:rFonts w:ascii="Arial" w:cs="Arial" w:eastAsia="Arial" w:hAnsi="Arial"/>
          <w:sz w:val="16"/>
          <w:szCs w:val="16"/>
          <w:color w:val="auto"/>
        </w:rPr>
        <w:t>Except as described below, there have been no material changes to our critical accounting policies and estimates as compared to the critical accounting policies and estimates disclosed in our Annual Report on Form 10-K for the year ended December 31, 2024.</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Bankruptcy</w:t>
      </w:r>
    </w:p>
    <w:p>
      <w:pPr>
        <w:spacing w:after="0" w:line="176" w:lineRule="exact"/>
        <w:rPr>
          <w:sz w:val="20"/>
          <w:szCs w:val="20"/>
          <w:color w:val="auto"/>
        </w:rPr>
      </w:pPr>
    </w:p>
    <w:p>
      <w:pPr>
        <w:ind w:right="40" w:firstLine="588"/>
        <w:spacing w:after="0" w:line="239" w:lineRule="auto"/>
        <w:rPr>
          <w:sz w:val="20"/>
          <w:szCs w:val="20"/>
          <w:color w:val="auto"/>
        </w:rPr>
      </w:pPr>
      <w:r>
        <w:rPr>
          <w:rFonts w:ascii="Arial" w:cs="Arial" w:eastAsia="Arial" w:hAnsi="Arial"/>
          <w:sz w:val="16"/>
          <w:szCs w:val="16"/>
          <w:color w:val="auto"/>
        </w:rPr>
        <w:t>The Company applied FASB Codification Topic 852, Reorganizations ("ASC 852") in preparing the consolidated financial statements starting on the Prepackaged Chapter 11 Case petition date. ASC 852 requires the financial statements, for the periods subsequent to the petition date and up to and including the Effective Date, which includes the period of emergence from Chapter 11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Consolidated Statements of Operations and Comprehensive Loss.</w:t>
      </w:r>
    </w:p>
    <w:p>
      <w:pPr>
        <w:spacing w:after="0" w:line="158" w:lineRule="exact"/>
        <w:rPr>
          <w:sz w:val="20"/>
          <w:szCs w:val="20"/>
          <w:color w:val="auto"/>
        </w:rPr>
      </w:pPr>
    </w:p>
    <w:p>
      <w:pPr>
        <w:ind w:right="40" w:firstLine="632"/>
        <w:spacing w:after="0" w:line="239" w:lineRule="auto"/>
        <w:rPr>
          <w:sz w:val="20"/>
          <w:szCs w:val="20"/>
          <w:color w:val="auto"/>
        </w:rPr>
      </w:pPr>
      <w:r>
        <w:rPr>
          <w:rFonts w:ascii="Arial" w:cs="Arial" w:eastAsia="Arial" w:hAnsi="Arial"/>
          <w:sz w:val="16"/>
          <w:szCs w:val="16"/>
          <w:color w:val="auto"/>
        </w:rPr>
        <w:t>In connection with our emergence from the Prepackaged Chapter 11 Case and in accordance with ASC Topic 852, we qualified for and adopted fresh start accounting on the Effective Date. We were required to adopt fresh start accounting because (i) the holders of existing voting shares of the Predecessor received less than 50% of the voting shares of the Successor Company, and (ii) the reorganization value of our assets immediately prior to confirmation of the Plan was less than the post-petition liabilities and allowed claims. In accordance with ASC Topic 852, with the application of fresh start accounting, we allocated the reorganization value to our individual assets and liabilities (except for deferred income taxes) based on their estimated fair values in conformity with ASC Topic 805, Business Combinations. The amount of deferred taxes was determined in accordance with ASC Topic 740, Income Taxes. The Effective Date fair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3" w:name="page74"/>
    <w:bookmarkEnd w:id="7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values of our assets and liabilities differed materially from their recorded values as reflected on the historical balance sheets. Refer to Note 6 – Fresh Start Accounting for further details.</w:t>
      </w:r>
    </w:p>
    <w:p>
      <w:pPr>
        <w:spacing w:after="0" w:line="126" w:lineRule="exact"/>
        <w:rPr>
          <w:sz w:val="20"/>
          <w:szCs w:val="20"/>
          <w:color w:val="auto"/>
        </w:rPr>
      </w:pPr>
    </w:p>
    <w:p>
      <w:pPr>
        <w:ind w:firstLine="696"/>
        <w:spacing w:after="0" w:line="248" w:lineRule="auto"/>
        <w:rPr>
          <w:sz w:val="20"/>
          <w:szCs w:val="20"/>
          <w:color w:val="auto"/>
        </w:rPr>
      </w:pPr>
      <w:r>
        <w:rPr>
          <w:rFonts w:ascii="Arial" w:cs="Arial" w:eastAsia="Arial" w:hAnsi="Arial"/>
          <w:sz w:val="16"/>
          <w:szCs w:val="16"/>
          <w:color w:val="auto"/>
        </w:rPr>
        <w:t>The results of our analysis indicated that the principal assets requiring fair value adjustments on the Effective Date included finance receivables held for sale, identified intangible assets and leased assets. The finance receivables held for sale include both finance receivables that are held in a collateralized financing entity ("CFE") and those that are not held in a CFE.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Fresh Start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Receivables at Fair Value</w:t>
      </w:r>
    </w:p>
    <w:p>
      <w:pPr>
        <w:spacing w:after="0" w:line="176" w:lineRule="exact"/>
        <w:rPr>
          <w:sz w:val="20"/>
          <w:szCs w:val="20"/>
          <w:color w:val="auto"/>
        </w:rPr>
      </w:pPr>
    </w:p>
    <w:p>
      <w:pPr>
        <w:ind w:right="20" w:firstLine="588"/>
        <w:spacing w:after="0" w:line="277" w:lineRule="auto"/>
        <w:rPr>
          <w:sz w:val="20"/>
          <w:szCs w:val="20"/>
          <w:color w:val="auto"/>
        </w:rPr>
      </w:pPr>
      <w:r>
        <w:rPr>
          <w:rFonts w:ascii="Arial" w:cs="Arial" w:eastAsia="Arial" w:hAnsi="Arial"/>
          <w:sz w:val="14"/>
          <w:szCs w:val="14"/>
          <w:color w:val="auto"/>
        </w:rPr>
        <w:t>Upon emergence from the Prepackaged Chapter 11 Case, and application of fresh start accounting, we made an accounting policy election to elect the fair value option for all finance receivables held for sale, net. The finance receivables held for sale, net were reclassified to finance receivables at fair value. The valuation of finance receivables at fair value, for which we elected the fair value option in accordance with ASC 825 but are not related to consolidated CFEs, is derived from a model that estimates the present value of future cash flows. We estimate the present value of these future cash flows using a valuation model consisting of developed estimates that rely on unobservable assumptions third-party market participants would use in determining fair value, including prepayment speed, default rate, recovery rate, as well as certain macroeconomics events we believe market participants would consider relevant. All these assumptions are primarily based on historical performance. These valuation models are calculated by combining similarly priced loans and vintages to determine a stream of expected cash flows which are then discounted. The individual discounted pools of cash flows are then aggregated to determine the total expected discounted cash flows on the outstanding receivable at a given measurement period.</w:t>
      </w:r>
    </w:p>
    <w:p>
      <w:pPr>
        <w:spacing w:after="0" w:line="314" w:lineRule="exact"/>
        <w:rPr>
          <w:sz w:val="20"/>
          <w:szCs w:val="20"/>
          <w:color w:val="auto"/>
        </w:rPr>
      </w:pPr>
    </w:p>
    <w:p>
      <w:pPr>
        <w:ind w:right="140" w:firstLine="588"/>
        <w:spacing w:after="0" w:line="262" w:lineRule="auto"/>
        <w:rPr>
          <w:sz w:val="20"/>
          <w:szCs w:val="20"/>
          <w:color w:val="auto"/>
        </w:rPr>
      </w:pPr>
      <w:r>
        <w:rPr>
          <w:rFonts w:ascii="Arial" w:cs="Arial" w:eastAsia="Arial" w:hAnsi="Arial"/>
          <w:sz w:val="16"/>
          <w:szCs w:val="16"/>
          <w:color w:val="auto"/>
        </w:rPr>
        <w:t>The estimates for the aforementioned assumptions significantly affect the reported amount (and changes thereon) of our finance receivables at fair value on our consolidated balance sheets and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and liabilities of CFEs</w:t>
      </w:r>
    </w:p>
    <w:p>
      <w:pPr>
        <w:spacing w:after="0" w:line="176" w:lineRule="exact"/>
        <w:rPr>
          <w:sz w:val="20"/>
          <w:szCs w:val="20"/>
          <w:color w:val="auto"/>
        </w:rPr>
      </w:pPr>
    </w:p>
    <w:p>
      <w:pPr>
        <w:ind w:right="100" w:firstLine="696"/>
        <w:spacing w:after="0" w:line="262" w:lineRule="auto"/>
        <w:rPr>
          <w:sz w:val="20"/>
          <w:szCs w:val="20"/>
          <w:color w:val="auto"/>
        </w:rPr>
      </w:pPr>
      <w:r>
        <w:rPr>
          <w:rFonts w:ascii="Arial" w:cs="Arial" w:eastAsia="Arial" w:hAnsi="Arial"/>
          <w:sz w:val="16"/>
          <w:szCs w:val="16"/>
          <w:color w:val="auto"/>
        </w:rPr>
        <w:t>Upon emergence from the Prepackaged Chapter 11 Case, and application of fresh start accounting, we made an accounting policy election to apply the measurement alternative to the 2024-1 consolidated CFE.</w:t>
      </w:r>
    </w:p>
    <w:p>
      <w:pPr>
        <w:spacing w:after="0" w:line="138"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We are required to determine whether the fair value of the financial assets or the fair value of the financial liabilities of the 2024 -1 CFE are more observable, but in either case, the methodology results in the fair value of the financial assets of the securitization trust being equal to the fair value of their liabilities. We determined that the fair value of the liabilities of the 2024-1 securitization CFE are more observable, since market prices of their liabilities are based on non-binding quoted prices provided by broker dealers who make markets in similar financial instruments. The assets of the 2024-1 securitization CFE are not readily marketable, and their fair value measurement requires information that may be limited in availability.</w:t>
      </w:r>
    </w:p>
    <w:p>
      <w:pPr>
        <w:spacing w:after="0" w:line="157" w:lineRule="exact"/>
        <w:rPr>
          <w:sz w:val="20"/>
          <w:szCs w:val="20"/>
          <w:color w:val="auto"/>
        </w:rPr>
      </w:pPr>
    </w:p>
    <w:p>
      <w:pPr>
        <w:ind w:right="80" w:firstLine="696"/>
        <w:spacing w:after="0" w:line="239" w:lineRule="auto"/>
        <w:rPr>
          <w:sz w:val="20"/>
          <w:szCs w:val="20"/>
          <w:color w:val="auto"/>
        </w:rPr>
      </w:pPr>
      <w:r>
        <w:rPr>
          <w:rFonts w:ascii="Arial" w:cs="Arial" w:eastAsia="Arial" w:hAnsi="Arial"/>
          <w:sz w:val="16"/>
          <w:szCs w:val="16"/>
          <w:color w:val="auto"/>
        </w:rPr>
        <w:t>In determining the fair value of the 2024-1 securitization debt,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we obtain prices from multiple broker dealers for the same security and have a consensus among them, we deem these fair values to be based on observable valuation inputs and classified as Level 2 of the fair value hierarchy. Where a third-party broker dealer quote is not available, an internal model is utilized using unobservable inputs or if we have multiple quotes that are not within determined range, we classify the securitization debt as Level 3 of the fair value hierarchy.</w:t>
      </w:r>
    </w:p>
    <w:p>
      <w:pPr>
        <w:spacing w:after="0" w:line="158" w:lineRule="exact"/>
        <w:rPr>
          <w:sz w:val="20"/>
          <w:szCs w:val="20"/>
          <w:color w:val="auto"/>
        </w:rPr>
      </w:pPr>
    </w:p>
    <w:p>
      <w:pPr>
        <w:ind w:right="120" w:firstLine="696"/>
        <w:spacing w:after="0" w:line="262" w:lineRule="auto"/>
        <w:rPr>
          <w:sz w:val="20"/>
          <w:szCs w:val="20"/>
          <w:color w:val="auto"/>
        </w:rPr>
      </w:pPr>
      <w:r>
        <w:rPr>
          <w:rFonts w:ascii="Arial" w:cs="Arial" w:eastAsia="Arial" w:hAnsi="Arial"/>
          <w:sz w:val="16"/>
          <w:szCs w:val="16"/>
          <w:color w:val="auto"/>
        </w:rPr>
        <w:t>The financial assets of the 2024-1 consolidated CFE are an aggregate value derived from the fair value of the CFEs liabilities. We determined that finance receivables, in the 2024-1 CFE, in their entirety should be classified as Level 3 of the fair value hierarchy.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w:t>
      </w:r>
    </w:p>
    <w:p>
      <w:pPr>
        <w:spacing w:after="0" w:line="176" w:lineRule="exact"/>
        <w:rPr>
          <w:sz w:val="20"/>
          <w:szCs w:val="20"/>
          <w:color w:val="auto"/>
        </w:rPr>
      </w:pPr>
    </w:p>
    <w:p>
      <w:pPr>
        <w:ind w:right="620" w:firstLine="696"/>
        <w:spacing w:after="0" w:line="262" w:lineRule="auto"/>
        <w:rPr>
          <w:sz w:val="20"/>
          <w:szCs w:val="20"/>
          <w:color w:val="auto"/>
        </w:rPr>
      </w:pPr>
      <w:r>
        <w:rPr>
          <w:rFonts w:ascii="Arial" w:cs="Arial" w:eastAsia="Arial" w:hAnsi="Arial"/>
          <w:sz w:val="16"/>
          <w:szCs w:val="16"/>
          <w:color w:val="auto"/>
        </w:rPr>
        <w:t>The identified intangible assets of $14.2 million, which principally consisted of technology, trade names and trademarks, and customer relationships were estimated based on either the cost approach, relief from royalty 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4" w:name="page75"/>
    <w:bookmarkEnd w:id="7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60"/>
        <w:spacing w:after="0" w:line="334" w:lineRule="auto"/>
        <w:rPr>
          <w:sz w:val="20"/>
          <w:szCs w:val="20"/>
          <w:color w:val="auto"/>
        </w:rPr>
      </w:pPr>
      <w:r>
        <w:rPr>
          <w:rFonts w:ascii="Arial" w:cs="Arial" w:eastAsia="Arial" w:hAnsi="Arial"/>
          <w:sz w:val="14"/>
          <w:szCs w:val="14"/>
          <w:color w:val="auto"/>
        </w:rPr>
        <w:t>multi-period excess earnings methods. Significant assumptions for identified intangibles included royalty rates, discount rates, margins, attrition rates, revenue growth rates, and economic lives. Such fair value measurement of intangible assets is considered Level 3 of the fair value hierarchy.</w:t>
      </w:r>
    </w:p>
    <w:p>
      <w:pPr>
        <w:spacing w:after="0" w:line="92"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For the technology-based intangibles that were valued using the relief from royalty income approach, the royalty rate was estimated to be 5.0% and the discount rate 25%. For the technology- based intangibles that were valued using the cost approach, the margin was estimated to be 8.5%. For trade names and trademarks valued under the relief from royalty income approach, the royalty rate was estimated to be 0.5% and the discount rate 25%. For customer related intangible assets that were valued using the multi-period excess earnings method, the attrition rate was estimated to be 10% and the discount rate 25%.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Liabilities and Right of Use Assets</w:t>
      </w:r>
    </w:p>
    <w:p>
      <w:pPr>
        <w:spacing w:after="0" w:line="176" w:lineRule="exact"/>
        <w:rPr>
          <w:sz w:val="20"/>
          <w:szCs w:val="20"/>
          <w:color w:val="auto"/>
        </w:rPr>
      </w:pPr>
    </w:p>
    <w:p>
      <w:pPr>
        <w:ind w:right="40" w:firstLine="696"/>
        <w:spacing w:after="0" w:line="244" w:lineRule="auto"/>
        <w:rPr>
          <w:sz w:val="20"/>
          <w:szCs w:val="20"/>
          <w:color w:val="auto"/>
        </w:rPr>
      </w:pPr>
      <w:r>
        <w:rPr>
          <w:rFonts w:ascii="Arial" w:cs="Arial" w:eastAsia="Arial" w:hAnsi="Arial"/>
          <w:sz w:val="16"/>
          <w:szCs w:val="16"/>
          <w:color w:val="auto"/>
        </w:rPr>
        <w:t>The present value of lease liabilities was measured as the present value of the remaining lease payments, as if the leases were new leases as of the Effective Date. We used our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Recently Issued and Adopted Accounting Pronouncements</w:t>
      </w:r>
    </w:p>
    <w:p>
      <w:pPr>
        <w:spacing w:after="0" w:line="178" w:lineRule="exact"/>
        <w:rPr>
          <w:sz w:val="20"/>
          <w:szCs w:val="20"/>
          <w:color w:val="auto"/>
        </w:rPr>
      </w:pPr>
    </w:p>
    <w:p>
      <w:pPr>
        <w:ind w:right="20" w:firstLine="708"/>
        <w:spacing w:after="0" w:line="334" w:lineRule="auto"/>
        <w:rPr>
          <w:sz w:val="20"/>
          <w:szCs w:val="20"/>
          <w:color w:val="auto"/>
        </w:rPr>
      </w:pPr>
      <w:r>
        <w:rPr>
          <w:rFonts w:ascii="Arial" w:cs="Arial" w:eastAsia="Arial" w:hAnsi="Arial"/>
          <w:sz w:val="14"/>
          <w:szCs w:val="14"/>
          <w:color w:val="auto"/>
        </w:rPr>
        <w:t>Refer to “Note 2 — 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75" w:name="page76"/>
    <w:bookmarkEnd w:id="7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178" w:lineRule="exact"/>
        <w:rPr>
          <w:sz w:val="20"/>
          <w:szCs w:val="20"/>
          <w:color w:val="auto"/>
        </w:rPr>
      </w:pPr>
    </w:p>
    <w:p>
      <w:pPr>
        <w:ind w:right="180" w:firstLine="696"/>
        <w:spacing w:after="0" w:line="262" w:lineRule="auto"/>
        <w:rPr>
          <w:sz w:val="20"/>
          <w:szCs w:val="20"/>
          <w:color w:val="auto"/>
        </w:rPr>
      </w:pPr>
      <w:r>
        <w:rPr>
          <w:rFonts w:ascii="Arial" w:cs="Arial" w:eastAsia="Arial" w:hAnsi="Arial"/>
          <w:sz w:val="16"/>
          <w:szCs w:val="16"/>
          <w:color w:val="auto"/>
        </w:rPr>
        <w:t>We are a smaller reporting company as defined in Rule 12b-2 of the Exchange Act and are not required to provide the information otherwise required under this Item 3.</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78" w:lineRule="exact"/>
        <w:rPr>
          <w:sz w:val="20"/>
          <w:szCs w:val="20"/>
          <w:color w:val="auto"/>
        </w:rPr>
      </w:pPr>
    </w:p>
    <w:p>
      <w:pPr>
        <w:ind w:firstLine="708"/>
        <w:spacing w:after="0" w:line="244"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78" w:lineRule="exact"/>
        <w:rPr>
          <w:sz w:val="20"/>
          <w:szCs w:val="20"/>
          <w:color w:val="auto"/>
        </w:rPr>
      </w:pPr>
    </w:p>
    <w:p>
      <w:pPr>
        <w:ind w:right="260" w:firstLine="708"/>
        <w:spacing w:after="0" w:line="26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defined in Rules 13a-15(e) and 15d-15(e) under the Exchange Act) as of March 31, 2025.</w:t>
      </w:r>
    </w:p>
    <w:p>
      <w:pPr>
        <w:spacing w:after="0" w:line="138" w:lineRule="exact"/>
        <w:rPr>
          <w:sz w:val="20"/>
          <w:szCs w:val="20"/>
          <w:color w:val="auto"/>
        </w:rPr>
      </w:pPr>
    </w:p>
    <w:p>
      <w:pPr>
        <w:ind w:right="500" w:firstLine="708"/>
        <w:spacing w:after="0" w:line="262" w:lineRule="auto"/>
        <w:rPr>
          <w:sz w:val="20"/>
          <w:szCs w:val="20"/>
          <w:color w:val="auto"/>
        </w:rPr>
      </w:pPr>
      <w:r>
        <w:rPr>
          <w:rFonts w:ascii="Arial" w:cs="Arial" w:eastAsia="Arial" w:hAnsi="Arial"/>
          <w:sz w:val="16"/>
          <w:szCs w:val="16"/>
          <w:color w:val="auto"/>
        </w:rPr>
        <w:t>Based on that evaluation, our Principal Executive Officer and Principal Financial Officer have concluded that, as of March 31, 2025, our disclosure controls and procedures were effective at the reasonable assurance level.</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78" w:lineRule="exact"/>
        <w:rPr>
          <w:sz w:val="20"/>
          <w:szCs w:val="20"/>
          <w:color w:val="auto"/>
        </w:rPr>
      </w:pPr>
    </w:p>
    <w:p>
      <w:pPr>
        <w:ind w:right="100" w:firstLine="708"/>
        <w:spacing w:after="0" w:line="244" w:lineRule="auto"/>
        <w:rPr>
          <w:sz w:val="20"/>
          <w:szCs w:val="20"/>
          <w:color w:val="auto"/>
        </w:rPr>
      </w:pPr>
      <w:r>
        <w:rPr>
          <w:rFonts w:ascii="Arial" w:cs="Arial" w:eastAsia="Arial" w:hAnsi="Arial"/>
          <w:sz w:val="16"/>
          <w:szCs w:val="16"/>
          <w:color w:val="auto"/>
        </w:rPr>
        <w:t>During the first quarter of 2025, upon our emergence from the Prepackaged Chapter 11 Case, we established controls over the application of fresh start accounting. Except for such application of fresh start accounting, there were no change in our internal control over financial reporting (as defined in Rules 13a-15(f) and 15d-15(f) under the Exchange Act) that occurred during the quarterly period ended March 31, 2025, that has materially affected, or is reasonably likely to materially affect, our internal control over financial reporting.</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76" w:name="page77"/>
    <w:bookmarkEnd w:id="7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78" w:lineRule="exact"/>
        <w:rPr>
          <w:sz w:val="20"/>
          <w:szCs w:val="20"/>
          <w:color w:val="auto"/>
        </w:rPr>
      </w:pPr>
    </w:p>
    <w:p>
      <w:pPr>
        <w:jc w:val="both"/>
        <w:ind w:right="120" w:firstLine="708"/>
        <w:spacing w:after="0" w:line="248" w:lineRule="auto"/>
        <w:rPr>
          <w:sz w:val="20"/>
          <w:szCs w:val="20"/>
          <w:color w:val="auto"/>
        </w:rPr>
      </w:pPr>
      <w:r>
        <w:rPr>
          <w:rFonts w:ascii="Arial" w:cs="Arial" w:eastAsia="Arial" w:hAnsi="Arial"/>
          <w:sz w:val="16"/>
          <w:szCs w:val="16"/>
          <w:color w:val="auto"/>
        </w:rPr>
        <w:t>From time to time, we are subject to legal proceedings in the normal course of operating our business and an unfavorable resolution of any of these matters could materially affect the Company's future results of operations, cash flows or financial position. The outcome of litigation, regardless of the merits, is inherently uncertain.</w:t>
      </w:r>
    </w:p>
    <w:p>
      <w:pPr>
        <w:spacing w:after="0" w:line="150" w:lineRule="exact"/>
        <w:rPr>
          <w:sz w:val="20"/>
          <w:szCs w:val="20"/>
          <w:color w:val="auto"/>
        </w:rPr>
      </w:pPr>
    </w:p>
    <w:p>
      <w:pPr>
        <w:jc w:val="both"/>
        <w:ind w:right="100" w:firstLine="708"/>
        <w:spacing w:after="0" w:line="248" w:lineRule="auto"/>
        <w:rPr>
          <w:sz w:val="20"/>
          <w:szCs w:val="20"/>
          <w:color w:val="auto"/>
        </w:rPr>
      </w:pPr>
      <w:r>
        <w:rPr>
          <w:rFonts w:ascii="Arial" w:cs="Arial" w:eastAsia="Arial" w:hAnsi="Arial"/>
          <w:sz w:val="16"/>
          <w:szCs w:val="16"/>
          <w:color w:val="auto"/>
        </w:rPr>
        <w:t xml:space="preserve">On November 13, 2024, we commenced a voluntary proceeding (the "Prepackaged Chapter 11 Case") under Chapter 11 of the United States Code, 11 U.S.C. §§ 101 -1532, as amended from time to time (the "Bankruptcy Code"), in the United States Bankruptcy Court for the Southern District of Texas (the "Bankruptcy Court") under the name </w:t>
      </w:r>
      <w:r>
        <w:rPr>
          <w:rFonts w:ascii="Arial" w:cs="Arial" w:eastAsia="Arial" w:hAnsi="Arial"/>
          <w:sz w:val="16"/>
          <w:szCs w:val="16"/>
          <w:i w:val="1"/>
          <w:iCs w:val="1"/>
          <w:color w:val="auto"/>
        </w:rPr>
        <w:t>In re Vroom, Inc.</w:t>
      </w:r>
      <w:r>
        <w:rPr>
          <w:rFonts w:ascii="Arial" w:cs="Arial" w:eastAsia="Arial" w:hAnsi="Arial"/>
          <w:sz w:val="16"/>
          <w:szCs w:val="16"/>
          <w:color w:val="auto"/>
        </w:rPr>
        <w:t>, Case No. 24-90571 (CML).</w:t>
      </w:r>
    </w:p>
    <w:p>
      <w:pPr>
        <w:spacing w:after="0" w:line="150" w:lineRule="exact"/>
        <w:rPr>
          <w:sz w:val="20"/>
          <w:szCs w:val="20"/>
          <w:color w:val="auto"/>
        </w:rPr>
      </w:pPr>
    </w:p>
    <w:p>
      <w:pPr>
        <w:ind w:right="60" w:firstLine="708"/>
        <w:spacing w:after="0" w:line="301" w:lineRule="auto"/>
        <w:rPr>
          <w:sz w:val="20"/>
          <w:szCs w:val="20"/>
          <w:color w:val="auto"/>
        </w:rPr>
      </w:pPr>
      <w:r>
        <w:rPr>
          <w:rFonts w:ascii="Arial" w:cs="Arial" w:eastAsia="Arial" w:hAnsi="Arial"/>
          <w:sz w:val="14"/>
          <w:szCs w:val="14"/>
          <w:color w:val="auto"/>
        </w:rPr>
        <w:t>On January 8, 2025, the Bankruptcy Court entered an order (a) approving our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we emerged from the Prepackaged Chapter 11 Case.</w:t>
      </w:r>
    </w:p>
    <w:p>
      <w:pPr>
        <w:spacing w:after="0" w:line="114" w:lineRule="exact"/>
        <w:rPr>
          <w:sz w:val="20"/>
          <w:szCs w:val="20"/>
          <w:color w:val="auto"/>
        </w:rPr>
      </w:pPr>
    </w:p>
    <w:p>
      <w:pPr>
        <w:ind w:right="60" w:firstLine="708"/>
        <w:spacing w:after="0" w:line="237" w:lineRule="auto"/>
        <w:rPr>
          <w:sz w:val="20"/>
          <w:szCs w:val="20"/>
          <w:color w:val="auto"/>
        </w:rPr>
      </w:pPr>
      <w:r>
        <w:rPr>
          <w:rFonts w:ascii="Arial" w:cs="Arial" w:eastAsia="Arial" w:hAnsi="Arial"/>
          <w:sz w:val="16"/>
          <w:szCs w:val="16"/>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10b- 5 against the Company and certain of the Company’s officers, and added new claims under Sections 11, 12 and 15 of the Securities Act against the Company, certain of its officers, certain of its directors, and the underwriters of the Company’s September 2020 secondary offering. On March 19, 2025, the Court entered an order granting Vroom's motion to dismiss all claims.</w:t>
      </w:r>
    </w:p>
    <w:p>
      <w:pPr>
        <w:spacing w:after="0" w:line="160" w:lineRule="exact"/>
        <w:rPr>
          <w:sz w:val="20"/>
          <w:szCs w:val="20"/>
          <w:color w:val="auto"/>
        </w:rPr>
      </w:pPr>
    </w:p>
    <w:p>
      <w:pPr>
        <w:ind w:right="40" w:firstLine="708"/>
        <w:spacing w:after="0" w:line="239" w:lineRule="auto"/>
        <w:rPr>
          <w:sz w:val="20"/>
          <w:szCs w:val="20"/>
          <w:color w:val="auto"/>
        </w:rPr>
      </w:pPr>
      <w:r>
        <w:rPr>
          <w:rFonts w:ascii="Arial" w:cs="Arial" w:eastAsia="Arial" w:hAnsi="Arial"/>
          <w:sz w:val="16"/>
          <w:szCs w:val="16"/>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 cv-6933, and the court has approved the parties’ stipulation that the cases would remain stayed pending final resolution of In re: Vroom, Inc. Securities Litigation. The stockholders who filed these lawsuits have voluntarily dismissed their claims and these cases have been closed.</w:t>
      </w:r>
    </w:p>
    <w:p>
      <w:pPr>
        <w:spacing w:after="0" w:line="158" w:lineRule="exact"/>
        <w:rPr>
          <w:sz w:val="20"/>
          <w:szCs w:val="20"/>
          <w:color w:val="auto"/>
        </w:rPr>
      </w:pPr>
    </w:p>
    <w:p>
      <w:pPr>
        <w:ind w:firstLine="708"/>
        <w:spacing w:after="0" w:line="239" w:lineRule="auto"/>
        <w:rPr>
          <w:sz w:val="20"/>
          <w:szCs w:val="20"/>
          <w:color w:val="auto"/>
        </w:rPr>
      </w:pPr>
      <w:r>
        <w:rPr>
          <w:rFonts w:ascii="Arial" w:cs="Arial" w:eastAsia="Arial" w:hAnsi="Arial"/>
          <w:sz w:val="16"/>
          <w:szCs w:val="16"/>
          <w:color w:val="auto"/>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 -569, the case filed in April 2024 is captioned Hudda v. Hennessy et al. Case No. 24-cv-4499., and the court in each has approved the parties’ stipulations that each case would remain stayed pending final resolution of In re: Vroom, Inc. Securities Litigation. The stockholders who filed these lawsuits have voluntarily dismissed their claims and these cases have been closed.</w:t>
      </w:r>
    </w:p>
    <w:p>
      <w:pPr>
        <w:spacing w:after="0" w:line="158" w:lineRule="exact"/>
        <w:rPr>
          <w:sz w:val="20"/>
          <w:szCs w:val="20"/>
          <w:color w:val="auto"/>
        </w:rPr>
      </w:pPr>
    </w:p>
    <w:p>
      <w:pPr>
        <w:ind w:right="40" w:firstLine="708"/>
        <w:spacing w:after="0" w:line="244" w:lineRule="auto"/>
        <w:rPr>
          <w:sz w:val="20"/>
          <w:szCs w:val="20"/>
          <w:color w:val="auto"/>
        </w:rPr>
      </w:pPr>
      <w:r>
        <w:rPr>
          <w:rFonts w:ascii="Arial" w:cs="Arial" w:eastAsia="Arial" w:hAnsi="Arial"/>
          <w:sz w:val="16"/>
          <w:szCs w:val="16"/>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fulfillment of customer orders, including the titling and registration of sold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7" w:name="page78"/>
    <w:bookmarkEnd w:id="7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w:t>
      </w:r>
    </w:p>
    <w:p>
      <w:pPr>
        <w:spacing w:after="0" w:line="161" w:lineRule="exact"/>
        <w:rPr>
          <w:sz w:val="20"/>
          <w:szCs w:val="20"/>
          <w:color w:val="auto"/>
        </w:rPr>
      </w:pPr>
    </w:p>
    <w:p>
      <w:pPr>
        <w:ind w:right="40" w:firstLine="708"/>
        <w:spacing w:after="0" w:line="241" w:lineRule="auto"/>
        <w:rPr>
          <w:sz w:val="20"/>
          <w:szCs w:val="20"/>
          <w:color w:val="auto"/>
        </w:rPr>
      </w:pPr>
      <w:r>
        <w:rPr>
          <w:rFonts w:ascii="Arial" w:cs="Arial" w:eastAsia="Arial" w:hAnsi="Arial"/>
          <w:sz w:val="16"/>
          <w:szCs w:val="16"/>
          <w:color w:val="auto"/>
        </w:rPr>
        <w:t>As previously disclosed, we have been subject to audits, requests for information, investigations and other inquiries from our regulators.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8"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Our operations and financial results are subject to various risks and uncertainties including those disclosed under “Item 1A. Risk Factors” in our Annual Report on Form 10-K for the year ended December 31, 2024. There have been no material changes to our risk factors described in our Annual Report</w:t>
      </w:r>
      <w:r>
        <w:rPr>
          <w:rFonts w:ascii="Arial" w:cs="Arial" w:eastAsia="Arial" w:hAnsi="Arial"/>
          <w:sz w:val="16"/>
          <w:szCs w:val="16"/>
          <w:color w:val="0563C1"/>
        </w:rPr>
        <w:t>.</w:t>
      </w:r>
      <w:r>
        <w:rPr>
          <w:rFonts w:ascii="Arial" w:cs="Arial" w:eastAsia="Arial" w:hAnsi="Arial"/>
          <w:sz w:val="16"/>
          <w:szCs w:val="16"/>
          <w:color w:val="auto"/>
        </w:rPr>
        <w:t xml:space="preserve"> If any of those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78" w:lineRule="exact"/>
        <w:rPr>
          <w:sz w:val="20"/>
          <w:szCs w:val="20"/>
          <w:color w:val="auto"/>
        </w:rPr>
      </w:pPr>
    </w:p>
    <w:p>
      <w:pPr>
        <w:ind w:right="480" w:firstLine="708"/>
        <w:spacing w:after="0" w:line="262" w:lineRule="auto"/>
        <w:rPr>
          <w:sz w:val="20"/>
          <w:szCs w:val="20"/>
          <w:color w:val="auto"/>
        </w:rPr>
      </w:pPr>
      <w:r>
        <w:rPr>
          <w:rFonts w:ascii="Arial" w:cs="Arial" w:eastAsia="Arial" w:hAnsi="Arial"/>
          <w:sz w:val="16"/>
          <w:szCs w:val="16"/>
          <w:color w:val="auto"/>
        </w:rPr>
        <w:t>Other than as disclosed on our Current Report on Form 8-K filed with the SEC on January 15, 2025, there were no sales of unregistered securities during the period covered by this Quarterly Report on Form 10-Q.</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Disclosure in lieu of reporting on a Current Report on Form 8-K.</w:t>
      </w:r>
    </w:p>
    <w:p>
      <w:pPr>
        <w:spacing w:after="0" w:line="178"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b w:val="1"/>
          <w:bCs w:val="1"/>
          <w:i w:val="1"/>
          <w:iCs w:val="1"/>
          <w:color w:val="auto"/>
        </w:rPr>
        <w:t>Item 5.02 Departure of Directors or Certain Officers; Election of Directors; Appointment of Certain Officers; Compensatory Arrangements of Certain Officers.</w:t>
      </w:r>
    </w:p>
    <w:p>
      <w:pPr>
        <w:spacing w:after="0" w:line="122" w:lineRule="exact"/>
        <w:rPr>
          <w:sz w:val="20"/>
          <w:szCs w:val="20"/>
          <w:color w:val="auto"/>
        </w:rPr>
      </w:pPr>
    </w:p>
    <w:p>
      <w:pPr>
        <w:ind w:right="40" w:firstLine="696"/>
        <w:spacing w:after="0" w:line="239" w:lineRule="auto"/>
        <w:rPr>
          <w:sz w:val="20"/>
          <w:szCs w:val="20"/>
          <w:color w:val="auto"/>
        </w:rPr>
      </w:pPr>
      <w:r>
        <w:rPr>
          <w:rFonts w:ascii="Arial" w:cs="Arial" w:eastAsia="Arial" w:hAnsi="Arial"/>
          <w:sz w:val="16"/>
          <w:szCs w:val="16"/>
          <w:color w:val="auto"/>
        </w:rPr>
        <w:t>Effective May 15, 2025 (the "CFO Transition Date"), Agnieszka Zakowicz will cease her service as Chief Financial Officer, Treasurer, principal financial officer and principal accounting officer of the Company. Subject to, among other things, her execution of a release of claims and continued compliance with her applicable restrictive covenant obligations, Ms. Zakowicz will be eligible for cash severance and COBRA continuation benefits consistent with the terms of the Company’s previously disclosed Amended and Restated Vroom, Inc. Executive Severance Plan (“Severance Plan”). In addition, the post- termination exercise period of any vested outstanding stock options held by Ms. Zakowicz will be extended through the original expiration date of such options. Ms. Zakowicz may continue to provide services to the Company as a consultant following the CFO Transition Date on an hourly fee basis.</w:t>
      </w:r>
    </w:p>
    <w:p>
      <w:pPr>
        <w:spacing w:after="0" w:line="158" w:lineRule="exact"/>
        <w:rPr>
          <w:sz w:val="20"/>
          <w:szCs w:val="20"/>
          <w:color w:val="auto"/>
        </w:rPr>
      </w:pPr>
    </w:p>
    <w:p>
      <w:pPr>
        <w:ind w:right="620" w:firstLine="696"/>
        <w:spacing w:after="0" w:line="262" w:lineRule="auto"/>
        <w:rPr>
          <w:sz w:val="20"/>
          <w:szCs w:val="20"/>
          <w:color w:val="auto"/>
        </w:rPr>
      </w:pPr>
      <w:r>
        <w:rPr>
          <w:rFonts w:ascii="Arial" w:cs="Arial" w:eastAsia="Arial" w:hAnsi="Arial"/>
          <w:sz w:val="16"/>
          <w:szCs w:val="16"/>
          <w:color w:val="auto"/>
        </w:rPr>
        <w:t>On the CFO Transition Date, UACC's current Chief Financial Officer Jon Sandison will succeed Ms. Zakowicz as the Company's Chief Financial Officer, Treasurer and principal financial officer. Also on the CFO Transition Date,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8" w:name="page79"/>
    <w:bookmarkEnd w:id="7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Company's current Vice President of Accounting and Treasury, Jacob Benzaquen, will succeed Ms. Zakowicz as the Company's Senior Vice President Accounting and principal accounting officer.</w:t>
      </w:r>
    </w:p>
    <w:p>
      <w:pPr>
        <w:spacing w:after="0" w:line="138" w:lineRule="exact"/>
        <w:rPr>
          <w:sz w:val="20"/>
          <w:szCs w:val="20"/>
          <w:color w:val="auto"/>
        </w:rPr>
      </w:pPr>
    </w:p>
    <w:p>
      <w:pPr>
        <w:ind w:right="260" w:firstLine="696"/>
        <w:spacing w:after="0" w:line="241" w:lineRule="auto"/>
        <w:rPr>
          <w:sz w:val="20"/>
          <w:szCs w:val="20"/>
          <w:color w:val="auto"/>
        </w:rPr>
      </w:pPr>
      <w:r>
        <w:rPr>
          <w:rFonts w:ascii="Arial" w:cs="Arial" w:eastAsia="Arial" w:hAnsi="Arial"/>
          <w:sz w:val="16"/>
          <w:szCs w:val="16"/>
          <w:color w:val="auto"/>
        </w:rPr>
        <w:t>Jon Sandison, 37, has served as the Chief Financial Officer of UACC since February 2024. Prior to that, he served as the Vice President of Investor Relations and Financial Planning &amp; Analysis at Vroom, after starting at the Company in October 2022. Previously, Mr. Sandison led global Financial Planning &amp; Analysis at Stoneridge, Inc., from 2017 to 2022. He also held leadership roles in Treasury and Financial Planning &amp; Analysis at Yazaki North America from 2015 to 2017 and leadership roles in Commercial and Community Banking at J.P. Morgan Chase from 2009 to 2015. Mr. Sandison holds a Bachelor of Business Administration from Wayne State University.</w:t>
      </w:r>
    </w:p>
    <w:p>
      <w:pPr>
        <w:spacing w:after="0" w:line="157" w:lineRule="exact"/>
        <w:rPr>
          <w:sz w:val="20"/>
          <w:szCs w:val="20"/>
          <w:color w:val="auto"/>
        </w:rPr>
      </w:pPr>
    </w:p>
    <w:p>
      <w:pPr>
        <w:ind w:firstLine="696"/>
        <w:spacing w:after="0" w:line="241" w:lineRule="auto"/>
        <w:rPr>
          <w:sz w:val="20"/>
          <w:szCs w:val="20"/>
          <w:color w:val="auto"/>
        </w:rPr>
      </w:pPr>
      <w:r>
        <w:rPr>
          <w:rFonts w:ascii="Arial" w:cs="Arial" w:eastAsia="Arial" w:hAnsi="Arial"/>
          <w:sz w:val="16"/>
          <w:szCs w:val="16"/>
          <w:color w:val="auto"/>
        </w:rPr>
        <w:t>In connection with his appointment as the Company’s Chief Financial Officer and principal financial officer, Mr. Sandison entered into a new employment agreement with the Company setting forth the terms and conditions of his employment (the “Employment Agreement”). Pursuant to the Employment Agreement, Mr. Sandison will receive an annual base salary of $400,000 and be eligible to participate in the Company’s annual incentive bonus plan with a target bonus opportunity of 60% of his annual base salary. Mr. Sandison will also continue to be eligible to participate in the Severance Plan.</w:t>
      </w:r>
    </w:p>
    <w:p>
      <w:pPr>
        <w:spacing w:after="0" w:line="157" w:lineRule="exact"/>
        <w:rPr>
          <w:sz w:val="20"/>
          <w:szCs w:val="20"/>
          <w:color w:val="auto"/>
        </w:rPr>
      </w:pPr>
    </w:p>
    <w:p>
      <w:pPr>
        <w:ind w:right="160" w:firstLine="696"/>
        <w:spacing w:after="0" w:line="248" w:lineRule="auto"/>
        <w:rPr>
          <w:sz w:val="20"/>
          <w:szCs w:val="20"/>
          <w:color w:val="auto"/>
        </w:rPr>
      </w:pPr>
      <w:r>
        <w:rPr>
          <w:rFonts w:ascii="Arial" w:cs="Arial" w:eastAsia="Arial" w:hAnsi="Arial"/>
          <w:sz w:val="16"/>
          <w:szCs w:val="16"/>
          <w:color w:val="auto"/>
        </w:rPr>
        <w:t>Mr. Sandison has entered into the Company’s standard Proprietary Information and Inventions Assignment Agreement in connection with his employment, which provides that Mr. Sandison will be subject to 12-month post-termination non-competition and non-solicitation of customers and employees covenants, as well as a perpetual confidentiality covenant.</w:t>
      </w:r>
    </w:p>
    <w:p>
      <w:pPr>
        <w:spacing w:after="0" w:line="150" w:lineRule="exact"/>
        <w:rPr>
          <w:sz w:val="20"/>
          <w:szCs w:val="20"/>
          <w:color w:val="auto"/>
        </w:rPr>
      </w:pPr>
    </w:p>
    <w:p>
      <w:pPr>
        <w:ind w:right="100" w:firstLine="696"/>
        <w:spacing w:after="0" w:line="244" w:lineRule="auto"/>
        <w:rPr>
          <w:sz w:val="20"/>
          <w:szCs w:val="20"/>
          <w:color w:val="auto"/>
        </w:rPr>
      </w:pPr>
      <w:r>
        <w:rPr>
          <w:rFonts w:ascii="Arial" w:cs="Arial" w:eastAsia="Arial" w:hAnsi="Arial"/>
          <w:sz w:val="16"/>
          <w:szCs w:val="16"/>
          <w:color w:val="auto"/>
        </w:rPr>
        <w:t>Mr. Sandison will also be eligible to continue participating in the Company’s broad-based employee benefits programs, and will continue to be covered by the Company's standard indemnification agreement and will remain subject to the Company’s standard Proprietary Information and Inventions Assignment Agreement, which subjects him to certain restrictive covenants, including confidentiality and one-year post-employment restrictions on competition and solicitation of employees, vendors and customers of the Company.</w:t>
      </w:r>
    </w:p>
    <w:p>
      <w:pPr>
        <w:spacing w:after="0" w:line="152" w:lineRule="exact"/>
        <w:rPr>
          <w:sz w:val="20"/>
          <w:szCs w:val="20"/>
          <w:color w:val="auto"/>
        </w:rPr>
      </w:pPr>
    </w:p>
    <w:p>
      <w:pPr>
        <w:ind w:right="40" w:firstLine="696"/>
        <w:spacing w:after="0" w:line="241" w:lineRule="auto"/>
        <w:rPr>
          <w:sz w:val="20"/>
          <w:szCs w:val="20"/>
          <w:color w:val="auto"/>
        </w:rPr>
      </w:pPr>
      <w:r>
        <w:rPr>
          <w:rFonts w:ascii="Arial" w:cs="Arial" w:eastAsia="Arial" w:hAnsi="Arial"/>
          <w:sz w:val="16"/>
          <w:szCs w:val="16"/>
          <w:color w:val="auto"/>
        </w:rPr>
        <w:t>Jacob Benzaquen, 39, has served as the Vice President of Accounting and Treasury at Vroom since March 2024, and prior to that, served as the Senior Director of Accounting and Director of Technical Accounting since joining the Company in October 2021. Previously, Mr. Benzaquen spent 13 years at PricewaterhouseCoopers LLP, from September 2008 to October 2021, where he most recently was a Director in the Financial Services audit practice since July 2017. Mr. Benzaquen holds a Bachelor of Science in Accounting from the Binghamton University School of Management. He is a Certified Public Accountant and a CFA Charterholder.</w:t>
      </w:r>
    </w:p>
    <w:p>
      <w:pPr>
        <w:spacing w:after="0" w:line="157" w:lineRule="exact"/>
        <w:rPr>
          <w:sz w:val="20"/>
          <w:szCs w:val="20"/>
          <w:color w:val="auto"/>
        </w:rPr>
      </w:pPr>
    </w:p>
    <w:p>
      <w:pPr>
        <w:ind w:right="40" w:firstLine="696"/>
        <w:spacing w:after="0" w:line="244" w:lineRule="auto"/>
        <w:rPr>
          <w:sz w:val="20"/>
          <w:szCs w:val="20"/>
          <w:color w:val="auto"/>
        </w:rPr>
      </w:pPr>
      <w:r>
        <w:rPr>
          <w:rFonts w:ascii="Arial" w:cs="Arial" w:eastAsia="Arial" w:hAnsi="Arial"/>
          <w:sz w:val="16"/>
          <w:szCs w:val="16"/>
          <w:color w:val="auto"/>
        </w:rPr>
        <w:t>In connection with Mr. Benzaquen’s promotion to Senior Vice President Accounting and principal accounting officer, the Company and Mr. Benzaquen entered into a letter agreement setting forth the terms and conditions of his promotion, pursuant to which he will receive an annual base salary of $300,000 and be eligible to participate in the Company’s annual incentive bonus plan with a target bonus opportunity of 40% of his annual base salary.</w:t>
      </w:r>
    </w:p>
    <w:p>
      <w:pPr>
        <w:spacing w:after="0" w:line="164" w:lineRule="exact"/>
        <w:rPr>
          <w:sz w:val="20"/>
          <w:szCs w:val="20"/>
          <w:color w:val="auto"/>
        </w:rPr>
      </w:pPr>
    </w:p>
    <w:p>
      <w:pPr>
        <w:jc w:val="both"/>
        <w:ind w:right="460" w:firstLine="696"/>
        <w:spacing w:after="0" w:line="248" w:lineRule="auto"/>
        <w:rPr>
          <w:sz w:val="20"/>
          <w:szCs w:val="20"/>
          <w:color w:val="auto"/>
        </w:rPr>
      </w:pPr>
      <w:r>
        <w:rPr>
          <w:rFonts w:ascii="Arial" w:cs="Arial" w:eastAsia="Arial" w:hAnsi="Arial"/>
          <w:sz w:val="16"/>
          <w:szCs w:val="16"/>
          <w:color w:val="auto"/>
        </w:rPr>
        <w:t>Mr. Benzaquen will also be eligible to continue participating in the Company’s broad-based employee benefits programs. In addition, Mr. Benzaquen will be covered by the Company’s standard indemnification agreement and will remain subject to the Company’s standard Proprietary Information and Inventions Assignment Agreement.</w:t>
      </w:r>
    </w:p>
    <w:p>
      <w:pPr>
        <w:spacing w:after="0" w:line="148" w:lineRule="exact"/>
        <w:rPr>
          <w:sz w:val="20"/>
          <w:szCs w:val="20"/>
          <w:color w:val="auto"/>
        </w:rPr>
      </w:pPr>
    </w:p>
    <w:p>
      <w:pPr>
        <w:ind w:left="700" w:right="1820" w:hanging="694"/>
        <w:spacing w:after="0" w:line="454" w:lineRule="auto"/>
        <w:tabs>
          <w:tab w:leader="none" w:pos="24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Material changes to the procedures by which security holders may recommend nominees to the board of directors </w:t>
      </w:r>
      <w:r>
        <w:rPr>
          <w:rFonts w:ascii="Arial" w:cs="Arial" w:eastAsia="Arial" w:hAnsi="Arial"/>
          <w:sz w:val="16"/>
          <w:szCs w:val="16"/>
          <w:color w:val="auto"/>
        </w:rPr>
        <w:t>None.</w:t>
      </w:r>
    </w:p>
    <w:p>
      <w:pPr>
        <w:ind w:left="240" w:hanging="234"/>
        <w:spacing w:after="0"/>
        <w:tabs>
          <w:tab w:leader="none" w:pos="24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Insider Trading Arrangements and Policies</w:t>
      </w:r>
    </w:p>
    <w:p>
      <w:pPr>
        <w:spacing w:after="0" w:line="178" w:lineRule="exact"/>
        <w:rPr>
          <w:sz w:val="20"/>
          <w:szCs w:val="20"/>
          <w:color w:val="auto"/>
        </w:rPr>
      </w:pPr>
    </w:p>
    <w:p>
      <w:pPr>
        <w:ind w:right="800" w:firstLine="696"/>
        <w:spacing w:after="0" w:line="262" w:lineRule="auto"/>
        <w:rPr>
          <w:sz w:val="20"/>
          <w:szCs w:val="20"/>
          <w:color w:val="auto"/>
        </w:rPr>
      </w:pPr>
      <w:r>
        <w:rPr>
          <w:rFonts w:ascii="Arial" w:cs="Arial" w:eastAsia="Arial" w:hAnsi="Arial"/>
          <w:sz w:val="16"/>
          <w:szCs w:val="16"/>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79" w:name="page80"/>
    <w:bookmarkEnd w:id="7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7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INDEX TO EXHIBITS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64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21"/>
          </w:tcPr>
          <w:p>
            <w:pPr>
              <w:ind w:left="140"/>
              <w:spacing w:after="0"/>
              <w:rPr>
                <w:sz w:val="20"/>
                <w:szCs w:val="20"/>
                <w:color w:val="auto"/>
              </w:rPr>
            </w:pPr>
            <w:r>
              <w:rPr>
                <w:rFonts w:ascii="Arial" w:cs="Arial" w:eastAsia="Arial" w:hAnsi="Arial"/>
                <w:sz w:val="13"/>
                <w:szCs w:val="13"/>
                <w:b w:val="1"/>
                <w:bCs w:val="1"/>
                <w:color w:val="212529"/>
              </w:rPr>
              <w:t>Exhibit Description</w:t>
            </w:r>
          </w:p>
        </w:tc>
        <w:tc>
          <w:tcPr>
            <w:tcW w:w="1000" w:type="dxa"/>
            <w:vAlign w:val="bottom"/>
          </w:tcPr>
          <w:p>
            <w:pPr>
              <w:jc w:val="center"/>
              <w:ind w:left="63"/>
              <w:spacing w:after="0"/>
              <w:rPr>
                <w:sz w:val="20"/>
                <w:szCs w:val="20"/>
                <w:color w:val="auto"/>
              </w:rPr>
            </w:pPr>
            <w:r>
              <w:rPr>
                <w:rFonts w:ascii="Arial" w:cs="Arial" w:eastAsia="Arial" w:hAnsi="Arial"/>
                <w:sz w:val="13"/>
                <w:szCs w:val="13"/>
                <w:b w:val="1"/>
                <w:bCs w:val="1"/>
                <w:color w:val="212529"/>
              </w:rPr>
              <w:t>Form</w:t>
            </w:r>
          </w:p>
        </w:tc>
        <w:tc>
          <w:tcPr>
            <w:tcW w:w="1260" w:type="dxa"/>
            <w:vAlign w:val="bottom"/>
          </w:tcPr>
          <w:p>
            <w:pPr>
              <w:ind w:left="400"/>
              <w:spacing w:after="0"/>
              <w:rPr>
                <w:sz w:val="20"/>
                <w:szCs w:val="20"/>
                <w:color w:val="auto"/>
              </w:rPr>
            </w:pPr>
            <w:r>
              <w:rPr>
                <w:rFonts w:ascii="Arial" w:cs="Arial" w:eastAsia="Arial" w:hAnsi="Arial"/>
                <w:sz w:val="13"/>
                <w:szCs w:val="13"/>
                <w:b w:val="1"/>
                <w:bCs w:val="1"/>
                <w:color w:val="212529"/>
              </w:rPr>
              <w:t>File No.</w:t>
            </w:r>
          </w:p>
        </w:tc>
        <w:tc>
          <w:tcPr>
            <w:tcW w:w="940" w:type="dxa"/>
            <w:vAlign w:val="bottom"/>
          </w:tcPr>
          <w:p>
            <w:pPr>
              <w:ind w:left="240"/>
              <w:spacing w:after="0"/>
              <w:rPr>
                <w:sz w:val="20"/>
                <w:szCs w:val="20"/>
                <w:color w:val="auto"/>
              </w:rPr>
            </w:pPr>
            <w:r>
              <w:rPr>
                <w:rFonts w:ascii="Arial" w:cs="Arial" w:eastAsia="Arial" w:hAnsi="Arial"/>
                <w:sz w:val="13"/>
                <w:szCs w:val="13"/>
                <w:b w:val="1"/>
                <w:bCs w:val="1"/>
                <w:color w:val="212529"/>
              </w:rPr>
              <w:t>Exhibit</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212529"/>
              </w:rPr>
              <w:t>Filing</w:t>
            </w:r>
          </w:p>
        </w:tc>
        <w:tc>
          <w:tcPr>
            <w:tcW w:w="880" w:type="dxa"/>
            <w:vAlign w:val="bottom"/>
          </w:tcPr>
          <w:p>
            <w:pPr>
              <w:jc w:val="center"/>
              <w:ind w:left="34"/>
              <w:spacing w:after="0"/>
              <w:rPr>
                <w:sz w:val="20"/>
                <w:szCs w:val="20"/>
                <w:color w:val="auto"/>
              </w:rPr>
            </w:pPr>
            <w:r>
              <w:rPr>
                <w:rFonts w:ascii="Arial" w:cs="Arial" w:eastAsia="Arial" w:hAnsi="Arial"/>
                <w:sz w:val="13"/>
                <w:szCs w:val="13"/>
                <w:b w:val="1"/>
                <w:bCs w:val="1"/>
                <w:color w:val="212529"/>
                <w:w w:val="98"/>
              </w:rPr>
              <w:t>Filed</w:t>
            </w:r>
          </w:p>
        </w:tc>
        <w:tc>
          <w:tcPr>
            <w:tcW w:w="760" w:type="dxa"/>
            <w:vAlign w:val="bottom"/>
          </w:tcPr>
          <w:p>
            <w:pPr>
              <w:jc w:val="center"/>
              <w:ind w:left="54"/>
              <w:spacing w:after="0"/>
              <w:rPr>
                <w:sz w:val="20"/>
                <w:szCs w:val="20"/>
                <w:color w:val="auto"/>
              </w:rPr>
            </w:pPr>
            <w:r>
              <w:rPr>
                <w:rFonts w:ascii="Arial" w:cs="Arial" w:eastAsia="Arial" w:hAnsi="Arial"/>
                <w:sz w:val="13"/>
                <w:szCs w:val="13"/>
                <w:b w:val="1"/>
                <w:bCs w:val="1"/>
                <w:color w:val="212529"/>
              </w:rPr>
              <w:t>Furnished</w:t>
            </w:r>
          </w:p>
        </w:tc>
      </w:tr>
      <w:tr>
        <w:trPr>
          <w:trHeight w:val="179"/>
        </w:trPr>
        <w:tc>
          <w:tcPr>
            <w:tcW w:w="64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212529"/>
                <w:w w:val="99"/>
              </w:rPr>
              <w:t>Date</w:t>
            </w:r>
          </w:p>
        </w:tc>
        <w:tc>
          <w:tcPr>
            <w:tcW w:w="880" w:type="dxa"/>
            <w:vAlign w:val="bottom"/>
          </w:tcPr>
          <w:p>
            <w:pPr>
              <w:jc w:val="center"/>
              <w:ind w:left="34"/>
              <w:spacing w:after="0"/>
              <w:rPr>
                <w:sz w:val="20"/>
                <w:szCs w:val="20"/>
                <w:color w:val="auto"/>
              </w:rPr>
            </w:pPr>
            <w:r>
              <w:rPr>
                <w:rFonts w:ascii="Arial" w:cs="Arial" w:eastAsia="Arial" w:hAnsi="Arial"/>
                <w:sz w:val="13"/>
                <w:szCs w:val="13"/>
                <w:b w:val="1"/>
                <w:bCs w:val="1"/>
                <w:color w:val="212529"/>
                <w:w w:val="98"/>
              </w:rPr>
              <w:t>Herewith</w:t>
            </w:r>
          </w:p>
        </w:tc>
        <w:tc>
          <w:tcPr>
            <w:tcW w:w="760" w:type="dxa"/>
            <w:vAlign w:val="bottom"/>
          </w:tcPr>
          <w:p>
            <w:pPr>
              <w:jc w:val="center"/>
              <w:ind w:left="54"/>
              <w:spacing w:after="0"/>
              <w:rPr>
                <w:sz w:val="20"/>
                <w:szCs w:val="20"/>
                <w:color w:val="auto"/>
              </w:rPr>
            </w:pPr>
            <w:r>
              <w:rPr>
                <w:rFonts w:ascii="Arial" w:cs="Arial" w:eastAsia="Arial" w:hAnsi="Arial"/>
                <w:sz w:val="13"/>
                <w:szCs w:val="13"/>
                <w:b w:val="1"/>
                <w:bCs w:val="1"/>
                <w:color w:val="212529"/>
              </w:rPr>
              <w:t>Herewith</w:t>
            </w:r>
          </w:p>
        </w:tc>
      </w:tr>
      <w:tr>
        <w:trPr>
          <w:trHeight w:val="252"/>
        </w:trPr>
        <w:tc>
          <w:tcPr>
            <w:tcW w:w="640" w:type="dxa"/>
            <w:vAlign w:val="bottom"/>
          </w:tcPr>
          <w:p>
            <w:pPr>
              <w:spacing w:after="0"/>
              <w:rPr>
                <w:sz w:val="20"/>
                <w:szCs w:val="20"/>
                <w:color w:val="auto"/>
              </w:rPr>
            </w:pPr>
            <w:r>
              <w:rPr>
                <w:rFonts w:ascii="Arial" w:cs="Arial" w:eastAsia="Arial" w:hAnsi="Arial"/>
                <w:sz w:val="16"/>
                <w:szCs w:val="16"/>
                <w:color w:val="auto"/>
              </w:rPr>
              <w:t>2.1</w:t>
            </w:r>
          </w:p>
        </w:tc>
        <w:tc>
          <w:tcPr>
            <w:tcW w:w="3020" w:type="dxa"/>
            <w:vAlign w:val="bottom"/>
            <w:tcBorders>
              <w:bottom w:val="single" w:sz="8" w:color="0000EE"/>
            </w:tcBorders>
            <w:gridSpan w:val="23"/>
          </w:tcPr>
          <w:p>
            <w:pPr>
              <w:spacing w:after="0"/>
              <w:rPr>
                <w:rFonts w:ascii="Arial" w:cs="Arial" w:eastAsia="Arial" w:hAnsi="Arial"/>
                <w:sz w:val="16"/>
                <w:szCs w:val="16"/>
                <w:color w:val="0000FF"/>
                <w:w w:val="97"/>
              </w:rPr>
            </w:pPr>
            <w:hyperlink r:id="rId100">
              <w:r>
                <w:rPr>
                  <w:rFonts w:ascii="Arial" w:cs="Arial" w:eastAsia="Arial" w:hAnsi="Arial"/>
                  <w:sz w:val="16"/>
                  <w:szCs w:val="16"/>
                  <w:color w:val="0000FF"/>
                  <w:w w:val="97"/>
                </w:rPr>
                <w:t>Agreement and Plan of Merger, dated as of</w:t>
              </w:r>
            </w:hyperlink>
          </w:p>
        </w:tc>
        <w:tc>
          <w:tcPr>
            <w:tcW w:w="60" w:type="dxa"/>
            <w:vAlign w:val="bottom"/>
          </w:tcPr>
          <w:p>
            <w:pPr>
              <w:spacing w:after="0"/>
              <w:rPr>
                <w:sz w:val="21"/>
                <w:szCs w:val="21"/>
                <w:color w:val="auto"/>
              </w:rPr>
            </w:pPr>
          </w:p>
        </w:tc>
        <w:tc>
          <w:tcPr>
            <w:tcW w:w="1000" w:type="dxa"/>
            <w:vAlign w:val="bottom"/>
          </w:tcPr>
          <w:p>
            <w:pPr>
              <w:jc w:val="center"/>
              <w:ind w:left="83"/>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October 12, 2021</w:t>
            </w: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60"/>
        </w:trPr>
        <w:tc>
          <w:tcPr>
            <w:tcW w:w="640" w:type="dxa"/>
            <w:vAlign w:val="bottom"/>
          </w:tcPr>
          <w:p>
            <w:pPr>
              <w:spacing w:after="0"/>
              <w:rPr>
                <w:sz w:val="13"/>
                <w:szCs w:val="13"/>
                <w:color w:val="auto"/>
              </w:rPr>
            </w:pPr>
          </w:p>
        </w:tc>
        <w:tc>
          <w:tcPr>
            <w:tcW w:w="2860" w:type="dxa"/>
            <w:vAlign w:val="bottom"/>
            <w:tcBorders>
              <w:bottom w:val="single" w:sz="8" w:color="0000EE"/>
            </w:tcBorders>
            <w:gridSpan w:val="17"/>
          </w:tcPr>
          <w:p>
            <w:pPr>
              <w:spacing w:after="0" w:line="160" w:lineRule="exact"/>
              <w:rPr>
                <w:rFonts w:ascii="Arial" w:cs="Arial" w:eastAsia="Arial" w:hAnsi="Arial"/>
                <w:sz w:val="16"/>
                <w:szCs w:val="16"/>
                <w:color w:val="0000FF"/>
                <w:w w:val="97"/>
              </w:rPr>
            </w:pPr>
            <w:hyperlink r:id="rId100">
              <w:r>
                <w:rPr>
                  <w:rFonts w:ascii="Arial" w:cs="Arial" w:eastAsia="Arial" w:hAnsi="Arial"/>
                  <w:sz w:val="16"/>
                  <w:szCs w:val="16"/>
                  <w:color w:val="0000FF"/>
                  <w:w w:val="97"/>
                </w:rPr>
                <w:t>October 11, 2021, by and among Vroom,</w:t>
              </w:r>
            </w:hyperlink>
          </w:p>
        </w:tc>
        <w:tc>
          <w:tcPr>
            <w:tcW w:w="22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2820" w:type="dxa"/>
            <w:vAlign w:val="bottom"/>
            <w:tcBorders>
              <w:bottom w:val="single" w:sz="8" w:color="0000EE"/>
            </w:tcBorders>
            <w:gridSpan w:val="16"/>
          </w:tcPr>
          <w:p>
            <w:pPr>
              <w:spacing w:after="0" w:line="160" w:lineRule="exact"/>
              <w:rPr>
                <w:rFonts w:ascii="Arial" w:cs="Arial" w:eastAsia="Arial" w:hAnsi="Arial"/>
                <w:sz w:val="16"/>
                <w:szCs w:val="16"/>
                <w:color w:val="0000FF"/>
                <w:w w:val="98"/>
              </w:rPr>
            </w:pPr>
            <w:hyperlink r:id="rId100">
              <w:r>
                <w:rPr>
                  <w:rFonts w:ascii="Arial" w:cs="Arial" w:eastAsia="Arial" w:hAnsi="Arial"/>
                  <w:sz w:val="16"/>
                  <w:szCs w:val="16"/>
                  <w:color w:val="0000FF"/>
                  <w:w w:val="98"/>
                </w:rPr>
                <w:t>Inc., Vroom Finance Corporation, Unitas</w:t>
              </w:r>
            </w:hyperlink>
          </w:p>
        </w:tc>
        <w:tc>
          <w:tcPr>
            <w:tcW w:w="260" w:type="dxa"/>
            <w:vAlign w:val="bottom"/>
            <w:gridSpan w:val="8"/>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2820" w:type="dxa"/>
            <w:vAlign w:val="bottom"/>
            <w:tcBorders>
              <w:bottom w:val="single" w:sz="8" w:color="0000EE"/>
            </w:tcBorders>
            <w:gridSpan w:val="16"/>
          </w:tcPr>
          <w:p>
            <w:pPr>
              <w:spacing w:after="0" w:line="160" w:lineRule="exact"/>
              <w:rPr>
                <w:rFonts w:ascii="Arial" w:cs="Arial" w:eastAsia="Arial" w:hAnsi="Arial"/>
                <w:sz w:val="16"/>
                <w:szCs w:val="16"/>
                <w:color w:val="0000FF"/>
                <w:w w:val="98"/>
              </w:rPr>
            </w:pPr>
            <w:hyperlink r:id="rId100">
              <w:r>
                <w:rPr>
                  <w:rFonts w:ascii="Arial" w:cs="Arial" w:eastAsia="Arial" w:hAnsi="Arial"/>
                  <w:sz w:val="16"/>
                  <w:szCs w:val="16"/>
                  <w:color w:val="0000FF"/>
                  <w:w w:val="98"/>
                </w:rPr>
                <w:t>Holdings Corp. and Fortis Advisors LLC,</w:t>
              </w:r>
            </w:hyperlink>
          </w:p>
        </w:tc>
        <w:tc>
          <w:tcPr>
            <w:tcW w:w="260" w:type="dxa"/>
            <w:vAlign w:val="bottom"/>
            <w:gridSpan w:val="8"/>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2900" w:type="dxa"/>
            <w:vAlign w:val="bottom"/>
            <w:tcBorders>
              <w:bottom w:val="single" w:sz="8" w:color="0000EE"/>
            </w:tcBorders>
            <w:gridSpan w:val="19"/>
          </w:tcPr>
          <w:p>
            <w:pPr>
              <w:spacing w:after="0" w:line="160" w:lineRule="exact"/>
              <w:rPr>
                <w:rFonts w:ascii="Arial" w:cs="Arial" w:eastAsia="Arial" w:hAnsi="Arial"/>
                <w:sz w:val="16"/>
                <w:szCs w:val="16"/>
                <w:color w:val="0000FF"/>
                <w:w w:val="98"/>
              </w:rPr>
            </w:pPr>
            <w:hyperlink r:id="rId100">
              <w:r>
                <w:rPr>
                  <w:rFonts w:ascii="Arial" w:cs="Arial" w:eastAsia="Arial" w:hAnsi="Arial"/>
                  <w:sz w:val="16"/>
                  <w:szCs w:val="16"/>
                  <w:color w:val="0000FF"/>
                  <w:w w:val="98"/>
                </w:rPr>
                <w:t>solely in its capacity as the equityholders'</w:t>
              </w:r>
            </w:hyperlink>
          </w:p>
        </w:tc>
        <w:tc>
          <w:tcPr>
            <w:tcW w:w="18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980" w:type="dxa"/>
            <w:vAlign w:val="bottom"/>
            <w:tcBorders>
              <w:bottom w:val="single" w:sz="8" w:color="0000EE"/>
            </w:tcBorders>
            <w:gridSpan w:val="4"/>
          </w:tcPr>
          <w:p>
            <w:pPr>
              <w:spacing w:after="0" w:line="160" w:lineRule="exact"/>
              <w:rPr>
                <w:rFonts w:ascii="Arial" w:cs="Arial" w:eastAsia="Arial" w:hAnsi="Arial"/>
                <w:sz w:val="16"/>
                <w:szCs w:val="16"/>
                <w:color w:val="0000FF"/>
                <w:w w:val="94"/>
              </w:rPr>
            </w:pPr>
            <w:hyperlink r:id="rId100">
              <w:r>
                <w:rPr>
                  <w:rFonts w:ascii="Arial" w:cs="Arial" w:eastAsia="Arial" w:hAnsi="Arial"/>
                  <w:sz w:val="16"/>
                  <w:szCs w:val="16"/>
                  <w:color w:val="0000FF"/>
                  <w:w w:val="94"/>
                </w:rPr>
                <w:t>representative</w:t>
              </w:r>
            </w:hyperlink>
          </w:p>
        </w:tc>
        <w:tc>
          <w:tcPr>
            <w:tcW w:w="2100" w:type="dxa"/>
            <w:vAlign w:val="bottom"/>
            <w:gridSpan w:val="20"/>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340"/>
        </w:trPr>
        <w:tc>
          <w:tcPr>
            <w:tcW w:w="640" w:type="dxa"/>
            <w:vAlign w:val="bottom"/>
          </w:tcPr>
          <w:p>
            <w:pPr>
              <w:spacing w:after="0"/>
              <w:rPr>
                <w:sz w:val="20"/>
                <w:szCs w:val="20"/>
                <w:color w:val="auto"/>
              </w:rPr>
            </w:pPr>
            <w:r>
              <w:rPr>
                <w:rFonts w:ascii="Arial" w:cs="Arial" w:eastAsia="Arial" w:hAnsi="Arial"/>
                <w:sz w:val="16"/>
                <w:szCs w:val="16"/>
                <w:color w:val="auto"/>
              </w:rPr>
              <w:t>2.2</w:t>
            </w:r>
          </w:p>
        </w:tc>
        <w:tc>
          <w:tcPr>
            <w:tcW w:w="2800" w:type="dxa"/>
            <w:vAlign w:val="bottom"/>
            <w:tcBorders>
              <w:bottom w:val="single" w:sz="8" w:color="0000EE"/>
            </w:tcBorders>
            <w:gridSpan w:val="15"/>
          </w:tcPr>
          <w:p>
            <w:pPr>
              <w:spacing w:after="0"/>
              <w:rPr>
                <w:rFonts w:ascii="Arial" w:cs="Arial" w:eastAsia="Arial" w:hAnsi="Arial"/>
                <w:sz w:val="16"/>
                <w:szCs w:val="16"/>
                <w:color w:val="0000FF"/>
                <w:w w:val="97"/>
              </w:rPr>
            </w:pPr>
            <w:hyperlink r:id="rId101">
              <w:r>
                <w:rPr>
                  <w:rFonts w:ascii="Arial" w:cs="Arial" w:eastAsia="Arial" w:hAnsi="Arial"/>
                  <w:sz w:val="16"/>
                  <w:szCs w:val="16"/>
                  <w:color w:val="0000FF"/>
                  <w:w w:val="97"/>
                </w:rPr>
                <w:t>Prepackaged Plan of Reorganization for</w:t>
              </w:r>
            </w:hyperlink>
          </w:p>
        </w:tc>
        <w:tc>
          <w:tcPr>
            <w:tcW w:w="280" w:type="dxa"/>
            <w:vAlign w:val="bottom"/>
            <w:gridSpan w:val="9"/>
          </w:tcPr>
          <w:p>
            <w:pPr>
              <w:spacing w:after="0"/>
              <w:rPr>
                <w:sz w:val="24"/>
                <w:szCs w:val="24"/>
                <w:color w:val="auto"/>
              </w:rPr>
            </w:pPr>
          </w:p>
        </w:tc>
        <w:tc>
          <w:tcPr>
            <w:tcW w:w="1000" w:type="dxa"/>
            <w:vAlign w:val="bottom"/>
          </w:tcPr>
          <w:p>
            <w:pPr>
              <w:jc w:val="center"/>
              <w:ind w:left="83"/>
              <w:spacing w:after="0"/>
              <w:rPr>
                <w:sz w:val="20"/>
                <w:szCs w:val="20"/>
                <w:color w:val="auto"/>
              </w:rPr>
            </w:pPr>
            <w:r>
              <w:rPr>
                <w:rFonts w:ascii="Arial" w:cs="Arial" w:eastAsia="Arial" w:hAnsi="Arial"/>
                <w:sz w:val="16"/>
                <w:szCs w:val="16"/>
                <w:color w:val="auto"/>
                <w:w w:val="81"/>
              </w:rPr>
              <w:t>8- 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82"/>
              </w:rPr>
              <w:t>2. 1</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January 15,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2540" w:type="dxa"/>
            <w:vAlign w:val="bottom"/>
            <w:tcBorders>
              <w:bottom w:val="single" w:sz="8" w:color="0000EE"/>
            </w:tcBorders>
            <w:gridSpan w:val="11"/>
          </w:tcPr>
          <w:p>
            <w:pPr>
              <w:spacing w:after="0" w:line="160" w:lineRule="exact"/>
              <w:rPr>
                <w:rFonts w:ascii="Arial" w:cs="Arial" w:eastAsia="Arial" w:hAnsi="Arial"/>
                <w:sz w:val="16"/>
                <w:szCs w:val="16"/>
                <w:color w:val="0000FF"/>
                <w:w w:val="97"/>
              </w:rPr>
            </w:pPr>
            <w:hyperlink r:id="rId101">
              <w:r>
                <w:rPr>
                  <w:rFonts w:ascii="Arial" w:cs="Arial" w:eastAsia="Arial" w:hAnsi="Arial"/>
                  <w:sz w:val="16"/>
                  <w:szCs w:val="16"/>
                  <w:color w:val="0000FF"/>
                  <w:w w:val="97"/>
                </w:rPr>
                <w:t>Vroom, Inc. Under Chapter 11 of the</w:t>
              </w:r>
            </w:hyperlink>
          </w:p>
        </w:tc>
        <w:tc>
          <w:tcPr>
            <w:tcW w:w="540" w:type="dxa"/>
            <w:vAlign w:val="bottom"/>
            <w:gridSpan w:val="13"/>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1200" w:type="dxa"/>
            <w:vAlign w:val="bottom"/>
            <w:tcBorders>
              <w:bottom w:val="single" w:sz="8" w:color="0000EE"/>
            </w:tcBorders>
            <w:gridSpan w:val="5"/>
          </w:tcPr>
          <w:p>
            <w:pPr>
              <w:spacing w:after="0" w:line="160" w:lineRule="exact"/>
              <w:rPr>
                <w:rFonts w:ascii="Arial" w:cs="Arial" w:eastAsia="Arial" w:hAnsi="Arial"/>
                <w:sz w:val="16"/>
                <w:szCs w:val="16"/>
                <w:color w:val="0000FF"/>
                <w:w w:val="96"/>
              </w:rPr>
            </w:pPr>
            <w:hyperlink r:id="rId101">
              <w:r>
                <w:rPr>
                  <w:rFonts w:ascii="Arial" w:cs="Arial" w:eastAsia="Arial" w:hAnsi="Arial"/>
                  <w:sz w:val="16"/>
                  <w:szCs w:val="16"/>
                  <w:color w:val="0000FF"/>
                  <w:w w:val="96"/>
                </w:rPr>
                <w:t>Bankruptcy Code</w:t>
              </w:r>
            </w:hyperlink>
          </w:p>
        </w:tc>
        <w:tc>
          <w:tcPr>
            <w:tcW w:w="1880" w:type="dxa"/>
            <w:vAlign w:val="bottom"/>
            <w:gridSpan w:val="19"/>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340"/>
        </w:trPr>
        <w:tc>
          <w:tcPr>
            <w:tcW w:w="640" w:type="dxa"/>
            <w:vAlign w:val="bottom"/>
          </w:tcPr>
          <w:p>
            <w:pPr>
              <w:spacing w:after="0"/>
              <w:rPr>
                <w:sz w:val="20"/>
                <w:szCs w:val="20"/>
                <w:color w:val="auto"/>
              </w:rPr>
            </w:pPr>
            <w:r>
              <w:rPr>
                <w:rFonts w:ascii="Arial" w:cs="Arial" w:eastAsia="Arial" w:hAnsi="Arial"/>
                <w:sz w:val="16"/>
                <w:szCs w:val="16"/>
                <w:color w:val="auto"/>
              </w:rPr>
              <w:t>3.1</w:t>
            </w:r>
          </w:p>
        </w:tc>
        <w:tc>
          <w:tcPr>
            <w:tcW w:w="2700" w:type="dxa"/>
            <w:vAlign w:val="bottom"/>
            <w:tcBorders>
              <w:bottom w:val="single" w:sz="8" w:color="0000EE"/>
            </w:tcBorders>
            <w:gridSpan w:val="13"/>
          </w:tcPr>
          <w:p>
            <w:pPr>
              <w:spacing w:after="0"/>
              <w:rPr>
                <w:rFonts w:ascii="Arial" w:cs="Arial" w:eastAsia="Arial" w:hAnsi="Arial"/>
                <w:sz w:val="16"/>
                <w:szCs w:val="16"/>
                <w:color w:val="0000FF"/>
                <w:w w:val="97"/>
              </w:rPr>
            </w:pPr>
            <w:hyperlink r:id="rId102">
              <w:r>
                <w:rPr>
                  <w:rFonts w:ascii="Arial" w:cs="Arial" w:eastAsia="Arial" w:hAnsi="Arial"/>
                  <w:sz w:val="16"/>
                  <w:szCs w:val="16"/>
                  <w:color w:val="0000FF"/>
                  <w:w w:val="97"/>
                </w:rPr>
                <w:t>Restated Certificate of Incorporation of</w:t>
              </w:r>
            </w:hyperlink>
          </w:p>
        </w:tc>
        <w:tc>
          <w:tcPr>
            <w:tcW w:w="380" w:type="dxa"/>
            <w:vAlign w:val="bottom"/>
            <w:gridSpan w:val="11"/>
          </w:tcPr>
          <w:p>
            <w:pPr>
              <w:spacing w:after="0"/>
              <w:rPr>
                <w:sz w:val="24"/>
                <w:szCs w:val="24"/>
                <w:color w:val="auto"/>
              </w:rPr>
            </w:pPr>
          </w:p>
        </w:tc>
        <w:tc>
          <w:tcPr>
            <w:tcW w:w="1000" w:type="dxa"/>
            <w:vAlign w:val="bottom"/>
          </w:tcPr>
          <w:p>
            <w:pPr>
              <w:jc w:val="center"/>
              <w:ind w:left="63"/>
              <w:spacing w:after="0"/>
              <w:rPr>
                <w:sz w:val="20"/>
                <w:szCs w:val="20"/>
                <w:color w:val="auto"/>
              </w:rPr>
            </w:pPr>
            <w:r>
              <w:rPr>
                <w:rFonts w:ascii="Arial" w:cs="Arial" w:eastAsia="Arial" w:hAnsi="Arial"/>
                <w:sz w:val="16"/>
                <w:szCs w:val="16"/>
                <w:color w:val="auto"/>
                <w:w w:val="88"/>
              </w:rPr>
              <w:t>10 -K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March 11,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800" w:type="dxa"/>
            <w:vAlign w:val="bottom"/>
            <w:tcBorders>
              <w:bottom w:val="single" w:sz="8" w:color="0000EE"/>
            </w:tcBorders>
            <w:gridSpan w:val="3"/>
          </w:tcPr>
          <w:p>
            <w:pPr>
              <w:spacing w:after="0" w:line="160" w:lineRule="exact"/>
              <w:rPr>
                <w:rFonts w:ascii="Arial" w:cs="Arial" w:eastAsia="Arial" w:hAnsi="Arial"/>
                <w:sz w:val="16"/>
                <w:szCs w:val="16"/>
                <w:color w:val="0000FF"/>
                <w:w w:val="95"/>
              </w:rPr>
            </w:pPr>
            <w:hyperlink r:id="rId102">
              <w:r>
                <w:rPr>
                  <w:rFonts w:ascii="Arial" w:cs="Arial" w:eastAsia="Arial" w:hAnsi="Arial"/>
                  <w:sz w:val="16"/>
                  <w:szCs w:val="16"/>
                  <w:color w:val="0000FF"/>
                  <w:w w:val="95"/>
                </w:rPr>
                <w:t>Vroom, Inc.</w:t>
              </w:r>
            </w:hyperlink>
          </w:p>
        </w:tc>
        <w:tc>
          <w:tcPr>
            <w:tcW w:w="2280" w:type="dxa"/>
            <w:vAlign w:val="bottom"/>
            <w:gridSpan w:val="21"/>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92"/>
        </w:trPr>
        <w:tc>
          <w:tcPr>
            <w:tcW w:w="640" w:type="dxa"/>
            <w:vAlign w:val="bottom"/>
          </w:tcPr>
          <w:p>
            <w:pPr>
              <w:spacing w:after="0"/>
              <w:rPr>
                <w:sz w:val="20"/>
                <w:szCs w:val="20"/>
                <w:color w:val="auto"/>
              </w:rPr>
            </w:pPr>
            <w:r>
              <w:rPr>
                <w:rFonts w:ascii="Arial" w:cs="Arial" w:eastAsia="Arial" w:hAnsi="Arial"/>
                <w:sz w:val="16"/>
                <w:szCs w:val="16"/>
                <w:color w:val="auto"/>
              </w:rPr>
              <w:t>3.2</w:t>
            </w:r>
          </w:p>
        </w:tc>
        <w:tc>
          <w:tcPr>
            <w:tcW w:w="2920" w:type="dxa"/>
            <w:vAlign w:val="bottom"/>
            <w:tcBorders>
              <w:bottom w:val="single" w:sz="8" w:color="0000EE"/>
            </w:tcBorders>
            <w:gridSpan w:val="20"/>
          </w:tcPr>
          <w:p>
            <w:pPr>
              <w:spacing w:after="0"/>
              <w:rPr>
                <w:rFonts w:ascii="Arial" w:cs="Arial" w:eastAsia="Arial" w:hAnsi="Arial"/>
                <w:sz w:val="16"/>
                <w:szCs w:val="16"/>
                <w:color w:val="0000FF"/>
                <w:w w:val="97"/>
              </w:rPr>
            </w:pPr>
            <w:hyperlink r:id="rId103">
              <w:r>
                <w:rPr>
                  <w:rFonts w:ascii="Arial" w:cs="Arial" w:eastAsia="Arial" w:hAnsi="Arial"/>
                  <w:sz w:val="16"/>
                  <w:szCs w:val="16"/>
                  <w:color w:val="0000FF"/>
                  <w:w w:val="97"/>
                </w:rPr>
                <w:t>Certificate of Change of Registered Agent</w:t>
              </w:r>
            </w:hyperlink>
          </w:p>
        </w:tc>
        <w:tc>
          <w:tcPr>
            <w:tcW w:w="160" w:type="dxa"/>
            <w:vAlign w:val="bottom"/>
            <w:gridSpan w:val="4"/>
          </w:tcPr>
          <w:p>
            <w:pPr>
              <w:spacing w:after="0"/>
              <w:rPr>
                <w:sz w:val="24"/>
                <w:szCs w:val="24"/>
                <w:color w:val="auto"/>
              </w:rPr>
            </w:pPr>
          </w:p>
        </w:tc>
        <w:tc>
          <w:tcPr>
            <w:tcW w:w="1000" w:type="dxa"/>
            <w:vAlign w:val="bottom"/>
          </w:tcPr>
          <w:p>
            <w:pPr>
              <w:jc w:val="center"/>
              <w:ind w:left="63"/>
              <w:spacing w:after="0"/>
              <w:rPr>
                <w:sz w:val="20"/>
                <w:szCs w:val="20"/>
                <w:color w:val="auto"/>
              </w:rPr>
            </w:pPr>
            <w:r>
              <w:rPr>
                <w:rFonts w:ascii="Arial" w:cs="Arial" w:eastAsia="Arial" w:hAnsi="Arial"/>
                <w:sz w:val="16"/>
                <w:szCs w:val="16"/>
                <w:color w:val="auto"/>
                <w:w w:val="88"/>
              </w:rPr>
              <w:t>10 -K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82"/>
              </w:rPr>
              <w:t>3. 1</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March 11,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3080" w:type="dxa"/>
            <w:vAlign w:val="bottom"/>
            <w:gridSpan w:val="24"/>
          </w:tcPr>
          <w:p>
            <w:pPr>
              <w:spacing w:after="0" w:line="160" w:lineRule="exact"/>
              <w:rPr>
                <w:rFonts w:ascii="Arial" w:cs="Arial" w:eastAsia="Arial" w:hAnsi="Arial"/>
                <w:sz w:val="16"/>
                <w:szCs w:val="16"/>
                <w:color w:val="0000FF"/>
              </w:rPr>
            </w:pPr>
            <w:hyperlink r:id="rId103">
              <w:r>
                <w:rPr>
                  <w:rFonts w:ascii="Arial" w:cs="Arial" w:eastAsia="Arial" w:hAnsi="Arial"/>
                  <w:sz w:val="16"/>
                  <w:szCs w:val="16"/>
                  <w:color w:val="0000FF"/>
                </w:rPr>
                <w:t>and/or Registered Office.</w:t>
              </w:r>
            </w:hyperlink>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2"/>
        </w:trPr>
        <w:tc>
          <w:tcPr>
            <w:tcW w:w="640" w:type="dxa"/>
            <w:vAlign w:val="bottom"/>
          </w:tcPr>
          <w:p>
            <w:pPr>
              <w:spacing w:after="0"/>
              <w:rPr>
                <w:sz w:val="20"/>
                <w:szCs w:val="20"/>
                <w:color w:val="auto"/>
              </w:rPr>
            </w:pPr>
            <w:r>
              <w:rPr>
                <w:rFonts w:ascii="Arial" w:cs="Arial" w:eastAsia="Arial" w:hAnsi="Arial"/>
                <w:sz w:val="16"/>
                <w:szCs w:val="16"/>
                <w:color w:val="auto"/>
              </w:rPr>
              <w:t>3.3</w:t>
            </w:r>
          </w:p>
        </w:tc>
        <w:tc>
          <w:tcPr>
            <w:tcW w:w="2940" w:type="dxa"/>
            <w:vAlign w:val="bottom"/>
            <w:tcBorders>
              <w:bottom w:val="single" w:sz="8" w:color="0000EE"/>
            </w:tcBorders>
            <w:gridSpan w:val="21"/>
          </w:tcPr>
          <w:p>
            <w:pPr>
              <w:spacing w:after="0"/>
              <w:rPr>
                <w:rFonts w:ascii="Arial" w:cs="Arial" w:eastAsia="Arial" w:hAnsi="Arial"/>
                <w:sz w:val="16"/>
                <w:szCs w:val="16"/>
                <w:color w:val="0000FF"/>
                <w:w w:val="98"/>
              </w:rPr>
            </w:pPr>
            <w:hyperlink r:id="rId104">
              <w:r>
                <w:rPr>
                  <w:rFonts w:ascii="Arial" w:cs="Arial" w:eastAsia="Arial" w:hAnsi="Arial"/>
                  <w:sz w:val="16"/>
                  <w:szCs w:val="16"/>
                  <w:color w:val="0000FF"/>
                  <w:w w:val="98"/>
                </w:rPr>
                <w:t>Amended and Restated Bylaws of Vroom,</w:t>
              </w:r>
            </w:hyperlink>
          </w:p>
        </w:tc>
        <w:tc>
          <w:tcPr>
            <w:tcW w:w="140" w:type="dxa"/>
            <w:vAlign w:val="bottom"/>
            <w:gridSpan w:val="3"/>
          </w:tcPr>
          <w:p>
            <w:pPr>
              <w:spacing w:after="0"/>
              <w:rPr>
                <w:sz w:val="24"/>
                <w:szCs w:val="24"/>
                <w:color w:val="auto"/>
              </w:rPr>
            </w:pPr>
          </w:p>
        </w:tc>
        <w:tc>
          <w:tcPr>
            <w:tcW w:w="1000" w:type="dxa"/>
            <w:vAlign w:val="bottom"/>
          </w:tcPr>
          <w:p>
            <w:pPr>
              <w:jc w:val="center"/>
              <w:ind w:left="83"/>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January 15,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3080" w:type="dxa"/>
            <w:vAlign w:val="bottom"/>
            <w:gridSpan w:val="24"/>
          </w:tcPr>
          <w:p>
            <w:pPr>
              <w:spacing w:after="0" w:line="160" w:lineRule="exact"/>
              <w:rPr>
                <w:rFonts w:ascii="Arial" w:cs="Arial" w:eastAsia="Arial" w:hAnsi="Arial"/>
                <w:sz w:val="16"/>
                <w:szCs w:val="16"/>
                <w:color w:val="0000FF"/>
              </w:rPr>
            </w:pPr>
            <w:hyperlink r:id="rId104">
              <w:r>
                <w:rPr>
                  <w:rFonts w:ascii="Arial" w:cs="Arial" w:eastAsia="Arial" w:hAnsi="Arial"/>
                  <w:sz w:val="16"/>
                  <w:szCs w:val="16"/>
                  <w:color w:val="0000FF"/>
                </w:rPr>
                <w:t>Inc.</w:t>
              </w:r>
            </w:hyperlink>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0"/>
        </w:trPr>
        <w:tc>
          <w:tcPr>
            <w:tcW w:w="640" w:type="dxa"/>
            <w:vAlign w:val="bottom"/>
          </w:tcPr>
          <w:p>
            <w:pPr>
              <w:spacing w:after="0"/>
              <w:rPr>
                <w:sz w:val="20"/>
                <w:szCs w:val="20"/>
                <w:color w:val="auto"/>
              </w:rPr>
            </w:pPr>
            <w:r>
              <w:rPr>
                <w:rFonts w:ascii="Arial" w:cs="Arial" w:eastAsia="Arial" w:hAnsi="Arial"/>
                <w:sz w:val="16"/>
                <w:szCs w:val="16"/>
                <w:color w:val="auto"/>
              </w:rPr>
              <w:t>4.1</w:t>
            </w:r>
          </w:p>
        </w:tc>
        <w:tc>
          <w:tcPr>
            <w:tcW w:w="2880" w:type="dxa"/>
            <w:vAlign w:val="bottom"/>
            <w:tcBorders>
              <w:bottom w:val="single" w:sz="8" w:color="0000EE"/>
            </w:tcBorders>
            <w:gridSpan w:val="18"/>
          </w:tcPr>
          <w:p>
            <w:pPr>
              <w:spacing w:after="0"/>
              <w:rPr>
                <w:rFonts w:ascii="Arial" w:cs="Arial" w:eastAsia="Arial" w:hAnsi="Arial"/>
                <w:sz w:val="16"/>
                <w:szCs w:val="16"/>
                <w:color w:val="0000FF"/>
                <w:w w:val="98"/>
              </w:rPr>
            </w:pPr>
            <w:hyperlink r:id="rId105">
              <w:r>
                <w:rPr>
                  <w:rFonts w:ascii="Arial" w:cs="Arial" w:eastAsia="Arial" w:hAnsi="Arial"/>
                  <w:sz w:val="16"/>
                  <w:szCs w:val="16"/>
                  <w:color w:val="0000FF"/>
                  <w:w w:val="98"/>
                </w:rPr>
                <w:t>Eighth Amended and Restated Investors’</w:t>
              </w:r>
            </w:hyperlink>
          </w:p>
        </w:tc>
        <w:tc>
          <w:tcPr>
            <w:tcW w:w="200" w:type="dxa"/>
            <w:vAlign w:val="bottom"/>
            <w:gridSpan w:val="6"/>
          </w:tcPr>
          <w:p>
            <w:pPr>
              <w:spacing w:after="0"/>
              <w:rPr>
                <w:sz w:val="24"/>
                <w:szCs w:val="24"/>
                <w:color w:val="auto"/>
              </w:rPr>
            </w:pPr>
          </w:p>
        </w:tc>
        <w:tc>
          <w:tcPr>
            <w:tcW w:w="1000" w:type="dxa"/>
            <w:vAlign w:val="bottom"/>
          </w:tcPr>
          <w:p>
            <w:pPr>
              <w:jc w:val="center"/>
              <w:ind w:left="63"/>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333-238482</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May 18, 2020</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2900" w:type="dxa"/>
            <w:vAlign w:val="bottom"/>
            <w:tcBorders>
              <w:bottom w:val="single" w:sz="8" w:color="0000EE"/>
            </w:tcBorders>
            <w:gridSpan w:val="19"/>
          </w:tcPr>
          <w:p>
            <w:pPr>
              <w:spacing w:after="0" w:line="160" w:lineRule="exact"/>
              <w:rPr>
                <w:rFonts w:ascii="Arial" w:cs="Arial" w:eastAsia="Arial" w:hAnsi="Arial"/>
                <w:sz w:val="16"/>
                <w:szCs w:val="16"/>
                <w:color w:val="0000FF"/>
                <w:w w:val="97"/>
              </w:rPr>
            </w:pPr>
            <w:hyperlink r:id="rId105">
              <w:r>
                <w:rPr>
                  <w:rFonts w:ascii="Arial" w:cs="Arial" w:eastAsia="Arial" w:hAnsi="Arial"/>
                  <w:sz w:val="16"/>
                  <w:szCs w:val="16"/>
                  <w:color w:val="0000FF"/>
                  <w:w w:val="97"/>
                </w:rPr>
                <w:t>Rights Agreement, dated as of November</w:t>
              </w:r>
            </w:hyperlink>
          </w:p>
        </w:tc>
        <w:tc>
          <w:tcPr>
            <w:tcW w:w="18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2860" w:type="dxa"/>
            <w:vAlign w:val="bottom"/>
            <w:tcBorders>
              <w:bottom w:val="single" w:sz="8" w:color="0000EE"/>
            </w:tcBorders>
            <w:gridSpan w:val="17"/>
          </w:tcPr>
          <w:p>
            <w:pPr>
              <w:spacing w:after="0" w:line="160" w:lineRule="exact"/>
              <w:rPr>
                <w:rFonts w:ascii="Arial" w:cs="Arial" w:eastAsia="Arial" w:hAnsi="Arial"/>
                <w:sz w:val="16"/>
                <w:szCs w:val="16"/>
                <w:color w:val="0000FF"/>
                <w:w w:val="97"/>
              </w:rPr>
            </w:pPr>
            <w:hyperlink r:id="rId105">
              <w:r>
                <w:rPr>
                  <w:rFonts w:ascii="Arial" w:cs="Arial" w:eastAsia="Arial" w:hAnsi="Arial"/>
                  <w:sz w:val="16"/>
                  <w:szCs w:val="16"/>
                  <w:color w:val="0000FF"/>
                  <w:w w:val="97"/>
                </w:rPr>
                <w:t>21, 2019, by and among Vroom, Inc. and</w:t>
              </w:r>
            </w:hyperlink>
          </w:p>
        </w:tc>
        <w:tc>
          <w:tcPr>
            <w:tcW w:w="22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3080" w:type="dxa"/>
            <w:vAlign w:val="bottom"/>
            <w:gridSpan w:val="24"/>
          </w:tcPr>
          <w:p>
            <w:pPr>
              <w:spacing w:after="0" w:line="160" w:lineRule="exact"/>
              <w:rPr>
                <w:rFonts w:ascii="Arial" w:cs="Arial" w:eastAsia="Arial" w:hAnsi="Arial"/>
                <w:sz w:val="16"/>
                <w:szCs w:val="16"/>
                <w:color w:val="0000FF"/>
              </w:rPr>
            </w:pPr>
            <w:hyperlink r:id="rId105">
              <w:r>
                <w:rPr>
                  <w:rFonts w:ascii="Arial" w:cs="Arial" w:eastAsia="Arial" w:hAnsi="Arial"/>
                  <w:sz w:val="16"/>
                  <w:szCs w:val="16"/>
                  <w:color w:val="0000FF"/>
                </w:rPr>
                <w:t>certain holders of its capital stock</w:t>
              </w:r>
            </w:hyperlink>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2"/>
        </w:trPr>
        <w:tc>
          <w:tcPr>
            <w:tcW w:w="640" w:type="dxa"/>
            <w:vAlign w:val="bottom"/>
          </w:tcPr>
          <w:p>
            <w:pPr>
              <w:spacing w:after="0"/>
              <w:rPr>
                <w:sz w:val="20"/>
                <w:szCs w:val="20"/>
                <w:color w:val="auto"/>
              </w:rPr>
            </w:pPr>
            <w:r>
              <w:rPr>
                <w:rFonts w:ascii="Arial" w:cs="Arial" w:eastAsia="Arial" w:hAnsi="Arial"/>
                <w:sz w:val="16"/>
                <w:szCs w:val="16"/>
                <w:color w:val="auto"/>
              </w:rPr>
              <w:t>10.1</w:t>
            </w:r>
          </w:p>
        </w:tc>
        <w:tc>
          <w:tcPr>
            <w:tcW w:w="2720" w:type="dxa"/>
            <w:vAlign w:val="bottom"/>
            <w:tcBorders>
              <w:bottom w:val="single" w:sz="8" w:color="0000EE"/>
            </w:tcBorders>
            <w:gridSpan w:val="14"/>
          </w:tcPr>
          <w:p>
            <w:pPr>
              <w:spacing w:after="0"/>
              <w:rPr>
                <w:rFonts w:ascii="Arial" w:cs="Arial" w:eastAsia="Arial" w:hAnsi="Arial"/>
                <w:sz w:val="16"/>
                <w:szCs w:val="16"/>
                <w:color w:val="0000FF"/>
                <w:w w:val="97"/>
              </w:rPr>
            </w:pPr>
            <w:hyperlink r:id="rId106">
              <w:r>
                <w:rPr>
                  <w:rFonts w:ascii="Arial" w:cs="Arial" w:eastAsia="Arial" w:hAnsi="Arial"/>
                  <w:sz w:val="16"/>
                  <w:szCs w:val="16"/>
                  <w:color w:val="0000FF"/>
                  <w:w w:val="97"/>
                </w:rPr>
                <w:t>Amended and Restated 2020 Incentive</w:t>
              </w:r>
            </w:hyperlink>
          </w:p>
        </w:tc>
        <w:tc>
          <w:tcPr>
            <w:tcW w:w="360" w:type="dxa"/>
            <w:vAlign w:val="bottom"/>
            <w:gridSpan w:val="10"/>
          </w:tcPr>
          <w:p>
            <w:pPr>
              <w:spacing w:after="0"/>
              <w:rPr>
                <w:sz w:val="24"/>
                <w:szCs w:val="24"/>
                <w:color w:val="auto"/>
              </w:rPr>
            </w:pPr>
          </w:p>
        </w:tc>
        <w:tc>
          <w:tcPr>
            <w:tcW w:w="1000" w:type="dxa"/>
            <w:vAlign w:val="bottom"/>
          </w:tcPr>
          <w:p>
            <w:pPr>
              <w:jc w:val="center"/>
              <w:ind w:left="63"/>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March 11,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3080" w:type="dxa"/>
            <w:vAlign w:val="bottom"/>
            <w:gridSpan w:val="24"/>
          </w:tcPr>
          <w:p>
            <w:pPr>
              <w:spacing w:after="0" w:line="160" w:lineRule="exact"/>
              <w:rPr>
                <w:rFonts w:ascii="Arial" w:cs="Arial" w:eastAsia="Arial" w:hAnsi="Arial"/>
                <w:sz w:val="16"/>
                <w:szCs w:val="16"/>
                <w:color w:val="0000FF"/>
              </w:rPr>
            </w:pPr>
            <w:hyperlink r:id="rId106">
              <w:r>
                <w:rPr>
                  <w:rFonts w:ascii="Arial" w:cs="Arial" w:eastAsia="Arial" w:hAnsi="Arial"/>
                  <w:sz w:val="16"/>
                  <w:szCs w:val="16"/>
                  <w:color w:val="0000FF"/>
                </w:rPr>
                <w:t>Award Plan</w:t>
              </w:r>
            </w:hyperlink>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2"/>
        </w:trPr>
        <w:tc>
          <w:tcPr>
            <w:tcW w:w="640" w:type="dxa"/>
            <w:vAlign w:val="bottom"/>
          </w:tcPr>
          <w:p>
            <w:pPr>
              <w:spacing w:after="0"/>
              <w:rPr>
                <w:sz w:val="20"/>
                <w:szCs w:val="20"/>
                <w:color w:val="auto"/>
              </w:rPr>
            </w:pPr>
            <w:r>
              <w:rPr>
                <w:rFonts w:ascii="Arial" w:cs="Arial" w:eastAsia="Arial" w:hAnsi="Arial"/>
                <w:sz w:val="16"/>
                <w:szCs w:val="16"/>
                <w:color w:val="auto"/>
              </w:rPr>
              <w:t>10.2</w:t>
            </w:r>
          </w:p>
        </w:tc>
        <w:tc>
          <w:tcPr>
            <w:tcW w:w="3080" w:type="dxa"/>
            <w:vAlign w:val="bottom"/>
            <w:tcBorders>
              <w:bottom w:val="single" w:sz="8" w:color="0000EE"/>
            </w:tcBorders>
            <w:gridSpan w:val="24"/>
          </w:tcPr>
          <w:p>
            <w:pPr>
              <w:spacing w:after="0"/>
              <w:rPr>
                <w:rFonts w:ascii="Arial" w:cs="Arial" w:eastAsia="Arial" w:hAnsi="Arial"/>
                <w:sz w:val="16"/>
                <w:szCs w:val="16"/>
                <w:color w:val="0000FF"/>
                <w:w w:val="96"/>
              </w:rPr>
            </w:pPr>
            <w:hyperlink r:id="rId107">
              <w:r>
                <w:rPr>
                  <w:rFonts w:ascii="Arial" w:cs="Arial" w:eastAsia="Arial" w:hAnsi="Arial"/>
                  <w:sz w:val="16"/>
                  <w:szCs w:val="16"/>
                  <w:color w:val="0000FF"/>
                  <w:w w:val="96"/>
                </w:rPr>
                <w:t>Warrant Agreement, dated as of January 14,</w:t>
              </w:r>
            </w:hyperlink>
          </w:p>
        </w:tc>
        <w:tc>
          <w:tcPr>
            <w:tcW w:w="1000" w:type="dxa"/>
            <w:vAlign w:val="bottom"/>
          </w:tcPr>
          <w:p>
            <w:pPr>
              <w:jc w:val="center"/>
              <w:ind w:left="83"/>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January 15,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2800" w:type="dxa"/>
            <w:vAlign w:val="bottom"/>
            <w:tcBorders>
              <w:bottom w:val="single" w:sz="8" w:color="0000EE"/>
            </w:tcBorders>
            <w:gridSpan w:val="15"/>
          </w:tcPr>
          <w:p>
            <w:pPr>
              <w:spacing w:after="0" w:line="160" w:lineRule="exact"/>
              <w:rPr>
                <w:rFonts w:ascii="Arial" w:cs="Arial" w:eastAsia="Arial" w:hAnsi="Arial"/>
                <w:sz w:val="16"/>
                <w:szCs w:val="16"/>
                <w:color w:val="0000FF"/>
                <w:w w:val="97"/>
              </w:rPr>
            </w:pPr>
            <w:hyperlink r:id="rId107">
              <w:r>
                <w:rPr>
                  <w:rFonts w:ascii="Arial" w:cs="Arial" w:eastAsia="Arial" w:hAnsi="Arial"/>
                  <w:sz w:val="16"/>
                  <w:szCs w:val="16"/>
                  <w:color w:val="0000FF"/>
                  <w:w w:val="97"/>
                </w:rPr>
                <w:t>2025, between Vroom, Inc. and Equinity</w:t>
              </w:r>
            </w:hyperlink>
          </w:p>
        </w:tc>
        <w:tc>
          <w:tcPr>
            <w:tcW w:w="280" w:type="dxa"/>
            <w:vAlign w:val="bottom"/>
            <w:gridSpan w:val="9"/>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1440" w:type="dxa"/>
            <w:vAlign w:val="bottom"/>
            <w:tcBorders>
              <w:bottom w:val="single" w:sz="8" w:color="0000EE"/>
            </w:tcBorders>
            <w:gridSpan w:val="7"/>
          </w:tcPr>
          <w:p>
            <w:pPr>
              <w:spacing w:after="0" w:line="160" w:lineRule="exact"/>
              <w:rPr>
                <w:rFonts w:ascii="Arial" w:cs="Arial" w:eastAsia="Arial" w:hAnsi="Arial"/>
                <w:sz w:val="16"/>
                <w:szCs w:val="16"/>
                <w:color w:val="0000FF"/>
                <w:w w:val="96"/>
              </w:rPr>
            </w:pPr>
            <w:hyperlink r:id="rId107">
              <w:r>
                <w:rPr>
                  <w:rFonts w:ascii="Arial" w:cs="Arial" w:eastAsia="Arial" w:hAnsi="Arial"/>
                  <w:sz w:val="16"/>
                  <w:szCs w:val="16"/>
                  <w:color w:val="0000FF"/>
                  <w:w w:val="96"/>
                </w:rPr>
                <w:t>Trust Company, LLC</w:t>
              </w:r>
            </w:hyperlink>
          </w:p>
        </w:tc>
        <w:tc>
          <w:tcPr>
            <w:tcW w:w="1640" w:type="dxa"/>
            <w:vAlign w:val="bottom"/>
            <w:gridSpan w:val="17"/>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92"/>
        </w:trPr>
        <w:tc>
          <w:tcPr>
            <w:tcW w:w="640" w:type="dxa"/>
            <w:vAlign w:val="bottom"/>
          </w:tcPr>
          <w:p>
            <w:pPr>
              <w:spacing w:after="0"/>
              <w:rPr>
                <w:sz w:val="20"/>
                <w:szCs w:val="20"/>
                <w:color w:val="auto"/>
              </w:rPr>
            </w:pPr>
            <w:r>
              <w:rPr>
                <w:rFonts w:ascii="Arial" w:cs="Arial" w:eastAsia="Arial" w:hAnsi="Arial"/>
                <w:sz w:val="16"/>
                <w:szCs w:val="16"/>
                <w:color w:val="auto"/>
              </w:rPr>
              <w:t>10.3</w:t>
            </w:r>
          </w:p>
        </w:tc>
        <w:tc>
          <w:tcPr>
            <w:tcW w:w="3080" w:type="dxa"/>
            <w:vAlign w:val="bottom"/>
            <w:tcBorders>
              <w:bottom w:val="single" w:sz="8" w:color="0000EE"/>
            </w:tcBorders>
            <w:gridSpan w:val="24"/>
          </w:tcPr>
          <w:p>
            <w:pPr>
              <w:spacing w:after="0"/>
              <w:rPr>
                <w:rFonts w:ascii="Arial" w:cs="Arial" w:eastAsia="Arial" w:hAnsi="Arial"/>
                <w:sz w:val="16"/>
                <w:szCs w:val="16"/>
                <w:color w:val="0000FF"/>
                <w:w w:val="97"/>
              </w:rPr>
            </w:pPr>
            <w:hyperlink r:id="rId108">
              <w:r>
                <w:rPr>
                  <w:rFonts w:ascii="Arial" w:cs="Arial" w:eastAsia="Arial" w:hAnsi="Arial"/>
                  <w:sz w:val="16"/>
                  <w:szCs w:val="16"/>
                  <w:color w:val="0000FF"/>
                  <w:w w:val="97"/>
                </w:rPr>
                <w:t>Board Observer Agreement by and between</w:t>
              </w:r>
            </w:hyperlink>
          </w:p>
        </w:tc>
        <w:tc>
          <w:tcPr>
            <w:tcW w:w="1000" w:type="dxa"/>
            <w:vAlign w:val="bottom"/>
          </w:tcPr>
          <w:p>
            <w:pPr>
              <w:jc w:val="center"/>
              <w:ind w:left="63"/>
              <w:spacing w:after="0"/>
              <w:rPr>
                <w:sz w:val="20"/>
                <w:szCs w:val="20"/>
                <w:color w:val="auto"/>
              </w:rPr>
            </w:pPr>
            <w:r>
              <w:rPr>
                <w:rFonts w:ascii="Arial" w:cs="Arial" w:eastAsia="Arial" w:hAnsi="Arial"/>
                <w:sz w:val="16"/>
                <w:szCs w:val="16"/>
                <w:color w:val="auto"/>
                <w:w w:val="88"/>
              </w:rPr>
              <w:t>10 -K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10.35</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March 11,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2660" w:type="dxa"/>
            <w:vAlign w:val="bottom"/>
            <w:tcBorders>
              <w:bottom w:val="single" w:sz="8" w:color="0000EE"/>
            </w:tcBorders>
            <w:gridSpan w:val="12"/>
          </w:tcPr>
          <w:p>
            <w:pPr>
              <w:spacing w:after="0" w:line="160" w:lineRule="exact"/>
              <w:rPr>
                <w:rFonts w:ascii="Arial" w:cs="Arial" w:eastAsia="Arial" w:hAnsi="Arial"/>
                <w:sz w:val="16"/>
                <w:szCs w:val="16"/>
                <w:color w:val="0000FF"/>
                <w:w w:val="97"/>
              </w:rPr>
            </w:pPr>
            <w:hyperlink r:id="rId108">
              <w:r>
                <w:rPr>
                  <w:rFonts w:ascii="Arial" w:cs="Arial" w:eastAsia="Arial" w:hAnsi="Arial"/>
                  <w:sz w:val="16"/>
                  <w:szCs w:val="16"/>
                  <w:color w:val="0000FF"/>
                  <w:w w:val="97"/>
                </w:rPr>
                <w:t>Vroom, Inc. and Jason Mudrick, dated</w:t>
              </w:r>
            </w:hyperlink>
          </w:p>
        </w:tc>
        <w:tc>
          <w:tcPr>
            <w:tcW w:w="420" w:type="dxa"/>
            <w:vAlign w:val="bottom"/>
            <w:gridSpan w:val="12"/>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3080" w:type="dxa"/>
            <w:vAlign w:val="bottom"/>
            <w:gridSpan w:val="24"/>
          </w:tcPr>
          <w:p>
            <w:pPr>
              <w:spacing w:after="0" w:line="160" w:lineRule="exact"/>
              <w:rPr>
                <w:rFonts w:ascii="Arial" w:cs="Arial" w:eastAsia="Arial" w:hAnsi="Arial"/>
                <w:sz w:val="16"/>
                <w:szCs w:val="16"/>
                <w:color w:val="0000FF"/>
              </w:rPr>
            </w:pPr>
            <w:hyperlink r:id="rId108">
              <w:r>
                <w:rPr>
                  <w:rFonts w:ascii="Arial" w:cs="Arial" w:eastAsia="Arial" w:hAnsi="Arial"/>
                  <w:sz w:val="16"/>
                  <w:szCs w:val="16"/>
                  <w:color w:val="0000FF"/>
                </w:rPr>
                <w:t>February 18, 2025</w:t>
              </w:r>
            </w:hyperlink>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00"/>
        </w:trPr>
        <w:tc>
          <w:tcPr>
            <w:tcW w:w="640" w:type="dxa"/>
            <w:vAlign w:val="bottom"/>
          </w:tcPr>
          <w:p>
            <w:pPr>
              <w:spacing w:after="0"/>
              <w:rPr>
                <w:sz w:val="20"/>
                <w:szCs w:val="20"/>
                <w:color w:val="auto"/>
              </w:rPr>
            </w:pPr>
            <w:r>
              <w:rPr>
                <w:rFonts w:ascii="Arial" w:cs="Arial" w:eastAsia="Arial" w:hAnsi="Arial"/>
                <w:sz w:val="16"/>
                <w:szCs w:val="16"/>
                <w:color w:val="auto"/>
              </w:rPr>
              <w:t>10.4</w:t>
            </w:r>
          </w:p>
        </w:tc>
        <w:tc>
          <w:tcPr>
            <w:tcW w:w="2500" w:type="dxa"/>
            <w:vAlign w:val="bottom"/>
            <w:tcBorders>
              <w:bottom w:val="single" w:sz="8" w:color="0000EE"/>
            </w:tcBorders>
            <w:gridSpan w:val="10"/>
          </w:tcPr>
          <w:p>
            <w:pPr>
              <w:spacing w:after="0"/>
              <w:rPr>
                <w:rFonts w:ascii="Arial" w:cs="Arial" w:eastAsia="Arial" w:hAnsi="Arial"/>
                <w:sz w:val="16"/>
                <w:szCs w:val="16"/>
                <w:color w:val="0000FF"/>
                <w:w w:val="98"/>
              </w:rPr>
            </w:pPr>
            <w:hyperlink r:id="rId109">
              <w:r>
                <w:rPr>
                  <w:rFonts w:ascii="Arial" w:cs="Arial" w:eastAsia="Arial" w:hAnsi="Arial"/>
                  <w:sz w:val="16"/>
                  <w:szCs w:val="16"/>
                  <w:color w:val="0000FF"/>
                  <w:w w:val="98"/>
                </w:rPr>
                <w:t>Warehouse Agreement, dated as of</w:t>
              </w:r>
            </w:hyperlink>
          </w:p>
        </w:tc>
        <w:tc>
          <w:tcPr>
            <w:tcW w:w="580" w:type="dxa"/>
            <w:vAlign w:val="bottom"/>
            <w:gridSpan w:val="14"/>
          </w:tcPr>
          <w:p>
            <w:pPr>
              <w:spacing w:after="0"/>
              <w:rPr>
                <w:sz w:val="24"/>
                <w:szCs w:val="24"/>
                <w:color w:val="auto"/>
              </w:rPr>
            </w:pPr>
          </w:p>
        </w:tc>
        <w:tc>
          <w:tcPr>
            <w:tcW w:w="1000" w:type="dxa"/>
            <w:vAlign w:val="bottom"/>
          </w:tcPr>
          <w:p>
            <w:pPr>
              <w:jc w:val="center"/>
              <w:ind w:left="63"/>
              <w:spacing w:after="0"/>
              <w:rPr>
                <w:sz w:val="20"/>
                <w:szCs w:val="20"/>
                <w:color w:val="auto"/>
              </w:rPr>
            </w:pPr>
            <w:r>
              <w:rPr>
                <w:rFonts w:ascii="Arial" w:cs="Arial" w:eastAsia="Arial" w:hAnsi="Arial"/>
                <w:sz w:val="16"/>
                <w:szCs w:val="16"/>
                <w:color w:val="auto"/>
                <w:w w:val="88"/>
              </w:rPr>
              <w:t>10 -K</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001-39315</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10.36#</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March 11, 2025</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640" w:type="dxa"/>
            <w:vAlign w:val="bottom"/>
          </w:tcPr>
          <w:p>
            <w:pPr>
              <w:spacing w:after="0"/>
              <w:rPr>
                <w:sz w:val="13"/>
                <w:szCs w:val="13"/>
                <w:color w:val="auto"/>
              </w:rPr>
            </w:pPr>
          </w:p>
        </w:tc>
        <w:tc>
          <w:tcPr>
            <w:tcW w:w="2960" w:type="dxa"/>
            <w:vAlign w:val="bottom"/>
            <w:tcBorders>
              <w:bottom w:val="single" w:sz="8" w:color="0000EE"/>
            </w:tcBorders>
            <w:gridSpan w:val="22"/>
          </w:tcPr>
          <w:p>
            <w:pPr>
              <w:spacing w:after="0" w:line="160" w:lineRule="exact"/>
              <w:rPr>
                <w:rFonts w:ascii="Arial" w:cs="Arial" w:eastAsia="Arial" w:hAnsi="Arial"/>
                <w:sz w:val="16"/>
                <w:szCs w:val="16"/>
                <w:color w:val="0000FF"/>
                <w:w w:val="97"/>
              </w:rPr>
            </w:pPr>
            <w:hyperlink r:id="rId109">
              <w:r>
                <w:rPr>
                  <w:rFonts w:ascii="Arial" w:cs="Arial" w:eastAsia="Arial" w:hAnsi="Arial"/>
                  <w:sz w:val="16"/>
                  <w:szCs w:val="16"/>
                  <w:color w:val="0000FF"/>
                  <w:w w:val="97"/>
                </w:rPr>
                <w:t>November 19, 2013, by and among UACC</w:t>
              </w:r>
            </w:hyperlink>
          </w:p>
        </w:tc>
        <w:tc>
          <w:tcPr>
            <w:tcW w:w="12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3080" w:type="dxa"/>
            <w:vAlign w:val="bottom"/>
            <w:tcBorders>
              <w:bottom w:val="single" w:sz="8" w:color="0000EE"/>
            </w:tcBorders>
            <w:gridSpan w:val="24"/>
          </w:tcPr>
          <w:p>
            <w:pPr>
              <w:spacing w:after="0" w:line="160" w:lineRule="exact"/>
              <w:rPr>
                <w:rFonts w:ascii="Arial" w:cs="Arial" w:eastAsia="Arial" w:hAnsi="Arial"/>
                <w:sz w:val="16"/>
                <w:szCs w:val="16"/>
                <w:color w:val="0000FF"/>
                <w:w w:val="96"/>
              </w:rPr>
            </w:pPr>
            <w:hyperlink r:id="rId109">
              <w:r>
                <w:rPr>
                  <w:rFonts w:ascii="Arial" w:cs="Arial" w:eastAsia="Arial" w:hAnsi="Arial"/>
                  <w:sz w:val="16"/>
                  <w:szCs w:val="16"/>
                  <w:color w:val="0000FF"/>
                  <w:w w:val="96"/>
                </w:rPr>
                <w:t>Auto Financing Trust IV, as borrower, United</w:t>
              </w:r>
            </w:hyperlink>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640" w:type="dxa"/>
            <w:vAlign w:val="bottom"/>
          </w:tcPr>
          <w:p>
            <w:pPr>
              <w:spacing w:after="0"/>
              <w:rPr>
                <w:sz w:val="13"/>
                <w:szCs w:val="13"/>
                <w:color w:val="auto"/>
              </w:rPr>
            </w:pPr>
          </w:p>
        </w:tc>
        <w:tc>
          <w:tcPr>
            <w:tcW w:w="2860" w:type="dxa"/>
            <w:vAlign w:val="bottom"/>
            <w:tcBorders>
              <w:bottom w:val="single" w:sz="8" w:color="0000EE"/>
            </w:tcBorders>
            <w:gridSpan w:val="17"/>
          </w:tcPr>
          <w:p>
            <w:pPr>
              <w:spacing w:after="0" w:line="160" w:lineRule="exact"/>
              <w:rPr>
                <w:rFonts w:ascii="Arial" w:cs="Arial" w:eastAsia="Arial" w:hAnsi="Arial"/>
                <w:sz w:val="16"/>
                <w:szCs w:val="16"/>
                <w:color w:val="0000FF"/>
                <w:w w:val="98"/>
              </w:rPr>
            </w:pPr>
            <w:hyperlink r:id="rId109">
              <w:r>
                <w:rPr>
                  <w:rFonts w:ascii="Arial" w:cs="Arial" w:eastAsia="Arial" w:hAnsi="Arial"/>
                  <w:sz w:val="16"/>
                  <w:szCs w:val="16"/>
                  <w:color w:val="0000FF"/>
                  <w:w w:val="98"/>
                </w:rPr>
                <w:t>Audit Credit Corporation, as servicer and</w:t>
              </w:r>
            </w:hyperlink>
          </w:p>
        </w:tc>
        <w:tc>
          <w:tcPr>
            <w:tcW w:w="22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-1272540</wp:posOffset>
            </wp:positionV>
            <wp:extent cx="76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-121285</wp:posOffset>
            </wp:positionV>
            <wp:extent cx="76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r:id="rId109">
        <w:r>
          <w:rPr>
            <w:rFonts w:ascii="Arial" w:cs="Arial" w:eastAsia="Arial" w:hAnsi="Arial"/>
            <w:sz w:val="16"/>
            <w:szCs w:val="16"/>
            <w:color w:val="0000FF"/>
          </w:rPr>
          <w:t>custodian, a backup servicer and account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8522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r:id="rId109">
        <w:r>
          <w:rPr>
            <w:rFonts w:ascii="Arial" w:cs="Arial" w:eastAsia="Arial" w:hAnsi="Arial"/>
            <w:sz w:val="16"/>
            <w:szCs w:val="16"/>
            <w:color w:val="0000FF"/>
          </w:rPr>
          <w:t>bank, the lender parties thereto, the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-16510</wp:posOffset>
            </wp:positionV>
            <wp:extent cx="186753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ind w:left="760"/>
        <w:spacing w:after="0" w:line="234" w:lineRule="auto"/>
        <w:rPr>
          <w:rFonts w:ascii="Arial" w:cs="Arial" w:eastAsia="Arial" w:hAnsi="Arial"/>
          <w:sz w:val="16"/>
          <w:szCs w:val="16"/>
          <w:color w:val="0000FF"/>
        </w:rPr>
      </w:pPr>
      <w:hyperlink r:id="rId109">
        <w:r>
          <w:rPr>
            <w:rFonts w:ascii="Arial" w:cs="Arial" w:eastAsia="Arial" w:hAnsi="Arial"/>
            <w:sz w:val="16"/>
            <w:szCs w:val="16"/>
            <w:color w:val="0000FF"/>
          </w:rPr>
          <w:t>parties thereto, and JPMorgan Chase 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95897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1958975" cy="7620"/>
                    </a:xfrm>
                    <a:prstGeom prst="rect">
                      <a:avLst/>
                    </a:prstGeom>
                    <a:noFill/>
                  </pic:spPr>
                </pic:pic>
              </a:graphicData>
            </a:graphic>
          </wp:anchor>
        </w:drawing>
      </w:r>
    </w:p>
    <w:p>
      <w:pPr>
        <w:ind w:left="760"/>
        <w:spacing w:after="0" w:line="235" w:lineRule="auto"/>
        <w:rPr>
          <w:rFonts w:ascii="Arial" w:cs="Arial" w:eastAsia="Arial" w:hAnsi="Arial"/>
          <w:sz w:val="16"/>
          <w:szCs w:val="16"/>
          <w:color w:val="0000FF"/>
        </w:rPr>
      </w:pPr>
      <w:hyperlink r:id="rId109">
        <w:r>
          <w:rPr>
            <w:rFonts w:ascii="Arial" w:cs="Arial" w:eastAsia="Arial" w:hAnsi="Arial"/>
            <w:sz w:val="16"/>
            <w:szCs w:val="16"/>
            <w:color w:val="0000FF"/>
          </w:rPr>
          <w:t>N.A., as administrative agent,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89801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189801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r:id="rId109">
        <w:r>
          <w:rPr>
            <w:rFonts w:ascii="Arial" w:cs="Arial" w:eastAsia="Arial" w:hAnsi="Arial"/>
            <w:sz w:val="16"/>
            <w:szCs w:val="16"/>
            <w:color w:val="0000FF"/>
          </w:rPr>
          <w:t>through March 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99822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555" w:right="900" w:bottom="1440" w:gutter="0" w:footer="0" w:header="0"/>
        </w:sectPr>
      </w:pPr>
    </w:p>
    <w:bookmarkStart w:id="80" w:name="page81"/>
    <w:bookmarkEnd w:id="8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ind w:left="120"/>
              <w:spacing w:after="0"/>
              <w:rPr>
                <w:sz w:val="20"/>
                <w:szCs w:val="20"/>
                <w:color w:val="auto"/>
              </w:rPr>
            </w:pPr>
            <w:r>
              <w:rPr>
                <w:rFonts w:ascii="Arial" w:cs="Arial" w:eastAsia="Arial" w:hAnsi="Arial"/>
                <w:sz w:val="16"/>
                <w:szCs w:val="16"/>
                <w:color w:val="auto"/>
              </w:rPr>
              <w:t>10.5</w:t>
            </w:r>
          </w:p>
        </w:tc>
        <w:tc>
          <w:tcPr>
            <w:tcW w:w="2980" w:type="dxa"/>
            <w:vAlign w:val="bottom"/>
            <w:tcBorders>
              <w:bottom w:val="single" w:sz="8" w:color="0000EE"/>
            </w:tcBorders>
            <w:gridSpan w:val="27"/>
          </w:tcPr>
          <w:p>
            <w:pPr>
              <w:spacing w:after="0"/>
              <w:rPr>
                <w:rFonts w:ascii="Arial" w:cs="Arial" w:eastAsia="Arial" w:hAnsi="Arial"/>
                <w:sz w:val="16"/>
                <w:szCs w:val="16"/>
                <w:color w:val="0000FF"/>
                <w:w w:val="98"/>
              </w:rPr>
            </w:pPr>
            <w:hyperlink r:id="rId118">
              <w:r>
                <w:rPr>
                  <w:rFonts w:ascii="Arial" w:cs="Arial" w:eastAsia="Arial" w:hAnsi="Arial"/>
                  <w:sz w:val="16"/>
                  <w:szCs w:val="16"/>
                  <w:color w:val="0000FF"/>
                  <w:w w:val="98"/>
                </w:rPr>
                <w:t>Loan and Security Agreement, dated as of</w:t>
              </w:r>
            </w:hyperlink>
          </w:p>
        </w:tc>
        <w:tc>
          <w:tcPr>
            <w:tcW w:w="100" w:type="dxa"/>
            <w:vAlign w:val="bottom"/>
            <w:gridSpan w:val="4"/>
          </w:tcPr>
          <w:p>
            <w:pPr>
              <w:spacing w:after="0"/>
              <w:rPr>
                <w:sz w:val="16"/>
                <w:szCs w:val="16"/>
                <w:color w:val="auto"/>
              </w:rPr>
            </w:pPr>
          </w:p>
        </w:tc>
        <w:tc>
          <w:tcPr>
            <w:tcW w:w="1000" w:type="dxa"/>
            <w:vAlign w:val="bottom"/>
          </w:tcPr>
          <w:p>
            <w:pPr>
              <w:jc w:val="center"/>
              <w:ind w:left="62"/>
              <w:spacing w:after="0"/>
              <w:rPr>
                <w:sz w:val="20"/>
                <w:szCs w:val="20"/>
                <w:color w:val="auto"/>
              </w:rPr>
            </w:pPr>
            <w:r>
              <w:rPr>
                <w:rFonts w:ascii="Arial" w:cs="Arial" w:eastAsia="Arial" w:hAnsi="Arial"/>
                <w:sz w:val="16"/>
                <w:szCs w:val="16"/>
                <w:color w:val="auto"/>
              </w:rPr>
              <w:t>10-K</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001-39315</w:t>
            </w:r>
          </w:p>
        </w:tc>
        <w:tc>
          <w:tcPr>
            <w:tcW w:w="920" w:type="dxa"/>
            <w:vAlign w:val="bottom"/>
          </w:tcPr>
          <w:p>
            <w:pPr>
              <w:jc w:val="right"/>
              <w:ind w:right="202"/>
              <w:spacing w:after="0"/>
              <w:rPr>
                <w:sz w:val="20"/>
                <w:szCs w:val="20"/>
                <w:color w:val="auto"/>
              </w:rPr>
            </w:pPr>
            <w:r>
              <w:rPr>
                <w:rFonts w:ascii="Arial" w:cs="Arial" w:eastAsia="Arial" w:hAnsi="Arial"/>
                <w:sz w:val="16"/>
                <w:szCs w:val="16"/>
                <w:color w:val="auto"/>
              </w:rPr>
              <w:t>10.40</w:t>
            </w:r>
          </w:p>
        </w:tc>
        <w:tc>
          <w:tcPr>
            <w:tcW w:w="3520" w:type="dxa"/>
            <w:vAlign w:val="bottom"/>
          </w:tcPr>
          <w:p>
            <w:pPr>
              <w:ind w:left="300"/>
              <w:spacing w:after="0"/>
              <w:rPr>
                <w:sz w:val="20"/>
                <w:szCs w:val="20"/>
                <w:color w:val="auto"/>
              </w:rPr>
            </w:pPr>
            <w:r>
              <w:rPr>
                <w:rFonts w:ascii="Arial" w:cs="Arial" w:eastAsia="Arial" w:hAnsi="Arial"/>
                <w:sz w:val="16"/>
                <w:szCs w:val="16"/>
                <w:color w:val="auto"/>
              </w:rPr>
              <w:t>March 11, 2025</w:t>
            </w:r>
          </w:p>
        </w:tc>
      </w:tr>
      <w:tr>
        <w:trPr>
          <w:trHeight w:val="160"/>
        </w:trPr>
        <w:tc>
          <w:tcPr>
            <w:tcW w:w="760" w:type="dxa"/>
            <w:vAlign w:val="bottom"/>
          </w:tcPr>
          <w:p>
            <w:pPr>
              <w:spacing w:after="0"/>
              <w:rPr>
                <w:sz w:val="13"/>
                <w:szCs w:val="13"/>
                <w:color w:val="auto"/>
              </w:rPr>
            </w:pPr>
          </w:p>
        </w:tc>
        <w:tc>
          <w:tcPr>
            <w:tcW w:w="3000" w:type="dxa"/>
            <w:vAlign w:val="bottom"/>
            <w:tcBorders>
              <w:bottom w:val="single" w:sz="8" w:color="0000EE"/>
            </w:tcBorders>
            <w:gridSpan w:val="28"/>
          </w:tcPr>
          <w:p>
            <w:pPr>
              <w:spacing w:after="0" w:line="160" w:lineRule="exact"/>
              <w:rPr>
                <w:rFonts w:ascii="Arial" w:cs="Arial" w:eastAsia="Arial" w:hAnsi="Arial"/>
                <w:sz w:val="16"/>
                <w:szCs w:val="16"/>
                <w:color w:val="0000FF"/>
                <w:w w:val="98"/>
              </w:rPr>
            </w:pPr>
            <w:hyperlink r:id="rId118">
              <w:r>
                <w:rPr>
                  <w:rFonts w:ascii="Arial" w:cs="Arial" w:eastAsia="Arial" w:hAnsi="Arial"/>
                  <w:sz w:val="16"/>
                  <w:szCs w:val="16"/>
                  <w:color w:val="0000FF"/>
                  <w:w w:val="98"/>
                </w:rPr>
                <w:t>March 7, 2025, by and among Vroom, Inc.,</w:t>
              </w:r>
            </w:hyperlink>
          </w:p>
        </w:tc>
        <w:tc>
          <w:tcPr>
            <w:tcW w:w="80" w:type="dxa"/>
            <w:vAlign w:val="bottom"/>
            <w:gridSpan w:val="3"/>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880" w:type="dxa"/>
            <w:vAlign w:val="bottom"/>
            <w:tcBorders>
              <w:bottom w:val="single" w:sz="8" w:color="0000EE"/>
            </w:tcBorders>
            <w:gridSpan w:val="24"/>
          </w:tcPr>
          <w:p>
            <w:pPr>
              <w:spacing w:after="0" w:line="160" w:lineRule="exact"/>
              <w:rPr>
                <w:rFonts w:ascii="Arial" w:cs="Arial" w:eastAsia="Arial" w:hAnsi="Arial"/>
                <w:sz w:val="16"/>
                <w:szCs w:val="16"/>
                <w:color w:val="0000FF"/>
                <w:w w:val="97"/>
              </w:rPr>
            </w:pPr>
            <w:hyperlink r:id="rId118">
              <w:r>
                <w:rPr>
                  <w:rFonts w:ascii="Arial" w:cs="Arial" w:eastAsia="Arial" w:hAnsi="Arial"/>
                  <w:sz w:val="16"/>
                  <w:szCs w:val="16"/>
                  <w:color w:val="0000FF"/>
                  <w:w w:val="97"/>
                </w:rPr>
                <w:t>as borrower, Darkwater Funding, LLC, as</w:t>
              </w:r>
            </w:hyperlink>
          </w:p>
        </w:tc>
        <w:tc>
          <w:tcPr>
            <w:tcW w:w="20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tcBorders>
              <w:bottom w:val="single" w:sz="8" w:color="0000EE"/>
            </w:tcBorders>
            <w:gridSpan w:val="31"/>
          </w:tcPr>
          <w:p>
            <w:pPr>
              <w:spacing w:after="0" w:line="160" w:lineRule="exact"/>
              <w:rPr>
                <w:rFonts w:ascii="Arial" w:cs="Arial" w:eastAsia="Arial" w:hAnsi="Arial"/>
                <w:sz w:val="16"/>
                <w:szCs w:val="16"/>
                <w:color w:val="0000FF"/>
                <w:w w:val="96"/>
              </w:rPr>
            </w:pPr>
            <w:hyperlink r:id="rId118">
              <w:r>
                <w:rPr>
                  <w:rFonts w:ascii="Arial" w:cs="Arial" w:eastAsia="Arial" w:hAnsi="Arial"/>
                  <w:sz w:val="16"/>
                  <w:szCs w:val="16"/>
                  <w:color w:val="0000FF"/>
                  <w:w w:val="96"/>
                </w:rPr>
                <w:t>borrower, United Auto Credit Corporation, as</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820" w:type="dxa"/>
            <w:vAlign w:val="bottom"/>
            <w:tcBorders>
              <w:bottom w:val="single" w:sz="8" w:color="0000EE"/>
            </w:tcBorders>
            <w:gridSpan w:val="22"/>
          </w:tcPr>
          <w:p>
            <w:pPr>
              <w:spacing w:after="0" w:line="160" w:lineRule="exact"/>
              <w:rPr>
                <w:rFonts w:ascii="Arial" w:cs="Arial" w:eastAsia="Arial" w:hAnsi="Arial"/>
                <w:sz w:val="16"/>
                <w:szCs w:val="16"/>
                <w:color w:val="0000FF"/>
                <w:w w:val="98"/>
              </w:rPr>
            </w:pPr>
            <w:hyperlink r:id="rId118">
              <w:r>
                <w:rPr>
                  <w:rFonts w:ascii="Arial" w:cs="Arial" w:eastAsia="Arial" w:hAnsi="Arial"/>
                  <w:sz w:val="16"/>
                  <w:szCs w:val="16"/>
                  <w:color w:val="0000FF"/>
                  <w:w w:val="98"/>
                </w:rPr>
                <w:t>borrower, Mudrick Capital Management,</w:t>
              </w:r>
            </w:hyperlink>
          </w:p>
        </w:tc>
        <w:tc>
          <w:tcPr>
            <w:tcW w:w="260" w:type="dxa"/>
            <w:vAlign w:val="bottom"/>
            <w:gridSpan w:val="9"/>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tcBorders>
              <w:bottom w:val="single" w:sz="8" w:color="0000EE"/>
            </w:tcBorders>
            <w:gridSpan w:val="31"/>
          </w:tcPr>
          <w:p>
            <w:pPr>
              <w:spacing w:after="0" w:line="160" w:lineRule="exact"/>
              <w:rPr>
                <w:rFonts w:ascii="Arial" w:cs="Arial" w:eastAsia="Arial" w:hAnsi="Arial"/>
                <w:sz w:val="16"/>
                <w:szCs w:val="16"/>
                <w:color w:val="0000FF"/>
                <w:w w:val="97"/>
              </w:rPr>
            </w:pPr>
            <w:hyperlink r:id="rId118">
              <w:r>
                <w:rPr>
                  <w:rFonts w:ascii="Arial" w:cs="Arial" w:eastAsia="Arial" w:hAnsi="Arial"/>
                  <w:sz w:val="16"/>
                  <w:szCs w:val="16"/>
                  <w:color w:val="0000FF"/>
                  <w:w w:val="97"/>
                </w:rPr>
                <w:t>L.P., as administrative agent, and the lender</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gridSpan w:val="31"/>
          </w:tcPr>
          <w:p>
            <w:pPr>
              <w:spacing w:after="0" w:line="160" w:lineRule="exact"/>
              <w:rPr>
                <w:rFonts w:ascii="Arial" w:cs="Arial" w:eastAsia="Arial" w:hAnsi="Arial"/>
                <w:sz w:val="16"/>
                <w:szCs w:val="16"/>
                <w:color w:val="0000FF"/>
              </w:rPr>
            </w:pPr>
            <w:hyperlink r:id="rId118">
              <w:r>
                <w:rPr>
                  <w:rFonts w:ascii="Arial" w:cs="Arial" w:eastAsia="Arial" w:hAnsi="Arial"/>
                  <w:sz w:val="16"/>
                  <w:szCs w:val="16"/>
                  <w:color w:val="0000FF"/>
                </w:rPr>
                <w:t>parties hereto, entered into on March 8,</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60" w:lineRule="exact"/>
              <w:rPr>
                <w:rFonts w:ascii="Arial" w:cs="Arial" w:eastAsia="Arial" w:hAnsi="Arial"/>
                <w:sz w:val="16"/>
                <w:szCs w:val="16"/>
                <w:color w:val="0000FF"/>
                <w:w w:val="89"/>
              </w:rPr>
            </w:pPr>
            <w:hyperlink r:id="rId118">
              <w:r>
                <w:rPr>
                  <w:rFonts w:ascii="Arial" w:cs="Arial" w:eastAsia="Arial" w:hAnsi="Arial"/>
                  <w:sz w:val="16"/>
                  <w:szCs w:val="16"/>
                  <w:color w:val="0000FF"/>
                  <w:w w:val="89"/>
                </w:rPr>
                <w:t>2025</w:t>
              </w:r>
            </w:hyperlink>
          </w:p>
        </w:tc>
        <w:tc>
          <w:tcPr>
            <w:tcW w:w="2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92"/>
        </w:trPr>
        <w:tc>
          <w:tcPr>
            <w:tcW w:w="760" w:type="dxa"/>
            <w:vAlign w:val="bottom"/>
          </w:tcPr>
          <w:p>
            <w:pPr>
              <w:ind w:left="120"/>
              <w:spacing w:after="0"/>
              <w:rPr>
                <w:sz w:val="20"/>
                <w:szCs w:val="20"/>
                <w:color w:val="auto"/>
              </w:rPr>
            </w:pPr>
            <w:r>
              <w:rPr>
                <w:rFonts w:ascii="Arial" w:cs="Arial" w:eastAsia="Arial" w:hAnsi="Arial"/>
                <w:sz w:val="16"/>
                <w:szCs w:val="16"/>
                <w:color w:val="auto"/>
              </w:rPr>
              <w:t>10.6#</w:t>
            </w:r>
          </w:p>
        </w:tc>
        <w:tc>
          <w:tcPr>
            <w:tcW w:w="2500" w:type="dxa"/>
            <w:vAlign w:val="bottom"/>
            <w:tcBorders>
              <w:bottom w:val="single" w:sz="8" w:color="0000EE"/>
            </w:tcBorders>
            <w:gridSpan w:val="13"/>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Warehouse Agreement, dated as of</w:t>
              </w:r>
            </w:hyperlink>
          </w:p>
        </w:tc>
        <w:tc>
          <w:tcPr>
            <w:tcW w:w="580" w:type="dxa"/>
            <w:vAlign w:val="bottom"/>
            <w:gridSpan w:val="18"/>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ind w:left="2100"/>
              <w:spacing w:after="0"/>
              <w:rPr>
                <w:sz w:val="20"/>
                <w:szCs w:val="20"/>
                <w:color w:val="auto"/>
              </w:rPr>
            </w:pPr>
            <w:r>
              <w:rPr>
                <w:rFonts w:ascii="Arial" w:cs="Arial" w:eastAsia="Arial" w:hAnsi="Arial"/>
                <w:sz w:val="16"/>
                <w:szCs w:val="16"/>
                <w:color w:val="auto"/>
              </w:rPr>
              <w:t>X</w:t>
            </w:r>
          </w:p>
        </w:tc>
      </w:tr>
      <w:tr>
        <w:trPr>
          <w:trHeight w:val="160"/>
        </w:trPr>
        <w:tc>
          <w:tcPr>
            <w:tcW w:w="760" w:type="dxa"/>
            <w:vAlign w:val="bottom"/>
          </w:tcPr>
          <w:p>
            <w:pPr>
              <w:spacing w:after="0"/>
              <w:rPr>
                <w:sz w:val="13"/>
                <w:szCs w:val="13"/>
                <w:color w:val="auto"/>
              </w:rPr>
            </w:pPr>
          </w:p>
        </w:tc>
        <w:tc>
          <w:tcPr>
            <w:tcW w:w="2840" w:type="dxa"/>
            <w:vAlign w:val="bottom"/>
            <w:tcBorders>
              <w:bottom w:val="single" w:sz="8" w:color="0000EE"/>
            </w:tcBorders>
            <w:gridSpan w:val="23"/>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November 18, 2022, by and among VFS</w:t>
              </w:r>
            </w:hyperlink>
          </w:p>
        </w:tc>
        <w:tc>
          <w:tcPr>
            <w:tcW w:w="240" w:type="dxa"/>
            <w:vAlign w:val="bottom"/>
            <w:gridSpan w:val="8"/>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tcBorders>
              <w:bottom w:val="single" w:sz="8" w:color="0000EE"/>
            </w:tcBorders>
            <w:gridSpan w:val="31"/>
          </w:tcPr>
          <w:p>
            <w:pPr>
              <w:spacing w:after="0" w:line="160" w:lineRule="exact"/>
              <w:rPr>
                <w:rFonts w:ascii="Arial" w:cs="Arial" w:eastAsia="Arial" w:hAnsi="Arial"/>
                <w:sz w:val="16"/>
                <w:szCs w:val="16"/>
                <w:color w:val="0000FF"/>
                <w:w w:val="96"/>
              </w:rPr>
            </w:pPr>
            <w:hyperlink w:anchor="page1">
              <w:r>
                <w:rPr>
                  <w:rFonts w:ascii="Arial" w:cs="Arial" w:eastAsia="Arial" w:hAnsi="Arial"/>
                  <w:sz w:val="16"/>
                  <w:szCs w:val="16"/>
                  <w:color w:val="0000FF"/>
                  <w:w w:val="96"/>
                </w:rPr>
                <w:t>Near Prime Trust I, as borrower, United Auto</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460" w:type="dxa"/>
            <w:vAlign w:val="bottom"/>
            <w:tcBorders>
              <w:bottom w:val="single" w:sz="8" w:color="0000EE"/>
            </w:tcBorders>
            <w:gridSpan w:val="12"/>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Credit Corporation, as servicer and</w:t>
              </w:r>
            </w:hyperlink>
          </w:p>
        </w:tc>
        <w:tc>
          <w:tcPr>
            <w:tcW w:w="620" w:type="dxa"/>
            <w:vAlign w:val="bottom"/>
            <w:gridSpan w:val="19"/>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tcBorders>
              <w:bottom w:val="single" w:sz="8" w:color="0000EE"/>
            </w:tcBorders>
            <w:gridSpan w:val="31"/>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custodian, a paying agent, the lender parties</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280" w:type="dxa"/>
            <w:vAlign w:val="bottom"/>
            <w:tcBorders>
              <w:bottom w:val="single" w:sz="8" w:color="0000EE"/>
            </w:tcBorders>
            <w:gridSpan w:val="9"/>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thereto, and Fifth Third, National</w:t>
              </w:r>
            </w:hyperlink>
          </w:p>
        </w:tc>
        <w:tc>
          <w:tcPr>
            <w:tcW w:w="800" w:type="dxa"/>
            <w:vAlign w:val="bottom"/>
            <w:gridSpan w:val="22"/>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780" w:type="dxa"/>
            <w:vAlign w:val="bottom"/>
            <w:tcBorders>
              <w:bottom w:val="single" w:sz="8" w:color="0000EE"/>
            </w:tcBorders>
            <w:gridSpan w:val="21"/>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Association, as administrative agent, as</w:t>
              </w:r>
            </w:hyperlink>
          </w:p>
        </w:tc>
        <w:tc>
          <w:tcPr>
            <w:tcW w:w="300" w:type="dxa"/>
            <w:vAlign w:val="bottom"/>
            <w:gridSpan w:val="10"/>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gridSpan w:val="31"/>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amended on March 28, 2025</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92"/>
        </w:trPr>
        <w:tc>
          <w:tcPr>
            <w:tcW w:w="760" w:type="dxa"/>
            <w:vAlign w:val="bottom"/>
          </w:tcPr>
          <w:p>
            <w:pPr>
              <w:ind w:left="120"/>
              <w:spacing w:after="0"/>
              <w:rPr>
                <w:sz w:val="20"/>
                <w:szCs w:val="20"/>
                <w:color w:val="auto"/>
              </w:rPr>
            </w:pPr>
            <w:r>
              <w:rPr>
                <w:rFonts w:ascii="Arial" w:cs="Arial" w:eastAsia="Arial" w:hAnsi="Arial"/>
                <w:sz w:val="16"/>
                <w:szCs w:val="16"/>
                <w:color w:val="auto"/>
              </w:rPr>
              <w:t>10.7</w:t>
            </w:r>
          </w:p>
        </w:tc>
        <w:tc>
          <w:tcPr>
            <w:tcW w:w="2840" w:type="dxa"/>
            <w:vAlign w:val="bottom"/>
            <w:tcBorders>
              <w:bottom w:val="single" w:sz="8" w:color="0000EE"/>
            </w:tcBorders>
            <w:gridSpan w:val="23"/>
          </w:tcPr>
          <w:p>
            <w:pPr>
              <w:spacing w:after="0"/>
              <w:rPr>
                <w:rFonts w:ascii="Arial" w:cs="Arial" w:eastAsia="Arial" w:hAnsi="Arial"/>
                <w:sz w:val="16"/>
                <w:szCs w:val="16"/>
                <w:color w:val="0000FF"/>
                <w:w w:val="98"/>
              </w:rPr>
            </w:pPr>
            <w:hyperlink r:id="rId119">
              <w:r>
                <w:rPr>
                  <w:rFonts w:ascii="Arial" w:cs="Arial" w:eastAsia="Arial" w:hAnsi="Arial"/>
                  <w:sz w:val="16"/>
                  <w:szCs w:val="16"/>
                  <w:color w:val="0000FF"/>
                  <w:w w:val="98"/>
                </w:rPr>
                <w:t>Letter Agreement, dated as of March 19,</w:t>
              </w:r>
            </w:hyperlink>
          </w:p>
        </w:tc>
        <w:tc>
          <w:tcPr>
            <w:tcW w:w="240" w:type="dxa"/>
            <w:vAlign w:val="bottom"/>
            <w:gridSpan w:val="8"/>
          </w:tcPr>
          <w:p>
            <w:pPr>
              <w:spacing w:after="0"/>
              <w:rPr>
                <w:sz w:val="24"/>
                <w:szCs w:val="24"/>
                <w:color w:val="auto"/>
              </w:rPr>
            </w:pPr>
          </w:p>
        </w:tc>
        <w:tc>
          <w:tcPr>
            <w:tcW w:w="1000" w:type="dxa"/>
            <w:vAlign w:val="bottom"/>
          </w:tcPr>
          <w:p>
            <w:pPr>
              <w:jc w:val="center"/>
              <w:ind w:left="62"/>
              <w:spacing w:after="0"/>
              <w:rPr>
                <w:sz w:val="20"/>
                <w:szCs w:val="20"/>
                <w:color w:val="auto"/>
              </w:rPr>
            </w:pPr>
            <w:r>
              <w:rPr>
                <w:rFonts w:ascii="Arial" w:cs="Arial" w:eastAsia="Arial" w:hAnsi="Arial"/>
                <w:sz w:val="16"/>
                <w:szCs w:val="16"/>
                <w:color w:val="auto"/>
                <w:w w:val="94"/>
              </w:rPr>
              <w:t>S-1/A</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333-286032</w:t>
            </w:r>
          </w:p>
        </w:tc>
        <w:tc>
          <w:tcPr>
            <w:tcW w:w="920" w:type="dxa"/>
            <w:vAlign w:val="bottom"/>
          </w:tcPr>
          <w:p>
            <w:pPr>
              <w:jc w:val="right"/>
              <w:ind w:right="202"/>
              <w:spacing w:after="0"/>
              <w:rPr>
                <w:sz w:val="20"/>
                <w:szCs w:val="20"/>
                <w:color w:val="auto"/>
              </w:rPr>
            </w:pPr>
            <w:r>
              <w:rPr>
                <w:rFonts w:ascii="Arial" w:cs="Arial" w:eastAsia="Arial" w:hAnsi="Arial"/>
                <w:sz w:val="16"/>
                <w:szCs w:val="16"/>
                <w:color w:val="auto"/>
              </w:rPr>
              <w:t>10.25</w:t>
            </w:r>
          </w:p>
        </w:tc>
        <w:tc>
          <w:tcPr>
            <w:tcW w:w="3520" w:type="dxa"/>
            <w:vAlign w:val="bottom"/>
          </w:tcPr>
          <w:p>
            <w:pPr>
              <w:ind w:left="300"/>
              <w:spacing w:after="0"/>
              <w:rPr>
                <w:sz w:val="20"/>
                <w:szCs w:val="20"/>
                <w:color w:val="auto"/>
              </w:rPr>
            </w:pPr>
            <w:r>
              <w:rPr>
                <w:rFonts w:ascii="Arial" w:cs="Arial" w:eastAsia="Arial" w:hAnsi="Arial"/>
                <w:sz w:val="16"/>
                <w:szCs w:val="16"/>
                <w:color w:val="auto"/>
              </w:rPr>
              <w:t>March 26, 2025</w:t>
            </w:r>
          </w:p>
        </w:tc>
      </w:tr>
      <w:tr>
        <w:trPr>
          <w:trHeight w:val="160"/>
        </w:trPr>
        <w:tc>
          <w:tcPr>
            <w:tcW w:w="760" w:type="dxa"/>
            <w:vAlign w:val="bottom"/>
          </w:tcPr>
          <w:p>
            <w:pPr>
              <w:spacing w:after="0"/>
              <w:rPr>
                <w:sz w:val="13"/>
                <w:szCs w:val="13"/>
                <w:color w:val="auto"/>
              </w:rPr>
            </w:pPr>
          </w:p>
        </w:tc>
        <w:tc>
          <w:tcPr>
            <w:tcW w:w="2960" w:type="dxa"/>
            <w:vAlign w:val="bottom"/>
            <w:tcBorders>
              <w:bottom w:val="single" w:sz="8" w:color="0000EE"/>
            </w:tcBorders>
            <w:gridSpan w:val="26"/>
          </w:tcPr>
          <w:p>
            <w:pPr>
              <w:spacing w:after="0" w:line="160" w:lineRule="exact"/>
              <w:rPr>
                <w:rFonts w:ascii="Arial" w:cs="Arial" w:eastAsia="Arial" w:hAnsi="Arial"/>
                <w:sz w:val="16"/>
                <w:szCs w:val="16"/>
                <w:color w:val="0000FF"/>
                <w:w w:val="98"/>
              </w:rPr>
            </w:pPr>
            <w:hyperlink r:id="rId119">
              <w:r>
                <w:rPr>
                  <w:rFonts w:ascii="Arial" w:cs="Arial" w:eastAsia="Arial" w:hAnsi="Arial"/>
                  <w:sz w:val="16"/>
                  <w:szCs w:val="16"/>
                  <w:color w:val="0000FF"/>
                  <w:w w:val="98"/>
                </w:rPr>
                <w:t>2025, by and between Thomas Shortt and</w:t>
              </w:r>
            </w:hyperlink>
          </w:p>
        </w:tc>
        <w:tc>
          <w:tcPr>
            <w:tcW w:w="12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gridSpan w:val="31"/>
          </w:tcPr>
          <w:p>
            <w:pPr>
              <w:spacing w:after="0" w:line="160" w:lineRule="exact"/>
              <w:rPr>
                <w:rFonts w:ascii="Arial" w:cs="Arial" w:eastAsia="Arial" w:hAnsi="Arial"/>
                <w:sz w:val="16"/>
                <w:szCs w:val="16"/>
                <w:color w:val="0000FF"/>
              </w:rPr>
            </w:pPr>
            <w:hyperlink r:id="rId119">
              <w:r>
                <w:rPr>
                  <w:rFonts w:ascii="Arial" w:cs="Arial" w:eastAsia="Arial" w:hAnsi="Arial"/>
                  <w:sz w:val="16"/>
                  <w:szCs w:val="16"/>
                  <w:color w:val="0000FF"/>
                </w:rPr>
                <w:t>Vroom, Inc.</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92"/>
        </w:trPr>
        <w:tc>
          <w:tcPr>
            <w:tcW w:w="760" w:type="dxa"/>
            <w:vAlign w:val="bottom"/>
          </w:tcPr>
          <w:p>
            <w:pPr>
              <w:ind w:left="120"/>
              <w:spacing w:after="0"/>
              <w:rPr>
                <w:sz w:val="20"/>
                <w:szCs w:val="20"/>
                <w:color w:val="auto"/>
              </w:rPr>
            </w:pPr>
            <w:r>
              <w:rPr>
                <w:rFonts w:ascii="Arial" w:cs="Arial" w:eastAsia="Arial" w:hAnsi="Arial"/>
                <w:sz w:val="16"/>
                <w:szCs w:val="16"/>
                <w:color w:val="auto"/>
              </w:rPr>
              <w:t>10.8</w:t>
            </w:r>
          </w:p>
        </w:tc>
        <w:tc>
          <w:tcPr>
            <w:tcW w:w="2640" w:type="dxa"/>
            <w:vAlign w:val="bottom"/>
            <w:tcBorders>
              <w:bottom w:val="single" w:sz="8" w:color="0000EE"/>
            </w:tcBorders>
            <w:gridSpan w:val="17"/>
          </w:tcPr>
          <w:p>
            <w:pPr>
              <w:spacing w:after="0"/>
              <w:rPr>
                <w:rFonts w:ascii="Arial" w:cs="Arial" w:eastAsia="Arial" w:hAnsi="Arial"/>
                <w:sz w:val="16"/>
                <w:szCs w:val="16"/>
                <w:color w:val="0000FF"/>
                <w:w w:val="97"/>
              </w:rPr>
            </w:pPr>
            <w:hyperlink w:anchor="page1">
              <w:r>
                <w:rPr>
                  <w:rFonts w:ascii="Arial" w:cs="Arial" w:eastAsia="Arial" w:hAnsi="Arial"/>
                  <w:sz w:val="16"/>
                  <w:szCs w:val="16"/>
                  <w:color w:val="0000FF"/>
                  <w:w w:val="97"/>
                </w:rPr>
                <w:t>Purchase Agreement by and between</w:t>
              </w:r>
            </w:hyperlink>
          </w:p>
        </w:tc>
        <w:tc>
          <w:tcPr>
            <w:tcW w:w="440" w:type="dxa"/>
            <w:vAlign w:val="bottom"/>
            <w:gridSpan w:val="14"/>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ind w:left="2100"/>
              <w:spacing w:after="0"/>
              <w:rPr>
                <w:sz w:val="20"/>
                <w:szCs w:val="20"/>
                <w:color w:val="auto"/>
              </w:rPr>
            </w:pPr>
            <w:r>
              <w:rPr>
                <w:rFonts w:ascii="Arial" w:cs="Arial" w:eastAsia="Arial" w:hAnsi="Arial"/>
                <w:sz w:val="16"/>
                <w:szCs w:val="16"/>
                <w:color w:val="auto"/>
              </w:rPr>
              <w:t>X</w:t>
            </w:r>
          </w:p>
        </w:tc>
      </w:tr>
      <w:tr>
        <w:trPr>
          <w:trHeight w:val="160"/>
        </w:trPr>
        <w:tc>
          <w:tcPr>
            <w:tcW w:w="760" w:type="dxa"/>
            <w:vAlign w:val="bottom"/>
          </w:tcPr>
          <w:p>
            <w:pPr>
              <w:spacing w:after="0"/>
              <w:rPr>
                <w:sz w:val="13"/>
                <w:szCs w:val="13"/>
                <w:color w:val="auto"/>
              </w:rPr>
            </w:pPr>
          </w:p>
        </w:tc>
        <w:tc>
          <w:tcPr>
            <w:tcW w:w="2600" w:type="dxa"/>
            <w:vAlign w:val="bottom"/>
            <w:tcBorders>
              <w:bottom w:val="single" w:sz="8" w:color="0000EE"/>
            </w:tcBorders>
            <w:gridSpan w:val="16"/>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United Auto Credit Financing LLC, as</w:t>
              </w:r>
            </w:hyperlink>
          </w:p>
        </w:tc>
        <w:tc>
          <w:tcPr>
            <w:tcW w:w="480" w:type="dxa"/>
            <w:vAlign w:val="bottom"/>
            <w:gridSpan w:val="15"/>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400" w:type="dxa"/>
            <w:vAlign w:val="bottom"/>
            <w:tcBorders>
              <w:bottom w:val="single" w:sz="8" w:color="0000EE"/>
            </w:tcBorders>
            <w:gridSpan w:val="10"/>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purchaser, and United Auto Credit</w:t>
              </w:r>
            </w:hyperlink>
          </w:p>
        </w:tc>
        <w:tc>
          <w:tcPr>
            <w:tcW w:w="680" w:type="dxa"/>
            <w:vAlign w:val="bottom"/>
            <w:gridSpan w:val="21"/>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gridSpan w:val="31"/>
          </w:tcPr>
          <w:p>
            <w:pPr>
              <w:spacing w:after="0" w:line="160" w:lineRule="exact"/>
              <w:rPr>
                <w:rFonts w:ascii="Arial" w:cs="Arial" w:eastAsia="Arial" w:hAnsi="Arial"/>
                <w:sz w:val="16"/>
                <w:szCs w:val="16"/>
                <w:color w:val="0000FF"/>
                <w:w w:val="99"/>
              </w:rPr>
            </w:pPr>
            <w:hyperlink w:anchor="page1">
              <w:r>
                <w:rPr>
                  <w:rFonts w:ascii="Arial" w:cs="Arial" w:eastAsia="Arial" w:hAnsi="Arial"/>
                  <w:sz w:val="16"/>
                  <w:szCs w:val="16"/>
                  <w:color w:val="0000FF"/>
                  <w:w w:val="99"/>
                </w:rPr>
                <w:t>Corporation, as seller, dated as of February</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600" w:type="dxa"/>
            <w:vAlign w:val="bottom"/>
            <w:tcBorders>
              <w:top w:val="single" w:sz="8" w:color="0000EE"/>
              <w:bottom w:val="single" w:sz="8" w:color="0000EE"/>
            </w:tcBorders>
            <w:gridSpan w:val="2"/>
          </w:tcPr>
          <w:p>
            <w:pPr>
              <w:spacing w:after="0" w:line="160" w:lineRule="exact"/>
              <w:rPr>
                <w:rFonts w:ascii="Arial" w:cs="Arial" w:eastAsia="Arial" w:hAnsi="Arial"/>
                <w:sz w:val="16"/>
                <w:szCs w:val="16"/>
                <w:color w:val="0000FF"/>
                <w:w w:val="93"/>
              </w:rPr>
            </w:pPr>
            <w:hyperlink w:anchor="page1">
              <w:r>
                <w:rPr>
                  <w:rFonts w:ascii="Arial" w:cs="Arial" w:eastAsia="Arial" w:hAnsi="Arial"/>
                  <w:sz w:val="16"/>
                  <w:szCs w:val="16"/>
                  <w:color w:val="0000FF"/>
                  <w:w w:val="93"/>
                </w:rPr>
                <w:t>28, 2025</w:t>
              </w:r>
            </w:hyperlink>
          </w:p>
        </w:tc>
        <w:tc>
          <w:tcPr>
            <w:tcW w:w="18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92"/>
        </w:trPr>
        <w:tc>
          <w:tcPr>
            <w:tcW w:w="760" w:type="dxa"/>
            <w:vAlign w:val="bottom"/>
          </w:tcPr>
          <w:p>
            <w:pPr>
              <w:ind w:left="120"/>
              <w:spacing w:after="0"/>
              <w:rPr>
                <w:sz w:val="20"/>
                <w:szCs w:val="20"/>
                <w:color w:val="auto"/>
              </w:rPr>
            </w:pPr>
            <w:r>
              <w:rPr>
                <w:rFonts w:ascii="Arial" w:cs="Arial" w:eastAsia="Arial" w:hAnsi="Arial"/>
                <w:sz w:val="16"/>
                <w:szCs w:val="16"/>
                <w:color w:val="auto"/>
              </w:rPr>
              <w:t>10.9#</w:t>
            </w:r>
          </w:p>
        </w:tc>
        <w:tc>
          <w:tcPr>
            <w:tcW w:w="3080" w:type="dxa"/>
            <w:vAlign w:val="bottom"/>
            <w:tcBorders>
              <w:bottom w:val="single" w:sz="8" w:color="0000EE"/>
            </w:tcBorders>
            <w:gridSpan w:val="31"/>
          </w:tcPr>
          <w:p>
            <w:pPr>
              <w:spacing w:after="0"/>
              <w:rPr>
                <w:rFonts w:ascii="Arial" w:cs="Arial" w:eastAsia="Arial" w:hAnsi="Arial"/>
                <w:sz w:val="16"/>
                <w:szCs w:val="16"/>
                <w:color w:val="0000FF"/>
                <w:w w:val="96"/>
              </w:rPr>
            </w:pPr>
            <w:hyperlink w:anchor="page1">
              <w:r>
                <w:rPr>
                  <w:rFonts w:ascii="Arial" w:cs="Arial" w:eastAsia="Arial" w:hAnsi="Arial"/>
                  <w:sz w:val="16"/>
                  <w:szCs w:val="16"/>
                  <w:color w:val="0000FF"/>
                  <w:w w:val="96"/>
                </w:rPr>
                <w:t>Indenture, dated as of February 28, 2025, by</w:t>
              </w:r>
            </w:hyperlink>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ind w:left="2100"/>
              <w:spacing w:after="0"/>
              <w:rPr>
                <w:sz w:val="20"/>
                <w:szCs w:val="20"/>
                <w:color w:val="auto"/>
              </w:rPr>
            </w:pPr>
            <w:r>
              <w:rPr>
                <w:rFonts w:ascii="Arial" w:cs="Arial" w:eastAsia="Arial" w:hAnsi="Arial"/>
                <w:sz w:val="16"/>
                <w:szCs w:val="16"/>
                <w:color w:val="auto"/>
              </w:rPr>
              <w:t>X</w:t>
            </w:r>
          </w:p>
        </w:tc>
      </w:tr>
      <w:tr>
        <w:trPr>
          <w:trHeight w:val="160"/>
        </w:trPr>
        <w:tc>
          <w:tcPr>
            <w:tcW w:w="760" w:type="dxa"/>
            <w:vAlign w:val="bottom"/>
          </w:tcPr>
          <w:p>
            <w:pPr>
              <w:spacing w:after="0"/>
              <w:rPr>
                <w:sz w:val="13"/>
                <w:szCs w:val="13"/>
                <w:color w:val="auto"/>
              </w:rPr>
            </w:pPr>
          </w:p>
        </w:tc>
        <w:tc>
          <w:tcPr>
            <w:tcW w:w="2240" w:type="dxa"/>
            <w:vAlign w:val="bottom"/>
            <w:tcBorders>
              <w:bottom w:val="single" w:sz="8" w:color="0000EE"/>
            </w:tcBorders>
            <w:gridSpan w:val="8"/>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and between United Auto Credit</w:t>
              </w:r>
            </w:hyperlink>
          </w:p>
        </w:tc>
        <w:tc>
          <w:tcPr>
            <w:tcW w:w="840" w:type="dxa"/>
            <w:vAlign w:val="bottom"/>
            <w:gridSpan w:val="23"/>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200" w:type="dxa"/>
            <w:vAlign w:val="bottom"/>
            <w:tcBorders>
              <w:bottom w:val="single" w:sz="8" w:color="0000EE"/>
            </w:tcBorders>
            <w:gridSpan w:val="7"/>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Securitization Trust 2025-1 and</w:t>
              </w:r>
            </w:hyperlink>
          </w:p>
        </w:tc>
        <w:tc>
          <w:tcPr>
            <w:tcW w:w="880" w:type="dxa"/>
            <w:vAlign w:val="bottom"/>
            <w:gridSpan w:val="24"/>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gridSpan w:val="31"/>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Computershare Trust Company, N.A.</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92"/>
        </w:trPr>
        <w:tc>
          <w:tcPr>
            <w:tcW w:w="760" w:type="dxa"/>
            <w:vAlign w:val="bottom"/>
          </w:tcPr>
          <w:p>
            <w:pPr>
              <w:ind w:left="120"/>
              <w:spacing w:after="0"/>
              <w:rPr>
                <w:sz w:val="20"/>
                <w:szCs w:val="20"/>
                <w:color w:val="auto"/>
              </w:rPr>
            </w:pPr>
            <w:r>
              <w:rPr>
                <w:rFonts w:ascii="Arial" w:cs="Arial" w:eastAsia="Arial" w:hAnsi="Arial"/>
                <w:sz w:val="16"/>
                <w:szCs w:val="16"/>
                <w:color w:val="auto"/>
              </w:rPr>
              <w:t>10.10#</w:t>
            </w:r>
          </w:p>
        </w:tc>
        <w:tc>
          <w:tcPr>
            <w:tcW w:w="3080" w:type="dxa"/>
            <w:vAlign w:val="bottom"/>
            <w:tcBorders>
              <w:bottom w:val="single" w:sz="8" w:color="0000EE"/>
            </w:tcBorders>
            <w:gridSpan w:val="31"/>
          </w:tcPr>
          <w:p>
            <w:pPr>
              <w:spacing w:after="0"/>
              <w:rPr>
                <w:rFonts w:ascii="Arial" w:cs="Arial" w:eastAsia="Arial" w:hAnsi="Arial"/>
                <w:sz w:val="16"/>
                <w:szCs w:val="16"/>
                <w:color w:val="0000FF"/>
                <w:w w:val="97"/>
              </w:rPr>
            </w:pPr>
            <w:hyperlink w:anchor="page1">
              <w:r>
                <w:rPr>
                  <w:rFonts w:ascii="Arial" w:cs="Arial" w:eastAsia="Arial" w:hAnsi="Arial"/>
                  <w:sz w:val="16"/>
                  <w:szCs w:val="16"/>
                  <w:color w:val="0000FF"/>
                  <w:w w:val="97"/>
                </w:rPr>
                <w:t>Amended and Restated Trust Agreement by</w:t>
              </w:r>
            </w:hyperlink>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ind w:left="2100"/>
              <w:spacing w:after="0"/>
              <w:rPr>
                <w:sz w:val="20"/>
                <w:szCs w:val="20"/>
                <w:color w:val="auto"/>
              </w:rPr>
            </w:pPr>
            <w:r>
              <w:rPr>
                <w:rFonts w:ascii="Arial" w:cs="Arial" w:eastAsia="Arial" w:hAnsi="Arial"/>
                <w:sz w:val="16"/>
                <w:szCs w:val="16"/>
                <w:color w:val="auto"/>
              </w:rPr>
              <w:t>X</w:t>
            </w:r>
          </w:p>
        </w:tc>
      </w:tr>
      <w:tr>
        <w:trPr>
          <w:trHeight w:val="160"/>
        </w:trPr>
        <w:tc>
          <w:tcPr>
            <w:tcW w:w="760" w:type="dxa"/>
            <w:vAlign w:val="bottom"/>
          </w:tcPr>
          <w:p>
            <w:pPr>
              <w:spacing w:after="0"/>
              <w:rPr>
                <w:sz w:val="13"/>
                <w:szCs w:val="13"/>
                <w:color w:val="auto"/>
              </w:rPr>
            </w:pPr>
          </w:p>
        </w:tc>
        <w:tc>
          <w:tcPr>
            <w:tcW w:w="2980" w:type="dxa"/>
            <w:vAlign w:val="bottom"/>
            <w:tcBorders>
              <w:bottom w:val="single" w:sz="8" w:color="0000EE"/>
            </w:tcBorders>
            <w:gridSpan w:val="27"/>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and among United Auto Financing LLC, as</w:t>
              </w:r>
            </w:hyperlink>
          </w:p>
        </w:tc>
        <w:tc>
          <w:tcPr>
            <w:tcW w:w="100" w:type="dxa"/>
            <w:vAlign w:val="bottom"/>
            <w:gridSpan w:val="4"/>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00" w:type="dxa"/>
            <w:vAlign w:val="bottom"/>
            <w:tcBorders>
              <w:bottom w:val="single" w:sz="8" w:color="0000EE"/>
            </w:tcBorders>
            <w:gridSpan w:val="28"/>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depositor, Computershare Trust Company,</w:t>
              </w:r>
            </w:hyperlink>
          </w:p>
        </w:tc>
        <w:tc>
          <w:tcPr>
            <w:tcW w:w="80" w:type="dxa"/>
            <w:vAlign w:val="bottom"/>
            <w:gridSpan w:val="3"/>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940" w:type="dxa"/>
            <w:vAlign w:val="bottom"/>
            <w:tcBorders>
              <w:bottom w:val="single" w:sz="8" w:color="0000EE"/>
            </w:tcBorders>
            <w:gridSpan w:val="25"/>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N.A., as certificate registrar and certificate</w:t>
              </w:r>
            </w:hyperlink>
          </w:p>
        </w:tc>
        <w:tc>
          <w:tcPr>
            <w:tcW w:w="140" w:type="dxa"/>
            <w:vAlign w:val="bottom"/>
            <w:gridSpan w:val="6"/>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tcBorders>
              <w:bottom w:val="single" w:sz="8" w:color="0000EE"/>
            </w:tcBorders>
            <w:gridSpan w:val="31"/>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paying agent, and Computershare Delaware</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20" w:type="dxa"/>
            <w:vAlign w:val="bottom"/>
            <w:tcBorders>
              <w:bottom w:val="single" w:sz="8" w:color="0000EE"/>
            </w:tcBorders>
            <w:gridSpan w:val="29"/>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Trust Company, as owner trustee, dated as</w:t>
              </w:r>
            </w:hyperlink>
          </w:p>
        </w:tc>
        <w:tc>
          <w:tcPr>
            <w:tcW w:w="6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1440" w:type="dxa"/>
            <w:vAlign w:val="bottom"/>
            <w:tcBorders>
              <w:bottom w:val="single" w:sz="8" w:color="0000EE"/>
            </w:tcBorders>
            <w:gridSpan w:val="4"/>
          </w:tcPr>
          <w:p>
            <w:pPr>
              <w:spacing w:after="0" w:line="160" w:lineRule="exact"/>
              <w:rPr>
                <w:rFonts w:ascii="Arial" w:cs="Arial" w:eastAsia="Arial" w:hAnsi="Arial"/>
                <w:sz w:val="16"/>
                <w:szCs w:val="16"/>
                <w:color w:val="0000FF"/>
                <w:w w:val="95"/>
              </w:rPr>
            </w:pPr>
            <w:hyperlink w:anchor="page1">
              <w:r>
                <w:rPr>
                  <w:rFonts w:ascii="Arial" w:cs="Arial" w:eastAsia="Arial" w:hAnsi="Arial"/>
                  <w:sz w:val="16"/>
                  <w:szCs w:val="16"/>
                  <w:color w:val="0000FF"/>
                  <w:w w:val="95"/>
                </w:rPr>
                <w:t>of February 28, 2025</w:t>
              </w:r>
            </w:hyperlink>
          </w:p>
        </w:tc>
        <w:tc>
          <w:tcPr>
            <w:tcW w:w="1640" w:type="dxa"/>
            <w:vAlign w:val="bottom"/>
            <w:gridSpan w:val="27"/>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92"/>
        </w:trPr>
        <w:tc>
          <w:tcPr>
            <w:tcW w:w="760" w:type="dxa"/>
            <w:vAlign w:val="bottom"/>
          </w:tcPr>
          <w:p>
            <w:pPr>
              <w:ind w:left="120"/>
              <w:spacing w:after="0"/>
              <w:rPr>
                <w:sz w:val="20"/>
                <w:szCs w:val="20"/>
                <w:color w:val="auto"/>
              </w:rPr>
            </w:pPr>
            <w:r>
              <w:rPr>
                <w:rFonts w:ascii="Arial" w:cs="Arial" w:eastAsia="Arial" w:hAnsi="Arial"/>
                <w:sz w:val="16"/>
                <w:szCs w:val="16"/>
                <w:color w:val="auto"/>
              </w:rPr>
              <w:t>10.11</w:t>
            </w:r>
          </w:p>
        </w:tc>
        <w:tc>
          <w:tcPr>
            <w:tcW w:w="2700" w:type="dxa"/>
            <w:vAlign w:val="bottom"/>
            <w:tcBorders>
              <w:bottom w:val="single" w:sz="8" w:color="0000EE"/>
            </w:tcBorders>
            <w:gridSpan w:val="19"/>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Custodian Agreement by and between</w:t>
              </w:r>
            </w:hyperlink>
          </w:p>
        </w:tc>
        <w:tc>
          <w:tcPr>
            <w:tcW w:w="38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ind w:left="2100"/>
              <w:spacing w:after="0"/>
              <w:rPr>
                <w:sz w:val="20"/>
                <w:szCs w:val="20"/>
                <w:color w:val="auto"/>
              </w:rPr>
            </w:pPr>
            <w:r>
              <w:rPr>
                <w:rFonts w:ascii="Arial" w:cs="Arial" w:eastAsia="Arial" w:hAnsi="Arial"/>
                <w:sz w:val="16"/>
                <w:szCs w:val="16"/>
                <w:color w:val="auto"/>
              </w:rPr>
              <w:t>X</w:t>
            </w:r>
          </w:p>
        </w:tc>
      </w:tr>
      <w:tr>
        <w:trPr>
          <w:trHeight w:val="160"/>
        </w:trPr>
        <w:tc>
          <w:tcPr>
            <w:tcW w:w="760" w:type="dxa"/>
            <w:vAlign w:val="bottom"/>
          </w:tcPr>
          <w:p>
            <w:pPr>
              <w:spacing w:after="0"/>
              <w:rPr>
                <w:sz w:val="13"/>
                <w:szCs w:val="13"/>
                <w:color w:val="auto"/>
              </w:rPr>
            </w:pPr>
          </w:p>
        </w:tc>
        <w:tc>
          <w:tcPr>
            <w:tcW w:w="2420" w:type="dxa"/>
            <w:vAlign w:val="bottom"/>
            <w:tcBorders>
              <w:bottom w:val="single" w:sz="8" w:color="0000EE"/>
            </w:tcBorders>
            <w:gridSpan w:val="11"/>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United Auto Credit Corporation, as</w:t>
              </w:r>
            </w:hyperlink>
          </w:p>
        </w:tc>
        <w:tc>
          <w:tcPr>
            <w:tcW w:w="660" w:type="dxa"/>
            <w:vAlign w:val="bottom"/>
            <w:gridSpan w:val="20"/>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2580" w:type="dxa"/>
            <w:vAlign w:val="bottom"/>
            <w:tcBorders>
              <w:bottom w:val="single" w:sz="8" w:color="0000EE"/>
            </w:tcBorders>
            <w:gridSpan w:val="15"/>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custodian, and Computershare Trust</w:t>
              </w:r>
            </w:hyperlink>
          </w:p>
        </w:tc>
        <w:tc>
          <w:tcPr>
            <w:tcW w:w="500" w:type="dxa"/>
            <w:vAlign w:val="bottom"/>
            <w:gridSpan w:val="16"/>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40" w:type="dxa"/>
            <w:vAlign w:val="bottom"/>
            <w:tcBorders>
              <w:bottom w:val="single" w:sz="8" w:color="0000EE"/>
            </w:tcBorders>
            <w:gridSpan w:val="30"/>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Company, N.A., as indenture trustee, dated</w:t>
              </w:r>
            </w:hyperlink>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gridSpan w:val="31"/>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as of February 28, 2025</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020" w:type="dxa"/>
            <w:vAlign w:val="bottom"/>
            <w:gridSpan w:val="13"/>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92"/>
        </w:trPr>
        <w:tc>
          <w:tcPr>
            <w:tcW w:w="760" w:type="dxa"/>
            <w:vAlign w:val="bottom"/>
          </w:tcPr>
          <w:p>
            <w:pPr>
              <w:ind w:left="120"/>
              <w:spacing w:after="0"/>
              <w:rPr>
                <w:sz w:val="20"/>
                <w:szCs w:val="20"/>
                <w:color w:val="auto"/>
              </w:rPr>
            </w:pPr>
            <w:r>
              <w:rPr>
                <w:rFonts w:ascii="Arial" w:cs="Arial" w:eastAsia="Arial" w:hAnsi="Arial"/>
                <w:sz w:val="16"/>
                <w:szCs w:val="16"/>
                <w:color w:val="auto"/>
              </w:rPr>
              <w:t>10.12#</w:t>
            </w:r>
          </w:p>
        </w:tc>
        <w:tc>
          <w:tcPr>
            <w:tcW w:w="2660" w:type="dxa"/>
            <w:vAlign w:val="bottom"/>
            <w:tcBorders>
              <w:bottom w:val="single" w:sz="8" w:color="0000EE"/>
            </w:tcBorders>
            <w:gridSpan w:val="18"/>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Sale and Servicing Agreement by and</w:t>
              </w:r>
            </w:hyperlink>
          </w:p>
        </w:tc>
        <w:tc>
          <w:tcPr>
            <w:tcW w:w="420" w:type="dxa"/>
            <w:vAlign w:val="bottom"/>
            <w:gridSpan w:val="13"/>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ind w:left="2100"/>
              <w:spacing w:after="0"/>
              <w:rPr>
                <w:sz w:val="20"/>
                <w:szCs w:val="20"/>
                <w:color w:val="auto"/>
              </w:rPr>
            </w:pPr>
            <w:r>
              <w:rPr>
                <w:rFonts w:ascii="Arial" w:cs="Arial" w:eastAsia="Arial" w:hAnsi="Arial"/>
                <w:sz w:val="16"/>
                <w:szCs w:val="16"/>
                <w:color w:val="auto"/>
              </w:rPr>
              <w:t>X</w:t>
            </w:r>
          </w:p>
        </w:tc>
      </w:tr>
      <w:tr>
        <w:trPr>
          <w:trHeight w:val="160"/>
        </w:trPr>
        <w:tc>
          <w:tcPr>
            <w:tcW w:w="760" w:type="dxa"/>
            <w:vAlign w:val="bottom"/>
          </w:tcPr>
          <w:p>
            <w:pPr>
              <w:spacing w:after="0"/>
              <w:rPr>
                <w:sz w:val="13"/>
                <w:szCs w:val="13"/>
                <w:color w:val="auto"/>
              </w:rPr>
            </w:pPr>
          </w:p>
        </w:tc>
        <w:tc>
          <w:tcPr>
            <w:tcW w:w="2820" w:type="dxa"/>
            <w:vAlign w:val="bottom"/>
            <w:tcBorders>
              <w:bottom w:val="single" w:sz="8" w:color="0000EE"/>
            </w:tcBorders>
            <w:gridSpan w:val="22"/>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among United Auto Credit Securitization</w:t>
              </w:r>
            </w:hyperlink>
          </w:p>
        </w:tc>
        <w:tc>
          <w:tcPr>
            <w:tcW w:w="260" w:type="dxa"/>
            <w:vAlign w:val="bottom"/>
            <w:gridSpan w:val="9"/>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60"/>
        </w:trPr>
        <w:tc>
          <w:tcPr>
            <w:tcW w:w="760" w:type="dxa"/>
            <w:vAlign w:val="bottom"/>
          </w:tcPr>
          <w:p>
            <w:pPr>
              <w:spacing w:after="0"/>
              <w:rPr>
                <w:sz w:val="13"/>
                <w:szCs w:val="13"/>
                <w:color w:val="auto"/>
              </w:rPr>
            </w:pPr>
          </w:p>
        </w:tc>
        <w:tc>
          <w:tcPr>
            <w:tcW w:w="3080" w:type="dxa"/>
            <w:vAlign w:val="bottom"/>
            <w:gridSpan w:val="31"/>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Trust 2025-1, as issuer, United Auto Credit</w:t>
              </w:r>
            </w:hyperlink>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378"/>
        </w:trPr>
        <w:tc>
          <w:tcPr>
            <w:tcW w:w="7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662"/>
              <w:spacing w:after="0"/>
              <w:rPr>
                <w:sz w:val="20"/>
                <w:szCs w:val="20"/>
                <w:color w:val="auto"/>
              </w:rPr>
            </w:pPr>
            <w:r>
              <w:rPr>
                <w:rFonts w:ascii="Arial" w:cs="Arial" w:eastAsia="Arial" w:hAnsi="Arial"/>
                <w:sz w:val="16"/>
                <w:szCs w:val="16"/>
                <w:color w:val="auto"/>
              </w:rPr>
              <w:t>81</w:t>
            </w:r>
          </w:p>
        </w:tc>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670"/>
        </w:trPr>
        <w:tc>
          <w:tcPr>
            <w:tcW w:w="7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3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-4618355</wp:posOffset>
            </wp:positionV>
            <wp:extent cx="76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1" w:name="page82"/>
    <w:bookmarkEnd w:id="8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Financing LLC, as depositor, United Auto</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Credit Corporation, as servicer, and</w:t>
      </w:r>
    </w:p>
    <w:p>
      <w:pPr>
        <w:ind w:left="760"/>
        <w:spacing w:after="0" w:line="234" w:lineRule="auto"/>
        <w:rPr>
          <w:sz w:val="20"/>
          <w:szCs w:val="20"/>
          <w:color w:val="auto"/>
        </w:rPr>
      </w:pPr>
      <w:r>
        <w:rPr>
          <w:rFonts w:ascii="Arial" w:cs="Arial" w:eastAsia="Arial" w:hAnsi="Arial"/>
          <w:sz w:val="16"/>
          <w:szCs w:val="16"/>
          <w:color w:val="auto"/>
        </w:rPr>
        <w:t>Computershare Trust Company, N.A., as</w:t>
      </w:r>
    </w:p>
    <w:p>
      <w:pPr>
        <w:ind w:left="760"/>
        <w:spacing w:after="0" w:line="235" w:lineRule="auto"/>
        <w:rPr>
          <w:sz w:val="20"/>
          <w:szCs w:val="20"/>
          <w:color w:val="auto"/>
        </w:rPr>
      </w:pPr>
      <w:r>
        <w:rPr>
          <w:rFonts w:ascii="Arial" w:cs="Arial" w:eastAsia="Arial" w:hAnsi="Arial"/>
          <w:sz w:val="16"/>
          <w:szCs w:val="16"/>
          <w:color w:val="auto"/>
        </w:rPr>
        <w:t>backup servicer and indenture trustee, dated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February 28, 2025</w:t>
      </w:r>
    </w:p>
    <w:p>
      <w:pPr>
        <w:spacing w:after="0" w:line="114" w:lineRule="exact"/>
        <w:rPr>
          <w:sz w:val="20"/>
          <w:szCs w:val="20"/>
          <w:color w:val="auto"/>
        </w:rPr>
      </w:pPr>
    </w:p>
    <w:p>
      <w:pPr>
        <w:ind w:left="120"/>
        <w:spacing w:after="0"/>
        <w:tabs>
          <w:tab w:leader="none" w:pos="740" w:val="left"/>
        </w:tabs>
        <w:rPr>
          <w:rFonts w:ascii="Arial" w:cs="Arial" w:eastAsia="Arial" w:hAnsi="Arial"/>
          <w:sz w:val="14"/>
          <w:szCs w:val="14"/>
          <w:color w:val="0000FF"/>
        </w:rPr>
      </w:pPr>
      <w:r>
        <w:rPr>
          <w:rFonts w:ascii="Arial" w:cs="Arial" w:eastAsia="Arial" w:hAnsi="Arial"/>
          <w:sz w:val="16"/>
          <w:szCs w:val="16"/>
          <w:color w:val="auto"/>
        </w:rPr>
        <w:t>10.13</w:t>
      </w:r>
      <w:r>
        <w:rPr>
          <w:sz w:val="20"/>
          <w:szCs w:val="20"/>
          <w:color w:val="auto"/>
        </w:rPr>
        <w:tab/>
      </w:r>
      <w:hyperlink w:anchor="page1">
        <w:r>
          <w:rPr>
            <w:rFonts w:ascii="Arial" w:cs="Arial" w:eastAsia="Arial" w:hAnsi="Arial"/>
            <w:sz w:val="14"/>
            <w:szCs w:val="14"/>
            <w:color w:val="0000FF"/>
          </w:rPr>
          <w:t>Letter Agreement, dated as of May 12,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9665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196659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by and between Jonathan Sandison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-16510</wp:posOffset>
            </wp:positionV>
            <wp:extent cx="17989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Vroom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4800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480060" cy="7620"/>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740" w:val="left"/>
        </w:tabs>
        <w:rPr>
          <w:rFonts w:ascii="Arial" w:cs="Arial" w:eastAsia="Arial" w:hAnsi="Arial"/>
          <w:sz w:val="14"/>
          <w:szCs w:val="14"/>
          <w:color w:val="0000FF"/>
        </w:rPr>
      </w:pPr>
      <w:r>
        <w:rPr>
          <w:rFonts w:ascii="Arial" w:cs="Arial" w:eastAsia="Arial" w:hAnsi="Arial"/>
          <w:sz w:val="16"/>
          <w:szCs w:val="16"/>
          <w:color w:val="auto"/>
        </w:rPr>
        <w:t>31.1</w:t>
      </w:r>
      <w:r>
        <w:rPr>
          <w:sz w:val="20"/>
          <w:szCs w:val="20"/>
          <w:color w:val="auto"/>
        </w:rPr>
        <w:tab/>
      </w:r>
      <w:hyperlink w:anchor="page1">
        <w:r>
          <w:rPr>
            <w:rFonts w:ascii="Arial" w:cs="Arial" w:eastAsia="Arial" w:hAnsi="Arial"/>
            <w:sz w:val="14"/>
            <w:szCs w:val="14"/>
            <w:color w:val="0000FF"/>
          </w:rPr>
          <w:t>Certification of Principal 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84467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Pursuant to Rules 13a-14(a) and 15d-14(a)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-16510</wp:posOffset>
            </wp:positionV>
            <wp:extent cx="192087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ind w:left="760"/>
        <w:spacing w:after="0" w:line="234" w:lineRule="auto"/>
        <w:rPr>
          <w:rFonts w:ascii="Arial" w:cs="Arial" w:eastAsia="Arial" w:hAnsi="Arial"/>
          <w:sz w:val="16"/>
          <w:szCs w:val="16"/>
          <w:color w:val="0000FF"/>
        </w:rPr>
      </w:pPr>
      <w:hyperlink w:anchor="page1">
        <w:r>
          <w:rPr>
            <w:rFonts w:ascii="Arial" w:cs="Arial" w:eastAsia="Arial" w:hAnsi="Arial"/>
            <w:sz w:val="16"/>
            <w:szCs w:val="16"/>
            <w:color w:val="0000FF"/>
          </w:rPr>
          <w:t>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93611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ind w:left="760"/>
        <w:spacing w:after="0" w:line="235" w:lineRule="auto"/>
        <w:rPr>
          <w:rFonts w:ascii="Arial" w:cs="Arial" w:eastAsia="Arial" w:hAnsi="Arial"/>
          <w:sz w:val="16"/>
          <w:szCs w:val="16"/>
          <w:color w:val="0000FF"/>
        </w:rPr>
      </w:pPr>
      <w:hyperlink w:anchor="page1">
        <w:r>
          <w:rPr>
            <w:rFonts w:ascii="Arial" w:cs="Arial" w:eastAsia="Arial" w:hAnsi="Arial"/>
            <w:sz w:val="16"/>
            <w:szCs w:val="16"/>
            <w:color w:val="0000FF"/>
          </w:rPr>
          <w:t>as Adopted Pursuant to Section 302 of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8903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89039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123507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1235075" cy="7620"/>
                    </a:xfrm>
                    <a:prstGeom prst="rect">
                      <a:avLst/>
                    </a:prstGeom>
                    <a:noFill/>
                  </pic:spPr>
                </pic:pic>
              </a:graphicData>
            </a:graphic>
          </wp:anchor>
        </w:drawing>
      </w:r>
    </w:p>
    <w:p>
      <w:pPr>
        <w:spacing w:after="0" w:line="94" w:lineRule="exact"/>
        <w:rPr>
          <w:sz w:val="20"/>
          <w:szCs w:val="20"/>
          <w:color w:val="auto"/>
        </w:rPr>
      </w:pPr>
    </w:p>
    <w:p>
      <w:pPr>
        <w:ind w:left="120"/>
        <w:spacing w:after="0"/>
        <w:tabs>
          <w:tab w:leader="none" w:pos="740" w:val="left"/>
        </w:tabs>
        <w:rPr>
          <w:rFonts w:ascii="Arial" w:cs="Arial" w:eastAsia="Arial" w:hAnsi="Arial"/>
          <w:sz w:val="14"/>
          <w:szCs w:val="14"/>
          <w:color w:val="0000FF"/>
        </w:rPr>
      </w:pPr>
      <w:r>
        <w:rPr>
          <w:rFonts w:ascii="Arial" w:cs="Arial" w:eastAsia="Arial" w:hAnsi="Arial"/>
          <w:sz w:val="16"/>
          <w:szCs w:val="16"/>
          <w:color w:val="auto"/>
        </w:rPr>
        <w:t>31.2</w:t>
      </w:r>
      <w:r>
        <w:rPr>
          <w:sz w:val="20"/>
          <w:szCs w:val="20"/>
          <w:color w:val="auto"/>
        </w:rPr>
        <w:tab/>
      </w:r>
      <w:hyperlink w:anchor="page1">
        <w:r>
          <w:rPr>
            <w:rFonts w:ascii="Arial" w:cs="Arial" w:eastAsia="Arial" w:hAnsi="Arial"/>
            <w:sz w:val="14"/>
            <w:szCs w:val="14"/>
            <w:color w:val="0000FF"/>
          </w:rPr>
          <w:t>Certification of Principal Financial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81419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181419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Pursuant to Rules 13a-14(a) and 15d-14(a)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-16510</wp:posOffset>
            </wp:positionV>
            <wp:extent cx="192087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ind w:left="760"/>
        <w:spacing w:after="0" w:line="234" w:lineRule="auto"/>
        <w:rPr>
          <w:rFonts w:ascii="Arial" w:cs="Arial" w:eastAsia="Arial" w:hAnsi="Arial"/>
          <w:sz w:val="16"/>
          <w:szCs w:val="16"/>
          <w:color w:val="0000FF"/>
        </w:rPr>
      </w:pPr>
      <w:hyperlink w:anchor="page1">
        <w:r>
          <w:rPr>
            <w:rFonts w:ascii="Arial" w:cs="Arial" w:eastAsia="Arial" w:hAnsi="Arial"/>
            <w:sz w:val="16"/>
            <w:szCs w:val="16"/>
            <w:color w:val="0000FF"/>
          </w:rPr>
          <w:t>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93611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ind w:left="760"/>
        <w:spacing w:after="0" w:line="235" w:lineRule="auto"/>
        <w:rPr>
          <w:rFonts w:ascii="Arial" w:cs="Arial" w:eastAsia="Arial" w:hAnsi="Arial"/>
          <w:sz w:val="16"/>
          <w:szCs w:val="16"/>
          <w:color w:val="0000FF"/>
        </w:rPr>
      </w:pPr>
      <w:hyperlink w:anchor="page1">
        <w:r>
          <w:rPr>
            <w:rFonts w:ascii="Arial" w:cs="Arial" w:eastAsia="Arial" w:hAnsi="Arial"/>
            <w:sz w:val="16"/>
            <w:szCs w:val="16"/>
            <w:color w:val="0000FF"/>
          </w:rPr>
          <w:t>as Adopted Pursuant to Section 302 of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89039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189039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123507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1235075" cy="7620"/>
                    </a:xfrm>
                    <a:prstGeom prst="rect">
                      <a:avLst/>
                    </a:prstGeom>
                    <a:noFill/>
                  </pic:spPr>
                </pic:pic>
              </a:graphicData>
            </a:graphic>
          </wp:anchor>
        </w:drawing>
      </w:r>
    </w:p>
    <w:p>
      <w:pPr>
        <w:spacing w:after="0" w:line="94" w:lineRule="exact"/>
        <w:rPr>
          <w:sz w:val="20"/>
          <w:szCs w:val="20"/>
          <w:color w:val="auto"/>
        </w:rPr>
      </w:pPr>
    </w:p>
    <w:p>
      <w:pPr>
        <w:ind w:left="120"/>
        <w:spacing w:after="0"/>
        <w:tabs>
          <w:tab w:leader="none" w:pos="740" w:val="left"/>
        </w:tabs>
        <w:rPr>
          <w:rFonts w:ascii="Arial" w:cs="Arial" w:eastAsia="Arial" w:hAnsi="Arial"/>
          <w:sz w:val="14"/>
          <w:szCs w:val="14"/>
          <w:color w:val="0000FF"/>
        </w:rPr>
      </w:pPr>
      <w:r>
        <w:rPr>
          <w:rFonts w:ascii="Arial" w:cs="Arial" w:eastAsia="Arial" w:hAnsi="Arial"/>
          <w:sz w:val="16"/>
          <w:szCs w:val="16"/>
          <w:color w:val="auto"/>
        </w:rPr>
        <w:t>32.1</w:t>
      </w:r>
      <w:r>
        <w:rPr>
          <w:sz w:val="20"/>
          <w:szCs w:val="20"/>
          <w:color w:val="auto"/>
        </w:rPr>
        <w:tab/>
      </w:r>
      <w:hyperlink w:anchor="page1">
        <w:r>
          <w:rPr>
            <w:rFonts w:ascii="Arial" w:cs="Arial" w:eastAsia="Arial" w:hAnsi="Arial"/>
            <w:sz w:val="14"/>
            <w:szCs w:val="14"/>
            <w:color w:val="0000FF"/>
          </w:rPr>
          <w:t>Certification of Principal 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84467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Pursuant to 18 U.S.C. Section 1350,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-16510</wp:posOffset>
            </wp:positionV>
            <wp:extent cx="17608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1760855" cy="7620"/>
                    </a:xfrm>
                    <a:prstGeom prst="rect">
                      <a:avLst/>
                    </a:prstGeom>
                    <a:noFill/>
                  </pic:spPr>
                </pic:pic>
              </a:graphicData>
            </a:graphic>
          </wp:anchor>
        </w:drawing>
      </w:r>
    </w:p>
    <w:p>
      <w:pPr>
        <w:ind w:left="760"/>
        <w:spacing w:after="0" w:line="234" w:lineRule="auto"/>
        <w:rPr>
          <w:rFonts w:ascii="Arial" w:cs="Arial" w:eastAsia="Arial" w:hAnsi="Arial"/>
          <w:sz w:val="16"/>
          <w:szCs w:val="16"/>
          <w:color w:val="0000FF"/>
        </w:rPr>
      </w:pPr>
      <w:hyperlink w:anchor="page1">
        <w:r>
          <w:rPr>
            <w:rFonts w:ascii="Arial" w:cs="Arial" w:eastAsia="Arial" w:hAnsi="Arial"/>
            <w:sz w:val="16"/>
            <w:szCs w:val="16"/>
            <w:color w:val="0000FF"/>
          </w:rPr>
          <w:t>Adopted Pursuant to Section 906 of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7608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176085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123507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1235075" cy="7620"/>
                    </a:xfrm>
                    <a:prstGeom prst="rect">
                      <a:avLst/>
                    </a:prstGeom>
                    <a:noFill/>
                  </pic:spPr>
                </pic:pic>
              </a:graphicData>
            </a:graphic>
          </wp:anchor>
        </w:drawing>
      </w:r>
    </w:p>
    <w:p>
      <w:pPr>
        <w:spacing w:after="0" w:line="178" w:lineRule="exact"/>
        <w:rPr>
          <w:sz w:val="20"/>
          <w:szCs w:val="20"/>
          <w:color w:val="auto"/>
        </w:rPr>
      </w:pPr>
    </w:p>
    <w:p>
      <w:pPr>
        <w:ind w:left="120"/>
        <w:spacing w:after="0"/>
        <w:tabs>
          <w:tab w:leader="none" w:pos="740" w:val="left"/>
        </w:tabs>
        <w:rPr>
          <w:rFonts w:ascii="Arial" w:cs="Arial" w:eastAsia="Arial" w:hAnsi="Arial"/>
          <w:sz w:val="14"/>
          <w:szCs w:val="14"/>
          <w:color w:val="0000FF"/>
        </w:rPr>
      </w:pPr>
      <w:r>
        <w:rPr>
          <w:rFonts w:ascii="Arial" w:cs="Arial" w:eastAsia="Arial" w:hAnsi="Arial"/>
          <w:sz w:val="16"/>
          <w:szCs w:val="16"/>
          <w:color w:val="auto"/>
        </w:rPr>
        <w:t>32.2</w:t>
      </w:r>
      <w:r>
        <w:rPr>
          <w:sz w:val="20"/>
          <w:szCs w:val="20"/>
          <w:color w:val="auto"/>
        </w:rPr>
        <w:tab/>
      </w:r>
      <w:hyperlink w:anchor="page1">
        <w:r>
          <w:rPr>
            <w:rFonts w:ascii="Arial" w:cs="Arial" w:eastAsia="Arial" w:hAnsi="Arial"/>
            <w:sz w:val="14"/>
            <w:szCs w:val="14"/>
            <w:color w:val="0000FF"/>
          </w:rPr>
          <w:t>Certification of Principal Financial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81419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181419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Pursuant to 18 U.S.C. Section 1350,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-16510</wp:posOffset>
            </wp:positionV>
            <wp:extent cx="17608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1760855" cy="7620"/>
                    </a:xfrm>
                    <a:prstGeom prst="rect">
                      <a:avLst/>
                    </a:prstGeom>
                    <a:noFill/>
                  </pic:spPr>
                </pic:pic>
              </a:graphicData>
            </a:graphic>
          </wp:anchor>
        </w:drawing>
      </w:r>
    </w:p>
    <w:p>
      <w:pPr>
        <w:ind w:left="760"/>
        <w:spacing w:after="0" w:line="234" w:lineRule="auto"/>
        <w:rPr>
          <w:rFonts w:ascii="Arial" w:cs="Arial" w:eastAsia="Arial" w:hAnsi="Arial"/>
          <w:sz w:val="16"/>
          <w:szCs w:val="16"/>
          <w:color w:val="0000FF"/>
        </w:rPr>
      </w:pPr>
      <w:hyperlink w:anchor="page1">
        <w:r>
          <w:rPr>
            <w:rFonts w:ascii="Arial" w:cs="Arial" w:eastAsia="Arial" w:hAnsi="Arial"/>
            <w:sz w:val="16"/>
            <w:szCs w:val="16"/>
            <w:color w:val="0000FF"/>
          </w:rPr>
          <w:t>Adopted Pursuant to Section 906 of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-15875</wp:posOffset>
            </wp:positionV>
            <wp:extent cx="17608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1760855" cy="7620"/>
                    </a:xfrm>
                    <a:prstGeom prst="rect">
                      <a:avLst/>
                    </a:prstGeom>
                    <a:noFill/>
                  </pic:spPr>
                </pic:pic>
              </a:graphicData>
            </a:graphic>
          </wp:anchor>
        </w:drawing>
      </w:r>
    </w:p>
    <w:p>
      <w:pPr>
        <w:ind w:left="760"/>
        <w:spacing w:after="0"/>
        <w:rPr>
          <w:rFonts w:ascii="Arial" w:cs="Arial" w:eastAsia="Arial" w:hAnsi="Arial"/>
          <w:sz w:val="16"/>
          <w:szCs w:val="16"/>
          <w:color w:val="0000FF"/>
        </w:rPr>
      </w:pPr>
      <w:hyperlink w:anchor="page1">
        <w:r>
          <w:rPr>
            <w:rFonts w:ascii="Arial" w:cs="Arial" w:eastAsia="Arial" w:hAnsi="Arial"/>
            <w:sz w:val="16"/>
            <w:szCs w:val="16"/>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123507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1235075" cy="7620"/>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6"/>
          <w:szCs w:val="16"/>
          <w:color w:val="auto"/>
        </w:rPr>
        <w:t>101.IN</w:t>
      </w:r>
      <w:r>
        <w:rPr>
          <w:sz w:val="20"/>
          <w:szCs w:val="20"/>
          <w:color w:val="auto"/>
        </w:rPr>
        <w:tab/>
      </w:r>
      <w:r>
        <w:rPr>
          <w:rFonts w:ascii="Arial" w:cs="Arial" w:eastAsia="Arial" w:hAnsi="Arial"/>
          <w:sz w:val="14"/>
          <w:szCs w:val="14"/>
          <w:color w:val="auto"/>
        </w:rPr>
        <w:t>Inline XBRL Instance Document</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101.SC  Inline XBRL Taxonomy Extension Schema</w:t>
      </w:r>
    </w:p>
    <w:p>
      <w:pPr>
        <w:spacing w:after="0" w:line="10" w:lineRule="exact"/>
        <w:rPr>
          <w:sz w:val="20"/>
          <w:szCs w:val="20"/>
          <w:color w:val="auto"/>
        </w:rPr>
      </w:pPr>
    </w:p>
    <w:p>
      <w:pPr>
        <w:ind w:left="760" w:hanging="64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Document</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101.CA  Inline XBRL Taxonomy Extension</w:t>
      </w:r>
    </w:p>
    <w:p>
      <w:pPr>
        <w:spacing w:after="0" w:line="10" w:lineRule="exact"/>
        <w:rPr>
          <w:sz w:val="20"/>
          <w:szCs w:val="20"/>
          <w:color w:val="auto"/>
        </w:rPr>
      </w:pPr>
    </w:p>
    <w:p>
      <w:pPr>
        <w:ind w:left="760" w:hanging="646"/>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Calculation Linkbase Document</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101.DE  Inline XBRL Taxonomy Extension Definition</w:t>
      </w:r>
    </w:p>
    <w:p>
      <w:pPr>
        <w:spacing w:after="0" w:line="10" w:lineRule="exact"/>
        <w:rPr>
          <w:sz w:val="20"/>
          <w:szCs w:val="20"/>
          <w:color w:val="auto"/>
        </w:rPr>
      </w:pPr>
    </w:p>
    <w:p>
      <w:pPr>
        <w:ind w:left="760" w:hanging="646"/>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Linkbase Document</w:t>
      </w:r>
    </w:p>
    <w:p>
      <w:pPr>
        <w:spacing w:after="0" w:line="9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6"/>
          <w:szCs w:val="16"/>
          <w:color w:val="auto"/>
        </w:rPr>
        <w:t>101.LA</w:t>
      </w:r>
      <w:r>
        <w:rPr>
          <w:sz w:val="20"/>
          <w:szCs w:val="20"/>
          <w:color w:val="auto"/>
        </w:rPr>
        <w:tab/>
      </w:r>
      <w:r>
        <w:rPr>
          <w:rFonts w:ascii="Arial" w:cs="Arial" w:eastAsia="Arial" w:hAnsi="Arial"/>
          <w:sz w:val="14"/>
          <w:szCs w:val="14"/>
          <w:color w:val="auto"/>
        </w:rPr>
        <w:t>Inline XBRL Taxonomy Extension Label</w:t>
      </w:r>
    </w:p>
    <w:p>
      <w:pPr>
        <w:spacing w:after="0" w:line="10" w:lineRule="exact"/>
        <w:rPr>
          <w:sz w:val="20"/>
          <w:szCs w:val="20"/>
          <w:color w:val="auto"/>
        </w:rPr>
      </w:pPr>
    </w:p>
    <w:p>
      <w:pPr>
        <w:ind w:left="760" w:hanging="646"/>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Linkbase Document</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101.PR  Inline XBRL Taxonomy Extension</w:t>
      </w:r>
    </w:p>
    <w:p>
      <w:pPr>
        <w:spacing w:after="0" w:line="10" w:lineRule="exact"/>
        <w:rPr>
          <w:sz w:val="20"/>
          <w:szCs w:val="20"/>
          <w:color w:val="auto"/>
        </w:rPr>
      </w:pPr>
    </w:p>
    <w:p>
      <w:pPr>
        <w:ind w:left="760" w:hanging="646"/>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Presentation Linkbase Document</w:t>
      </w:r>
    </w:p>
    <w:p>
      <w:pPr>
        <w:spacing w:after="0" w:line="162" w:lineRule="exact"/>
        <w:rPr>
          <w:sz w:val="20"/>
          <w:szCs w:val="20"/>
          <w:color w:val="auto"/>
        </w:rPr>
      </w:pPr>
    </w:p>
    <w:p>
      <w:pPr>
        <w:ind w:left="760" w:right="5320" w:hanging="646"/>
        <w:spacing w:after="0" w:line="248" w:lineRule="auto"/>
        <w:tabs>
          <w:tab w:leader="none" w:pos="7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136" w:lineRule="exact"/>
        <w:rPr>
          <w:rFonts w:ascii="Arial" w:cs="Arial" w:eastAsia="Arial" w:hAnsi="Arial"/>
          <w:sz w:val="16"/>
          <w:szCs w:val="16"/>
          <w:color w:val="auto"/>
        </w:rPr>
      </w:pPr>
    </w:p>
    <w:p>
      <w:pPr>
        <w:ind w:left="120" w:hanging="114"/>
        <w:spacing w:after="0"/>
        <w:tabs>
          <w:tab w:leader="none" w:pos="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418465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X</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ectPr>
          <w:pgSz w:w="11900" w:h="16840" w:orient="portrait"/>
          <w:cols w:equalWidth="0" w:num="2">
            <w:col w:w="8420" w:space="720"/>
            <w:col w:w="920"/>
          </w:cols>
          <w:pgMar w:left="660" w:top="555" w:right="1180" w:bottom="1440" w:gutter="0" w:footer="0" w:header="0"/>
        </w:sectPr>
      </w:pPr>
    </w:p>
    <w:bookmarkStart w:id="82" w:name="page83"/>
    <w:bookmarkEnd w:id="8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90" w:lineRule="exact"/>
        <w:rPr>
          <w:sz w:val="20"/>
          <w:szCs w:val="20"/>
          <w:color w:val="auto"/>
        </w:rPr>
      </w:pPr>
    </w:p>
    <w:p>
      <w:pPr>
        <w:ind w:right="220" w:firstLine="708"/>
        <w:spacing w:after="0" w:line="26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2340" w:type="dxa"/>
            <w:vAlign w:val="bottom"/>
            <w:gridSpan w:val="2"/>
          </w:tcPr>
          <w:p>
            <w:pPr>
              <w:ind w:left="1520"/>
              <w:spacing w:after="0"/>
              <w:rPr>
                <w:sz w:val="20"/>
                <w:szCs w:val="20"/>
                <w:color w:val="auto"/>
              </w:rPr>
            </w:pPr>
            <w:r>
              <w:rPr>
                <w:rFonts w:ascii="Arial" w:cs="Arial" w:eastAsia="Arial" w:hAnsi="Arial"/>
                <w:sz w:val="16"/>
                <w:szCs w:val="16"/>
                <w:color w:val="auto"/>
                <w:w w:val="97"/>
              </w:rPr>
              <w:t>Vroom, Inc.</w:t>
            </w:r>
          </w:p>
        </w:tc>
        <w:tc>
          <w:tcPr>
            <w:tcW w:w="5380" w:type="dxa"/>
            <w:vAlign w:val="bottom"/>
          </w:tcPr>
          <w:p>
            <w:pPr>
              <w:spacing w:after="0"/>
              <w:rPr>
                <w:sz w:val="17"/>
                <w:szCs w:val="17"/>
                <w:color w:val="auto"/>
              </w:rPr>
            </w:pPr>
          </w:p>
        </w:tc>
      </w:tr>
      <w:tr>
        <w:trPr>
          <w:trHeight w:val="286"/>
        </w:trPr>
        <w:tc>
          <w:tcPr>
            <w:tcW w:w="2840" w:type="dxa"/>
            <w:vAlign w:val="bottom"/>
          </w:tcPr>
          <w:p>
            <w:pPr>
              <w:spacing w:after="0"/>
              <w:rPr>
                <w:sz w:val="20"/>
                <w:szCs w:val="20"/>
                <w:color w:val="auto"/>
              </w:rPr>
            </w:pPr>
            <w:r>
              <w:rPr>
                <w:rFonts w:ascii="Arial" w:cs="Arial" w:eastAsia="Arial" w:hAnsi="Arial"/>
                <w:sz w:val="16"/>
                <w:szCs w:val="16"/>
                <w:color w:val="auto"/>
              </w:rPr>
              <w:t>Date: May 14, 2025</w:t>
            </w:r>
          </w:p>
        </w:tc>
        <w:tc>
          <w:tcPr>
            <w:tcW w:w="2340" w:type="dxa"/>
            <w:vAlign w:val="bottom"/>
            <w:gridSpan w:val="2"/>
          </w:tcPr>
          <w:p>
            <w:pPr>
              <w:ind w:left="148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ind w:right="442"/>
              <w:spacing w:after="0"/>
              <w:rPr>
                <w:sz w:val="20"/>
                <w:szCs w:val="20"/>
                <w:color w:val="auto"/>
              </w:rPr>
            </w:pPr>
            <w:r>
              <w:rPr>
                <w:rFonts w:ascii="Arial" w:cs="Arial" w:eastAsia="Arial" w:hAnsi="Arial"/>
                <w:sz w:val="16"/>
                <w:szCs w:val="16"/>
                <w:color w:val="auto"/>
                <w:w w:val="96"/>
              </w:rPr>
              <w:t>/s/ Thomas H. Shortt</w:t>
            </w:r>
          </w:p>
        </w:tc>
      </w:tr>
      <w:tr>
        <w:trPr>
          <w:trHeight w:val="161"/>
        </w:trPr>
        <w:tc>
          <w:tcPr>
            <w:tcW w:w="2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380" w:type="dxa"/>
            <w:vAlign w:val="bottom"/>
            <w:tcBorders>
              <w:top w:val="single" w:sz="8" w:color="auto"/>
            </w:tcBorders>
          </w:tcPr>
          <w:p>
            <w:pPr>
              <w:jc w:val="center"/>
              <w:ind w:right="442"/>
              <w:spacing w:after="0" w:line="161" w:lineRule="exact"/>
              <w:rPr>
                <w:sz w:val="20"/>
                <w:szCs w:val="20"/>
                <w:color w:val="auto"/>
              </w:rPr>
            </w:pPr>
            <w:r>
              <w:rPr>
                <w:rFonts w:ascii="Arial" w:cs="Arial" w:eastAsia="Arial" w:hAnsi="Arial"/>
                <w:sz w:val="16"/>
                <w:szCs w:val="16"/>
                <w:color w:val="auto"/>
                <w:w w:val="97"/>
              </w:rPr>
              <w:t>Thomas H. Shortt</w:t>
            </w:r>
          </w:p>
        </w:tc>
      </w:tr>
      <w:tr>
        <w:trPr>
          <w:trHeight w:val="180"/>
        </w:trPr>
        <w:tc>
          <w:tcPr>
            <w:tcW w:w="2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380" w:type="dxa"/>
            <w:vAlign w:val="bottom"/>
          </w:tcPr>
          <w:p>
            <w:pPr>
              <w:jc w:val="center"/>
              <w:ind w:right="442"/>
              <w:spacing w:after="0" w:line="180" w:lineRule="exact"/>
              <w:rPr>
                <w:sz w:val="20"/>
                <w:szCs w:val="20"/>
                <w:color w:val="auto"/>
              </w:rPr>
            </w:pPr>
            <w:r>
              <w:rPr>
                <w:rFonts w:ascii="Arial" w:cs="Arial" w:eastAsia="Arial" w:hAnsi="Arial"/>
                <w:sz w:val="16"/>
                <w:szCs w:val="16"/>
                <w:color w:val="auto"/>
                <w:w w:val="97"/>
              </w:rPr>
              <w:t>Chief Executive Officer</w:t>
            </w:r>
          </w:p>
        </w:tc>
      </w:tr>
      <w:tr>
        <w:trPr>
          <w:trHeight w:val="205"/>
        </w:trPr>
        <w:tc>
          <w:tcPr>
            <w:tcW w:w="2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Pr>
          <w:p>
            <w:pPr>
              <w:jc w:val="center"/>
              <w:ind w:right="442"/>
              <w:spacing w:after="0"/>
              <w:rPr>
                <w:sz w:val="20"/>
                <w:szCs w:val="20"/>
                <w:color w:val="auto"/>
              </w:rPr>
            </w:pPr>
            <w:r>
              <w:rPr>
                <w:rFonts w:ascii="Arial" w:cs="Arial" w:eastAsia="Arial" w:hAnsi="Arial"/>
                <w:sz w:val="16"/>
                <w:szCs w:val="16"/>
                <w:i w:val="1"/>
                <w:iCs w:val="1"/>
                <w:color w:val="auto"/>
                <w:w w:val="97"/>
              </w:rPr>
              <w:t>(principal executive officer)</w:t>
            </w:r>
          </w:p>
        </w:tc>
      </w:tr>
      <w:tr>
        <w:trPr>
          <w:trHeight w:val="466"/>
        </w:trPr>
        <w:tc>
          <w:tcPr>
            <w:tcW w:w="2840" w:type="dxa"/>
            <w:vAlign w:val="bottom"/>
          </w:tcPr>
          <w:p>
            <w:pPr>
              <w:spacing w:after="0"/>
              <w:rPr>
                <w:sz w:val="20"/>
                <w:szCs w:val="20"/>
                <w:color w:val="auto"/>
              </w:rPr>
            </w:pPr>
            <w:r>
              <w:rPr>
                <w:rFonts w:ascii="Arial" w:cs="Arial" w:eastAsia="Arial" w:hAnsi="Arial"/>
                <w:sz w:val="16"/>
                <w:szCs w:val="16"/>
                <w:color w:val="auto"/>
              </w:rPr>
              <w:t>Date: May 14, 2025</w:t>
            </w:r>
          </w:p>
        </w:tc>
        <w:tc>
          <w:tcPr>
            <w:tcW w:w="2340" w:type="dxa"/>
            <w:vAlign w:val="bottom"/>
            <w:gridSpan w:val="2"/>
          </w:tcPr>
          <w:p>
            <w:pPr>
              <w:ind w:left="148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ind w:right="442"/>
              <w:spacing w:after="0"/>
              <w:rPr>
                <w:sz w:val="20"/>
                <w:szCs w:val="20"/>
                <w:color w:val="auto"/>
              </w:rPr>
            </w:pPr>
            <w:r>
              <w:rPr>
                <w:rFonts w:ascii="Arial" w:cs="Arial" w:eastAsia="Arial" w:hAnsi="Arial"/>
                <w:sz w:val="16"/>
                <w:szCs w:val="16"/>
                <w:color w:val="auto"/>
                <w:w w:val="97"/>
              </w:rPr>
              <w:t>/s/ Agnieszka Zakowicz</w:t>
            </w:r>
          </w:p>
        </w:tc>
      </w:tr>
      <w:tr>
        <w:trPr>
          <w:trHeight w:val="161"/>
        </w:trPr>
        <w:tc>
          <w:tcPr>
            <w:tcW w:w="2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380" w:type="dxa"/>
            <w:vAlign w:val="bottom"/>
            <w:tcBorders>
              <w:top w:val="single" w:sz="8" w:color="auto"/>
            </w:tcBorders>
          </w:tcPr>
          <w:p>
            <w:pPr>
              <w:jc w:val="center"/>
              <w:ind w:right="442"/>
              <w:spacing w:after="0" w:line="161" w:lineRule="exact"/>
              <w:rPr>
                <w:sz w:val="20"/>
                <w:szCs w:val="20"/>
                <w:color w:val="auto"/>
              </w:rPr>
            </w:pPr>
            <w:r>
              <w:rPr>
                <w:rFonts w:ascii="Arial" w:cs="Arial" w:eastAsia="Arial" w:hAnsi="Arial"/>
                <w:sz w:val="16"/>
                <w:szCs w:val="16"/>
                <w:color w:val="auto"/>
                <w:w w:val="97"/>
              </w:rPr>
              <w:t>Agnieszka Zakowicz</w:t>
            </w:r>
          </w:p>
        </w:tc>
      </w:tr>
      <w:tr>
        <w:trPr>
          <w:trHeight w:val="180"/>
        </w:trPr>
        <w:tc>
          <w:tcPr>
            <w:tcW w:w="2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380" w:type="dxa"/>
            <w:vAlign w:val="bottom"/>
          </w:tcPr>
          <w:p>
            <w:pPr>
              <w:jc w:val="center"/>
              <w:ind w:right="442"/>
              <w:spacing w:after="0" w:line="180" w:lineRule="exact"/>
              <w:rPr>
                <w:sz w:val="20"/>
                <w:szCs w:val="20"/>
                <w:color w:val="auto"/>
              </w:rPr>
            </w:pPr>
            <w:r>
              <w:rPr>
                <w:rFonts w:ascii="Arial" w:cs="Arial" w:eastAsia="Arial" w:hAnsi="Arial"/>
                <w:sz w:val="16"/>
                <w:szCs w:val="16"/>
                <w:color w:val="auto"/>
                <w:w w:val="97"/>
              </w:rPr>
              <w:t>Chief Financial Officer</w:t>
            </w:r>
          </w:p>
        </w:tc>
      </w:tr>
      <w:tr>
        <w:trPr>
          <w:trHeight w:val="205"/>
        </w:trPr>
        <w:tc>
          <w:tcPr>
            <w:tcW w:w="2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Pr>
          <w:p>
            <w:pPr>
              <w:jc w:val="center"/>
              <w:ind w:right="462"/>
              <w:spacing w:after="0"/>
              <w:rPr>
                <w:sz w:val="20"/>
                <w:szCs w:val="20"/>
                <w:color w:val="auto"/>
              </w:rPr>
            </w:pPr>
            <w:r>
              <w:rPr>
                <w:rFonts w:ascii="Arial" w:cs="Arial" w:eastAsia="Arial" w:hAnsi="Arial"/>
                <w:sz w:val="16"/>
                <w:szCs w:val="16"/>
                <w:i w:val="1"/>
                <w:iCs w:val="1"/>
                <w:color w:val="auto"/>
                <w:w w:val="97"/>
              </w:rPr>
              <w:t>(principal financial officer and principal accounting officer)</w:t>
            </w:r>
          </w:p>
        </w:tc>
      </w:tr>
      <w:tr>
        <w:trPr>
          <w:trHeight w:val="720"/>
        </w:trPr>
        <w:tc>
          <w:tcPr>
            <w:tcW w:w="2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80" w:type="dxa"/>
            <w:vAlign w:val="bottom"/>
          </w:tcPr>
          <w:p>
            <w:pPr>
              <w:jc w:val="right"/>
              <w:ind w:right="5102"/>
              <w:spacing w:after="0"/>
              <w:rPr>
                <w:sz w:val="20"/>
                <w:szCs w:val="20"/>
                <w:color w:val="auto"/>
              </w:rPr>
            </w:pPr>
            <w:r>
              <w:rPr>
                <w:rFonts w:ascii="Arial" w:cs="Arial" w:eastAsia="Arial" w:hAnsi="Arial"/>
                <w:sz w:val="16"/>
                <w:szCs w:val="16"/>
                <w:color w:val="auto"/>
              </w:rPr>
              <w:t>83</w:t>
            </w:r>
          </w:p>
        </w:tc>
      </w:tr>
      <w:tr>
        <w:trPr>
          <w:trHeight w:val="670"/>
        </w:trPr>
        <w:tc>
          <w:tcPr>
            <w:tcW w:w="284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53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3" w:name="page84"/>
    <w:bookmarkEnd w:id="83"/>
    <w:p>
      <w:pPr>
        <w:ind w:left="9800"/>
        <w:spacing w:after="0"/>
        <w:rPr>
          <w:sz w:val="20"/>
          <w:szCs w:val="20"/>
          <w:color w:val="auto"/>
        </w:rPr>
      </w:pPr>
      <w:r>
        <w:rPr>
          <w:rFonts w:ascii="Times New Roman" w:cs="Times New Roman" w:eastAsia="Times New Roman" w:hAnsi="Times New Roman"/>
          <w:sz w:val="14"/>
          <w:szCs w:val="14"/>
          <w:color w:val="auto"/>
        </w:rPr>
        <w:t>Exhibit 10.6</w:t>
      </w:r>
    </w:p>
    <w:p>
      <w:pPr>
        <w:spacing w:after="0" w:line="200" w:lineRule="exact"/>
        <w:rPr>
          <w:sz w:val="20"/>
          <w:szCs w:val="20"/>
          <w:color w:val="auto"/>
        </w:rPr>
      </w:pPr>
    </w:p>
    <w:p>
      <w:pPr>
        <w:spacing w:after="0" w:line="227" w:lineRule="exact"/>
        <w:rPr>
          <w:sz w:val="20"/>
          <w:szCs w:val="20"/>
          <w:color w:val="auto"/>
        </w:rPr>
      </w:pPr>
    </w:p>
    <w:p>
      <w:pPr>
        <w:ind w:right="80" w:firstLine="6"/>
        <w:spacing w:after="0" w:line="259" w:lineRule="auto"/>
        <w:tabs>
          <w:tab w:leader="none" w:pos="3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in this document has been excluded pursuant to Regulation S-K, Item (601)(b)(10). Such excluded information is both (i) not material and (ii) the type that the Registrant treats as private or confidential.</w:t>
      </w:r>
    </w:p>
    <w:p>
      <w:pPr>
        <w:spacing w:after="0" w:line="1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Conformed Through First Amendment to Warehouse Agreement</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dated as of September 8, 2023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Conformed Through Second Amendment to Warehouse Agreement</w:t>
      </w:r>
    </w:p>
    <w:p>
      <w:pPr>
        <w:spacing w:after="0" w:line="1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dated as of October 20, 2023</w:t>
      </w:r>
    </w:p>
    <w:p>
      <w:pPr>
        <w:spacing w:after="0" w:line="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Conformed Through Third Amendment to Warehouse Agreement</w:t>
      </w:r>
    </w:p>
    <w:p>
      <w:pPr>
        <w:spacing w:after="0" w:line="10"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9"/>
          <w:szCs w:val="19"/>
          <w:color w:val="auto"/>
        </w:rPr>
        <w:t>dated as of March 28, 2025</w:t>
      </w:r>
    </w:p>
    <w:p>
      <w:pPr>
        <w:spacing w:after="0" w:line="200" w:lineRule="exact"/>
        <w:rPr>
          <w:sz w:val="20"/>
          <w:szCs w:val="20"/>
          <w:color w:val="auto"/>
        </w:rPr>
      </w:pPr>
    </w:p>
    <w:p>
      <w:pPr>
        <w:spacing w:after="0" w:line="3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VFS NEAR PRIME TRUST I,</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 Borrower,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 Servicer and Custodian,</w:t>
      </w:r>
    </w:p>
    <w:p>
      <w:pPr>
        <w:spacing w:after="0" w:line="18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as Paying Agent,</w:t>
      </w:r>
    </w:p>
    <w:p>
      <w:pPr>
        <w:spacing w:after="0" w:line="1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the LENDERS</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from time to time parties hereto,</w:t>
      </w:r>
    </w:p>
    <w:p>
      <w:pPr>
        <w:spacing w:after="0" w:line="1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and</w:t>
      </w:r>
    </w:p>
    <w:p>
      <w:pPr>
        <w:spacing w:after="0" w:line="20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color w:val="auto"/>
        </w:rPr>
        <w:t>WAREHOUSE AGREEMENT</w:t>
      </w:r>
    </w:p>
    <w:p>
      <w:pPr>
        <w:spacing w:after="0" w:line="20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color w:val="auto"/>
        </w:rPr>
        <w:t>Dated as of November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1388745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21" w:right="660" w:bottom="1440" w:gutter="0" w:footer="0" w:header="0"/>
        </w:sectPr>
      </w:pPr>
    </w:p>
    <w:bookmarkStart w:id="84" w:name="page85"/>
    <w:bookmarkEnd w:id="84"/>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ONE</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DEFINITIONS; CONSTRUCTION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1.01. Definitions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1.02. Accounting Terms and Determinations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1.03. Computation of Time Periods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1.04. Interpretation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1.05. Rates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TWO</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2.01. Loans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2.02. Funding Mechanics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2.03. Reductions of Commitments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2.04. Extensions of Commitments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2.05. The Notes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2.06. Optional Principal Repayments; Interpayments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2.07. Payments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2.08. Settlement Procedures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2.09. [Reserved]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2.10. Payments, Computations, Etc.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2.11. Collections and Allocations; Investment of Funds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2.12. Fees</w:t>
      </w:r>
    </w:p>
    <w:p>
      <w:pPr>
        <w:spacing w:after="0" w:line="10" w:lineRule="exact"/>
        <w:rPr>
          <w:sz w:val="20"/>
          <w:szCs w:val="20"/>
          <w:color w:val="auto"/>
        </w:rPr>
      </w:pPr>
    </w:p>
    <w:p>
      <w:pPr>
        <w:ind w:right="4920"/>
        <w:spacing w:after="0" w:line="250" w:lineRule="auto"/>
        <w:rPr>
          <w:sz w:val="20"/>
          <w:szCs w:val="20"/>
          <w:color w:val="auto"/>
        </w:rPr>
      </w:pPr>
      <w:r>
        <w:rPr>
          <w:rFonts w:ascii="Times New Roman" w:cs="Times New Roman" w:eastAsia="Times New Roman" w:hAnsi="Times New Roman"/>
          <w:sz w:val="19"/>
          <w:szCs w:val="19"/>
          <w:color w:val="auto"/>
        </w:rPr>
        <w:t>ction 2.13. Increased Costs; Capital Adequacy; Illegality; Rating Requests ction 2.14.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2.15. Securitizations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2.16. Sharing of Payments, Etc.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2.17. The Paying Agent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2.18. Interest Rate Replacement; Illegality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THREE</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SECURITY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3.01. Collateral and Back-Up Collateral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3.02. Release of Collateral; No Legal Title</w:t>
      </w:r>
    </w:p>
    <w:p>
      <w:pPr>
        <w:spacing w:after="0" w:line="10" w:lineRule="exact"/>
        <w:rPr>
          <w:sz w:val="20"/>
          <w:szCs w:val="20"/>
          <w:color w:val="auto"/>
        </w:rPr>
      </w:pPr>
    </w:p>
    <w:p>
      <w:pPr>
        <w:ind w:right="4080"/>
        <w:spacing w:after="0" w:line="256" w:lineRule="auto"/>
        <w:rPr>
          <w:sz w:val="20"/>
          <w:szCs w:val="20"/>
          <w:color w:val="auto"/>
        </w:rPr>
      </w:pPr>
      <w:r>
        <w:rPr>
          <w:rFonts w:ascii="Times New Roman" w:cs="Times New Roman" w:eastAsia="Times New Roman" w:hAnsi="Times New Roman"/>
          <w:sz w:val="19"/>
          <w:szCs w:val="19"/>
          <w:color w:val="auto"/>
        </w:rPr>
        <w:t>ction 3.03. Protection of Security Interest; Administrative Agent, as Attorney-in-Fact ction 3.04. Assignment of the Purchase Agreement ction 3.05. Waiver of Certain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764540</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00" w:top="1440" w:right="68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9"/>
          <w:szCs w:val="19"/>
          <w:color w:val="auto"/>
        </w:rPr>
        <w:t>Page</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FOUR</w:t>
      </w:r>
    </w:p>
    <w:p>
      <w:pPr>
        <w:spacing w:after="0" w:line="23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CONDITIONS OF CLOSING AND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4.01. Conditions to Closing and Initial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4.02. Conditions Precedent to All Loans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FIVE</w:t>
      </w:r>
    </w:p>
    <w:p>
      <w:pPr>
        <w:spacing w:after="0" w:line="23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5.01. Representations and Warranties of the Borrower</w:t>
      </w:r>
    </w:p>
    <w:p>
      <w:pPr>
        <w:spacing w:after="0" w:line="32" w:lineRule="exact"/>
        <w:rPr>
          <w:sz w:val="20"/>
          <w:szCs w:val="20"/>
          <w:color w:val="auto"/>
        </w:rPr>
      </w:pPr>
    </w:p>
    <w:p>
      <w:pPr>
        <w:ind w:right="2260"/>
        <w:spacing w:after="0" w:line="256" w:lineRule="auto"/>
        <w:rPr>
          <w:sz w:val="20"/>
          <w:szCs w:val="20"/>
          <w:color w:val="auto"/>
        </w:rPr>
      </w:pPr>
      <w:r>
        <w:rPr>
          <w:rFonts w:ascii="Times New Roman" w:cs="Times New Roman" w:eastAsia="Times New Roman" w:hAnsi="Times New Roman"/>
          <w:sz w:val="19"/>
          <w:szCs w:val="19"/>
          <w:color w:val="auto"/>
        </w:rPr>
        <w:t>ction 5.02. Representations and Warranties of the Borrower Relating to This Agreement and the Receivables ction 5.03. Representations and Warranties of the Servicer ction 5.04. Retransfer/Transfer of Certain Receivables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SIX</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COVENANTS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6.01. Affirmative Covenants of the Borrower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6.02. Negative Covenants of the Borrower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6.03. [Reserved]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6.04. Affirmative Covenants of the Servicer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6.05. Negative Covenants of the Servicer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SEVEN</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ADMINISTRATION AND SERVICING OF RECEIVABLES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7.01. Designation of Servicing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7.02. Servicing 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7.03. Duties of the Servicer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7.04. Collection of Payments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7.05. Payment of Certain Expenses by Servicer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7.06. Reports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7.07. Due Diligence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7.08. Annual Statement as to Compliance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7.09. Annual Independent Public Accountant’s Reports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7.10. [Reserved]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7.11. Rights After Designation of Successor Servicer; Liability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7.12. Limitation on Liability of the Servicer and Others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7.13. The Servicer Not to Resign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7.14. Servicer Termination Events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7.15. Appointment of Successor Servicer or Subservicer</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635635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00" w:top="1313" w:right="68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9"/>
          <w:szCs w:val="19"/>
          <w:color w:val="auto"/>
        </w:rPr>
        <w:t>Page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7.16. Merger or Consolidation, Assumption of Obligations or Resignation of the Servicer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7.17. Responsibilities of the Borrower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7.18. Custody of Receivable Files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7.19. Duties of Custodian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7.20. Certain Duties for Electronic Contracts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ARTICLE EIGHT</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[RESERVED]</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NINE</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TERMINATION EVENTS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9.01. Termination Events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9.02. Actions Upon Occurrence of the Termination Date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9.03. Exercise of Remedies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9.04. Waiver of Certain Laws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9.05. Power of Attorney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TEN</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INDEMNIFICATION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10.01. Indemnities by the Borrower and Servicer</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ELEVEN</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THE ADMINISTRATIVE AGENT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11.01. Authorization and Action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11.02. Delegation of Duties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11.03. Exculpatory Provisions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11.04. Reliance</w:t>
      </w:r>
    </w:p>
    <w:p>
      <w:pPr>
        <w:spacing w:after="0" w:line="10" w:lineRule="exact"/>
        <w:rPr>
          <w:sz w:val="20"/>
          <w:szCs w:val="20"/>
          <w:color w:val="auto"/>
        </w:rPr>
      </w:pPr>
    </w:p>
    <w:p>
      <w:pPr>
        <w:ind w:right="5160"/>
        <w:spacing w:after="0" w:line="250" w:lineRule="auto"/>
        <w:rPr>
          <w:sz w:val="20"/>
          <w:szCs w:val="20"/>
          <w:color w:val="auto"/>
        </w:rPr>
      </w:pPr>
      <w:r>
        <w:rPr>
          <w:rFonts w:ascii="Times New Roman" w:cs="Times New Roman" w:eastAsia="Times New Roman" w:hAnsi="Times New Roman"/>
          <w:sz w:val="19"/>
          <w:szCs w:val="19"/>
          <w:color w:val="auto"/>
        </w:rPr>
        <w:t>ction 11.05. Non-Reliance on Administrative Agent and Other Lenders ction 11.06. Indemnification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11.07. Administrative Agent in its Individual Capacity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11.08. Successor Agents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11.09. Acknowledgments Regarding Erroneous Payments</w:t>
      </w:r>
    </w:p>
    <w:p>
      <w:pPr>
        <w:spacing w:after="0" w:line="1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ARTICLE TWELVE</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ASSIGNMENTS; PARTICIPATIONS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ction 12.01. Assignments and Participations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635635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00" w:top="1313" w:right="68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9"/>
          <w:szCs w:val="19"/>
          <w:color w:val="auto"/>
        </w:rPr>
        <w:t>Page</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ARTICLE THIRTEEN</w:t>
      </w:r>
    </w:p>
    <w:p>
      <w:pPr>
        <w:spacing w:after="0" w:line="23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9"/>
          <w:szCs w:val="19"/>
          <w:color w:val="auto"/>
        </w:rPr>
        <w:t>MUTUAL COVENANTS REGARDING CONFIDENTIALITY</w:t>
      </w:r>
    </w:p>
    <w:p>
      <w:pPr>
        <w:spacing w:after="0" w:line="202" w:lineRule="exact"/>
        <w:rPr>
          <w:sz w:val="20"/>
          <w:szCs w:val="20"/>
          <w:color w:val="auto"/>
        </w:rPr>
      </w:pPr>
    </w:p>
    <w:p>
      <w:pPr>
        <w:ind w:left="20" w:right="3680"/>
        <w:spacing w:after="0" w:line="268" w:lineRule="auto"/>
        <w:rPr>
          <w:sz w:val="20"/>
          <w:szCs w:val="20"/>
          <w:color w:val="auto"/>
        </w:rPr>
      </w:pPr>
      <w:r>
        <w:rPr>
          <w:rFonts w:ascii="Times New Roman" w:cs="Times New Roman" w:eastAsia="Times New Roman" w:hAnsi="Times New Roman"/>
          <w:sz w:val="19"/>
          <w:szCs w:val="19"/>
          <w:color w:val="auto"/>
        </w:rPr>
        <w:t>ction 13.01. Covenants of the Borrower, the Servicer, the Paying Agent and the Custodian ction 13.02. Covenants of the Administrative Agent and the Lenders ction 13.03. Non-Confidentiality of Tax Treatment and Tax Structure</w:t>
      </w:r>
    </w:p>
    <w:p>
      <w:pPr>
        <w:spacing w:after="0" w:line="1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ARTICLE FOURTEEN</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14.01. Amendments and Waivers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14.02. Notices, Etc.</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14.03. No Waiver, Rights and Remedies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14.04. Binding Effect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14.05. Term of this Agreement</w:t>
      </w:r>
    </w:p>
    <w:p>
      <w:pPr>
        <w:spacing w:after="0" w:line="10" w:lineRule="exact"/>
        <w:rPr>
          <w:sz w:val="20"/>
          <w:szCs w:val="20"/>
          <w:color w:val="auto"/>
        </w:rPr>
      </w:pPr>
    </w:p>
    <w:p>
      <w:pPr>
        <w:ind w:left="20" w:right="1680"/>
        <w:spacing w:after="0" w:line="250" w:lineRule="auto"/>
        <w:rPr>
          <w:sz w:val="20"/>
          <w:szCs w:val="20"/>
          <w:color w:val="auto"/>
        </w:rPr>
      </w:pPr>
      <w:r>
        <w:rPr>
          <w:rFonts w:ascii="Times New Roman" w:cs="Times New Roman" w:eastAsia="Times New Roman" w:hAnsi="Times New Roman"/>
          <w:sz w:val="19"/>
          <w:szCs w:val="19"/>
          <w:color w:val="auto"/>
        </w:rPr>
        <w:t xml:space="preserve">ction 14.06. </w:t>
      </w:r>
      <w:r>
        <w:rPr>
          <w:rFonts w:ascii="Times New Roman" w:cs="Times New Roman" w:eastAsia="Times New Roman" w:hAnsi="Times New Roman"/>
          <w:sz w:val="19"/>
          <w:szCs w:val="19"/>
          <w:b w:val="1"/>
          <w:bCs w:val="1"/>
          <w:color w:val="auto"/>
        </w:rPr>
        <w:t>GOVERNING LAW; CONSENT TO JURISDICTION; WAIVER OF OBJECTION TO VENUE</w:t>
      </w:r>
      <w:r>
        <w:rPr>
          <w:rFonts w:ascii="Times New Roman" w:cs="Times New Roman" w:eastAsia="Times New Roman" w:hAnsi="Times New Roman"/>
          <w:sz w:val="19"/>
          <w:szCs w:val="19"/>
          <w:color w:val="auto"/>
        </w:rPr>
        <w:t xml:space="preserve"> ction 14.07. </w:t>
      </w:r>
      <w:r>
        <w:rPr>
          <w:rFonts w:ascii="Times New Roman" w:cs="Times New Roman" w:eastAsia="Times New Roman" w:hAnsi="Times New Roman"/>
          <w:sz w:val="19"/>
          <w:szCs w:val="19"/>
          <w:b w:val="1"/>
          <w:bCs w:val="1"/>
          <w:color w:val="auto"/>
        </w:rPr>
        <w:t>WAIVER OF JURY TRIAL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14.08. Costs and Expenses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14.09. No Insolvency Proceedings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14.10. Recourse Against Certain Parties</w:t>
      </w:r>
    </w:p>
    <w:p>
      <w:pPr>
        <w:spacing w:after="0" w:line="10" w:lineRule="exact"/>
        <w:rPr>
          <w:sz w:val="20"/>
          <w:szCs w:val="20"/>
          <w:color w:val="auto"/>
        </w:rPr>
      </w:pPr>
    </w:p>
    <w:p>
      <w:pPr>
        <w:ind w:left="20" w:right="4500"/>
        <w:spacing w:after="0" w:line="250" w:lineRule="auto"/>
        <w:rPr>
          <w:sz w:val="20"/>
          <w:szCs w:val="20"/>
          <w:color w:val="auto"/>
        </w:rPr>
      </w:pPr>
      <w:r>
        <w:rPr>
          <w:rFonts w:ascii="Times New Roman" w:cs="Times New Roman" w:eastAsia="Times New Roman" w:hAnsi="Times New Roman"/>
          <w:sz w:val="19"/>
          <w:szCs w:val="19"/>
          <w:color w:val="auto"/>
        </w:rPr>
        <w:t>ction 14.11. Limitations on Consequential, Indirect and Certain Other Damages ction 14.12. Patriot Act Compliance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14.13. Execution in Counterparts; Severability; Integration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ction 14.14. Limitation of Liability of Owner Trustee</w:t>
      </w:r>
    </w:p>
    <w:p>
      <w:pPr>
        <w:spacing w:after="0" w:line="3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SCHEDULES</w:t>
      </w:r>
    </w:p>
    <w:p>
      <w:pPr>
        <w:spacing w:after="0" w:line="202" w:lineRule="exact"/>
        <w:rPr>
          <w:sz w:val="20"/>
          <w:szCs w:val="20"/>
          <w:color w:val="auto"/>
        </w:rPr>
      </w:pPr>
    </w:p>
    <w:p>
      <w:pPr>
        <w:ind w:right="4940"/>
        <w:spacing w:after="0" w:line="258" w:lineRule="auto"/>
        <w:rPr>
          <w:sz w:val="20"/>
          <w:szCs w:val="20"/>
          <w:color w:val="auto"/>
        </w:rPr>
      </w:pPr>
      <w:r>
        <w:rPr>
          <w:rFonts w:ascii="Times New Roman" w:cs="Times New Roman" w:eastAsia="Times New Roman" w:hAnsi="Times New Roman"/>
          <w:sz w:val="19"/>
          <w:szCs w:val="19"/>
          <w:color w:val="auto"/>
        </w:rPr>
        <w:t>ule A – Representations and Warranties Regarding Security Interest SA-1 ule B – Eligible Receivable Criteria SB-1 ule C – Schedule of Receivables SC-1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ule C-1 – Schedule of Schedule C-1 Receivables SC-1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ule D – Location of Receivable Files SD-1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ule E – Notice Addresses SE-1</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649605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13" w:right="68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9"/>
          <w:szCs w:val="19"/>
          <w:color w:val="auto"/>
        </w:rPr>
        <w:t>Page</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A – Form of Funding Request A-1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B – Form of Note B-1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C – Form of Assignment and Acceptance C-1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 D –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D-1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E – Form of Power of Attorney E-1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it F –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F-1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G – Form of Receivable Receipt G-1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H – Form of Securitization Release H-1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I – Form of Lender Register I-1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J – Authorized Representatives J-1</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649605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00" w:top="1313" w:right="680" w:bottom="1440" w:gutter="0" w:footer="0" w:header="0"/>
        </w:sectPr>
      </w:pPr>
    </w:p>
    <w:bookmarkStart w:id="89" w:name="page90"/>
    <w:bookmarkEnd w:id="89"/>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WAREHOUSE AGREEMENT</w:t>
      </w:r>
    </w:p>
    <w:p>
      <w:pPr>
        <w:spacing w:after="0" w:line="202"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auto"/>
        </w:rPr>
        <w:t xml:space="preserve">This Warehouse Agreement, dated as of November 18, 2022 (as amended, restated, supplemented or otherwise modified from time to time, this “Agreement”), is by and among VFS Near Prime Trust I, a Delaware statutory trust, as borrower (the “Borrower”), United Auto Credit Corporation, a California corporation (“UACC”), as servicer (in such capacity, the “Servicer”) and as custodian (in such capacity, the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as paying agent (in such capacity, the “Paying Agent”), the lenders from time to time parties hereto (the “Lenders”), and Fifth Third Bank, National Association, as administrative agent for the Lenders and as agent for the Secured Parties (as defined herein) (the “Administrative Agent”).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 I T N E S S E T H:</w:t>
      </w:r>
    </w:p>
    <w:p>
      <w:pPr>
        <w:spacing w:after="0" w:line="202"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WHEREAS, the Borrower was formed for the purpose of taking assignments of, and holding, various assets, including motor vehicle finance contracts, amounts received on or in respect of such finance contracts and proceeds of the foregoing;</w:t>
      </w:r>
    </w:p>
    <w:p>
      <w:pPr>
        <w:spacing w:after="0" w:line="127"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WHEREAS, the Borrower has requested that the Lenders make loans to the Borrower from time to time, the proceeds of which will be used to finance the purchase price of motor vehicle retail installment contracts as described herein; and</w:t>
      </w:r>
    </w:p>
    <w:p>
      <w:pPr>
        <w:spacing w:after="0" w:line="127" w:lineRule="exact"/>
        <w:rPr>
          <w:sz w:val="20"/>
          <w:szCs w:val="20"/>
          <w:color w:val="auto"/>
        </w:rPr>
      </w:pPr>
    </w:p>
    <w:p>
      <w:pPr>
        <w:jc w:val="both"/>
        <w:ind w:right="100" w:firstLine="696"/>
        <w:spacing w:after="0" w:line="286" w:lineRule="auto"/>
        <w:rPr>
          <w:sz w:val="20"/>
          <w:szCs w:val="20"/>
          <w:color w:val="auto"/>
        </w:rPr>
      </w:pPr>
      <w:r>
        <w:rPr>
          <w:rFonts w:ascii="Times New Roman" w:cs="Times New Roman" w:eastAsia="Times New Roman" w:hAnsi="Times New Roman"/>
          <w:sz w:val="19"/>
          <w:szCs w:val="19"/>
          <w:color w:val="auto"/>
        </w:rPr>
        <w:t xml:space="preserve">WHEREAS, the Lenders have agreed to make such loans to the Borrower and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has agreed to act as Paying Agent, in each case upon the terms and subject to the conditions set forth herein.</w:t>
      </w:r>
    </w:p>
    <w:p>
      <w:pPr>
        <w:spacing w:after="0" w:line="127"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NOW THEREFORE, in consideration of the premises and for other good and valuable consideration, the receipt and sufficiency of which are hereby acknowledged, the parties hereto agree, effective as of the Closing Date, as follows:</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ONE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 CONSTRUCTION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One.01.  </w:t>
      </w:r>
      <w:r>
        <w:rPr>
          <w:rFonts w:ascii="Times New Roman" w:cs="Times New Roman" w:eastAsia="Times New Roman" w:hAnsi="Times New Roman"/>
          <w:sz w:val="19"/>
          <w:szCs w:val="19"/>
          <w:b w:val="1"/>
          <w:bCs w:val="1"/>
          <w:color w:val="000000"/>
        </w:rPr>
        <w:t>Definitions</w:t>
      </w:r>
    </w:p>
    <w:p>
      <w:pPr>
        <w:spacing w:after="0" w:line="204" w:lineRule="exact"/>
        <w:rPr>
          <w:sz w:val="20"/>
          <w:szCs w:val="20"/>
          <w:color w:val="auto"/>
        </w:rPr>
      </w:pPr>
    </w:p>
    <w:p>
      <w:pPr>
        <w:ind w:right="720" w:firstLine="696"/>
        <w:spacing w:after="0" w:line="286" w:lineRule="auto"/>
        <w:rPr>
          <w:sz w:val="20"/>
          <w:szCs w:val="20"/>
          <w:color w:val="auto"/>
        </w:rPr>
      </w:pPr>
      <w:r>
        <w:rPr>
          <w:rFonts w:ascii="Times New Roman" w:cs="Times New Roman" w:eastAsia="Times New Roman" w:hAnsi="Times New Roman"/>
          <w:sz w:val="19"/>
          <w:szCs w:val="19"/>
          <w:color w:val="auto"/>
        </w:rPr>
        <w:t>Whenever used herein, unless the context otherwise requires, the following words and phrases shall have the following meanings: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“Account Bank” means the Qualified Institution at which the Collection Account is held, which initially shall be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120" w:firstLine="696"/>
        <w:spacing w:after="0" w:line="268" w:lineRule="auto"/>
        <w:rPr>
          <w:sz w:val="20"/>
          <w:szCs w:val="20"/>
          <w:color w:val="auto"/>
        </w:rPr>
      </w:pPr>
      <w:r>
        <w:rPr>
          <w:rFonts w:ascii="Times New Roman" w:cs="Times New Roman" w:eastAsia="Times New Roman" w:hAnsi="Times New Roman"/>
          <w:sz w:val="19"/>
          <w:szCs w:val="19"/>
          <w:color w:val="auto"/>
        </w:rPr>
        <w:t>“Account Collateral” means, with respect to each Account, such Account, together with all cash, securities, financial assets (as defined in Section 8-102(a)(9) of the UCC) and investments and other property from time to time deposited or credited to such Account and all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0" w:name="page91"/>
    <w:bookmarkEnd w:id="90"/>
    <w:p>
      <w:pPr>
        <w:spacing w:after="0" w:line="269"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“Account Control Agreement” means the Account Control Agreement relating to the Collection Account, dated as of the Closing Date, among the Borrower, the Servicer, the Administrative Agent and the Paying Agent.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“Account(s)” means the Collection Account and/or the Lockbox Account, as indicated by context.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“Additional Amount” has the meaning given to such term in Section 2.14(a).</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“Adjusted Net Pool Balance” means, as of any day, (i) the aggregate Net Pool Balance minus (ii) the Excess Concentration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Amount.</w:t>
      </w:r>
    </w:p>
    <w:p>
      <w:pPr>
        <w:spacing w:after="0" w:line="180" w:lineRule="exact"/>
        <w:rPr>
          <w:sz w:val="20"/>
          <w:szCs w:val="20"/>
          <w:color w:val="auto"/>
        </w:rPr>
      </w:pPr>
    </w:p>
    <w:p>
      <w:pPr>
        <w:jc w:val="both"/>
        <w:ind w:firstLine="696"/>
        <w:spacing w:after="0" w:line="268" w:lineRule="auto"/>
        <w:rPr>
          <w:sz w:val="20"/>
          <w:szCs w:val="20"/>
          <w:color w:val="auto"/>
        </w:rPr>
      </w:pPr>
      <w:r>
        <w:rPr>
          <w:rFonts w:ascii="Times New Roman" w:cs="Times New Roman" w:eastAsia="Times New Roman" w:hAnsi="Times New Roman"/>
          <w:sz w:val="19"/>
          <w:szCs w:val="19"/>
          <w:color w:val="auto"/>
        </w:rPr>
        <w:t xml:space="preserve">“Adjusted Net Pool Balance Ratio” means, the ratio equal to (X) the sum of (a) product of (i) the Adjusted Net Pool Balance of Non-Prime Receivables and (ii)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(b) product of (i) the Adjusted Net Pool Balance of Near-Prime Receivables and (ii)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over (Y) the Adjusted Net Pool Balance.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“Administrative Agent” has the meaning given to such term in the Preamble.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“Advance Rate” means:</w:t>
      </w:r>
    </w:p>
    <w:p>
      <w:pPr>
        <w:spacing w:after="0" w:line="202" w:lineRule="exact"/>
        <w:rPr>
          <w:sz w:val="20"/>
          <w:szCs w:val="20"/>
          <w:color w:val="auto"/>
        </w:rPr>
      </w:pPr>
    </w:p>
    <w:p>
      <w:pPr>
        <w:ind w:left="1820" w:hanging="230"/>
        <w:spacing w:after="0"/>
        <w:tabs>
          <w:tab w:leader="none" w:pos="1820" w:val="left"/>
        </w:tabs>
        <w:numPr>
          <w:ilvl w:val="0"/>
          <w:numId w:val="1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with respect to any day prior to an Early Amortization Event or a Termination Date:</w:t>
      </w:r>
    </w:p>
    <w:p>
      <w:pPr>
        <w:spacing w:after="0" w:line="201" w:lineRule="exact"/>
        <w:rPr>
          <w:rFonts w:ascii="Times New Roman" w:cs="Times New Roman" w:eastAsia="Times New Roman" w:hAnsi="Times New Roman"/>
          <w:sz w:val="19"/>
          <w:szCs w:val="19"/>
          <w:color w:val="2F5496"/>
        </w:rPr>
      </w:pPr>
    </w:p>
    <w:p>
      <w:pPr>
        <w:ind w:left="1760" w:right="40" w:firstLine="419"/>
        <w:spacing w:after="0" w:line="286" w:lineRule="auto"/>
        <w:tabs>
          <w:tab w:leader="none" w:pos="2441"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Advance Rate Reduction Event has occurred and is continuing with respect to a Receivable type, (I) with respect to Non-Prime Receivables, </w:t>
      </w:r>
      <w:r>
        <w:rPr>
          <w:rFonts w:ascii="Times New Roman" w:cs="Times New Roman" w:eastAsia="Times New Roman" w:hAnsi="Times New Roman"/>
          <w:sz w:val="15"/>
          <w:szCs w:val="15"/>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5"/>
          <w:szCs w:val="15"/>
          <w:color w:val="222222"/>
        </w:rPr>
        <w:t>[***]</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left="1760" w:right="20" w:firstLine="419"/>
        <w:spacing w:after="0" w:line="286" w:lineRule="auto"/>
        <w:tabs>
          <w:tab w:leader="none" w:pos="2452"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 Advance Rate Reduction Event has occurred and is continuing with respect to a Receivable type, (I) with respect to Non-Prime Receivables, </w:t>
      </w:r>
      <w:r>
        <w:rPr>
          <w:rFonts w:ascii="Times New Roman" w:cs="Times New Roman" w:eastAsia="Times New Roman" w:hAnsi="Times New Roman"/>
          <w:sz w:val="15"/>
          <w:szCs w:val="15"/>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5"/>
          <w:szCs w:val="15"/>
          <w:color w:val="222222"/>
        </w:rPr>
        <w:t>[***]</w:t>
      </w:r>
      <w:r>
        <w:rPr>
          <w:rFonts w:ascii="Times New Roman" w:cs="Times New Roman" w:eastAsia="Times New Roman" w:hAnsi="Times New Roman"/>
          <w:sz w:val="19"/>
          <w:szCs w:val="19"/>
          <w:color w:val="auto"/>
        </w:rPr>
        <w:t>%, and</w:t>
      </w:r>
    </w:p>
    <w:p>
      <w:pPr>
        <w:spacing w:after="0" w:line="127" w:lineRule="exact"/>
        <w:rPr>
          <w:sz w:val="20"/>
          <w:szCs w:val="20"/>
          <w:color w:val="auto"/>
        </w:rPr>
      </w:pPr>
    </w:p>
    <w:p>
      <w:pPr>
        <w:ind w:right="220" w:firstLine="696"/>
        <w:spacing w:after="0" w:line="257" w:lineRule="auto"/>
        <w:rPr>
          <w:sz w:val="20"/>
          <w:szCs w:val="20"/>
          <w:color w:val="auto"/>
        </w:rPr>
      </w:pPr>
      <w:r>
        <w:rPr>
          <w:rFonts w:ascii="Times New Roman" w:cs="Times New Roman" w:eastAsia="Times New Roman" w:hAnsi="Times New Roman"/>
          <w:sz w:val="19"/>
          <w:szCs w:val="19"/>
          <w:color w:val="auto"/>
        </w:rPr>
        <w:t xml:space="preserve">provided, however, that if the Excess Spread Percentage as of a Determination Date is less than the Base Line Excess Spread Percentage for Non -Prime Receivables or Near-Prime Receivables, as applicable, the respective Advance Rate otherwise applicable pursuant to clauses (a) or (b) above, shall be calculated by subtracting a percentage equal to (x) the excess of Base Line Excess Spread Percentage applicable to such type of Receivable over the Excess Spread Percentage as of such Determination Date for such type of Receivable times (y) for (I) with respect to Non-Prime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as applicable, or</w:t>
      </w:r>
    </w:p>
    <w:p>
      <w:pPr>
        <w:spacing w:after="0" w:line="157" w:lineRule="exact"/>
        <w:rPr>
          <w:sz w:val="20"/>
          <w:szCs w:val="20"/>
          <w:color w:val="auto"/>
        </w:rPr>
      </w:pPr>
    </w:p>
    <w:p>
      <w:pPr>
        <w:ind w:left="700" w:firstLine="818"/>
        <w:spacing w:after="0" w:line="286" w:lineRule="auto"/>
        <w:tabs>
          <w:tab w:leader="none" w:pos="1804" w:val="left"/>
        </w:tabs>
        <w:numPr>
          <w:ilvl w:val="0"/>
          <w:numId w:val="2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 xml:space="preserve">with respect to any day following the occurrence of an Early Amortization Event or the Termination Date, </w:t>
      </w:r>
      <w:r>
        <w:rPr>
          <w:rFonts w:ascii="Times New Roman" w:cs="Times New Roman" w:eastAsia="Times New Roman" w:hAnsi="Times New Roman"/>
          <w:sz w:val="15"/>
          <w:szCs w:val="15"/>
          <w:color w:val="222222"/>
        </w:rPr>
        <w:t>[***]</w:t>
      </w:r>
      <w:r>
        <w:rPr>
          <w:rFonts w:ascii="Times New Roman" w:cs="Times New Roman" w:eastAsia="Times New Roman" w:hAnsi="Times New Roman"/>
          <w:sz w:val="19"/>
          <w:szCs w:val="19"/>
          <w:color w:val="auto"/>
        </w:rPr>
        <w:t>%, subject to the last paragraph in the definition of Early Amortization Event.</w:t>
      </w:r>
    </w:p>
    <w:p>
      <w:pPr>
        <w:spacing w:after="0" w:line="127" w:lineRule="exact"/>
        <w:rPr>
          <w:sz w:val="20"/>
          <w:szCs w:val="20"/>
          <w:color w:val="auto"/>
        </w:rPr>
      </w:pPr>
    </w:p>
    <w:p>
      <w:pPr>
        <w:ind w:right="280" w:firstLine="696"/>
        <w:spacing w:after="0" w:line="268" w:lineRule="auto"/>
        <w:rPr>
          <w:sz w:val="20"/>
          <w:szCs w:val="20"/>
          <w:color w:val="auto"/>
        </w:rPr>
      </w:pPr>
      <w:r>
        <w:rPr>
          <w:rFonts w:ascii="Times New Roman" w:cs="Times New Roman" w:eastAsia="Times New Roman" w:hAnsi="Times New Roman"/>
          <w:sz w:val="19"/>
          <w:szCs w:val="19"/>
          <w:color w:val="auto"/>
        </w:rPr>
        <w:t>“Advance Rate Reduction Events” means, that as of any Payment Date commencing after the third non -shortened Collection Period after the Closing Date, any of the following events occurs: (i) the arithmetic mean of the Annualized Net Loss Ratio for the related Collection Period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1" w:name="page92"/>
    <w:bookmarkEnd w:id="91"/>
    <w:p>
      <w:pPr>
        <w:spacing w:after="0" w:line="2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 xml:space="preserve">and the two previous Collection Periods exceeds (I) with respect to Non- 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 (ii) the arithmetic mean of the Annualized Default Ratio for the related Collection Period and the two previous Collection Periods exceeds (I) with respect to Non-Prime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ind w:left="340" w:hanging="334"/>
        <w:spacing w:after="0"/>
        <w:tabs>
          <w:tab w:leader="none" w:pos="3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arithmetic mean of the Extension Ratio for the related Collection Period and the two previous Collection Periods exceeds (I)</w:t>
      </w:r>
    </w:p>
    <w:p>
      <w:pPr>
        <w:spacing w:after="0" w:line="9" w:lineRule="exact"/>
        <w:rPr>
          <w:rFonts w:ascii="Times New Roman" w:cs="Times New Roman" w:eastAsia="Times New Roman" w:hAnsi="Times New Roman"/>
          <w:sz w:val="19"/>
          <w:szCs w:val="19"/>
          <w:color w:val="auto"/>
        </w:rPr>
      </w:pPr>
    </w:p>
    <w:p>
      <w:pPr>
        <w:ind w:right="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Non-Prime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(iv) the arithmetic mean of the Delinquency Ratio for the related Collection Period and the two previous Collection Periods exceeds (I) with respect to Non-Prime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the current Collection Period Delinquency Ratio exceeds (I) with respect to Non-Prime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with respect to Near-Prime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provided that no event specified in the foregoing clauses shall be deemed to have occurred if as of the Determination Date, the Loans Outstanding do not exceed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provided that, upon the occurrence of a Securitization Date with respect to which the pro forma Borrowing Base (after giving effect to such Securitization) delivered to the Administrative Agent shows all Eligible Receivables forming part thereto that are less than 31 days past due, then for the purpose of paragraphs (i), (ii), and (iv) above, each of the Annualized Net Loss Ratio, the Annualized Default Ratio and the Delinquency Ratio shall be reset for the Collection Period in which such Securitization Date occurs and the calculation thereof will resume for the immediately following Collection Period and every Collection Period thereafter.</w:t>
      </w:r>
    </w:p>
    <w:p>
      <w:pPr>
        <w:spacing w:after="0" w:line="166"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“Advisors” means accountants, attorneys, consultants, advisors, credit enhancers, liquidity providers and Persons similar to the foregoing and the respective directors, officers, employees and managers of each of the foregoing.</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“Affected Party” has the meaning given to such term in Section 2.13(a).</w:t>
      </w:r>
    </w:p>
    <w:p>
      <w:pPr>
        <w:spacing w:after="0" w:line="202" w:lineRule="exact"/>
        <w:rPr>
          <w:sz w:val="20"/>
          <w:szCs w:val="20"/>
          <w:color w:val="auto"/>
        </w:rPr>
      </w:pPr>
    </w:p>
    <w:p>
      <w:pPr>
        <w:ind w:right="380" w:firstLine="696"/>
        <w:spacing w:after="0" w:line="262" w:lineRule="auto"/>
        <w:rPr>
          <w:sz w:val="20"/>
          <w:szCs w:val="20"/>
          <w:color w:val="auto"/>
        </w:rPr>
      </w:pPr>
      <w:r>
        <w:rPr>
          <w:rFonts w:ascii="Times New Roman" w:cs="Times New Roman" w:eastAsia="Times New Roman" w:hAnsi="Times New Roman"/>
          <w:sz w:val="19"/>
          <w:szCs w:val="19"/>
          <w:color w:val="auto"/>
        </w:rPr>
        <w:t>“Affiliate” 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“Aggregate Commitment” means, as of any day, the lesser of (i) the sum of the Commitments of each Lender, and (ii)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696"/>
        <w:spacing w:after="0" w:line="265" w:lineRule="auto"/>
        <w:rPr>
          <w:sz w:val="20"/>
          <w:szCs w:val="20"/>
          <w:color w:val="auto"/>
        </w:rPr>
      </w:pPr>
      <w:r>
        <w:rPr>
          <w:rFonts w:ascii="Times New Roman" w:cs="Times New Roman" w:eastAsia="Times New Roman" w:hAnsi="Times New Roman"/>
          <w:sz w:val="19"/>
          <w:szCs w:val="19"/>
          <w:color w:val="auto"/>
        </w:rPr>
        <w:t>“Aggregate Unpaids” means, as of any day, an amount equal to the sum of (i) the Loans Outstanding, (ii) all accrued but unpaid Interest and (iii) all Unused Fees and other Obligations owed (whether due or accrued) by the Borrower to the Secured Parties, the Paying Agent, the Owner Trustee, the Servicer and the Custodian (if other than UACC) under this Agreement and the other Basic Documents.</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“Agreement” has the meaning given to such term in the Preamble.</w:t>
      </w: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“Amortization Period” means the period commencing on the Commitment Termination Date and ending on the earliest to occur of (i) Facility Termination Date and (ii) Final Maturity Date.</w:t>
      </w:r>
    </w:p>
    <w:p>
      <w:pPr>
        <w:spacing w:after="0" w:line="127" w:lineRule="exact"/>
        <w:rPr>
          <w:sz w:val="20"/>
          <w:szCs w:val="20"/>
          <w:color w:val="auto"/>
        </w:rPr>
      </w:pPr>
    </w:p>
    <w:p>
      <w:pPr>
        <w:jc w:val="both"/>
        <w:ind w:right="260" w:firstLine="696"/>
        <w:spacing w:after="0" w:line="268" w:lineRule="auto"/>
        <w:rPr>
          <w:sz w:val="20"/>
          <w:szCs w:val="20"/>
          <w:color w:val="auto"/>
        </w:rPr>
      </w:pPr>
      <w:r>
        <w:rPr>
          <w:rFonts w:ascii="Times New Roman" w:cs="Times New Roman" w:eastAsia="Times New Roman" w:hAnsi="Times New Roman"/>
          <w:sz w:val="19"/>
          <w:szCs w:val="19"/>
          <w:color w:val="auto"/>
        </w:rPr>
        <w:t>“Amount Financed” 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spacing w:after="0" w:line="144" w:lineRule="exact"/>
        <w:rPr>
          <w:sz w:val="20"/>
          <w:szCs w:val="20"/>
          <w:color w:val="auto"/>
        </w:rPr>
      </w:pPr>
    </w:p>
    <w:p>
      <w:pPr>
        <w:ind w:right="100" w:firstLine="696"/>
        <w:spacing w:after="0" w:line="259" w:lineRule="auto"/>
        <w:rPr>
          <w:sz w:val="20"/>
          <w:szCs w:val="20"/>
          <w:color w:val="auto"/>
        </w:rPr>
      </w:pPr>
      <w:r>
        <w:rPr>
          <w:rFonts w:ascii="Times New Roman" w:cs="Times New Roman" w:eastAsia="Times New Roman" w:hAnsi="Times New Roman"/>
          <w:sz w:val="19"/>
          <w:szCs w:val="19"/>
          <w:color w:val="auto"/>
        </w:rPr>
        <w:t>“Annual Percentage Rate” or “APR” 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or any other Applicable Law, “Annual Percentage Rate” or “APR” shall refer to such reduced rate.</w:t>
      </w:r>
    </w:p>
    <w:p>
      <w:pPr>
        <w:spacing w:after="0" w:line="154"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9"/>
          <w:szCs w:val="19"/>
          <w:color w:val="auto"/>
        </w:rPr>
        <w:t>“Annualized Default Ratio” means, with respect to any Payment Date and the related Collection Period, the product of (i) 12 and (ii) the percentage equivalent of a fraction, (a) the numerator of which equals the Pool Balance of all Receivables that became Defaulted Receivables during such Collection Period and (b) the denominator of which equals the average of (1) the Pool Balance as of the related Determination Date and (2) the Pool Balance as of the Prior Determination Date.</w:t>
      </w:r>
    </w:p>
    <w:p>
      <w:pPr>
        <w:spacing w:after="0" w:line="150"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auto"/>
        </w:rPr>
        <w:t>“Annualized Net Loss Ratio” means, with respect to any Payment Date and the related Collection Period, the product of (i) 12 and (ii) the percentage equivalent of a fraction, (a) the numerator of which equals the aggregate Net Losses for such Collection Period and (b) the denominator of which equals the average of (1) the Pool Balance as of the related Determination Date and (2) the Pool Balance as of the Prior Determination Date.</w:t>
      </w:r>
    </w:p>
    <w:p>
      <w:pPr>
        <w:spacing w:after="0" w:line="150"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“Anti-Corruption Laws” means all laws, rules, and regulations of any jurisdiction applicable to such Person or any of its respective Subsidiaries from time to time concerning or relating to bribery or corruption.</w:t>
      </w:r>
    </w:p>
    <w:p>
      <w:pPr>
        <w:spacing w:after="0" w:line="127"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auto"/>
        </w:rPr>
        <w:t>“Applicable Law” 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including Regulation AB, and the Exchange Act), and applicable judgments, decrees, injunctions, writs, orders or line actions of any court, arbitrator or other administrative, judicial or quasi-judicial tribunal or agency of competent jurisdiction.</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“Applicable Margin” has the meaning given to such term in the Fee Letter.</w:t>
      </w:r>
    </w:p>
    <w:p>
      <w:pPr>
        <w:spacing w:after="0" w:line="202"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“Assignment and Acceptance” means an assignment and acceptance agreement between a Lender and an Eligible Assignee, in substantially the form of Exhibit C hereto.</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93" w:name="page94"/>
    <w:bookmarkEnd w:id="93"/>
    <w:p>
      <w:pPr>
        <w:spacing w:after="0" w:line="269" w:lineRule="exact"/>
        <w:rPr>
          <w:sz w:val="20"/>
          <w:szCs w:val="20"/>
          <w:color w:val="auto"/>
        </w:rPr>
      </w:pPr>
    </w:p>
    <w:p>
      <w:pPr>
        <w:jc w:val="both"/>
        <w:ind w:right="160" w:firstLine="696"/>
        <w:spacing w:after="0" w:line="268" w:lineRule="auto"/>
        <w:rPr>
          <w:sz w:val="20"/>
          <w:szCs w:val="20"/>
          <w:color w:val="auto"/>
        </w:rPr>
      </w:pPr>
      <w:r>
        <w:rPr>
          <w:rFonts w:ascii="Times New Roman" w:cs="Times New Roman" w:eastAsia="Times New Roman" w:hAnsi="Times New Roman"/>
          <w:sz w:val="19"/>
          <w:szCs w:val="19"/>
          <w:color w:val="auto"/>
        </w:rPr>
        <w:t>“Authoritative Copy” means, with respect to any Electronic Contract, a copy of such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spacing w:after="0" w:line="144"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“Authorized Representative” means, with respect to the Borrower, (i) any president or any executive vice president of UACC and (ii) any officer, employee or director of UACC listed as an Authorized Representative in Exhibit J hereto (which shall remain in effect until UACC or the Borrower notifies the Secured Parties of any change by delivery of an updated form), in each case, as attorney-in-fact for the Borrower.</w:t>
      </w:r>
    </w:p>
    <w:p>
      <w:pPr>
        <w:spacing w:after="0" w:line="150"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“Available Amount” means, as of any day, the positive amount, if any, by which the Facility Amount exceeds the Loans Outstanding on such day.</w:t>
      </w:r>
    </w:p>
    <w:p>
      <w:pPr>
        <w:spacing w:after="0" w:line="127"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auto"/>
        </w:rPr>
        <w:t>“Available Funds” means, for any Payment Date and the related Collection Period, the sum of (i) all Collections on deposit in the Collection Account, to the extent received during or in respect of the related Collection Period and (ii) any Monthly Accrued Interest Payment Amount made by UACC pursuant to Section 6.04(o).</w:t>
      </w:r>
    </w:p>
    <w:p>
      <w:pPr>
        <w:spacing w:after="0" w:line="144"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auto"/>
        </w:rPr>
        <w:t>“Available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2.18(d).</w:t>
      </w:r>
    </w:p>
    <w:p>
      <w:pPr>
        <w:spacing w:after="0" w:line="157"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“Bank Product” means any of the following products, services or facilities extended to any Loan Party from time to time by any Secured Party or any of Affiliate of a Secured Party or any Person who was Administrative Agent, a Lender or an Affiliate of Administrative Agent or a Lender at the time it provided such products, services or facilities: (a) any services in connection with operating, collections, payroll, trust, or other depository or disbursement accounts, including automated clearinghouse, e-payable, electronic funds transfer, wire transfer, controlled disbursement, overdraft, depository, information reporting, lockbox services, stop payment services, and other treasury management services; (b) commercial credit card and merchant card services; and (c) other banking products or services as may be requested by any Loan Party, other than letters of credit and Derivatives; provided, that no such products, services or facilities provided by any Lender (other than any Lender that is also Administrative Agent or an Affiliate of Administrative Agent) or any of its respective Affiliates shall be deemed to be “Bank Products” hereunder until Administrative Agent has been notified in writing by the applicable Lender thereof.</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“Bankruptcy Code” means the United States Bankruptcy Code (Title 11 of the United States Code).</w:t>
      </w: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4" w:name="page95"/>
    <w:bookmarkEnd w:id="94"/>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“Base Line Excess Spread Percentage” means, (i) for Non-Prime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and (ii) for Near-Prime Receivables,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w:t>
      </w:r>
    </w:p>
    <w:p>
      <w:pPr>
        <w:spacing w:after="0" w:line="180"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“Base Rate” shall mean a variable per annum rate, as of any date of determination, equal to the Prime Rate. The Base Rate is a reference rate and does not necessarily represent the lowest or best rate actually charged to any customer.</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“Base Rate Loan” means a Loan that bears interest based on the Base Rate.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“Basel II” means the second Basel Accord issued by the Basel Committee on Banking Supervision.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“Basel III” means the third Basel Accord issued by the Basel Committee on Banking Supervision.</w:t>
      </w:r>
    </w:p>
    <w:p>
      <w:pPr>
        <w:spacing w:after="0" w:line="202"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“Basic Documents” means this Agreement, each Note, the Purchase Agreement, each Transfer Agreement, the Fee Letter, the Performance Guaranty, the Intercreditor Agreement, the Intercreditor Party Supplement, the Trust Agreement, the Account Control Agreement, the E-Vault Access Agreement (if any), the Electronic Collateral Control Agreement, the Custodial Agreement (if any), the Title Administrator Agreement (if any), and any other document, certificate, opinion, agreement or writing the execution of which is necessary or incidental to carrying out the transactions contemplated by this Agreement or any of the other foregoing documents.</w:t>
      </w:r>
    </w:p>
    <w:p>
      <w:pPr>
        <w:spacing w:after="0" w:line="154" w:lineRule="exact"/>
        <w:rPr>
          <w:sz w:val="20"/>
          <w:szCs w:val="20"/>
          <w:color w:val="auto"/>
        </w:rPr>
      </w:pPr>
    </w:p>
    <w:p>
      <w:pPr>
        <w:jc w:val="both"/>
        <w:ind w:right="60" w:firstLine="696"/>
        <w:spacing w:after="0" w:line="268" w:lineRule="auto"/>
        <w:rPr>
          <w:sz w:val="20"/>
          <w:szCs w:val="20"/>
          <w:color w:val="auto"/>
        </w:rPr>
      </w:pPr>
      <w:r>
        <w:rPr>
          <w:rFonts w:ascii="Times New Roman" w:cs="Times New Roman" w:eastAsia="Times New Roman" w:hAnsi="Times New Roman"/>
          <w:sz w:val="19"/>
          <w:szCs w:val="19"/>
          <w:color w:val="auto"/>
        </w:rPr>
        <w:t>“Benchmark” means, initially, the Term SOFR Rate; provided that if a Benchmark Transition Event has occurred with respect to the Term SOFR Rate or the then -current Benchmark, then “Benchmark” means the applicable Benchmark Replacement to the extent that such Benchmark Replacement has replaced such prior benchmark rate pursuant to Section 2.18(a).</w:t>
      </w:r>
    </w:p>
    <w:p>
      <w:pPr>
        <w:spacing w:after="0" w:line="144"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color w:val="auto"/>
        </w:rPr>
        <w:t>“Benchmark Replacement” means, with respect to any Benchmark Transition Event, the first alternative set forth in the order below that can be determined by the Administrative Agent for the applicable Benchmark Replacement Date:</w:t>
      </w:r>
    </w:p>
    <w:p>
      <w:pPr>
        <w:spacing w:after="0" w:line="55" w:lineRule="exact"/>
        <w:rPr>
          <w:sz w:val="20"/>
          <w:szCs w:val="20"/>
          <w:color w:val="auto"/>
        </w:rPr>
      </w:pPr>
    </w:p>
    <w:p>
      <w:pPr>
        <w:ind w:left="1700" w:hanging="254"/>
        <w:spacing w:after="0"/>
        <w:tabs>
          <w:tab w:leader="none" w:pos="17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Daily Simple SOFR; or</w:t>
      </w:r>
    </w:p>
    <w:p>
      <w:pPr>
        <w:spacing w:after="0" w:line="201" w:lineRule="exact"/>
        <w:rPr>
          <w:rFonts w:ascii="Times New Roman" w:cs="Times New Roman" w:eastAsia="Times New Roman" w:hAnsi="Times New Roman"/>
          <w:sz w:val="19"/>
          <w:szCs w:val="19"/>
          <w:color w:val="auto"/>
        </w:rPr>
      </w:pPr>
    </w:p>
    <w:p>
      <w:pPr>
        <w:ind w:left="700" w:right="80" w:firstLine="746"/>
        <w:spacing w:after="0" w:line="259" w:lineRule="auto"/>
        <w:tabs>
          <w:tab w:leader="none" w:pos="1716"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54"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(a) or (b) above would be less than the Benchmark Replacement Adjustment, the Benchmark Replacement will be deemed to be the Benchmark Replacement Adjustment for the purposes of this Agreement and the other Basic Documents.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95" w:name="page96"/>
    <w:bookmarkEnd w:id="95"/>
    <w:p>
      <w:pPr>
        <w:spacing w:after="0" w:line="269" w:lineRule="exact"/>
        <w:rPr>
          <w:sz w:val="20"/>
          <w:szCs w:val="20"/>
          <w:color w:val="auto"/>
        </w:rPr>
      </w:pPr>
    </w:p>
    <w:p>
      <w:pPr>
        <w:ind w:right="160" w:firstLine="696"/>
        <w:spacing w:after="0" w:line="255" w:lineRule="auto"/>
        <w:rPr>
          <w:sz w:val="20"/>
          <w:szCs w:val="20"/>
          <w:color w:val="auto"/>
        </w:rPr>
      </w:pPr>
      <w:r>
        <w:rPr>
          <w:rFonts w:ascii="Times New Roman" w:cs="Times New Roman" w:eastAsia="Times New Roman" w:hAnsi="Times New Roman"/>
          <w:sz w:val="19"/>
          <w:szCs w:val="19"/>
          <w:color w:val="auto"/>
        </w:rPr>
        <w:t>“Benchmark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87" w:lineRule="exact"/>
        <w:rPr>
          <w:sz w:val="20"/>
          <w:szCs w:val="20"/>
          <w:color w:val="auto"/>
        </w:rPr>
      </w:pPr>
    </w:p>
    <w:p>
      <w:pPr>
        <w:ind w:right="200" w:firstLine="696"/>
        <w:spacing w:after="0" w:line="286" w:lineRule="auto"/>
        <w:rPr>
          <w:sz w:val="20"/>
          <w:szCs w:val="20"/>
          <w:color w:val="auto"/>
        </w:rPr>
      </w:pPr>
      <w:r>
        <w:rPr>
          <w:rFonts w:ascii="Times New Roman" w:cs="Times New Roman" w:eastAsia="Times New Roman" w:hAnsi="Times New Roman"/>
          <w:sz w:val="19"/>
          <w:szCs w:val="19"/>
          <w:color w:val="auto"/>
        </w:rPr>
        <w:t>“Benchmark Replacement Date” means a date and time determined by the Administrative Agent, which date shall be no later than the earliest to occur of the following events with respect to the then-current Benchmark:</w:t>
      </w:r>
    </w:p>
    <w:p>
      <w:pPr>
        <w:spacing w:after="0" w:line="55" w:lineRule="exact"/>
        <w:rPr>
          <w:sz w:val="20"/>
          <w:szCs w:val="20"/>
          <w:color w:val="auto"/>
        </w:rPr>
      </w:pPr>
    </w:p>
    <w:p>
      <w:pPr>
        <w:ind w:left="700" w:right="300" w:firstLine="746"/>
        <w:spacing w:after="0" w:line="262" w:lineRule="auto"/>
        <w:tabs>
          <w:tab w:leader="none" w:pos="1705"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50" w:lineRule="exact"/>
        <w:rPr>
          <w:rFonts w:ascii="Times New Roman" w:cs="Times New Roman" w:eastAsia="Times New Roman" w:hAnsi="Times New Roman"/>
          <w:sz w:val="19"/>
          <w:szCs w:val="19"/>
          <w:color w:val="auto"/>
        </w:rPr>
      </w:pPr>
    </w:p>
    <w:p>
      <w:pPr>
        <w:ind w:left="700" w:firstLine="746"/>
        <w:spacing w:after="0" w:line="257" w:lineRule="auto"/>
        <w:tabs>
          <w:tab w:leader="none" w:pos="171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of the International Organization of Securities Commissions (IOSCO) Principles for Financial Benchmarks;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5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“Benchmark Transition Event” means the occurrence of one or more of the following events with respect to the then-current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w:t>
      </w:r>
    </w:p>
    <w:p>
      <w:pPr>
        <w:spacing w:after="0" w:line="108" w:lineRule="exact"/>
        <w:rPr>
          <w:sz w:val="20"/>
          <w:szCs w:val="20"/>
          <w:color w:val="auto"/>
        </w:rPr>
      </w:pPr>
    </w:p>
    <w:p>
      <w:pPr>
        <w:ind w:left="700" w:right="40" w:firstLine="746"/>
        <w:spacing w:after="0" w:line="259" w:lineRule="auto"/>
        <w:tabs>
          <w:tab w:leader="none" w:pos="1705"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96" w:name="page97"/>
    <w:bookmarkEnd w:id="96"/>
    <w:p>
      <w:pPr>
        <w:spacing w:after="0" w:line="269" w:lineRule="exact"/>
        <w:rPr>
          <w:sz w:val="20"/>
          <w:szCs w:val="20"/>
          <w:color w:val="auto"/>
        </w:rPr>
      </w:pPr>
    </w:p>
    <w:p>
      <w:pPr>
        <w:ind w:left="700" w:firstLine="746"/>
        <w:spacing w:after="0" w:line="255" w:lineRule="auto"/>
        <w:tabs>
          <w:tab w:leader="none" w:pos="171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5" w:lineRule="exact"/>
        <w:rPr>
          <w:rFonts w:ascii="Times New Roman" w:cs="Times New Roman" w:eastAsia="Times New Roman" w:hAnsi="Times New Roman"/>
          <w:sz w:val="19"/>
          <w:szCs w:val="19"/>
          <w:color w:val="auto"/>
        </w:rPr>
      </w:pPr>
    </w:p>
    <w:p>
      <w:pPr>
        <w:jc w:val="both"/>
        <w:ind w:left="700" w:right="160" w:firstLine="746"/>
        <w:spacing w:after="0" w:line="262" w:lineRule="auto"/>
        <w:tabs>
          <w:tab w:leader="none" w:pos="1705"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of the International Organization of Securities Commissions (IOSCO) Principles for Financial Benchmarks.</w:t>
      </w:r>
    </w:p>
    <w:p>
      <w:pPr>
        <w:spacing w:after="0" w:line="1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4" w:lineRule="exact"/>
        <w:rPr>
          <w:sz w:val="20"/>
          <w:szCs w:val="20"/>
          <w:color w:val="auto"/>
        </w:rPr>
      </w:pPr>
    </w:p>
    <w:p>
      <w:pPr>
        <w:jc w:val="both"/>
        <w:ind w:firstLine="696"/>
        <w:spacing w:after="0" w:line="262" w:lineRule="auto"/>
        <w:rPr>
          <w:sz w:val="20"/>
          <w:szCs w:val="20"/>
          <w:color w:val="auto"/>
        </w:rPr>
      </w:pPr>
      <w:r>
        <w:rPr>
          <w:rFonts w:ascii="Times New Roman" w:cs="Times New Roman" w:eastAsia="Times New Roman" w:hAnsi="Times New Roman"/>
          <w:sz w:val="19"/>
          <w:szCs w:val="19"/>
          <w:color w:val="auto"/>
        </w:rPr>
        <w:t>“Benchmark Unavailability Period” means the period (if any) (a) beginning at the time that a Benchmark Replacement Date has occurred if, at such time, no Benchmark Replacement has replaced the then-current Benchmark for all purposes hereunder and under any Basic Document in accordance with Section 2.18 and (b) ending at the time that a Benchmark Replacement has replaced the then-current Benchmark for all purposes hereunder and under any Basic Document in accordance with Section 2.18.</w:t>
      </w:r>
    </w:p>
    <w:p>
      <w:pPr>
        <w:spacing w:after="0" w:line="150" w:lineRule="exact"/>
        <w:rPr>
          <w:sz w:val="20"/>
          <w:szCs w:val="20"/>
          <w:color w:val="auto"/>
        </w:rPr>
      </w:pPr>
    </w:p>
    <w:p>
      <w:pPr>
        <w:ind w:right="840" w:firstLine="696"/>
        <w:spacing w:after="0" w:line="286" w:lineRule="auto"/>
        <w:rPr>
          <w:sz w:val="20"/>
          <w:szCs w:val="20"/>
          <w:color w:val="auto"/>
        </w:rPr>
      </w:pPr>
      <w:r>
        <w:rPr>
          <w:rFonts w:ascii="Times New Roman" w:cs="Times New Roman" w:eastAsia="Times New Roman" w:hAnsi="Times New Roman"/>
          <w:sz w:val="19"/>
          <w:szCs w:val="19"/>
          <w:color w:val="auto"/>
        </w:rPr>
        <w:t>“Beneficial Ownership Certification” means a certification regarding beneficial ownership required by the Beneficial Ownership Regulation.</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“Beneficial Ownership Regulation” means 31 C.F.R. § 1010.230.</w:t>
      </w:r>
    </w:p>
    <w:p>
      <w:pPr>
        <w:spacing w:after="0" w:line="202" w:lineRule="exact"/>
        <w:rPr>
          <w:sz w:val="20"/>
          <w:szCs w:val="20"/>
          <w:color w:val="auto"/>
        </w:rPr>
      </w:pPr>
    </w:p>
    <w:p>
      <w:pPr>
        <w:jc w:val="both"/>
        <w:ind w:right="80" w:firstLine="696"/>
        <w:spacing w:after="0" w:line="268" w:lineRule="auto"/>
        <w:rPr>
          <w:sz w:val="20"/>
          <w:szCs w:val="20"/>
          <w:color w:val="auto"/>
        </w:rPr>
      </w:pPr>
      <w:r>
        <w:rPr>
          <w:rFonts w:ascii="Times New Roman" w:cs="Times New Roman" w:eastAsia="Times New Roman" w:hAnsi="Times New Roman"/>
          <w:sz w:val="19"/>
          <w:szCs w:val="19"/>
          <w:color w:val="auto"/>
        </w:rPr>
        <w:t>“Benefit Plan” means (i) employee benefit plans (as defined in Section 3(3) of ERISA) that are subject to Title I of ERISA, (ii) plans described in Section 4975(e)(1) of the Code and (iii) any entities whose underlying assets include plan assets by reason of a plan’s investment in such entities.</w:t>
      </w:r>
    </w:p>
    <w:p>
      <w:pPr>
        <w:spacing w:after="0" w:line="144"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"Benefit Plan Investor" means a "benefit plan investor" as defined in Department of Labor regulation 29 C.F.R. Section 2510.3-101, as modified by Section 3(42) of ERISA.</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“Borrower” has the meaning given to such term in the Preamble.</w:t>
      </w: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7" w:name="page98"/>
    <w:bookmarkEnd w:id="97"/>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“Borrower Basic Documents” means all Basic Documents to which the Borrower is a party or by which it is bound.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“Borrower Indemnified Amounts” has the meaning given to such term in Section 10.01(a).</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“Borrower Indemnified Parties” has the meaning given to such term in Section 10.01(a).</w:t>
      </w:r>
    </w:p>
    <w:p>
      <w:pPr>
        <w:spacing w:after="0" w:line="202" w:lineRule="exact"/>
        <w:rPr>
          <w:sz w:val="20"/>
          <w:szCs w:val="20"/>
          <w:color w:val="auto"/>
        </w:rPr>
      </w:pPr>
    </w:p>
    <w:p>
      <w:pPr>
        <w:ind w:right="140" w:firstLine="696"/>
        <w:spacing w:after="0" w:line="268" w:lineRule="auto"/>
        <w:rPr>
          <w:sz w:val="20"/>
          <w:szCs w:val="20"/>
          <w:color w:val="auto"/>
        </w:rPr>
      </w:pPr>
      <w:r>
        <w:rPr>
          <w:rFonts w:ascii="Times New Roman" w:cs="Times New Roman" w:eastAsia="Times New Roman" w:hAnsi="Times New Roman"/>
          <w:sz w:val="19"/>
          <w:szCs w:val="19"/>
          <w:color w:val="auto"/>
        </w:rPr>
        <w:t>“Borrower’s Account” means the bank account of the Borrower, as notified to the Administrative Agent from time to time in writing by the Borrower, into which all Principal Amounts and amounts pursuant to Section 2.08(a)(x) (unless otherwise directed by the Borrower) shall be deposited, which account, as of the Closing Date, is in the name VFS Near Prime Trust I, at the Account Bank.</w:t>
      </w:r>
    </w:p>
    <w:p>
      <w:pPr>
        <w:spacing w:after="0" w:line="144"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“Borrowing Base” means, as of any day, an amount equal to the lesser of (i) the product of the applicable Advance Rate and the Adjusted Net Pool Balance by type of Receivable (calculated as of the previous Determination Date or, with respect to Receivables added to the Collateral following such Determination Date, but prior to or on such date of determination, the related Cutoff Date), and (ii) the Aggregate Commitment.</w:t>
      </w:r>
    </w:p>
    <w:p>
      <w:pPr>
        <w:spacing w:after="0" w:line="150" w:lineRule="exact"/>
        <w:rPr>
          <w:sz w:val="20"/>
          <w:szCs w:val="20"/>
          <w:color w:val="auto"/>
        </w:rPr>
      </w:pPr>
    </w:p>
    <w:p>
      <w:pPr>
        <w:ind w:right="320" w:firstLine="696"/>
        <w:spacing w:after="0" w:line="286" w:lineRule="auto"/>
        <w:rPr>
          <w:sz w:val="20"/>
          <w:szCs w:val="20"/>
          <w:color w:val="auto"/>
        </w:rPr>
      </w:pPr>
      <w:r>
        <w:rPr>
          <w:rFonts w:ascii="Times New Roman" w:cs="Times New Roman" w:eastAsia="Times New Roman" w:hAnsi="Times New Roman"/>
          <w:sz w:val="19"/>
          <w:szCs w:val="19"/>
          <w:color w:val="auto"/>
        </w:rPr>
        <w:t>“Borrowing Base Deficiency” means, as of any day, the positive amount, if any, by which the Loans Outstanding exceed the Borrowing Base.</w:t>
      </w:r>
    </w:p>
    <w:p>
      <w:pPr>
        <w:spacing w:after="0" w:line="127" w:lineRule="exact"/>
        <w:rPr>
          <w:sz w:val="20"/>
          <w:szCs w:val="20"/>
          <w:color w:val="auto"/>
        </w:rPr>
      </w:pPr>
    </w:p>
    <w:p>
      <w:pPr>
        <w:ind w:right="180" w:firstLine="696"/>
        <w:spacing w:after="0" w:line="268" w:lineRule="auto"/>
        <w:rPr>
          <w:sz w:val="20"/>
          <w:szCs w:val="20"/>
          <w:color w:val="auto"/>
        </w:rPr>
      </w:pPr>
      <w:r>
        <w:rPr>
          <w:rFonts w:ascii="Times New Roman" w:cs="Times New Roman" w:eastAsia="Times New Roman" w:hAnsi="Times New Roman"/>
          <w:sz w:val="19"/>
          <w:szCs w:val="19"/>
          <w:color w:val="auto"/>
        </w:rPr>
        <w:t>“Breakage Costs” means such amount or amounts as shall compensate any Lender for any loss, cost or expense (but excluding lost profits) incurred by such Lender (as reasonably determined by such Lender) as a result of any prepayment of a Loan (and interest thereon).</w:t>
      </w:r>
    </w:p>
    <w:p>
      <w:pPr>
        <w:spacing w:after="0" w:line="144" w:lineRule="exact"/>
        <w:rPr>
          <w:sz w:val="20"/>
          <w:szCs w:val="20"/>
          <w:color w:val="auto"/>
        </w:rPr>
      </w:pPr>
    </w:p>
    <w:p>
      <w:pPr>
        <w:ind w:right="60" w:firstLine="696"/>
        <w:spacing w:after="0" w:line="254" w:lineRule="auto"/>
        <w:rPr>
          <w:sz w:val="20"/>
          <w:szCs w:val="20"/>
          <w:color w:val="auto"/>
        </w:rPr>
      </w:pPr>
      <w:r>
        <w:rPr>
          <w:rFonts w:ascii="Times New Roman" w:cs="Times New Roman" w:eastAsia="Times New Roman" w:hAnsi="Times New Roman"/>
          <w:sz w:val="19"/>
          <w:szCs w:val="19"/>
          <w:color w:val="auto"/>
        </w:rPr>
        <w:t>“Business Day” means (a) with respect to all notices and determinations, in connection with the Term SOFR Rate, any day that commercial banks in New York, New York are required by law to be open for business and that is a U.S. Government Securities Business Day, which means any day other than a Saturday, Sunday, or day on which the Securities Industry and Financial Markets Association recommends that the fixed income departments of its members be closed for the entire day for purposes of trading in United States government securities and (b) in all other cases, any day on which commercial banks in Los Angeles, California, New York, New York, Chicago, Illinois, Cincinnati, Ohio, St. Paul, Minnesota or Wilmington, Delaware are required by law to be open for business; provided that, notwithstanding anything to the contrary in this definition of “Business Day”, at any time during which a Derivative with any Lender Party is then in effect with respect to all or a portion of the Obligations, then the definitions of “Business Day” and “Banking Day”, as applicable, pursuant to such Derivative shall govern with respect to all applicable notices and determinations in connection with such portion of the Obligations arising under such Derivative. Periods of days referred to in the Basic Documents will be counted in calendar days unless Business Days are expressly prescribed.</w:t>
      </w:r>
    </w:p>
    <w:p>
      <w:pPr>
        <w:spacing w:after="0" w:line="157" w:lineRule="exact"/>
        <w:rPr>
          <w:sz w:val="20"/>
          <w:szCs w:val="20"/>
          <w:color w:val="auto"/>
        </w:rPr>
      </w:pPr>
    </w:p>
    <w:p>
      <w:pPr>
        <w:ind w:right="120" w:firstLine="696"/>
        <w:spacing w:after="0" w:line="259" w:lineRule="auto"/>
        <w:rPr>
          <w:sz w:val="20"/>
          <w:szCs w:val="20"/>
          <w:color w:val="auto"/>
        </w:rPr>
      </w:pPr>
      <w:r>
        <w:rPr>
          <w:rFonts w:ascii="Times New Roman" w:cs="Times New Roman" w:eastAsia="Times New Roman" w:hAnsi="Times New Roman"/>
          <w:sz w:val="19"/>
          <w:szCs w:val="19"/>
          <w:color w:val="auto"/>
        </w:rPr>
        <w:t>“Certificate of Title” 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8" w:name="page99"/>
    <w:bookmarkEnd w:id="98"/>
    <w:p>
      <w:pPr>
        <w:spacing w:after="0" w:line="26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9"/>
          <w:szCs w:val="19"/>
          <w:color w:val="auto"/>
        </w:rPr>
        <w:t>letter or form, which, in either case, shall name the related Obligor as the owner of such Financed Vehicle and the Originator, the Borrower or the Administrative Agent, as secured party.</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“Certificate Registrar” has the meaning given to such term in the Trust Agreement.</w:t>
      </w:r>
    </w:p>
    <w:p>
      <w:pPr>
        <w:spacing w:after="0" w:line="202"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auto"/>
        </w:rPr>
        <w:t>“Change in Control” means the failure (i) of Vroom Finance Holdings, LLC to own, directly or indirectly, all of the outstanding beneficial interests of UACC, (ii) by UACC to own, directly or indirectly, all of the outstanding beneficial interests of the Borrower, or</w:t>
      </w:r>
    </w:p>
    <w:p>
      <w:pPr>
        <w:spacing w:after="0" w:line="1" w:lineRule="exact"/>
        <w:rPr>
          <w:sz w:val="20"/>
          <w:szCs w:val="20"/>
          <w:color w:val="auto"/>
        </w:rPr>
      </w:pPr>
    </w:p>
    <w:p>
      <w:pPr>
        <w:ind w:left="700" w:right="860" w:hanging="694"/>
        <w:spacing w:after="0" w:line="449" w:lineRule="auto"/>
        <w:tabs>
          <w:tab w:leader="none" w:pos="3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Vroom, Inc. to own, directly or indirectly, all of the outstanding beneficial interest of Vroom Financial Holdings, LLC. “Charged-off Receivable” means any Receivable required to be charged off in accordance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“Closing Date” means November 18, 2022.</w:t>
      </w:r>
    </w:p>
    <w:p>
      <w:pPr>
        <w:spacing w:after="0" w:line="201" w:lineRule="exact"/>
        <w:rPr>
          <w:rFonts w:ascii="Times New Roman" w:cs="Times New Roman" w:eastAsia="Times New Roman" w:hAnsi="Times New Roman"/>
          <w:sz w:val="19"/>
          <w:szCs w:val="19"/>
          <w:color w:val="auto"/>
        </w:rPr>
      </w:pPr>
    </w:p>
    <w:p>
      <w:pPr>
        <w:ind w:left="700" w:right="4700"/>
        <w:spacing w:after="0" w:line="46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means the Internal Revenue Code of 1986, as amended. “Collateral” has the meaning given to such term in Section 3.01(a).</w:t>
      </w:r>
    </w:p>
    <w:p>
      <w:pPr>
        <w:spacing w:after="0" w:line="1" w:lineRule="exact"/>
        <w:rPr>
          <w:sz w:val="20"/>
          <w:szCs w:val="20"/>
          <w:color w:val="auto"/>
        </w:rPr>
      </w:pPr>
    </w:p>
    <w:p>
      <w:pPr>
        <w:ind w:right="180" w:firstLine="696"/>
        <w:spacing w:after="0" w:line="286" w:lineRule="auto"/>
        <w:rPr>
          <w:sz w:val="20"/>
          <w:szCs w:val="20"/>
          <w:color w:val="auto"/>
        </w:rPr>
      </w:pPr>
      <w:r>
        <w:rPr>
          <w:rFonts w:ascii="Times New Roman" w:cs="Times New Roman" w:eastAsia="Times New Roman" w:hAnsi="Times New Roman"/>
          <w:sz w:val="19"/>
          <w:szCs w:val="19"/>
          <w:color w:val="auto"/>
        </w:rPr>
        <w:t>“Collection Account” means a segregated account established by the Paying Agent with the Account Bank, in the name of the Borrower, for the benefit of the Secured Parties, into which all Collections shall be deposited.</w:t>
      </w:r>
    </w:p>
    <w:p>
      <w:pPr>
        <w:spacing w:after="0" w:line="127" w:lineRule="exact"/>
        <w:rPr>
          <w:sz w:val="20"/>
          <w:szCs w:val="20"/>
          <w:color w:val="auto"/>
        </w:rPr>
      </w:pPr>
    </w:p>
    <w:p>
      <w:pPr>
        <w:ind w:right="240" w:firstLine="696"/>
        <w:spacing w:after="0" w:line="268" w:lineRule="auto"/>
        <w:rPr>
          <w:sz w:val="20"/>
          <w:szCs w:val="20"/>
          <w:color w:val="auto"/>
        </w:rPr>
      </w:pPr>
      <w:r>
        <w:rPr>
          <w:rFonts w:ascii="Times New Roman" w:cs="Times New Roman" w:eastAsia="Times New Roman" w:hAnsi="Times New Roman"/>
          <w:sz w:val="19"/>
          <w:szCs w:val="19"/>
          <w:color w:val="auto"/>
        </w:rPr>
        <w:t>“Collection Period” means, with respect to any Payment Date, the immediately preceding calendar month, except for the first Payment Date, in which case such term means the period from the opening of business the day after the initial Cutoff Date to and including the last day of December, 2022.</w:t>
      </w:r>
    </w:p>
    <w:p>
      <w:pPr>
        <w:spacing w:after="0" w:line="144" w:lineRule="exact"/>
        <w:rPr>
          <w:sz w:val="20"/>
          <w:szCs w:val="20"/>
          <w:color w:val="auto"/>
        </w:rPr>
      </w:pPr>
    </w:p>
    <w:p>
      <w:pPr>
        <w:jc w:val="both"/>
        <w:ind w:right="120" w:firstLine="696"/>
        <w:spacing w:after="0" w:line="256" w:lineRule="auto"/>
        <w:rPr>
          <w:sz w:val="20"/>
          <w:szCs w:val="20"/>
          <w:color w:val="auto"/>
        </w:rPr>
      </w:pPr>
      <w:r>
        <w:rPr>
          <w:rFonts w:ascii="Times New Roman" w:cs="Times New Roman" w:eastAsia="Times New Roman" w:hAnsi="Times New Roman"/>
          <w:sz w:val="19"/>
          <w:szCs w:val="19"/>
          <w:color w:val="auto"/>
        </w:rPr>
        <w:t>“Collections” means, with respect to any Collection Period and the related Payment Date, (i) all cash collections or other cash proceeds of any Receivable received by the Borrower and the Servicer and the Successor Servicer (including from the Originator or the Borrower) from or on behalf of any Obligor in payment of any amounts owed in respect of such Receivable, including all Release Price amounts deposited in either Account pursuant to Section 5.04, Insurance Proceeds, interest earnings in the Accounts and all Recoveries,</w:t>
      </w:r>
    </w:p>
    <w:p>
      <w:pPr>
        <w:spacing w:after="0" w:line="2" w:lineRule="exact"/>
        <w:rPr>
          <w:sz w:val="20"/>
          <w:szCs w:val="20"/>
          <w:color w:val="auto"/>
        </w:rPr>
      </w:pPr>
    </w:p>
    <w:p>
      <w:pPr>
        <w:ind w:right="200" w:firstLine="6"/>
        <w:spacing w:after="0" w:line="254" w:lineRule="auto"/>
        <w:tabs>
          <w:tab w:leader="none" w:pos="28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funds received by the Servicer (including from the Originator or the Borrower) with respect to any Receivable (exclusive of ancillary fees and extension fees, which may be retained by the Servicer), Financed Vehicle or any other Collateral, and (iii) all amounts received by the Borrower or the Servicer as proceeds of Collateral sold pursuant to Section 9.02(b)(iv); in each case received and deposited during or in respect of such Collection Period or such Payment Date.</w:t>
      </w:r>
    </w:p>
    <w:p>
      <w:pPr>
        <w:spacing w:after="0" w:line="15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“Commitment”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9" w:name="page100"/>
    <w:bookmarkEnd w:id="99"/>
    <w:p>
      <w:pPr>
        <w:spacing w:after="0" w:line="269" w:lineRule="exact"/>
        <w:rPr>
          <w:sz w:val="20"/>
          <w:szCs w:val="20"/>
          <w:color w:val="auto"/>
        </w:rPr>
      </w:pPr>
    </w:p>
    <w:p>
      <w:pPr>
        <w:ind w:right="520" w:firstLine="696"/>
        <w:spacing w:after="0" w:line="286" w:lineRule="auto"/>
        <w:rPr>
          <w:sz w:val="20"/>
          <w:szCs w:val="20"/>
          <w:color w:val="auto"/>
        </w:rPr>
      </w:pPr>
      <w:r>
        <w:rPr>
          <w:rFonts w:ascii="Times New Roman" w:cs="Times New Roman" w:eastAsia="Times New Roman" w:hAnsi="Times New Roman"/>
          <w:sz w:val="19"/>
          <w:szCs w:val="19"/>
          <w:color w:val="auto"/>
        </w:rPr>
        <w:t>“Commitment Proposed Extension Date” means the date no less than 180 days after the Closing Date or any date that the Commitment Termination Date is extended in accordance with Section 2.04.</w:t>
      </w:r>
    </w:p>
    <w:p>
      <w:pPr>
        <w:spacing w:after="0" w:line="127"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“Commitment Termination Date” means the earliest to occur of (i) April 12, 2027 or such later date to which the Commitment Termination Date may be extended in accordance with Section 2.04, (ii) Early Amortization Event and (iii) the Termination Date.</w:t>
      </w:r>
    </w:p>
    <w:p>
      <w:pPr>
        <w:spacing w:after="0" w:line="127"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“Committed Lender” means any Lender that is designated as a Committed Lender hereunder (which Commitment is set forth below such Lender’s name on the signature pages of this Agreement)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50" w:lineRule="exact"/>
        <w:rPr>
          <w:sz w:val="20"/>
          <w:szCs w:val="20"/>
          <w:color w:val="auto"/>
        </w:rPr>
      </w:pPr>
    </w:p>
    <w:p>
      <w:pPr>
        <w:ind w:right="160" w:firstLine="696"/>
        <w:spacing w:after="0" w:line="286" w:lineRule="auto"/>
        <w:rPr>
          <w:sz w:val="20"/>
          <w:szCs w:val="20"/>
          <w:color w:val="auto"/>
        </w:rPr>
      </w:pPr>
      <w:r>
        <w:rPr>
          <w:rFonts w:ascii="Times New Roman" w:cs="Times New Roman" w:eastAsia="Times New Roman" w:hAnsi="Times New Roman"/>
          <w:sz w:val="19"/>
          <w:szCs w:val="19"/>
          <w:color w:val="auto"/>
        </w:rPr>
        <w:t>“Concentration Limits” means that, as of any day during the Revolving Period and only with respects to Eligible Receivables, based on the Net Pool Balance of the related type of such Receivables and without duplication:</w:t>
      </w:r>
    </w:p>
    <w:p>
      <w:pPr>
        <w:spacing w:after="0" w:line="127" w:lineRule="exact"/>
        <w:rPr>
          <w:sz w:val="20"/>
          <w:szCs w:val="20"/>
          <w:color w:val="auto"/>
        </w:rPr>
      </w:pPr>
    </w:p>
    <w:p>
      <w:pPr>
        <w:ind w:left="700" w:firstLine="854"/>
        <w:spacing w:after="0" w:line="268" w:lineRule="auto"/>
        <w:tabs>
          <w:tab w:leader="none" w:pos="1813"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Non-Prime Receivables that cause the Weighted Average Credit Score of such Non-Prime Receivables to be less than [***], and (ii) Near-Prime Receivables that cause the Weighted Average Credit Score of such Near-Prime Receivables to be less than [***], respectively;</w:t>
      </w:r>
    </w:p>
    <w:p>
      <w:pPr>
        <w:spacing w:after="0" w:line="144" w:lineRule="exact"/>
        <w:rPr>
          <w:rFonts w:ascii="Times New Roman" w:cs="Times New Roman" w:eastAsia="Times New Roman" w:hAnsi="Times New Roman"/>
          <w:sz w:val="19"/>
          <w:szCs w:val="19"/>
          <w:color w:val="auto"/>
        </w:rPr>
      </w:pPr>
    </w:p>
    <w:p>
      <w:pPr>
        <w:ind w:left="700" w:right="280" w:firstLine="830"/>
        <w:spacing w:after="0" w:line="268" w:lineRule="auto"/>
        <w:tabs>
          <w:tab w:leader="none" w:pos="18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Non-Prime Receivables that cause the Weighted Average LTV Ratio of such Non-Prime Receivables to be greater than [***]%, and (ii) Near-Prime Receivables that cause the Weighted Average LTV Ratio of such Near-Prime Receivables to be greater than [***]%, respectively;</w:t>
      </w:r>
    </w:p>
    <w:p>
      <w:pPr>
        <w:spacing w:after="0" w:line="144" w:lineRule="exact"/>
        <w:rPr>
          <w:rFonts w:ascii="Times New Roman" w:cs="Times New Roman" w:eastAsia="Times New Roman" w:hAnsi="Times New Roman"/>
          <w:sz w:val="19"/>
          <w:szCs w:val="19"/>
          <w:color w:val="auto"/>
        </w:rPr>
      </w:pPr>
    </w:p>
    <w:p>
      <w:pPr>
        <w:ind w:left="700" w:right="80" w:firstLine="854"/>
        <w:spacing w:after="0" w:line="256" w:lineRule="auto"/>
        <w:tabs>
          <w:tab w:leader="none" w:pos="1816" w:val="left"/>
        </w:tabs>
        <w:numPr>
          <w:ilvl w:val="1"/>
          <w:numId w:val="2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Eligible Receivables related to Obligors with mailing addresses in any State exceeding [***]% of the Net Pool Balance for three consecutive months or more, and for which the Borrower has not within 30 days of the occurrence thereof, furnished to the Secured Parties favorable Opinions of Counsel for the Borrower, in form and substance satisfactory to the Administrative Agent, covering each such State,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w:t>
      </w:r>
    </w:p>
    <w:p>
      <w:pPr>
        <w:spacing w:after="0" w:line="157" w:lineRule="exact"/>
        <w:rPr>
          <w:sz w:val="20"/>
          <w:szCs w:val="20"/>
          <w:color w:val="auto"/>
        </w:rPr>
      </w:pPr>
    </w:p>
    <w:p>
      <w:pPr>
        <w:ind w:left="700" w:right="220" w:firstLine="830"/>
        <w:spacing w:after="0" w:line="286" w:lineRule="auto"/>
        <w:tabs>
          <w:tab w:leader="none" w:pos="1804" w:val="left"/>
        </w:tabs>
        <w:numPr>
          <w:ilvl w:val="0"/>
          <w:numId w:val="3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Non-Prime Receivables that with obligors that do not have FICO® Scores are no more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of the Net Pool Balance of Non-Prime Receivables;</w:t>
      </w:r>
    </w:p>
    <w:p>
      <w:pPr>
        <w:spacing w:after="0" w:line="127" w:lineRule="exact"/>
        <w:rPr>
          <w:rFonts w:ascii="Times New Roman" w:cs="Times New Roman" w:eastAsia="Times New Roman" w:hAnsi="Times New Roman"/>
          <w:sz w:val="19"/>
          <w:szCs w:val="19"/>
          <w:color w:val="1F3763"/>
        </w:rPr>
      </w:pPr>
    </w:p>
    <w:p>
      <w:pPr>
        <w:ind w:left="700" w:right="260" w:firstLine="854"/>
        <w:spacing w:after="0" w:line="268" w:lineRule="auto"/>
        <w:tabs>
          <w:tab w:leader="none" w:pos="1816" w:val="left"/>
        </w:tabs>
        <w:numPr>
          <w:ilvl w:val="1"/>
          <w:numId w:val="3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(i) Near-Prime Receivables that cause the Weighted Average PTI Ratio of such Near-Prime Receivables to be greater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Non-Prime Receivables that cause the Weighted Average PTI Ratio of such Non-Prime Receivables to be greater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or</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00" w:name="page101"/>
    <w:bookmarkEnd w:id="100"/>
    <w:p>
      <w:pPr>
        <w:spacing w:after="0" w:line="269" w:lineRule="exact"/>
        <w:rPr>
          <w:sz w:val="20"/>
          <w:szCs w:val="20"/>
          <w:color w:val="auto"/>
        </w:rPr>
      </w:pPr>
    </w:p>
    <w:p>
      <w:pPr>
        <w:ind w:left="700" w:right="140" w:firstLine="878"/>
        <w:spacing w:after="0" w:line="286" w:lineRule="auto"/>
        <w:tabs>
          <w:tab w:leader="none" w:pos="1816" w:val="left"/>
        </w:tabs>
        <w:numPr>
          <w:ilvl w:val="0"/>
          <w:numId w:val="3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only with respect to Near-Prime Receivables, no more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of the Net Pool Balance of such Near-Prime Receivables have an original term of more than 72 months.</w:t>
      </w:r>
    </w:p>
    <w:p>
      <w:pPr>
        <w:spacing w:after="0" w:line="127" w:lineRule="exact"/>
        <w:rPr>
          <w:sz w:val="20"/>
          <w:szCs w:val="20"/>
          <w:color w:val="auto"/>
        </w:rPr>
      </w:pPr>
    </w:p>
    <w:p>
      <w:pPr>
        <w:ind w:right="540" w:firstLine="696"/>
        <w:spacing w:after="0" w:line="286" w:lineRule="auto"/>
        <w:rPr>
          <w:sz w:val="20"/>
          <w:szCs w:val="20"/>
          <w:color w:val="auto"/>
        </w:rPr>
      </w:pPr>
      <w:r>
        <w:rPr>
          <w:rFonts w:ascii="Times New Roman" w:cs="Times New Roman" w:eastAsia="Times New Roman" w:hAnsi="Times New Roman"/>
          <w:sz w:val="19"/>
          <w:szCs w:val="19"/>
          <w:color w:val="auto"/>
        </w:rPr>
        <w:t>provided that Schedule C-1 Receivables shall not be included in the calculations of the Concentration Limits described in paragraphs (b) and (e) above.</w:t>
      </w:r>
    </w:p>
    <w:p>
      <w:pPr>
        <w:spacing w:after="0" w:line="127" w:lineRule="exact"/>
        <w:rPr>
          <w:sz w:val="20"/>
          <w:szCs w:val="20"/>
          <w:color w:val="auto"/>
        </w:rPr>
      </w:pPr>
    </w:p>
    <w:p>
      <w:pPr>
        <w:ind w:right="120" w:firstLine="696"/>
        <w:spacing w:after="0" w:line="254" w:lineRule="auto"/>
        <w:rPr>
          <w:sz w:val="20"/>
          <w:szCs w:val="20"/>
          <w:color w:val="auto"/>
        </w:rPr>
      </w:pPr>
      <w:r>
        <w:rPr>
          <w:rFonts w:ascii="Times New Roman" w:cs="Times New Roman" w:eastAsia="Times New Roman" w:hAnsi="Times New Roman"/>
          <w:sz w:val="19"/>
          <w:szCs w:val="19"/>
          <w:color w:val="auto"/>
        </w:rPr>
        <w:t>“Confidential Information” means any information with respect to the Borrower or UACC, their respective businesses or financial condition, the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from a third party who is not known by such Person to be subject to an obligation of confidentiality or otherwise prohibited from transmitting such information.</w:t>
      </w:r>
    </w:p>
    <w:p>
      <w:pPr>
        <w:spacing w:after="0" w:line="160"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“Conforming Changes”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Basic Documents).</w:t>
      </w:r>
    </w:p>
    <w:p>
      <w:pPr>
        <w:spacing w:after="0" w:line="165" w:lineRule="exact"/>
        <w:rPr>
          <w:sz w:val="20"/>
          <w:szCs w:val="20"/>
          <w:color w:val="auto"/>
        </w:rPr>
      </w:pPr>
    </w:p>
    <w:p>
      <w:pPr>
        <w:ind w:right="760" w:firstLine="696"/>
        <w:spacing w:after="0" w:line="286" w:lineRule="auto"/>
        <w:rPr>
          <w:sz w:val="20"/>
          <w:szCs w:val="20"/>
          <w:color w:val="auto"/>
        </w:rPr>
      </w:pPr>
      <w:r>
        <w:rPr>
          <w:rFonts w:ascii="Times New Roman" w:cs="Times New Roman" w:eastAsia="Times New Roman" w:hAnsi="Times New Roman"/>
          <w:sz w:val="19"/>
          <w:szCs w:val="19"/>
          <w:color w:val="auto"/>
        </w:rPr>
        <w:t>“Connection Income Taxes” means Other Connection Taxes that are imposed on or measured by net income (however denominated) or that are franchise Taxes or branch profits Taxes.</w:t>
      </w:r>
    </w:p>
    <w:p>
      <w:pPr>
        <w:spacing w:after="0" w:line="127" w:lineRule="exact"/>
        <w:rPr>
          <w:sz w:val="20"/>
          <w:szCs w:val="20"/>
          <w:color w:val="auto"/>
        </w:rPr>
      </w:pPr>
    </w:p>
    <w:p>
      <w:pPr>
        <w:ind w:right="140" w:firstLine="696"/>
        <w:spacing w:after="0" w:line="268" w:lineRule="auto"/>
        <w:rPr>
          <w:sz w:val="20"/>
          <w:szCs w:val="20"/>
          <w:color w:val="auto"/>
        </w:rPr>
      </w:pPr>
      <w:r>
        <w:rPr>
          <w:rFonts w:ascii="Times New Roman" w:cs="Times New Roman" w:eastAsia="Times New Roman" w:hAnsi="Times New Roman"/>
          <w:sz w:val="19"/>
          <w:szCs w:val="19"/>
          <w:color w:val="auto"/>
        </w:rPr>
        <w:t>“Contract” means any retail installment sale contract executed by an Obligor for a Financed Vehicle under which an extension of credit by the Originator is made in the ordinary course of business to such Obligor and which is secured by the related Financed Vehicle which the Borrower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1" w:name="page102"/>
    <w:bookmarkEnd w:id="10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acquires all right, title or interest to from UACC pursuant to the Purchase Agreement or a related Transfer Agreement.</w:t>
      </w:r>
    </w:p>
    <w:p>
      <w:pPr>
        <w:spacing w:after="0" w:line="202"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“Contractual Obligation” 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spacing w:after="0" w:line="144"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“Cram Down Loss” 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greater of the contract rate or the rate of interest specified by the court in such order) of the Scheduled Payments as so modified or restructured. A “Cram Down Loss” shall be deemed to have occurred on the date such order is entered.</w:t>
      </w:r>
    </w:p>
    <w:p>
      <w:pPr>
        <w:spacing w:after="0" w:line="154" w:lineRule="exact"/>
        <w:rPr>
          <w:sz w:val="20"/>
          <w:szCs w:val="20"/>
          <w:color w:val="auto"/>
        </w:rPr>
      </w:pPr>
    </w:p>
    <w:p>
      <w:pPr>
        <w:ind w:right="180" w:firstLine="696"/>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means, (x) with respect to the initial Servicer,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as in effect on the Closing Date, is attached hereto as Exhibit D.</w:t>
      </w:r>
    </w:p>
    <w:p>
      <w:pPr>
        <w:spacing w:after="0" w:line="127" w:lineRule="exact"/>
        <w:rPr>
          <w:sz w:val="20"/>
          <w:szCs w:val="20"/>
          <w:color w:val="auto"/>
        </w:rPr>
      </w:pPr>
    </w:p>
    <w:p>
      <w:pPr>
        <w:ind w:right="820" w:firstLine="696"/>
        <w:spacing w:after="0" w:line="286" w:lineRule="auto"/>
        <w:rPr>
          <w:sz w:val="20"/>
          <w:szCs w:val="20"/>
          <w:color w:val="auto"/>
        </w:rPr>
      </w:pPr>
      <w:r>
        <w:rPr>
          <w:rFonts w:ascii="Times New Roman" w:cs="Times New Roman" w:eastAsia="Times New Roman" w:hAnsi="Times New Roman"/>
          <w:sz w:val="19"/>
          <w:szCs w:val="19"/>
          <w:color w:val="auto"/>
        </w:rPr>
        <w:t>“Custodial Agreement” means a Custodial Agreement entered into between the Administrative Agent and a successor Custodian, pursuant to Section 7.19(j).</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“Custodian” means, (i) so long as no Custodian Termination Event has occurred, UACC, acting directly as Custodian and/or</w:t>
      </w:r>
    </w:p>
    <w:p>
      <w:pPr>
        <w:spacing w:after="0" w:line="32" w:lineRule="exact"/>
        <w:rPr>
          <w:sz w:val="20"/>
          <w:szCs w:val="20"/>
          <w:color w:val="auto"/>
        </w:rPr>
      </w:pPr>
    </w:p>
    <w:p>
      <w:pPr>
        <w:ind w:right="560" w:firstLine="6"/>
        <w:spacing w:after="0" w:line="262" w:lineRule="auto"/>
        <w:tabs>
          <w:tab w:leader="none" w:pos="468" w:val="left"/>
        </w:tabs>
        <w:numPr>
          <w:ilvl w:val="0"/>
          <w:numId w:val="32"/>
        </w:numPr>
        <w:rPr>
          <w:rFonts w:ascii="Times New Roman" w:cs="Times New Roman" w:eastAsia="Times New Roman" w:hAnsi="Times New Roman"/>
          <w:sz w:val="19"/>
          <w:szCs w:val="19"/>
          <w:color w:val="222222"/>
        </w:rPr>
      </w:pPr>
      <w:r>
        <w:rPr>
          <w:rFonts w:ascii="Times New Roman" w:cs="Times New Roman" w:eastAsia="Times New Roman" w:hAnsi="Times New Roman"/>
          <w:sz w:val="19"/>
          <w:szCs w:val="19"/>
          <w:color w:val="auto"/>
        </w:rPr>
        <w:t>as an agent of UACC, and (ii) following the occurrence of a Custodian Termination Event, a successor Custodian appointed pursuant to Section 7.19(j).</w:t>
      </w:r>
    </w:p>
    <w:p>
      <w:pPr>
        <w:spacing w:after="0" w:line="149" w:lineRule="exact"/>
        <w:rPr>
          <w:sz w:val="20"/>
          <w:szCs w:val="20"/>
          <w:color w:val="auto"/>
        </w:rPr>
      </w:pPr>
    </w:p>
    <w:p>
      <w:pPr>
        <w:ind w:right="240" w:firstLine="696"/>
        <w:spacing w:after="0" w:line="268" w:lineRule="auto"/>
        <w:rPr>
          <w:sz w:val="20"/>
          <w:szCs w:val="20"/>
          <w:color w:val="auto"/>
        </w:rPr>
      </w:pPr>
      <w:r>
        <w:rPr>
          <w:rFonts w:ascii="Times New Roman" w:cs="Times New Roman" w:eastAsia="Times New Roman" w:hAnsi="Times New Roman"/>
          <w:sz w:val="19"/>
          <w:szCs w:val="19"/>
          <w:color w:val="auto"/>
        </w:rPr>
        <w:t>“Custodian Fee” means the fee payable to the Custodian on each Payment Date in accordance with Section 2.12(b), in an amount equal to, if the Custodian is (i) UACC, $0 (as the Servicing Fee covers the compensation of UACC as Custodian), and (ii) any entity other than UACC, the amount agreed upon by such successor Custodian, the Borrower and the Administrative Agent.</w:t>
      </w:r>
    </w:p>
    <w:p>
      <w:pPr>
        <w:spacing w:after="0" w:line="144"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color w:val="auto"/>
        </w:rPr>
        <w:t>“Custodian Termination Event” means (i) the occurrence of a Termination Date, (ii) the resignation of the Servicer pursuant to Section 7.13 or (iii) the termination of the rights and obligations of the Servicer pursuant to Section 7.14.</w:t>
      </w:r>
    </w:p>
    <w:p>
      <w:pPr>
        <w:spacing w:after="0" w:line="127" w:lineRule="exact"/>
        <w:rPr>
          <w:sz w:val="20"/>
          <w:szCs w:val="20"/>
          <w:color w:val="auto"/>
        </w:rPr>
      </w:pPr>
    </w:p>
    <w:p>
      <w:pPr>
        <w:ind w:right="500" w:firstLine="696"/>
        <w:spacing w:after="0" w:line="286" w:lineRule="auto"/>
        <w:rPr>
          <w:sz w:val="20"/>
          <w:szCs w:val="20"/>
          <w:color w:val="auto"/>
        </w:rPr>
      </w:pPr>
      <w:r>
        <w:rPr>
          <w:rFonts w:ascii="Times New Roman" w:cs="Times New Roman" w:eastAsia="Times New Roman" w:hAnsi="Times New Roman"/>
          <w:sz w:val="19"/>
          <w:szCs w:val="19"/>
          <w:color w:val="auto"/>
        </w:rPr>
        <w:t>“Cutoff Date” means, with respect to Receivables transferred to the Borrower on each Funding Date, such date as shall be identified as the Cutoff Date in the related Funding Request.</w:t>
      </w:r>
    </w:p>
    <w:p>
      <w:pPr>
        <w:spacing w:after="0" w:line="127" w:lineRule="exact"/>
        <w:rPr>
          <w:sz w:val="20"/>
          <w:szCs w:val="20"/>
          <w:color w:val="auto"/>
        </w:rPr>
      </w:pPr>
    </w:p>
    <w:p>
      <w:pPr>
        <w:ind w:right="400" w:firstLine="696"/>
        <w:spacing w:after="0" w:line="259" w:lineRule="auto"/>
        <w:rPr>
          <w:sz w:val="20"/>
          <w:szCs w:val="20"/>
          <w:color w:val="auto"/>
        </w:rPr>
      </w:pPr>
      <w:r>
        <w:rPr>
          <w:rFonts w:ascii="Times New Roman" w:cs="Times New Roman" w:eastAsia="Times New Roman" w:hAnsi="Times New Roman"/>
          <w:sz w:val="19"/>
          <w:szCs w:val="19"/>
          <w:color w:val="auto"/>
        </w:rPr>
        <w:t>“Daily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2" w:name="page103"/>
    <w:bookmarkEnd w:id="102"/>
    <w:p>
      <w:pPr>
        <w:spacing w:after="0" w:line="269" w:lineRule="exact"/>
        <w:rPr>
          <w:sz w:val="20"/>
          <w:szCs w:val="20"/>
          <w:color w:val="auto"/>
        </w:rPr>
      </w:pPr>
    </w:p>
    <w:p>
      <w:pPr>
        <w:ind w:right="80" w:firstLine="696"/>
        <w:spacing w:after="0" w:line="262" w:lineRule="auto"/>
        <w:rPr>
          <w:sz w:val="20"/>
          <w:szCs w:val="20"/>
          <w:color w:val="auto"/>
        </w:rPr>
      </w:pPr>
      <w:r>
        <w:rPr>
          <w:rFonts w:ascii="Times New Roman" w:cs="Times New Roman" w:eastAsia="Times New Roman" w:hAnsi="Times New Roman"/>
          <w:sz w:val="19"/>
          <w:szCs w:val="19"/>
          <w:color w:val="auto"/>
        </w:rPr>
        <w:t>“Dealer” 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spacing w:after="0" w:line="150" w:lineRule="exact"/>
        <w:rPr>
          <w:sz w:val="20"/>
          <w:szCs w:val="20"/>
          <w:color w:val="auto"/>
        </w:rPr>
      </w:pPr>
    </w:p>
    <w:p>
      <w:pPr>
        <w:ind w:right="280" w:firstLine="696"/>
        <w:spacing w:after="0" w:line="257" w:lineRule="auto"/>
        <w:rPr>
          <w:sz w:val="20"/>
          <w:szCs w:val="20"/>
          <w:color w:val="auto"/>
        </w:rPr>
      </w:pPr>
      <w:r>
        <w:rPr>
          <w:rFonts w:ascii="Times New Roman" w:cs="Times New Roman" w:eastAsia="Times New Roman" w:hAnsi="Times New Roman"/>
          <w:sz w:val="19"/>
          <w:szCs w:val="19"/>
          <w:color w:val="auto"/>
        </w:rPr>
        <w:t>“Dealer Agreement” 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the related receivables sold by such Dealer, including that such Dealer has all applicable licenses and approvals to originate receivables, and (ii) the agreement of such Dealer to repurchase contracts and any related receivable with respect to which one or more of such representations and warranties has been breached.</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“Default Rate” means the sum of (a) the Term SOFR Rate or the Base Rate, as the case may be, and (b)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696"/>
        <w:spacing w:after="0" w:line="258" w:lineRule="auto"/>
        <w:rPr>
          <w:sz w:val="20"/>
          <w:szCs w:val="20"/>
          <w:color w:val="auto"/>
        </w:rPr>
      </w:pPr>
      <w:r>
        <w:rPr>
          <w:rFonts w:ascii="Times New Roman" w:cs="Times New Roman" w:eastAsia="Times New Roman" w:hAnsi="Times New Roman"/>
          <w:sz w:val="19"/>
          <w:szCs w:val="19"/>
          <w:color w:val="auto"/>
        </w:rPr>
        <w:t xml:space="preserve">“Defaulted Receivable” means, with respect to any Collection Period, a Receivable for which, as of the related Determination Date, (i) the Servicer has repossessed the related Financed Vehicle and either (a) the Servicer has sold and received proceeds on each sale for such Financed Vehicle and received the proceeds of such sale or (b) 90 days have passed since repossession, (ii) the Servicer has determined in good faith and in accordance with its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that it has received all amounts it expects to recover, or (iii) 10% or more of a scheduled payment became 121 or more days delinquent (or 211 or more days delinquent, in the case of a repossessed Financed Vehicle).</w:t>
      </w:r>
    </w:p>
    <w:p>
      <w:pPr>
        <w:spacing w:after="0" w:line="386" w:lineRule="exact"/>
        <w:rPr>
          <w:sz w:val="20"/>
          <w:szCs w:val="20"/>
          <w:color w:val="auto"/>
        </w:rPr>
      </w:pPr>
    </w:p>
    <w:p>
      <w:pPr>
        <w:jc w:val="both"/>
        <w:ind w:right="60" w:firstLine="696"/>
        <w:spacing w:after="0" w:line="268" w:lineRule="auto"/>
        <w:rPr>
          <w:sz w:val="20"/>
          <w:szCs w:val="20"/>
          <w:color w:val="auto"/>
        </w:rPr>
      </w:pPr>
      <w:r>
        <w:rPr>
          <w:rFonts w:ascii="Times New Roman" w:cs="Times New Roman" w:eastAsia="Times New Roman" w:hAnsi="Times New Roman"/>
          <w:sz w:val="19"/>
          <w:szCs w:val="19"/>
          <w:color w:val="auto"/>
        </w:rPr>
        <w:t>“Delinquency Ratio” 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aggregate Principal Balance of all Eligible Receivables as of such Determination Date.</w:t>
      </w:r>
    </w:p>
    <w:p>
      <w:pPr>
        <w:spacing w:after="0" w:line="144" w:lineRule="exact"/>
        <w:rPr>
          <w:sz w:val="20"/>
          <w:szCs w:val="20"/>
          <w:color w:val="auto"/>
        </w:rPr>
      </w:pPr>
    </w:p>
    <w:p>
      <w:pPr>
        <w:ind w:right="340" w:firstLine="696"/>
        <w:spacing w:after="0" w:line="286" w:lineRule="auto"/>
        <w:rPr>
          <w:sz w:val="20"/>
          <w:szCs w:val="20"/>
          <w:color w:val="auto"/>
        </w:rPr>
      </w:pPr>
      <w:r>
        <w:rPr>
          <w:rFonts w:ascii="Times New Roman" w:cs="Times New Roman" w:eastAsia="Times New Roman" w:hAnsi="Times New Roman"/>
          <w:sz w:val="19"/>
          <w:szCs w:val="19"/>
          <w:color w:val="auto"/>
        </w:rPr>
        <w:t>“Delinquent Receivable” means any Receivable, other than a Defaulted Receivable, with respect to which more than 10% of any Scheduled Payment remains unpaid for more than 61 days after the related due date.</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“Deliver” means (x) with respect to a Tangible Contract or other item in a Receivable File (other than an Electronic Contract), to deliver physical possession of such Tangible Contract or item via personal delivery or reputable overnight delivery service and (y) with respect to an Electronic Contract, to initiate a transfer (or cause the Originator to initiate a transfer) of such Electronic Contract from the Originator Vault Partition to the Warehouse Vault Partition. The terms “Delivery” and “Delivered” have corollary meanings.</w:t>
      </w:r>
    </w:p>
    <w:p>
      <w:pPr>
        <w:spacing w:after="0" w:line="150" w:lineRule="exact"/>
        <w:rPr>
          <w:sz w:val="20"/>
          <w:szCs w:val="20"/>
          <w:color w:val="auto"/>
        </w:rPr>
      </w:pPr>
    </w:p>
    <w:p>
      <w:pPr>
        <w:ind w:right="400" w:firstLine="696"/>
        <w:spacing w:after="0" w:line="268" w:lineRule="auto"/>
        <w:rPr>
          <w:sz w:val="20"/>
          <w:szCs w:val="20"/>
          <w:color w:val="auto"/>
        </w:rPr>
      </w:pPr>
      <w:r>
        <w:rPr>
          <w:rFonts w:ascii="Times New Roman" w:cs="Times New Roman" w:eastAsia="Times New Roman" w:hAnsi="Times New Roman"/>
          <w:sz w:val="19"/>
          <w:szCs w:val="19"/>
          <w:color w:val="auto"/>
        </w:rPr>
        <w:t>“Derivative” means any (i) exchange-traded or over-the -counter forward, future, option, swap, cap, collar, floor or foreign exchange contract or any combination of the foregoing, whether for physical delivery or cash settlement, relating to any interest rate, interest rate index, currency,</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3" w:name="page104"/>
    <w:bookmarkEnd w:id="103"/>
    <w:p>
      <w:pPr>
        <w:spacing w:after="0" w:line="26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spacing w:after="0" w:line="150" w:lineRule="exact"/>
        <w:rPr>
          <w:sz w:val="20"/>
          <w:szCs w:val="20"/>
          <w:color w:val="auto"/>
        </w:rPr>
      </w:pPr>
    </w:p>
    <w:p>
      <w:pPr>
        <w:ind w:right="800" w:firstLine="696"/>
        <w:spacing w:after="0" w:line="286" w:lineRule="auto"/>
        <w:rPr>
          <w:sz w:val="20"/>
          <w:szCs w:val="20"/>
          <w:color w:val="auto"/>
        </w:rPr>
      </w:pPr>
      <w:r>
        <w:rPr>
          <w:rFonts w:ascii="Times New Roman" w:cs="Times New Roman" w:eastAsia="Times New Roman" w:hAnsi="Times New Roman"/>
          <w:sz w:val="19"/>
          <w:szCs w:val="19"/>
          <w:color w:val="auto"/>
        </w:rPr>
        <w:t>“Determination Date” means, with respect to any Payment Date and the related Collection Period, the last day of such Collection Period.</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“Dissenting Lender” means a Non-Extending Lender from the date of its refusal notice or the end of the Election Period.</w:t>
      </w:r>
    </w:p>
    <w:p>
      <w:pPr>
        <w:spacing w:after="0" w:line="202" w:lineRule="exact"/>
        <w:rPr>
          <w:sz w:val="20"/>
          <w:szCs w:val="20"/>
          <w:color w:val="auto"/>
        </w:rPr>
      </w:pPr>
    </w:p>
    <w:p>
      <w:pPr>
        <w:jc w:val="both"/>
        <w:ind w:right="160" w:firstLine="696"/>
        <w:spacing w:after="0" w:line="286" w:lineRule="auto"/>
        <w:rPr>
          <w:sz w:val="20"/>
          <w:szCs w:val="20"/>
          <w:color w:val="auto"/>
        </w:rPr>
      </w:pPr>
      <w:r>
        <w:rPr>
          <w:rFonts w:ascii="Times New Roman" w:cs="Times New Roman" w:eastAsia="Times New Roman" w:hAnsi="Times New Roman"/>
          <w:sz w:val="19"/>
          <w:szCs w:val="19"/>
          <w:color w:val="auto"/>
        </w:rPr>
        <w:t>“Dodd-Frank Act” means The Dodd-Frank Wall Street Reform and Consumer Protection Act (Pub.L. 111-203, H.R. 4173), as amended.</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“Dollars” or “$” means the lawful currency of the United States.</w:t>
      </w:r>
    </w:p>
    <w:p>
      <w:pPr>
        <w:spacing w:after="0" w:line="202" w:lineRule="exact"/>
        <w:rPr>
          <w:sz w:val="20"/>
          <w:szCs w:val="20"/>
          <w:color w:val="auto"/>
        </w:rPr>
      </w:pPr>
    </w:p>
    <w:p>
      <w:pPr>
        <w:jc w:val="both"/>
        <w:ind w:right="140" w:firstLine="696"/>
        <w:spacing w:after="0" w:line="268" w:lineRule="auto"/>
        <w:rPr>
          <w:sz w:val="20"/>
          <w:szCs w:val="20"/>
          <w:color w:val="auto"/>
        </w:rPr>
      </w:pPr>
      <w:r>
        <w:rPr>
          <w:rFonts w:ascii="Times New Roman" w:cs="Times New Roman" w:eastAsia="Times New Roman" w:hAnsi="Times New Roman"/>
          <w:sz w:val="19"/>
          <w:szCs w:val="19"/>
          <w:color w:val="auto"/>
        </w:rPr>
        <w:t>“E-Vault Access Agreement” shall mean an access agreement by and between the E-Vault Provider and the Custodian in form and substance satisfactory to the Administrative Agent, with such changes as may be agreed to in writing by the Administrative Agent from time to time.</w:t>
      </w:r>
    </w:p>
    <w:p>
      <w:pPr>
        <w:spacing w:after="0" w:line="144" w:lineRule="exact"/>
        <w:rPr>
          <w:sz w:val="20"/>
          <w:szCs w:val="20"/>
          <w:color w:val="auto"/>
        </w:rPr>
      </w:pPr>
    </w:p>
    <w:p>
      <w:pPr>
        <w:ind w:right="560" w:firstLine="696"/>
        <w:spacing w:after="0" w:line="286" w:lineRule="auto"/>
        <w:rPr>
          <w:sz w:val="20"/>
          <w:szCs w:val="20"/>
          <w:color w:val="auto"/>
        </w:rPr>
      </w:pPr>
      <w:r>
        <w:rPr>
          <w:rFonts w:ascii="Times New Roman" w:cs="Times New Roman" w:eastAsia="Times New Roman" w:hAnsi="Times New Roman"/>
          <w:sz w:val="19"/>
          <w:szCs w:val="19"/>
          <w:color w:val="auto"/>
        </w:rPr>
        <w:t xml:space="preserve">“E-Vault Provider” shall mean as of the Closing Date,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thereafter, any other party hired by UACC to process the origination and execution of and to maintain control of the electronic contracts that is satisfactory to the Administrative Agent.</w:t>
      </w:r>
    </w:p>
    <w:p>
      <w:pPr>
        <w:spacing w:after="0" w:line="127" w:lineRule="exact"/>
        <w:rPr>
          <w:sz w:val="20"/>
          <w:szCs w:val="20"/>
          <w:color w:val="auto"/>
        </w:rPr>
      </w:pPr>
    </w:p>
    <w:p>
      <w:pPr>
        <w:ind w:right="440" w:firstLine="696"/>
        <w:spacing w:after="0" w:line="286" w:lineRule="auto"/>
        <w:rPr>
          <w:sz w:val="20"/>
          <w:szCs w:val="20"/>
          <w:color w:val="auto"/>
        </w:rPr>
      </w:pPr>
      <w:r>
        <w:rPr>
          <w:rFonts w:ascii="Times New Roman" w:cs="Times New Roman" w:eastAsia="Times New Roman" w:hAnsi="Times New Roman"/>
          <w:sz w:val="19"/>
          <w:szCs w:val="19"/>
          <w:color w:val="auto"/>
        </w:rPr>
        <w:t>“E-Vault System” shall mean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Authoritative Copy System” maintained by the E-Vault Provider (if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or any similar system maintained by any other E-Vault Provider.</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“Early Amortization Event” shall mean </w:t>
      </w:r>
      <w:r>
        <w:rPr>
          <w:rFonts w:ascii="Times New Roman" w:cs="Times New Roman" w:eastAsia="Times New Roman" w:hAnsi="Times New Roman"/>
          <w:sz w:val="19"/>
          <w:szCs w:val="19"/>
          <w:color w:val="222222"/>
        </w:rPr>
        <w:t>[***].</w:t>
      </w:r>
    </w:p>
    <w:p>
      <w:pPr>
        <w:spacing w:after="0" w:line="183" w:lineRule="exact"/>
        <w:rPr>
          <w:sz w:val="20"/>
          <w:szCs w:val="20"/>
          <w:color w:val="auto"/>
        </w:rPr>
      </w:pPr>
    </w:p>
    <w:p>
      <w:pPr>
        <w:ind w:left="760"/>
        <w:spacing w:after="0" w:line="219" w:lineRule="exact"/>
        <w:rPr>
          <w:sz w:val="20"/>
          <w:szCs w:val="20"/>
          <w:color w:val="auto"/>
        </w:rPr>
      </w:pPr>
      <w:r>
        <w:rPr>
          <w:rFonts w:ascii="Times New Roman" w:cs="Times New Roman" w:eastAsia="Times New Roman" w:hAnsi="Times New Roman"/>
          <w:sz w:val="19"/>
          <w:szCs w:val="19"/>
          <w:color w:val="auto"/>
        </w:rPr>
        <w:t>“Election Period” means the 60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following the date of a request for an extension pursuant to Section 2.04.</w:t>
      </w:r>
    </w:p>
    <w:p>
      <w:pPr>
        <w:spacing w:after="0" w:line="221"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“Electronic Collateral Control Agreement” shall mean an electronic collateral control agreement by and among the E-Vault Provider, the Borrower, the Custodian and the Administrative Agent in form and substance satisfactory to the Administrative Agent, with such changes as may be agreed to in writing by the Administrative Agent from time to time.</w:t>
      </w:r>
    </w:p>
    <w:p>
      <w:pPr>
        <w:spacing w:after="0" w:line="144"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“Electronic Contract” means a Contract that constitutes “electronic chattel paper” under and as defined in Section 9-102(31) of the UCC.</w:t>
      </w:r>
    </w:p>
    <w:p>
      <w:pPr>
        <w:spacing w:after="0" w:line="127"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“Eligible Assignee” means a Person (i) whose short- term rating is not less than the Short-Term Rating Requirement, or whose obligations under this Agreement are guaranteed by a Person whose short- term rating is not less than the Short-Term Rating Requirement, (ii) who is either a multi-seller commercial paper conduit or an Affiliate of a Secured Party or (iii) who is acceptable to the Administrative Agent; provided that, so long as no Termination Event or Servicer Termination Event has occurred and is continuing, such Person, if not an Affiliate of a Secured Party, shall be acceptable to the Borrower.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4" w:name="page105"/>
    <w:bookmarkEnd w:id="104"/>
    <w:p>
      <w:pPr>
        <w:spacing w:after="0" w:line="269" w:lineRule="exact"/>
        <w:rPr>
          <w:sz w:val="20"/>
          <w:szCs w:val="20"/>
          <w:color w:val="auto"/>
        </w:rPr>
      </w:pPr>
    </w:p>
    <w:p>
      <w:pPr>
        <w:ind w:right="280" w:firstLine="696"/>
        <w:spacing w:after="0" w:line="262" w:lineRule="auto"/>
        <w:rPr>
          <w:sz w:val="20"/>
          <w:szCs w:val="20"/>
          <w:color w:val="auto"/>
        </w:rPr>
      </w:pPr>
      <w:r>
        <w:rPr>
          <w:rFonts w:ascii="Times New Roman" w:cs="Times New Roman" w:eastAsia="Times New Roman" w:hAnsi="Times New Roman"/>
          <w:sz w:val="19"/>
          <w:szCs w:val="19"/>
          <w:color w:val="auto"/>
        </w:rPr>
        <w:t>“Eligible Receivable” means, on any day, any Receivable (i) for which the related Receivable File is in the possession of the Servicer or the Custodian, (ii) which is identified on the Schedule of Receivables delivered by the Borrower to the Secured Parties as part of a Funding Request and (iii) (x) which satisfies each of the eligibility requirements set forth on Schedule B hereto or (y) is a Schedule C-1 Receivable.</w:t>
      </w:r>
    </w:p>
    <w:p>
      <w:pPr>
        <w:spacing w:after="0" w:line="150"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“ERISA” means the Employee Retirement Income Security Act of 1974, and the regulations promulgated and rulings issued thereunder.</w:t>
      </w:r>
    </w:p>
    <w:p>
      <w:pPr>
        <w:spacing w:after="0" w:line="127" w:lineRule="exact"/>
        <w:rPr>
          <w:sz w:val="20"/>
          <w:szCs w:val="20"/>
          <w:color w:val="auto"/>
        </w:rPr>
      </w:pPr>
    </w:p>
    <w:p>
      <w:pPr>
        <w:ind w:right="100" w:firstLine="696"/>
        <w:spacing w:after="0" w:line="259" w:lineRule="auto"/>
        <w:rPr>
          <w:sz w:val="20"/>
          <w:szCs w:val="20"/>
          <w:color w:val="auto"/>
        </w:rPr>
      </w:pPr>
      <w:r>
        <w:rPr>
          <w:rFonts w:ascii="Times New Roman" w:cs="Times New Roman" w:eastAsia="Times New Roman" w:hAnsi="Times New Roman"/>
          <w:sz w:val="19"/>
          <w:szCs w:val="19"/>
          <w:color w:val="auto"/>
        </w:rPr>
        <w:t>“ERISA Affiliate” means (i) any corporation which is a member of the same controlled group of corporations (within the meaning of Section 414(b) of the Code) as the Borrower or as Servicer, as applicable, (ii) a trade or business (whether or not incorporated) under common control (within the meaning of Section 414(c) of the Code) with the Borrower or with the Servicer, as applicable (iii) a member of the same affiliated service group (within the meaning of Section 414(m) of the Code) as the Borrower or as Servicer, as applicable, any corporation described in clause (i) above or any trade or business described in clause (ii) above.</w:t>
      </w:r>
    </w:p>
    <w:p>
      <w:pPr>
        <w:spacing w:after="0" w:line="154" w:lineRule="exact"/>
        <w:rPr>
          <w:sz w:val="20"/>
          <w:szCs w:val="20"/>
          <w:color w:val="auto"/>
        </w:rPr>
      </w:pPr>
    </w:p>
    <w:p>
      <w:pPr>
        <w:ind w:right="80" w:firstLine="696"/>
        <w:spacing w:after="0" w:line="262" w:lineRule="auto"/>
        <w:rPr>
          <w:sz w:val="20"/>
          <w:szCs w:val="20"/>
          <w:color w:val="auto"/>
        </w:rPr>
      </w:pPr>
      <w:r>
        <w:rPr>
          <w:rFonts w:ascii="Times New Roman" w:cs="Times New Roman" w:eastAsia="Times New Roman" w:hAnsi="Times New Roman"/>
          <w:sz w:val="19"/>
          <w:szCs w:val="19"/>
          <w:color w:val="auto"/>
        </w:rPr>
        <w:t>“Excess Concentration Amount” means, with respect to any day, without duplication, the Net Pool Balance of Receivables that cause one or more of the Concentration Limits to not be met; provided, however, that the Excess Concentration Amount will be $0 on any day (i) during the first two full Collection Periods following a Securitization Date or (ii) until the Loans Outstanding exceed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of the related Determination Date.</w:t>
      </w:r>
    </w:p>
    <w:p>
      <w:pPr>
        <w:spacing w:after="0" w:line="150"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auto"/>
        </w:rPr>
        <w:t>“Excess Spread Percentage” means, with respect to any Payment Date and the related Collection Period, an annualized percentage equal to (i) the weighted average APR of all Eligible Receivables (weighted by Principal Balance) on the related Determination Date minus (ii) the sum of (a) the weighted average rate used to calculate Interest pursuant to Section 2.07(b) and (b) the Servicing Fee Rate.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“Exchange Act” means the Securities Exchange Act of 1934, as amended.</w:t>
      </w:r>
    </w:p>
    <w:p>
      <w:pPr>
        <w:spacing w:after="0" w:line="202"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“Excluded Taxes” means (i) net income Taxes, franchise Taxes (imposed in lieu of net income Taxes) and branch profits Taxes, in each case imposed on any Secured Party as a result of a present or former connection between such Secured Party (including any applicable lending office) and the jurisdiction of the Governmental Authority imposing such Tax or any political subdivision or taxing authority thereof or therein (other than any such connection arising from such Secured Party’s having executed, delivered, become a party to or performed its obligations or received a payment under, received or perfected a security interest under, engaged in any other transaction pursuant to or enforced, this Agreement or the other Basic Documents, or sold or assigned any interest in a Loan or any Basic Document), (ii) any U.S. withholding Taxes that result from a Lender’s failure to comply with the requirements of Section 2.14(e) or (f),</w:t>
      </w:r>
    </w:p>
    <w:p>
      <w:pPr>
        <w:spacing w:after="0" w:line="6" w:lineRule="exact"/>
        <w:rPr>
          <w:sz w:val="20"/>
          <w:szCs w:val="20"/>
          <w:color w:val="auto"/>
        </w:rPr>
      </w:pPr>
    </w:p>
    <w:p>
      <w:pPr>
        <w:ind w:right="220" w:firstLine="6"/>
        <w:spacing w:after="0" w:line="250" w:lineRule="auto"/>
        <w:tabs>
          <w:tab w:leader="none" w:pos="336"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Non-U.S. Lender, any U.S withholding Taxes that are imposed on amounts payable to such Non-U.S. Lender at the time such Non-U.S. Lender becomes a party to this Agreement or changes the applicable lending office with respect to this Agreement (other than in regard to a change of parties or offices at the request of Borrower), and (iv) any withholding Taxes under</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FATCA.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5" w:name="page106"/>
    <w:bookmarkEnd w:id="105"/>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“Existing Receivables” means the Receivables that become a part of the Collateral in connection with the Initial Loan.</w:t>
      </w:r>
    </w:p>
    <w:p>
      <w:pPr>
        <w:spacing w:after="0" w:line="202" w:lineRule="exact"/>
        <w:rPr>
          <w:sz w:val="20"/>
          <w:szCs w:val="20"/>
          <w:color w:val="auto"/>
        </w:rPr>
      </w:pPr>
    </w:p>
    <w:p>
      <w:pPr>
        <w:ind w:right="100" w:firstLine="696"/>
        <w:spacing w:after="0" w:line="268" w:lineRule="auto"/>
        <w:rPr>
          <w:sz w:val="20"/>
          <w:szCs w:val="20"/>
          <w:color w:val="auto"/>
        </w:rPr>
      </w:pPr>
      <w:r>
        <w:rPr>
          <w:rFonts w:ascii="Times New Roman" w:cs="Times New Roman" w:eastAsia="Times New Roman" w:hAnsi="Times New Roman"/>
          <w:sz w:val="19"/>
          <w:szCs w:val="19"/>
          <w:color w:val="auto"/>
        </w:rPr>
        <w:t>“Exported” with respect to a Contract, means the Custodian has decommissioned the related electronic chattel paper and the Authoritative Copy of such Contract is printed out pursuant to a “Paper Out”™ within the meaning specified in the System Description. “Export” and “Exporting” shall have corollary meanings.</w:t>
      </w:r>
    </w:p>
    <w:p>
      <w:pPr>
        <w:spacing w:after="0" w:line="144"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 xml:space="preserve">“Extended Receivable” means any Receivable for which an extension or payment deferment was made (or is in effect) pursuant to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“Extension Ratio” means, with respect to any Payment Date and the related Collection Period, the percentage equivalent of a fraction, (i) the numerator of which equals the Pool Balance of all Receivables that became Extended Receivables during such Collection Period and (ii) the denominator of which equals the average of (i) the Pool Balance as of the related Determination Date and (b) the Pool Balance as of the Prior Determination Date.</w:t>
      </w:r>
    </w:p>
    <w:p>
      <w:pPr>
        <w:spacing w:after="0" w:line="150" w:lineRule="exact"/>
        <w:rPr>
          <w:sz w:val="20"/>
          <w:szCs w:val="20"/>
          <w:color w:val="auto"/>
        </w:rPr>
      </w:pPr>
    </w:p>
    <w:p>
      <w:pPr>
        <w:ind w:right="160" w:firstLine="696"/>
        <w:spacing w:after="0" w:line="286" w:lineRule="auto"/>
        <w:rPr>
          <w:sz w:val="20"/>
          <w:szCs w:val="20"/>
          <w:color w:val="auto"/>
        </w:rPr>
      </w:pPr>
      <w:r>
        <w:rPr>
          <w:rFonts w:ascii="Times New Roman" w:cs="Times New Roman" w:eastAsia="Times New Roman" w:hAnsi="Times New Roman"/>
          <w:sz w:val="19"/>
          <w:szCs w:val="19"/>
          <w:color w:val="auto"/>
        </w:rPr>
        <w:t>“Facility Amount” means (i) prior to the Termination Date, the Aggregate Commitments on such day, and (ii) on and after the Termination Date, the Loans Outstanding.</w:t>
      </w:r>
    </w:p>
    <w:p>
      <w:pPr>
        <w:spacing w:after="0" w:line="127" w:lineRule="exact"/>
        <w:rPr>
          <w:sz w:val="20"/>
          <w:szCs w:val="20"/>
          <w:color w:val="auto"/>
        </w:rPr>
      </w:pPr>
    </w:p>
    <w:p>
      <w:pPr>
        <w:ind w:right="660" w:firstLine="696"/>
        <w:spacing w:after="0" w:line="286" w:lineRule="auto"/>
        <w:rPr>
          <w:sz w:val="20"/>
          <w:szCs w:val="20"/>
          <w:color w:val="auto"/>
        </w:rPr>
      </w:pPr>
      <w:r>
        <w:rPr>
          <w:rFonts w:ascii="Times New Roman" w:cs="Times New Roman" w:eastAsia="Times New Roman" w:hAnsi="Times New Roman"/>
          <w:sz w:val="19"/>
          <w:szCs w:val="19"/>
          <w:color w:val="auto"/>
        </w:rPr>
        <w:t>“Facility Termination Date” means the date on which the Aggregate Unpaids have been indefeasibly paid in full and all commitments hereunder have terminated.</w:t>
      </w:r>
    </w:p>
    <w:p>
      <w:pPr>
        <w:spacing w:after="0" w:line="127" w:lineRule="exact"/>
        <w:rPr>
          <w:sz w:val="20"/>
          <w:szCs w:val="20"/>
          <w:color w:val="auto"/>
        </w:rPr>
      </w:pPr>
    </w:p>
    <w:p>
      <w:pPr>
        <w:jc w:val="both"/>
        <w:ind w:right="460" w:firstLine="696"/>
        <w:spacing w:after="0" w:line="262" w:lineRule="auto"/>
        <w:rPr>
          <w:sz w:val="20"/>
          <w:szCs w:val="20"/>
          <w:color w:val="auto"/>
        </w:rPr>
      </w:pPr>
      <w:r>
        <w:rPr>
          <w:rFonts w:ascii="Times New Roman" w:cs="Times New Roman" w:eastAsia="Times New Roman" w:hAnsi="Times New Roman"/>
          <w:sz w:val="19"/>
          <w:szCs w:val="19"/>
          <w:color w:val="auto"/>
        </w:rPr>
        <w:t>“FAS 166/167 Rules” 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December 15, 2009, by the Federal Accounting Standard Board.</w:t>
      </w:r>
    </w:p>
    <w:p>
      <w:pPr>
        <w:spacing w:after="0" w:line="150" w:lineRule="exact"/>
        <w:rPr>
          <w:sz w:val="20"/>
          <w:szCs w:val="20"/>
          <w:color w:val="auto"/>
        </w:rPr>
      </w:pPr>
    </w:p>
    <w:p>
      <w:pPr>
        <w:ind w:right="240" w:firstLine="696"/>
        <w:spacing w:after="0" w:line="257" w:lineRule="auto"/>
        <w:rPr>
          <w:sz w:val="20"/>
          <w:szCs w:val="20"/>
          <w:color w:val="auto"/>
        </w:rPr>
      </w:pPr>
      <w:r>
        <w:rPr>
          <w:rFonts w:ascii="Times New Roman" w:cs="Times New Roman" w:eastAsia="Times New Roman" w:hAnsi="Times New Roman"/>
          <w:sz w:val="19"/>
          <w:szCs w:val="19"/>
          <w:color w:val="auto"/>
        </w:rPr>
        <w:t>“FATCA” 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 and any fiscal or regulatory legislation, rules or official administrative practices adopted pursuant to any intergovernmental agreement, treaty or convention among Governmental Authorities and implementing such Sections of the Code.</w:t>
      </w:r>
    </w:p>
    <w:p>
      <w:pPr>
        <w:spacing w:after="0" w:line="157"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auto"/>
        </w:rPr>
        <w:t>“Federal Funds Rate” means, for any day, a floating rate equal to the weighted average of the rates on overnight federal funds transactions among members of the Federal Reserve System, as determined by Administrative Agent in its sole discretion, which determination shall be final, binding and conclusive (absent manifest error).</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“Federal Reserve Board” means the Board of Governors of the Federal Reserve System.</w:t>
      </w:r>
    </w:p>
    <w:p>
      <w:pPr>
        <w:spacing w:after="0" w:line="202"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“Fee Letter” means the letter, dated as of the Closing Date, among the Borrower, and the Administrative Agent, setting forth the Unused Fee Rate, the Upfront Fee and the Applicable Margin.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6" w:name="page107"/>
    <w:bookmarkEnd w:id="106"/>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“Fifth Third” means Fifth Third Bank, National Association.</w:t>
      </w:r>
    </w:p>
    <w:p>
      <w:pPr>
        <w:spacing w:after="0" w:line="202"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“Final Maturity Date” means the earlier to occur of (i) 12 Payment Dates following the end of the Commitment Termination Date as described in clauses (i) and (ii) of such definition and (ii) the Termination Date.</w:t>
      </w:r>
    </w:p>
    <w:p>
      <w:pPr>
        <w:spacing w:after="0" w:line="127" w:lineRule="exact"/>
        <w:rPr>
          <w:sz w:val="20"/>
          <w:szCs w:val="20"/>
          <w:color w:val="auto"/>
        </w:rPr>
      </w:pPr>
    </w:p>
    <w:p>
      <w:pPr>
        <w:ind w:right="160" w:firstLine="696"/>
        <w:spacing w:after="0" w:line="268" w:lineRule="auto"/>
        <w:rPr>
          <w:sz w:val="20"/>
          <w:szCs w:val="20"/>
          <w:color w:val="auto"/>
        </w:rPr>
      </w:pPr>
      <w:r>
        <w:rPr>
          <w:rFonts w:ascii="Times New Roman" w:cs="Times New Roman" w:eastAsia="Times New Roman" w:hAnsi="Times New Roman"/>
          <w:sz w:val="19"/>
          <w:szCs w:val="19"/>
          <w:color w:val="auto"/>
        </w:rPr>
        <w:t>“Financed Vehicle” means, with respect to a Receivable, any new or used automobile, light- and medium-duty truck, minivan, sport utility vehicle or other passenger vehicle, together with all accessions thereto, securing the related Obligor’s Indebtedness thereunder.</w:t>
      </w:r>
    </w:p>
    <w:p>
      <w:pPr>
        <w:spacing w:after="0" w:line="144" w:lineRule="exact"/>
        <w:rPr>
          <w:sz w:val="20"/>
          <w:szCs w:val="20"/>
          <w:color w:val="auto"/>
        </w:rPr>
      </w:pPr>
    </w:p>
    <w:p>
      <w:pPr>
        <w:ind w:right="280" w:firstLine="696"/>
        <w:spacing w:after="0" w:line="262" w:lineRule="auto"/>
        <w:rPr>
          <w:sz w:val="20"/>
          <w:szCs w:val="20"/>
          <w:color w:val="auto"/>
        </w:rPr>
      </w:pPr>
      <w:r>
        <w:rPr>
          <w:rFonts w:ascii="Times New Roman" w:cs="Times New Roman" w:eastAsia="Times New Roman" w:hAnsi="Times New Roman"/>
          <w:sz w:val="19"/>
          <w:szCs w:val="19"/>
          <w:color w:val="auto"/>
        </w:rPr>
        <w:t>“Force Majeure Event” means any delay or failure to perform hereunder due to floods, pandemics, epidemics, riots, strikes, freight embargoes, acts of God, acts of war or hostilities of any nature, laws or regulations of any government (whether foreign or domestic, federal, state, county or municipal), and failures in or unavailability of public or private communication and/or data lines or systems.</w:t>
      </w:r>
    </w:p>
    <w:p>
      <w:pPr>
        <w:spacing w:after="0" w:line="150"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“Formation Documents” means, with respect to (i) the Borrower, the Trust Agreement and certificate of trust and (ii) UACC, its articles of incorporation and bylaws.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“Funding Date” means each Business Day on which a Loan is made.</w:t>
      </w:r>
    </w:p>
    <w:p>
      <w:pPr>
        <w:spacing w:after="0" w:line="202"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“Funding Request” means a written notice from the Borrower requesting a Loan and including the items required by Section 2.01(b), substantially in the form of Exhibit A hereto.</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“GAAP” means generally accepted accounting principles as in effect from time to time in the United States.</w:t>
      </w:r>
    </w:p>
    <w:p>
      <w:pPr>
        <w:spacing w:after="0" w:line="202" w:lineRule="exact"/>
        <w:rPr>
          <w:sz w:val="20"/>
          <w:szCs w:val="20"/>
          <w:color w:val="auto"/>
        </w:rPr>
      </w:pPr>
    </w:p>
    <w:p>
      <w:pPr>
        <w:jc w:val="both"/>
        <w:ind w:firstLine="696"/>
        <w:spacing w:after="0" w:line="268" w:lineRule="auto"/>
        <w:rPr>
          <w:sz w:val="20"/>
          <w:szCs w:val="20"/>
          <w:color w:val="auto"/>
        </w:rPr>
      </w:pPr>
      <w:r>
        <w:rPr>
          <w:rFonts w:ascii="Times New Roman" w:cs="Times New Roman" w:eastAsia="Times New Roman" w:hAnsi="Times New Roman"/>
          <w:sz w:val="19"/>
          <w:szCs w:val="19"/>
          <w:color w:val="auto"/>
        </w:rPr>
        <w:t>“Governmental Authority” means, with respect to any Person, any nation or government, any State or other political subdivision thereof, and any agency, department or other entity exercising executive, legislative, judicial, regulatory or administrative functions of or pertaining to government, in each case, having jurisdiction over such Person.</w:t>
      </w:r>
    </w:p>
    <w:p>
      <w:pPr>
        <w:spacing w:after="0" w:line="144"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“Indebtedness” means, with respect to any Person and any day,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in respect of acceptances issued or created for the account of such Person, (iii) all liabilities secured by any Lien on any property owned by such Person even though such Person has not assumed or otherwise become liable for the payment thereof and (iv) all indebtedness, obligations or liabilities of that Person in respect of Derivatives.</w:t>
      </w:r>
    </w:p>
    <w:p>
      <w:pPr>
        <w:spacing w:after="0" w:line="157" w:lineRule="exact"/>
        <w:rPr>
          <w:sz w:val="20"/>
          <w:szCs w:val="20"/>
          <w:color w:val="auto"/>
        </w:rPr>
      </w:pPr>
    </w:p>
    <w:p>
      <w:pPr>
        <w:ind w:right="420" w:firstLine="696"/>
        <w:spacing w:after="0" w:line="286" w:lineRule="auto"/>
        <w:rPr>
          <w:sz w:val="20"/>
          <w:szCs w:val="20"/>
          <w:color w:val="auto"/>
        </w:rPr>
      </w:pPr>
      <w:r>
        <w:rPr>
          <w:rFonts w:ascii="Times New Roman" w:cs="Times New Roman" w:eastAsia="Times New Roman" w:hAnsi="Times New Roman"/>
          <w:sz w:val="19"/>
          <w:szCs w:val="19"/>
          <w:color w:val="auto"/>
        </w:rPr>
        <w:t>“Indemnified Amounts” means all Borrower Indemnified Amounts, Servicer Indemnified Amounts and Seller Indemnified Amounts.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“Indemnified Party” means the Borrower Indemnified Parties, Servicer Indemnified Parties and the Seller Indemnified Parties.</w:t>
      </w: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7" w:name="page108"/>
    <w:bookmarkEnd w:id="107"/>
    <w:p>
      <w:pPr>
        <w:spacing w:after="0" w:line="269" w:lineRule="exact"/>
        <w:rPr>
          <w:sz w:val="20"/>
          <w:szCs w:val="20"/>
          <w:color w:val="auto"/>
        </w:rPr>
      </w:pPr>
    </w:p>
    <w:p>
      <w:pPr>
        <w:jc w:val="both"/>
        <w:ind w:right="180" w:firstLine="696"/>
        <w:spacing w:after="0" w:line="268" w:lineRule="auto"/>
        <w:rPr>
          <w:sz w:val="20"/>
          <w:szCs w:val="20"/>
          <w:color w:val="auto"/>
        </w:rPr>
      </w:pPr>
      <w:r>
        <w:rPr>
          <w:rFonts w:ascii="Times New Roman" w:cs="Times New Roman" w:eastAsia="Times New Roman" w:hAnsi="Times New Roman"/>
          <w:sz w:val="19"/>
          <w:szCs w:val="19"/>
          <w:color w:val="auto"/>
        </w:rPr>
        <w:t>“Indemnified Taxes” means (i) Taxes, other than Excluded Taxes, imposed on or with respect to any payment made by or on account of any Obligation of the Borrower under the Loan or any Basic Document and (ii) to the extent not otherwise described in (i) Other Taxes.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“Index Floor” means a rate of interest equal to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“Initial Loan” means the first Loan made on or after the Closing Date.</w:t>
      </w:r>
    </w:p>
    <w:p>
      <w:pPr>
        <w:spacing w:after="0" w:line="202"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“Insolvency Event” means, with respect to any Person, (i)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60"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auto"/>
        </w:rPr>
        <w:t>“Insolvency Laws” 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spacing w:after="0" w:line="144" w:lineRule="exact"/>
        <w:rPr>
          <w:sz w:val="20"/>
          <w:szCs w:val="20"/>
          <w:color w:val="auto"/>
        </w:rPr>
      </w:pPr>
    </w:p>
    <w:p>
      <w:pPr>
        <w:ind w:right="340" w:firstLine="696"/>
        <w:spacing w:after="0" w:line="268" w:lineRule="auto"/>
        <w:rPr>
          <w:sz w:val="20"/>
          <w:szCs w:val="20"/>
          <w:color w:val="auto"/>
        </w:rPr>
      </w:pPr>
      <w:r>
        <w:rPr>
          <w:rFonts w:ascii="Times New Roman" w:cs="Times New Roman" w:eastAsia="Times New Roman" w:hAnsi="Times New Roman"/>
          <w:sz w:val="19"/>
          <w:szCs w:val="19"/>
          <w:color w:val="auto"/>
        </w:rPr>
        <w:t>“Insolvency Proceeding” 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spacing w:after="0" w:line="144" w:lineRule="exact"/>
        <w:rPr>
          <w:sz w:val="20"/>
          <w:szCs w:val="20"/>
          <w:color w:val="auto"/>
        </w:rPr>
      </w:pPr>
    </w:p>
    <w:p>
      <w:pPr>
        <w:ind w:right="340" w:firstLine="696"/>
        <w:spacing w:after="0" w:line="286" w:lineRule="auto"/>
        <w:rPr>
          <w:sz w:val="20"/>
          <w:szCs w:val="20"/>
          <w:color w:val="auto"/>
        </w:rPr>
      </w:pPr>
      <w:r>
        <w:rPr>
          <w:rFonts w:ascii="Times New Roman" w:cs="Times New Roman" w:eastAsia="Times New Roman" w:hAnsi="Times New Roman"/>
          <w:sz w:val="19"/>
          <w:szCs w:val="19"/>
          <w:color w:val="auto"/>
        </w:rPr>
        <w:t>“Instrument” means any “instrument” (as defined in Article 9 of the UCC), other than an instrument that constitutes part of chattel paper.</w:t>
      </w:r>
    </w:p>
    <w:p>
      <w:pPr>
        <w:spacing w:after="0" w:line="12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“Insurance Policy” 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“Insurance Proceeds” means any amounts payable or any payments made under any Insurance Policy.</w:t>
      </w:r>
    </w:p>
    <w:p>
      <w:pPr>
        <w:spacing w:after="0" w:line="202" w:lineRule="exact"/>
        <w:rPr>
          <w:sz w:val="20"/>
          <w:szCs w:val="20"/>
          <w:color w:val="auto"/>
        </w:rPr>
      </w:pPr>
    </w:p>
    <w:p>
      <w:pPr>
        <w:ind w:right="20" w:firstLine="744"/>
        <w:spacing w:after="0" w:line="268" w:lineRule="auto"/>
        <w:rPr>
          <w:sz w:val="20"/>
          <w:szCs w:val="20"/>
          <w:color w:val="auto"/>
        </w:rPr>
      </w:pPr>
      <w:r>
        <w:rPr>
          <w:rFonts w:ascii="Times New Roman" w:cs="Times New Roman" w:eastAsia="Times New Roman" w:hAnsi="Times New Roman"/>
          <w:sz w:val="19"/>
          <w:szCs w:val="19"/>
          <w:color w:val="auto"/>
        </w:rPr>
        <w:t>“Intercreditor Agreement” means the intercreditor agreement, dated as of February 2, 2011, among UACC, the Lockbox Bank and any other special purpose subsidiary of UACC that executed the Intercreditor Party Supplement and each party listed as an intercreditor party on the signature page thereto, as supplemented by the Intercreditor Party Supplement.</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108" w:name="page109"/>
    <w:bookmarkEnd w:id="108"/>
    <w:p>
      <w:pPr>
        <w:spacing w:after="0" w:line="269" w:lineRule="exact"/>
        <w:rPr>
          <w:sz w:val="20"/>
          <w:szCs w:val="20"/>
          <w:color w:val="auto"/>
        </w:rPr>
      </w:pPr>
    </w:p>
    <w:p>
      <w:pPr>
        <w:ind w:firstLine="744"/>
        <w:spacing w:after="0" w:line="286" w:lineRule="auto"/>
        <w:rPr>
          <w:sz w:val="20"/>
          <w:szCs w:val="20"/>
          <w:color w:val="auto"/>
        </w:rPr>
      </w:pPr>
      <w:r>
        <w:rPr>
          <w:rFonts w:ascii="Times New Roman" w:cs="Times New Roman" w:eastAsia="Times New Roman" w:hAnsi="Times New Roman"/>
          <w:sz w:val="19"/>
          <w:szCs w:val="19"/>
          <w:color w:val="auto"/>
        </w:rPr>
        <w:t>“Intercreditor Party Supplement” means the Intercreditor Party Supplement, dated as of the Closing Date, among the Borrower, the Administrative Agent and the parties to the Intercreditor Agreement.</w:t>
      </w:r>
    </w:p>
    <w:p>
      <w:pPr>
        <w:spacing w:after="0" w:line="127" w:lineRule="exact"/>
        <w:rPr>
          <w:sz w:val="20"/>
          <w:szCs w:val="20"/>
          <w:color w:val="auto"/>
        </w:rPr>
      </w:pPr>
    </w:p>
    <w:p>
      <w:pPr>
        <w:ind w:right="80" w:firstLine="696"/>
        <w:spacing w:after="0" w:line="262" w:lineRule="auto"/>
        <w:rPr>
          <w:sz w:val="20"/>
          <w:szCs w:val="20"/>
          <w:color w:val="auto"/>
        </w:rPr>
      </w:pPr>
      <w:r>
        <w:rPr>
          <w:rFonts w:ascii="Times New Roman" w:cs="Times New Roman" w:eastAsia="Times New Roman" w:hAnsi="Times New Roman"/>
          <w:sz w:val="19"/>
          <w:szCs w:val="19"/>
          <w:color w:val="auto"/>
        </w:rPr>
        <w:t xml:space="preserve">“Interest” means, for any Interest Period and each Loan (or portion thereof) outstanding during such Interest Period, interest on the outstanding Principal Amount of such Loan computed pursuant to Section 2.07;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spacing w:after="0" w:line="150"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auto"/>
        </w:rPr>
        <w:t xml:space="preserve">“Interest Period” means, with respect to any Payment Date, the immediately preceding Collection Period (or, in the case of the first Payment Date following the Closing Date, from and including the Closing Date to and including the last day of the Collection Period in which the Closing Date occurs);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Interest Period that commences before the Final Maturity Date that would otherwise end after the Final Maturity Date shall end on the Final Maturity Date.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“Interest Rate” means, with respect to any Loan (or portion thereof) on any day, the sum of (i) the Benchmark on such day and</w:t>
      </w:r>
    </w:p>
    <w:p>
      <w:pPr>
        <w:spacing w:after="0" w:line="32" w:lineRule="exact"/>
        <w:rPr>
          <w:sz w:val="20"/>
          <w:szCs w:val="20"/>
          <w:color w:val="auto"/>
        </w:rPr>
      </w:pPr>
    </w:p>
    <w:p>
      <w:pPr>
        <w:ind w:right="120" w:firstLine="6"/>
        <w:spacing w:after="0" w:line="256" w:lineRule="auto"/>
        <w:tabs>
          <w:tab w:leader="none" w:pos="28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related Applicable Margin, provided, however, that for the avoidance of doubt, on each day following the automatic occurrence, or the declaration of the occurrence, of the Termination Date in accordance with Section 9.01(b), the Interest Rate for each Loan (or portion thereof) shall be a rate per annum equal to the related Default Rate.</w:t>
      </w:r>
    </w:p>
    <w:p>
      <w:pPr>
        <w:spacing w:after="0" w:line="155" w:lineRule="exact"/>
        <w:rPr>
          <w:sz w:val="20"/>
          <w:szCs w:val="20"/>
          <w:color w:val="auto"/>
        </w:rPr>
      </w:pPr>
    </w:p>
    <w:p>
      <w:pPr>
        <w:ind w:right="480" w:firstLine="696"/>
        <w:spacing w:after="0" w:line="286" w:lineRule="auto"/>
        <w:rPr>
          <w:sz w:val="20"/>
          <w:szCs w:val="20"/>
          <w:color w:val="auto"/>
        </w:rPr>
      </w:pPr>
      <w:r>
        <w:rPr>
          <w:rFonts w:ascii="Times New Roman" w:cs="Times New Roman" w:eastAsia="Times New Roman" w:hAnsi="Times New Roman"/>
          <w:sz w:val="19"/>
          <w:szCs w:val="19"/>
          <w:color w:val="auto"/>
        </w:rPr>
        <w:t>“Interpayments” means Collections on deposit in the Collection Account that are used to repay at least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in principal amount of Loans Outstanding pursuant to Section 2.06(e).</w:t>
      </w:r>
    </w:p>
    <w:p>
      <w:pPr>
        <w:spacing w:after="0" w:line="127" w:lineRule="exact"/>
        <w:rPr>
          <w:sz w:val="20"/>
          <w:szCs w:val="20"/>
          <w:color w:val="auto"/>
        </w:rPr>
      </w:pPr>
    </w:p>
    <w:p>
      <w:pPr>
        <w:ind w:right="160" w:firstLine="696"/>
        <w:spacing w:after="0" w:line="259" w:lineRule="auto"/>
        <w:rPr>
          <w:sz w:val="20"/>
          <w:szCs w:val="20"/>
          <w:color w:val="auto"/>
        </w:rPr>
      </w:pPr>
      <w:r>
        <w:rPr>
          <w:rFonts w:ascii="Times New Roman" w:cs="Times New Roman" w:eastAsia="Times New Roman" w:hAnsi="Times New Roman"/>
          <w:sz w:val="19"/>
          <w:szCs w:val="19"/>
          <w:color w:val="auto"/>
        </w:rPr>
        <w:t xml:space="preserve">“Invested Percentage” means, for a Lender on any day, the percentage equivalent of (i) the sum of (a) the portion of the Loans Outstanding (if any) funded by such Lender on such day,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any portion of the Loans Outstanding acquired by such Lender on or prior to such day as an assignee from another Lender pursuant to an Assignment and Acceptance,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(c) any portion of the Loans Outstanding assigned by such Lender to an assignee on or prior to such day pursuant to an Assignment and Acceptance, </w:t>
      </w:r>
      <w:r>
        <w:rPr>
          <w:rFonts w:ascii="Times New Roman" w:cs="Times New Roman" w:eastAsia="Times New Roman" w:hAnsi="Times New Roman"/>
          <w:sz w:val="19"/>
          <w:szCs w:val="19"/>
          <w:i w:val="1"/>
          <w:iCs w:val="1"/>
          <w:color w:val="auto"/>
        </w:rPr>
        <w:t>divided b</w:t>
      </w:r>
      <w:r>
        <w:rPr>
          <w:rFonts w:ascii="Times New Roman" w:cs="Times New Roman" w:eastAsia="Times New Roman" w:hAnsi="Times New Roman"/>
          <w:sz w:val="19"/>
          <w:szCs w:val="19"/>
          <w:color w:val="auto"/>
        </w:rPr>
        <w:t>y (ii) the Loans Outstanding on such day.</w:t>
      </w:r>
    </w:p>
    <w:p>
      <w:pPr>
        <w:spacing w:after="0" w:line="154"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“Investment” 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“Investment Company Act” means the Investment Company Act of 1940, as amended.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“IRS” means the U.S. Internal Revenue Service.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“Lender” means a Committed Lender, and “Lenders” means, collectively, all of the Committed Lenders.</w:t>
      </w:r>
    </w:p>
    <w:p>
      <w:pPr>
        <w:spacing w:after="0" w:line="202"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“Lender Advance” means, a Committed Lender’s Lender Percentage of the Principal Amount of a particular Loan to be made to the Borrower on a Funding Date.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9" w:name="page110"/>
    <w:bookmarkEnd w:id="109"/>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“Lender Parties” means, collectively, each Lender, each provider of Bank Products and each provider of Derivatives.</w:t>
      </w:r>
    </w:p>
    <w:p>
      <w:pPr>
        <w:spacing w:after="0" w:line="202" w:lineRule="exact"/>
        <w:rPr>
          <w:sz w:val="20"/>
          <w:szCs w:val="20"/>
          <w:color w:val="auto"/>
        </w:rPr>
      </w:pPr>
    </w:p>
    <w:p>
      <w:pPr>
        <w:ind w:right="180" w:firstLine="696"/>
        <w:spacing w:after="0" w:line="286" w:lineRule="auto"/>
        <w:rPr>
          <w:sz w:val="20"/>
          <w:szCs w:val="20"/>
          <w:color w:val="auto"/>
        </w:rPr>
      </w:pPr>
      <w:r>
        <w:rPr>
          <w:rFonts w:ascii="Times New Roman" w:cs="Times New Roman" w:eastAsia="Times New Roman" w:hAnsi="Times New Roman"/>
          <w:sz w:val="19"/>
          <w:szCs w:val="19"/>
          <w:color w:val="auto"/>
        </w:rPr>
        <w:t>“Lender Percentage” means, with respect to a Committed Lender, prior to the occurrence of a Commitment Termination Date, its Commitment as a percentage of the Aggregate Commitment and after a Commitment Termination Date, its Invested Percentage.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“Lender Register” has the meaning given to such term in Section 12.01(d).</w:t>
      </w:r>
    </w:p>
    <w:p>
      <w:pPr>
        <w:spacing w:after="0" w:line="202"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“Leverage Ratio” means, with respect to any Person as of any day, the ratio of such Person’s total Indebtedness (less the sum of such Person’s (i) unrestricted cash on hand in excess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(ii) restricted cash used for any prefunding of Securitizations, and (iii) the Qualified Subordinated Debt drawn as of such date) to its Tangible Net Worth, in each case, as of the last day of the immediately preceding calendar quarter.</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“Lien” means any mortgage, lien, pledge, charge, claim, security interest or encumbrance of any kind.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“Loan” has the meaning given to such term in Section 2.01(a).</w:t>
      </w:r>
    </w:p>
    <w:p>
      <w:pPr>
        <w:spacing w:after="0" w:line="202"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9"/>
          <w:szCs w:val="19"/>
          <w:color w:val="auto"/>
        </w:rPr>
        <w:t>“Loan-to-Value Ratio” 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50" w:lineRule="exact"/>
        <w:rPr>
          <w:sz w:val="20"/>
          <w:szCs w:val="20"/>
          <w:color w:val="auto"/>
        </w:rPr>
      </w:pPr>
    </w:p>
    <w:p>
      <w:pPr>
        <w:ind w:right="80" w:firstLine="696"/>
        <w:spacing w:after="0" w:line="259" w:lineRule="auto"/>
        <w:rPr>
          <w:sz w:val="20"/>
          <w:szCs w:val="20"/>
          <w:color w:val="auto"/>
        </w:rPr>
      </w:pPr>
      <w:r>
        <w:rPr>
          <w:rFonts w:ascii="Times New Roman" w:cs="Times New Roman" w:eastAsia="Times New Roman" w:hAnsi="Times New Roman"/>
          <w:sz w:val="19"/>
          <w:szCs w:val="19"/>
          <w:color w:val="auto"/>
        </w:rPr>
        <w:t>“Loans Outstanding” means, on any day, the aggregate Principal Amount of Loans made on or prior to such day, reduced from time to time by payments and distributions in respect of principal of such Loans in accordance with the terms hereof. For avoidance of doubt, on any day the Loans Outstanding are less than the Borrowing Base and solely with respect to the Usage Fee Rate, the Loans Outstanding will be comprised first of the Near-Prime Receivables and the remainder of Loans Outstanding, if any, will be comprised of Non-Prime Receivables.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“Loan Party” means the Borrower, the Servicer, the Originator and the Custodian.</w:t>
      </w:r>
    </w:p>
    <w:p>
      <w:pPr>
        <w:spacing w:after="0" w:line="202" w:lineRule="exact"/>
        <w:rPr>
          <w:sz w:val="20"/>
          <w:szCs w:val="20"/>
          <w:color w:val="auto"/>
        </w:rPr>
      </w:pPr>
    </w:p>
    <w:p>
      <w:pPr>
        <w:jc w:val="both"/>
        <w:ind w:right="320" w:firstLine="696"/>
        <w:spacing w:after="0" w:line="268" w:lineRule="auto"/>
        <w:rPr>
          <w:sz w:val="20"/>
          <w:szCs w:val="20"/>
          <w:color w:val="auto"/>
        </w:rPr>
      </w:pPr>
      <w:r>
        <w:rPr>
          <w:rFonts w:ascii="Times New Roman" w:cs="Times New Roman" w:eastAsia="Times New Roman" w:hAnsi="Times New Roman"/>
          <w:sz w:val="19"/>
          <w:szCs w:val="19"/>
          <w:color w:val="auto"/>
        </w:rPr>
        <w:t>“Lockbox Account” means a bank account established and maintained by the Servicer at the Lockbox Bank (or at any other Qualified Institution, with the prior written consent of the Administrative Agent) for the benefit of the Secured Parties pursuant to the Intercreditor Agreement and the Intercreditor Party Supplement.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“Lockbox Bank” means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color w:val="auto"/>
        </w:rPr>
        <w:t>“Long -Term Rating Requirement” means, with respect to any Person, that such Person has a long-term unsecured debt rating of not less than A by Standard &amp; Poor’s and not less than A2 by Moody’s.</w:t>
      </w:r>
    </w:p>
    <w:p>
      <w:pPr>
        <w:spacing w:after="0" w:line="127" w:lineRule="exact"/>
        <w:rPr>
          <w:sz w:val="20"/>
          <w:szCs w:val="20"/>
          <w:color w:val="auto"/>
        </w:rPr>
      </w:pPr>
    </w:p>
    <w:p>
      <w:pPr>
        <w:ind w:right="180" w:firstLine="696"/>
        <w:spacing w:after="0" w:line="286" w:lineRule="auto"/>
        <w:rPr>
          <w:sz w:val="20"/>
          <w:szCs w:val="20"/>
          <w:color w:val="auto"/>
        </w:rPr>
      </w:pPr>
      <w:r>
        <w:rPr>
          <w:rFonts w:ascii="Times New Roman" w:cs="Times New Roman" w:eastAsia="Times New Roman" w:hAnsi="Times New Roman"/>
          <w:sz w:val="19"/>
          <w:szCs w:val="19"/>
          <w:color w:val="auto"/>
        </w:rPr>
        <w:t>“Material Adverse Effect” means, with respect to any Person and to any event or circumstance, a material adverse effect on (i) the business, condition (financial or otherwise),</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0" w:name="page111"/>
    <w:bookmarkEnd w:id="110"/>
    <w:p>
      <w:pPr>
        <w:spacing w:after="0" w:line="2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 (iv) 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“Maximum Lawful Rate” means the highest rate of interest permissible under Applicable Law.</w:t>
      </w:r>
    </w:p>
    <w:p>
      <w:pPr>
        <w:spacing w:after="0" w:line="202" w:lineRule="exact"/>
        <w:rPr>
          <w:sz w:val="20"/>
          <w:szCs w:val="20"/>
          <w:color w:val="auto"/>
        </w:rPr>
      </w:pPr>
    </w:p>
    <w:p>
      <w:pPr>
        <w:ind w:right="120" w:firstLine="696"/>
        <w:spacing w:after="0" w:line="259" w:lineRule="auto"/>
        <w:rPr>
          <w:sz w:val="20"/>
          <w:szCs w:val="20"/>
          <w:color w:val="auto"/>
        </w:rPr>
      </w:pPr>
      <w:r>
        <w:rPr>
          <w:rFonts w:ascii="Times New Roman" w:cs="Times New Roman" w:eastAsia="Times New Roman" w:hAnsi="Times New Roman"/>
          <w:sz w:val="19"/>
          <w:szCs w:val="19"/>
          <w:color w:val="auto"/>
        </w:rPr>
        <w:t>“Monthly Accrued Interest Payment Amount” means, with respect to any Payment Date and the related Collection Period during which an Interpayment is made, an amount equal to the sum of, without duplication, (i) the amount, if any, by which Collections for such Collection Period are not sufficient to make the Interest payments described in clause (iv) and (vi) of Section 2.08(a) on such Payment Date and (ii) an amount equal to Interest on the Loans repaid by such Interpayment through the end of the related Interest Period.</w:t>
      </w:r>
    </w:p>
    <w:p>
      <w:pPr>
        <w:spacing w:after="0" w:line="154"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“Monthly Principal Payment Amount” means, with respect to any Payment Date and the related Collection Period, the amount, if any, necessary to reduce the Loans Outstanding to the Borrowing Base as of the last day of such Collection Period.</w:t>
      </w:r>
    </w:p>
    <w:p>
      <w:pPr>
        <w:spacing w:after="0" w:line="127" w:lineRule="exact"/>
        <w:rPr>
          <w:sz w:val="20"/>
          <w:szCs w:val="20"/>
          <w:color w:val="auto"/>
        </w:rPr>
      </w:pPr>
    </w:p>
    <w:p>
      <w:pPr>
        <w:jc w:val="both"/>
        <w:ind w:right="20" w:firstLine="696"/>
        <w:spacing w:after="0" w:line="268" w:lineRule="auto"/>
        <w:rPr>
          <w:sz w:val="20"/>
          <w:szCs w:val="20"/>
          <w:color w:val="auto"/>
        </w:rPr>
      </w:pPr>
      <w:r>
        <w:rPr>
          <w:rFonts w:ascii="Times New Roman" w:cs="Times New Roman" w:eastAsia="Times New Roman" w:hAnsi="Times New Roman"/>
          <w:sz w:val="19"/>
          <w:szCs w:val="19"/>
          <w:color w:val="auto"/>
        </w:rPr>
        <w:t>“Monthly Report” means a monthly statement of the Servicer delivered on each Reporting Date with respect to the immediately preceding Collection Period, in substantially the form of Exhibit F, which may be modified from time to time as mutually agreed by the Servicer, the Paying Agent and the Administrative Agent.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“Moody’s” means Moody’s Investors Service, Inc.</w:t>
      </w:r>
    </w:p>
    <w:p>
      <w:pPr>
        <w:spacing w:after="0" w:line="202" w:lineRule="exact"/>
        <w:rPr>
          <w:sz w:val="20"/>
          <w:szCs w:val="20"/>
          <w:color w:val="auto"/>
        </w:rPr>
      </w:pPr>
    </w:p>
    <w:p>
      <w:pPr>
        <w:ind w:right="100" w:firstLine="696"/>
        <w:spacing w:after="0" w:line="268" w:lineRule="auto"/>
        <w:rPr>
          <w:sz w:val="20"/>
          <w:szCs w:val="20"/>
          <w:color w:val="auto"/>
        </w:rPr>
      </w:pPr>
      <w:r>
        <w:rPr>
          <w:rFonts w:ascii="Times New Roman" w:cs="Times New Roman" w:eastAsia="Times New Roman" w:hAnsi="Times New Roman"/>
          <w:sz w:val="19"/>
          <w:szCs w:val="19"/>
          <w:color w:val="auto"/>
        </w:rPr>
        <w:t>“Multiemployer Plan” means a “multiemployer plan” as defined in Section 4001(a)(3) of ERISA which is or was at any time during the current year or the immediately preceding five years contributed to by the Borrower or any ERISA Affiliate of the Borrower, or by the Servicer or any ERISA Affiliate of the Servicer, as applicable, on behalf of its employees.</w:t>
      </w:r>
    </w:p>
    <w:p>
      <w:pPr>
        <w:spacing w:after="0" w:line="144"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“Near -Prime Receivable” means, prior to the occurrence of a Near-Prime Receivable Conversion Event, an Eligible Receivable as to which all of the following criteria are satisfied as of its respective Cut-Off Date:</w:t>
      </w:r>
    </w:p>
    <w:p>
      <w:pPr>
        <w:spacing w:after="0" w:line="127" w:lineRule="exact"/>
        <w:rPr>
          <w:sz w:val="20"/>
          <w:szCs w:val="20"/>
          <w:color w:val="auto"/>
        </w:rPr>
      </w:pPr>
    </w:p>
    <w:p>
      <w:pPr>
        <w:ind w:left="1060" w:right="20" w:hanging="394"/>
        <w:spacing w:after="0" w:line="262" w:lineRule="auto"/>
        <w:tabs>
          <w:tab w:leader="none" w:pos="86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which the primary Obligor has a credit bureau score obtained from Fair-Isaacs Corporation, Experian, Equifax of TransUnion LLC, of at least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had an original Principal Balance of not more than $</w:t>
      </w:r>
      <w:r>
        <w:rPr>
          <w:rFonts w:ascii="Times New Roman" w:cs="Times New Roman" w:eastAsia="Times New Roman" w:hAnsi="Times New Roman"/>
          <w:sz w:val="19"/>
          <w:szCs w:val="19"/>
          <w:color w:val="222222"/>
        </w:rPr>
        <w:t>[***];</w:t>
      </w:r>
    </w:p>
    <w:p>
      <w:pPr>
        <w:spacing w:after="0" w:line="9"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had an original term of no fewer than 12 months and no more than 75 months;</w:t>
      </w:r>
    </w:p>
    <w:p>
      <w:pPr>
        <w:spacing w:after="0" w:line="9"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which, other than for a Schedule C-1 Receivable, had a Loan-to-Value Ratio of no greater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and</w:t>
      </w:r>
    </w:p>
    <w:p>
      <w:pPr>
        <w:spacing w:after="0" w:line="9"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which, other than for a Schedule C-1 Receivable, had a PTI Ratio of no greater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1" w:name="page112"/>
    <w:bookmarkEnd w:id="111"/>
    <w:p>
      <w:pPr>
        <w:spacing w:after="0" w:line="269" w:lineRule="exact"/>
        <w:rPr>
          <w:sz w:val="20"/>
          <w:szCs w:val="20"/>
          <w:color w:val="auto"/>
        </w:rPr>
      </w:pPr>
    </w:p>
    <w:p>
      <w:pPr>
        <w:ind w:right="600" w:firstLine="696"/>
        <w:spacing w:after="0" w:line="286" w:lineRule="auto"/>
        <w:rPr>
          <w:sz w:val="20"/>
          <w:szCs w:val="20"/>
          <w:color w:val="auto"/>
        </w:rPr>
      </w:pPr>
      <w:r>
        <w:rPr>
          <w:rFonts w:ascii="Times New Roman" w:cs="Times New Roman" w:eastAsia="Times New Roman" w:hAnsi="Times New Roman"/>
          <w:sz w:val="19"/>
          <w:szCs w:val="19"/>
          <w:color w:val="auto"/>
        </w:rPr>
        <w:t>provided that, for the avoidance of doubt, if any Near-Prime Receivable Conversion Event has occurred, all Near-Prime Receivables shall be treated as Non-Prime Receivables for all purposes hereunder and for any Basic Document.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“Near-Prime Receivable Conversion Event” means the occurrence of any of the following events:</w:t>
      </w:r>
    </w:p>
    <w:p>
      <w:pPr>
        <w:spacing w:after="0" w:line="202" w:lineRule="exact"/>
        <w:rPr>
          <w:sz w:val="20"/>
          <w:szCs w:val="20"/>
          <w:color w:val="auto"/>
        </w:rPr>
      </w:pPr>
    </w:p>
    <w:p>
      <w:pPr>
        <w:ind w:left="700" w:right="360" w:firstLine="468"/>
        <w:spacing w:after="0" w:line="286" w:lineRule="auto"/>
        <w:rPr>
          <w:sz w:val="20"/>
          <w:szCs w:val="20"/>
          <w:color w:val="auto"/>
        </w:rPr>
      </w:pPr>
      <w:r>
        <w:rPr>
          <w:rFonts w:ascii="Times New Roman" w:cs="Times New Roman" w:eastAsia="Times New Roman" w:hAnsi="Times New Roman"/>
          <w:sz w:val="19"/>
          <w:szCs w:val="19"/>
          <w:color w:val="1F3763"/>
        </w:rPr>
        <w:t xml:space="preserve">(a) </w:t>
      </w:r>
      <w:r>
        <w:rPr>
          <w:rFonts w:ascii="Times New Roman" w:cs="Times New Roman" w:eastAsia="Times New Roman" w:hAnsi="Times New Roman"/>
          <w:sz w:val="19"/>
          <w:szCs w:val="19"/>
          <w:color w:val="000000"/>
        </w:rPr>
        <w:t>the arithmetic mean of the Annualized Net Loss Ratio for the related Collection and the two previous Collection</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 xml:space="preserve">Periods for Near-Prime Receivables exceeds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w:t>
      </w:r>
    </w:p>
    <w:p>
      <w:pPr>
        <w:spacing w:after="0" w:line="127" w:lineRule="exact"/>
        <w:rPr>
          <w:sz w:val="20"/>
          <w:szCs w:val="20"/>
          <w:color w:val="auto"/>
        </w:rPr>
      </w:pPr>
    </w:p>
    <w:p>
      <w:pPr>
        <w:ind w:left="700" w:right="20" w:firstLine="458"/>
        <w:spacing w:after="0" w:line="286" w:lineRule="auto"/>
        <w:tabs>
          <w:tab w:leader="none" w:pos="1432" w:val="left"/>
        </w:tabs>
        <w:numPr>
          <w:ilvl w:val="0"/>
          <w:numId w:val="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arithmetic mean of the Annualized Default Ratio for the related Collection Period and the two previous Collection Periods for Near-Prime Receivables exceeds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1F3763"/>
        </w:rPr>
      </w:pPr>
    </w:p>
    <w:p>
      <w:pPr>
        <w:ind w:left="700" w:right="120" w:firstLine="470"/>
        <w:spacing w:after="0" w:line="286" w:lineRule="auto"/>
        <w:tabs>
          <w:tab w:leader="none" w:pos="1432" w:val="left"/>
        </w:tabs>
        <w:numPr>
          <w:ilvl w:val="0"/>
          <w:numId w:val="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arithmetic mean of the Extension Ratio for the related Collection Period and the two previous Collection Periods for Near-Prime Receivables exceeds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1F3763"/>
        </w:rPr>
      </w:pPr>
    </w:p>
    <w:p>
      <w:pPr>
        <w:ind w:left="700" w:right="300" w:firstLine="458"/>
        <w:spacing w:after="0" w:line="268" w:lineRule="auto"/>
        <w:tabs>
          <w:tab w:leader="none" w:pos="1432" w:val="left"/>
        </w:tabs>
        <w:numPr>
          <w:ilvl w:val="0"/>
          <w:numId w:val="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arithmetic mean of the Delinquency Ratio for the related Collection Period and the two preceding Collection Periods for Near-Prime Receivables exceeds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the Delinquency Ratio for the current Collection Period for Near-Prime Receivables exceeds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1F3763"/>
        </w:rPr>
      </w:pPr>
    </w:p>
    <w:p>
      <w:pPr>
        <w:ind w:left="1440" w:hanging="270"/>
        <w:spacing w:after="0"/>
        <w:tabs>
          <w:tab w:leader="none" w:pos="1440" w:val="left"/>
        </w:tabs>
        <w:numPr>
          <w:ilvl w:val="0"/>
          <w:numId w:val="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Delinquency Ratio for the current Collection Period for Near-Prime Receivables exceeds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or</w:t>
      </w:r>
    </w:p>
    <w:p>
      <w:pPr>
        <w:spacing w:after="0" w:line="201" w:lineRule="exact"/>
        <w:rPr>
          <w:rFonts w:ascii="Times New Roman" w:cs="Times New Roman" w:eastAsia="Times New Roman" w:hAnsi="Times New Roman"/>
          <w:sz w:val="19"/>
          <w:szCs w:val="19"/>
          <w:color w:val="1F3763"/>
        </w:rPr>
      </w:pPr>
    </w:p>
    <w:p>
      <w:pPr>
        <w:ind w:left="1440" w:hanging="246"/>
        <w:spacing w:after="0"/>
        <w:tabs>
          <w:tab w:leader="none" w:pos="1440" w:val="left"/>
        </w:tabs>
        <w:numPr>
          <w:ilvl w:val="0"/>
          <w:numId w:val="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occurrence of a Termination Event or a Servicer Termination Event;</w:t>
      </w:r>
    </w:p>
    <w:p>
      <w:pPr>
        <w:spacing w:after="0" w:line="202"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provided that, upon the occurrence of a Securitization Date with respect to which the pro forma Borrowing Base (after giving effect to such Securitization) delivered to the Administrative Agent shows all Eligible Receivables forming part thereto that are less than 31 days past due, then for the purpose of paragraphs (a), (b), (d) and (e) above, each of the Annualized Net Loss Ratio, the Annualized Default Ratio and the Delinquency Ratio shall be reset for the Collection Period in which such Securitization Date occurs and the calculation thereof will resume for the immediately following Collection Period and every Collection Period thereafter.</w:t>
      </w:r>
    </w:p>
    <w:p>
      <w:pPr>
        <w:spacing w:after="0" w:line="154" w:lineRule="exact"/>
        <w:rPr>
          <w:sz w:val="20"/>
          <w:szCs w:val="20"/>
          <w:color w:val="auto"/>
        </w:rPr>
      </w:pPr>
    </w:p>
    <w:p>
      <w:pPr>
        <w:ind w:right="20" w:firstLine="696"/>
        <w:spacing w:after="0" w:line="268" w:lineRule="auto"/>
        <w:rPr>
          <w:sz w:val="20"/>
          <w:szCs w:val="20"/>
          <w:color w:val="auto"/>
        </w:rPr>
      </w:pPr>
      <w:r>
        <w:rPr>
          <w:rFonts w:ascii="Times New Roman" w:cs="Times New Roman" w:eastAsia="Times New Roman" w:hAnsi="Times New Roman"/>
          <w:sz w:val="19"/>
          <w:szCs w:val="19"/>
          <w:color w:val="auto"/>
        </w:rPr>
        <w:t xml:space="preserve">“Net Loss” means, with respect to any Payment Date and the related Collection Period, an amount equal to (i) the Pool Balance of all Receivables that first became Defaulted Receivables during such Collection Period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(ii) all Recoveries received by the Servicer during such Collection Period with respect to any Defaulted Receivables.</w:t>
      </w:r>
    </w:p>
    <w:p>
      <w:pPr>
        <w:spacing w:after="0" w:line="144" w:lineRule="exact"/>
        <w:rPr>
          <w:sz w:val="20"/>
          <w:szCs w:val="20"/>
          <w:color w:val="auto"/>
        </w:rPr>
      </w:pPr>
    </w:p>
    <w:p>
      <w:pPr>
        <w:ind w:right="560" w:firstLine="696"/>
        <w:spacing w:after="0" w:line="286" w:lineRule="auto"/>
        <w:rPr>
          <w:sz w:val="20"/>
          <w:szCs w:val="20"/>
          <w:color w:val="auto"/>
        </w:rPr>
      </w:pPr>
      <w:r>
        <w:rPr>
          <w:rFonts w:ascii="Times New Roman" w:cs="Times New Roman" w:eastAsia="Times New Roman" w:hAnsi="Times New Roman"/>
          <w:sz w:val="19"/>
          <w:szCs w:val="19"/>
          <w:color w:val="auto"/>
        </w:rPr>
        <w:t>“Net Pool Balance” means on any day with respect to all of the Receivables or a specified portion of the Receivables, as indicated by the context, the aggregate Principal Balance of all such Receivables that are Eligible Receivables.</w:t>
      </w:r>
    </w:p>
    <w:p>
      <w:pPr>
        <w:spacing w:after="0" w:line="127"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color w:val="auto"/>
        </w:rPr>
        <w:t>“Non -Extending Lender” means, after its respective Commitment Termination Date, each Committed Lender that has declined to extend such Commitment Termination Date in accordance with Section 2.04, to the extent not replaced pursuant to Section 2.04(b).</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12" w:name="page113"/>
    <w:bookmarkEnd w:id="112"/>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“Non-Prime Receivable” means, an Eligible Receivable as to which all of the following criteria are satisfied as of its respective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Cut-Off Date:</w:t>
      </w:r>
    </w:p>
    <w:p>
      <w:pPr>
        <w:spacing w:after="0" w:line="180" w:lineRule="exact"/>
        <w:rPr>
          <w:sz w:val="20"/>
          <w:szCs w:val="20"/>
          <w:color w:val="auto"/>
        </w:rPr>
      </w:pPr>
    </w:p>
    <w:p>
      <w:pPr>
        <w:ind w:left="860" w:hanging="194"/>
        <w:spacing w:after="0"/>
        <w:tabs>
          <w:tab w:leader="none" w:pos="8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not a Near-Prime Receivable;</w:t>
      </w:r>
    </w:p>
    <w:p>
      <w:pPr>
        <w:spacing w:after="0" w:line="31"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which, other than for a Schedule C-1 Receivable, had an original term of not more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months;</w:t>
      </w:r>
    </w:p>
    <w:p>
      <w:pPr>
        <w:spacing w:after="0" w:line="9"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other than for a Schedule C-1 Receivable, had an original Principal Balance of not more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9"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which, other than for a Schedule C-1 Receivable, had a Loan-to-Value Ratio of no greater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and</w:t>
      </w:r>
    </w:p>
    <w:p>
      <w:pPr>
        <w:spacing w:after="0" w:line="9" w:lineRule="exact"/>
        <w:rPr>
          <w:rFonts w:ascii="Times New Roman" w:cs="Times New Roman" w:eastAsia="Times New Roman" w:hAnsi="Times New Roman"/>
          <w:sz w:val="19"/>
          <w:szCs w:val="19"/>
          <w:color w:val="auto"/>
        </w:rPr>
      </w:pPr>
    </w:p>
    <w:p>
      <w:pPr>
        <w:ind w:left="860" w:hanging="194"/>
        <w:spacing w:after="0"/>
        <w:tabs>
          <w:tab w:leader="none" w:pos="8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which, other than for a Schedule C-1 Receivable, had a PTI Ratio of no greater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“Non-U.S. Lender” means a Lender that is not a “United States person” as defined in Code Section 7701(a)(30).</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“Note” has the meaning given to such term in Section 2.05(a).</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“Obligations” means all loans, advances, debts, liabilities, indemnities and obligations for monetary amounts owing by the Borrower to the Secured Parties, the Administrative Agent, the Paying Agent, the Owner Trustee,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or any other Basic Document, whether or not evidenced by any separate Note, agreement or other instrument, including all unpaid Principal Amounts, Interest (including Interest that accrues after the commencement against the Borrower of any action under the Bankruptcy Code), amounts payable pursuant to Sections 2.13 and 2.14, Breakage Costs, Indemnified Amounts, fees, including any and all arrangement fees, loan fees and Unused Fees, and any and all other fees, expenses, costs, indemnities or other sums (including attorney fees and disbursements) chargeable to the Borrower under the Basic Documents.</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“Obligor” means each Person obligated to make payments pursuant to a Receivable, including any guarantor thereof.</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“OFAC” means the U.S. Department of the Treasury’s Office of Foreign Assets Control.</w:t>
      </w:r>
    </w:p>
    <w:p>
      <w:pPr>
        <w:spacing w:after="0" w:line="202"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“Officer’s Certificate” means a certificate signed by any officer of the Borrower, the Servicer, the Originator, the Performance Guarantor or the Custodian, as the case may be, and delivered to the Administrative Agent.</w:t>
      </w:r>
    </w:p>
    <w:p>
      <w:pPr>
        <w:spacing w:after="0" w:line="127" w:lineRule="exact"/>
        <w:rPr>
          <w:sz w:val="20"/>
          <w:szCs w:val="20"/>
          <w:color w:val="auto"/>
        </w:rPr>
      </w:pPr>
    </w:p>
    <w:p>
      <w:pPr>
        <w:ind w:right="400" w:firstLine="696"/>
        <w:spacing w:after="0" w:line="286" w:lineRule="auto"/>
        <w:rPr>
          <w:sz w:val="20"/>
          <w:szCs w:val="20"/>
          <w:color w:val="auto"/>
        </w:rPr>
      </w:pPr>
      <w:r>
        <w:rPr>
          <w:rFonts w:ascii="Times New Roman" w:cs="Times New Roman" w:eastAsia="Times New Roman" w:hAnsi="Times New Roman"/>
          <w:sz w:val="19"/>
          <w:szCs w:val="19"/>
          <w:color w:val="auto"/>
        </w:rPr>
        <w:t>“Opinion of Counsel” means, with respect to any Person, a written opinion of counsel, who is reasonably acceptable to the Administrative Agent.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“Originator” means UACC.</w:t>
      </w:r>
    </w:p>
    <w:p>
      <w:pPr>
        <w:spacing w:after="0" w:line="202" w:lineRule="exact"/>
        <w:rPr>
          <w:sz w:val="20"/>
          <w:szCs w:val="20"/>
          <w:color w:val="auto"/>
        </w:rPr>
      </w:pPr>
    </w:p>
    <w:p>
      <w:pPr>
        <w:ind w:right="700" w:firstLine="696"/>
        <w:spacing w:after="0" w:line="286" w:lineRule="auto"/>
        <w:rPr>
          <w:sz w:val="20"/>
          <w:szCs w:val="20"/>
          <w:color w:val="auto"/>
        </w:rPr>
      </w:pPr>
      <w:r>
        <w:rPr>
          <w:rFonts w:ascii="Times New Roman" w:cs="Times New Roman" w:eastAsia="Times New Roman" w:hAnsi="Times New Roman"/>
          <w:sz w:val="19"/>
          <w:szCs w:val="19"/>
          <w:color w:val="auto"/>
        </w:rPr>
        <w:t>“Originator Vault Partition” shall mean the segregated partition of the E-Vault System governed by an E-Vault Access Agreement which reflects the owner of record as UACC.</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13" w:name="page114"/>
    <w:bookmarkEnd w:id="113"/>
    <w:p>
      <w:pPr>
        <w:spacing w:after="0" w:line="269" w:lineRule="exact"/>
        <w:rPr>
          <w:sz w:val="20"/>
          <w:szCs w:val="20"/>
          <w:color w:val="auto"/>
        </w:rPr>
      </w:pPr>
    </w:p>
    <w:p>
      <w:pPr>
        <w:ind w:right="180" w:firstLine="696"/>
        <w:spacing w:after="0" w:line="259" w:lineRule="auto"/>
        <w:rPr>
          <w:sz w:val="20"/>
          <w:szCs w:val="20"/>
          <w:color w:val="auto"/>
        </w:rPr>
      </w:pPr>
      <w:r>
        <w:rPr>
          <w:rFonts w:ascii="Times New Roman" w:cs="Times New Roman" w:eastAsia="Times New Roman" w:hAnsi="Times New Roman"/>
          <w:sz w:val="19"/>
          <w:szCs w:val="19"/>
          <w:color w:val="auto"/>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Basic Document, or sold or assigned an interest in any Loan or Basic Document).</w:t>
      </w:r>
    </w:p>
    <w:p>
      <w:pPr>
        <w:spacing w:after="0" w:line="154"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auto"/>
        </w:rPr>
        <w:t>“Other Taxes” means any and all present or future recording, stamp, documentary, court, intangible, recording, filing or similar Taxes, charges or levies arising from any payment made under this Agreement or from the execution, delivery, performance, registration or enforcement of, from the receipt or perfection of a security interest under, or otherwise with respect to this Agreement or other Basic Document.</w:t>
      </w:r>
    </w:p>
    <w:p>
      <w:pPr>
        <w:spacing w:after="0" w:line="150"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“Other Warehouse Agreements” means all warehouse agreements, credit agreements, funding agreements or similar agreements of UACC and its Affiliates, other than this Agreement, that are secured or collateralized by similar motor vehicle receivables.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“Owner Trustee” means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not in its individual capacity, but solely as Owner Trustee under the Trust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“Owners” means the Lenders that are owners of record of the Notes.</w:t>
      </w:r>
    </w:p>
    <w:p>
      <w:pPr>
        <w:spacing w:after="0" w:line="202"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“Paper -In Contract” means a Tangible Contract that has been converted to an Electronic Contract in accordance with the requirements of the E-Vault System.</w:t>
      </w:r>
    </w:p>
    <w:p>
      <w:pPr>
        <w:spacing w:after="0" w:line="12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“Partial Expiration Event” means the occurrence of the election of one or more Non-Extending Lenders after the Commitment Termination Date to not extend its Commitment, unless such Non-Extending Lender is replaced pursuant to Section 2.04(b) or unless the Termination Date shall have occurred.</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“Partial Expiration Event Amount” means the portion of Loans Outstanding payable in connection with a Partial Expiration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Event.</w:t>
      </w:r>
    </w:p>
    <w:p>
      <w:pPr>
        <w:spacing w:after="0" w:line="180" w:lineRule="exact"/>
        <w:rPr>
          <w:sz w:val="20"/>
          <w:szCs w:val="20"/>
          <w:color w:val="auto"/>
        </w:rPr>
      </w:pPr>
    </w:p>
    <w:p>
      <w:pPr>
        <w:ind w:right="160" w:firstLine="696"/>
        <w:spacing w:after="0" w:line="286" w:lineRule="auto"/>
        <w:rPr>
          <w:sz w:val="20"/>
          <w:szCs w:val="20"/>
          <w:color w:val="auto"/>
        </w:rPr>
      </w:pPr>
      <w:r>
        <w:rPr>
          <w:rFonts w:ascii="Times New Roman" w:cs="Times New Roman" w:eastAsia="Times New Roman" w:hAnsi="Times New Roman"/>
          <w:sz w:val="19"/>
          <w:szCs w:val="19"/>
          <w:color w:val="auto"/>
        </w:rPr>
        <w:t>“Patriot Act” means the USA PATRIOT Act (Title III of Pub. L. 107-56 (signed into law October 26, 2001)) as the same may be amended from time to time, and corresponding provisions of future laws.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“Paying Agent” has the meaning given to such term in the Preamble.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“Paying Agent Fee” means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per month.</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“Payment” has the meaning given to such term in Section 11.09(a).</w:t>
      </w:r>
    </w:p>
    <w:p>
      <w:pPr>
        <w:spacing w:after="0" w:line="202" w:lineRule="exact"/>
        <w:rPr>
          <w:sz w:val="20"/>
          <w:szCs w:val="20"/>
          <w:color w:val="auto"/>
        </w:rPr>
      </w:pPr>
    </w:p>
    <w:p>
      <w:pPr>
        <w:ind w:right="480" w:firstLine="696"/>
        <w:spacing w:after="0" w:line="222" w:lineRule="auto"/>
        <w:rPr>
          <w:sz w:val="20"/>
          <w:szCs w:val="20"/>
          <w:color w:val="auto"/>
        </w:rPr>
      </w:pPr>
      <w:r>
        <w:rPr>
          <w:rFonts w:ascii="Times New Roman" w:cs="Times New Roman" w:eastAsia="Times New Roman" w:hAnsi="Times New Roman"/>
          <w:sz w:val="19"/>
          <w:szCs w:val="19"/>
          <w:color w:val="auto"/>
        </w:rPr>
        <w:t>“Payment Date” means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of each calendar month or, if any such day is not a Business Day, the next succeeding Business Day, commencing January 12, 2023.</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“Payment Notice” has the meaning given to such term in Section 11.09(b).</w:t>
      </w: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4" w:name="page115"/>
    <w:bookmarkEnd w:id="114"/>
    <w:p>
      <w:pPr>
        <w:spacing w:after="0" w:line="269" w:lineRule="exact"/>
        <w:rPr>
          <w:sz w:val="20"/>
          <w:szCs w:val="20"/>
          <w:color w:val="auto"/>
        </w:rPr>
      </w:pPr>
    </w:p>
    <w:p>
      <w:pPr>
        <w:jc w:val="both"/>
        <w:ind w:right="100" w:firstLine="696"/>
        <w:spacing w:after="0" w:line="262" w:lineRule="auto"/>
        <w:rPr>
          <w:sz w:val="20"/>
          <w:szCs w:val="20"/>
          <w:color w:val="auto"/>
        </w:rPr>
      </w:pPr>
      <w:r>
        <w:rPr>
          <w:rFonts w:ascii="Times New Roman" w:cs="Times New Roman" w:eastAsia="Times New Roman" w:hAnsi="Times New Roman"/>
          <w:sz w:val="19"/>
          <w:szCs w:val="19"/>
          <w:color w:val="auto"/>
        </w:rPr>
        <w:t>“Pension Plans” 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of the Borrower, or by the Servicer or any ERISA Affiliate of the Servicer, as applicable, for any of its employees.</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“Performance Guarantor” means Vroom Finance Holdings, LLC.</w:t>
      </w:r>
    </w:p>
    <w:p>
      <w:pPr>
        <w:spacing w:after="0" w:line="202"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“Performance Guaranty” means the Performance Guaranty, dated as of Closing Date, from the Performance Guarantor, in favor of the Secured Parties.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“Permitted Investments” means any of the following types of investments:</w:t>
      </w:r>
    </w:p>
    <w:p>
      <w:pPr>
        <w:spacing w:after="0" w:line="202" w:lineRule="exact"/>
        <w:rPr>
          <w:sz w:val="20"/>
          <w:szCs w:val="20"/>
          <w:color w:val="auto"/>
        </w:rPr>
      </w:pPr>
    </w:p>
    <w:p>
      <w:pPr>
        <w:ind w:left="800" w:right="140" w:firstLine="658"/>
        <w:spacing w:after="0" w:line="286" w:lineRule="auto"/>
        <w:tabs>
          <w:tab w:leader="none" w:pos="173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obligations of the United States, the full and timely payment of which are backed by the full faith and credit of the United States and which have a maturity of not more than 270 days from the date of acquisition;</w:t>
      </w:r>
    </w:p>
    <w:p>
      <w:pPr>
        <w:spacing w:after="0" w:line="127" w:lineRule="exact"/>
        <w:rPr>
          <w:rFonts w:ascii="Times New Roman" w:cs="Times New Roman" w:eastAsia="Times New Roman" w:hAnsi="Times New Roman"/>
          <w:sz w:val="19"/>
          <w:szCs w:val="19"/>
          <w:color w:val="auto"/>
        </w:rPr>
      </w:pPr>
    </w:p>
    <w:p>
      <w:pPr>
        <w:ind w:left="800" w:right="140" w:firstLine="658"/>
        <w:spacing w:after="0" w:line="236" w:lineRule="exact"/>
        <w:tabs>
          <w:tab w:leader="none" w:pos="173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Rating Requirement;</w:t>
      </w:r>
    </w:p>
    <w:p>
      <w:pPr>
        <w:spacing w:after="0" w:line="161" w:lineRule="exact"/>
        <w:rPr>
          <w:rFonts w:ascii="Times New Roman" w:cs="Times New Roman" w:eastAsia="Times New Roman" w:hAnsi="Times New Roman"/>
          <w:sz w:val="19"/>
          <w:szCs w:val="19"/>
          <w:color w:val="auto"/>
        </w:rPr>
      </w:pPr>
    </w:p>
    <w:p>
      <w:pPr>
        <w:ind w:left="800" w:right="320" w:firstLine="658"/>
        <w:spacing w:after="0" w:line="286" w:lineRule="auto"/>
        <w:tabs>
          <w:tab w:leader="none" w:pos="173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with a term of not more than ten days for underlying securities of the types described in clauses (i) and (ii) above entered into with any bank of the type described in clause (ii) above;</w:t>
      </w:r>
    </w:p>
    <w:p>
      <w:pPr>
        <w:spacing w:after="0" w:line="108" w:lineRule="exact"/>
        <w:rPr>
          <w:rFonts w:ascii="Times New Roman" w:cs="Times New Roman" w:eastAsia="Times New Roman" w:hAnsi="Times New Roman"/>
          <w:sz w:val="19"/>
          <w:szCs w:val="19"/>
          <w:color w:val="auto"/>
        </w:rPr>
      </w:pPr>
    </w:p>
    <w:p>
      <w:pPr>
        <w:ind w:left="1740" w:hanging="282"/>
        <w:spacing w:after="0" w:line="219" w:lineRule="exact"/>
        <w:tabs>
          <w:tab w:leader="none" w:pos="17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rated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Standard &amp; Poor’s and Prime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Moody’s;</w:t>
      </w:r>
    </w:p>
    <w:p>
      <w:pPr>
        <w:spacing w:after="0" w:line="220" w:lineRule="exact"/>
        <w:rPr>
          <w:rFonts w:ascii="Times New Roman" w:cs="Times New Roman" w:eastAsia="Times New Roman" w:hAnsi="Times New Roman"/>
          <w:sz w:val="19"/>
          <w:szCs w:val="19"/>
          <w:color w:val="auto"/>
        </w:rPr>
      </w:pPr>
    </w:p>
    <w:p>
      <w:pPr>
        <w:ind w:left="800" w:firstLine="658"/>
        <w:spacing w:after="0" w:line="268" w:lineRule="auto"/>
        <w:tabs>
          <w:tab w:leader="none" w:pos="173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registered under the Investment Company Act having a rating, at the time of such investment, of not less than Aaa by Moody’s and AAAm by Standard &amp; Poor’s (including any such funds for which the Paying Agent in its individual capacity, or any of its Affiliates, receives compensation as administrator, sponsor, agent or the like);</w:t>
      </w:r>
    </w:p>
    <w:p>
      <w:pPr>
        <w:spacing w:after="0" w:line="144" w:lineRule="exact"/>
        <w:rPr>
          <w:rFonts w:ascii="Times New Roman" w:cs="Times New Roman" w:eastAsia="Times New Roman" w:hAnsi="Times New Roman"/>
          <w:sz w:val="19"/>
          <w:szCs w:val="19"/>
          <w:color w:val="auto"/>
        </w:rPr>
      </w:pPr>
    </w:p>
    <w:p>
      <w:pPr>
        <w:ind w:left="800" w:right="120" w:firstLine="658"/>
        <w:spacing w:after="0" w:line="232" w:lineRule="exact"/>
        <w:tabs>
          <w:tab w:leader="none" w:pos="173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Rating Requirement; or</w:t>
      </w:r>
    </w:p>
    <w:p>
      <w:pPr>
        <w:spacing w:after="0" w:line="173" w:lineRule="exact"/>
        <w:rPr>
          <w:rFonts w:ascii="Times New Roman" w:cs="Times New Roman" w:eastAsia="Times New Roman" w:hAnsi="Times New Roman"/>
          <w:sz w:val="19"/>
          <w:szCs w:val="19"/>
          <w:color w:val="auto"/>
        </w:rPr>
      </w:pPr>
    </w:p>
    <w:p>
      <w:pPr>
        <w:ind w:left="1740" w:hanging="282"/>
        <w:spacing w:after="0"/>
        <w:tabs>
          <w:tab w:leader="none" w:pos="17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investments approved in writing by the Administrative Agent;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provided, that each of the Permitted Investments may be purchased by the Paying Agent or through an Affiliate of the Paying Agent.</w:t>
      </w:r>
    </w:p>
    <w:p>
      <w:pPr>
        <w:spacing w:after="0" w:line="202"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auto"/>
        </w:rPr>
        <w:t>“Permitted Liens” means (i) Liens in favor of the Administrative Agent, as agent for the Secured Parties, created pursuant to this Agreement or any other Basic Document and (ii) Liens related to a Financed Vehicle for Taxes, labor, materials or storage, (iii) Liens for Taxes and assessments and governmental charges or levies that are not yet due and payable or that are being contested in good faith and by proper proceedings and as to which appropriate reserves are being maintained, provided that they have been fully reserved for in accordance with GAAP, and (iv) with respect to the Accounts, Liens on the Lockbox Account in favor of the Lockbox Bank pursuant to the Intercreditor Agreement, and Liens on the Collection Account in favor of the Administrative Agent hereunder.</w:t>
      </w:r>
    </w:p>
    <w:p>
      <w:pPr>
        <w:spacing w:after="0" w:line="157" w:lineRule="exact"/>
        <w:rPr>
          <w:sz w:val="20"/>
          <w:szCs w:val="20"/>
          <w:color w:val="auto"/>
        </w:rPr>
      </w:pPr>
    </w:p>
    <w:p>
      <w:pPr>
        <w:ind w:right="420" w:firstLine="696"/>
        <w:spacing w:after="0" w:line="268" w:lineRule="auto"/>
        <w:rPr>
          <w:sz w:val="20"/>
          <w:szCs w:val="20"/>
          <w:color w:val="auto"/>
        </w:rPr>
      </w:pPr>
      <w:r>
        <w:rPr>
          <w:rFonts w:ascii="Times New Roman" w:cs="Times New Roman" w:eastAsia="Times New Roman" w:hAnsi="Times New Roman"/>
          <w:sz w:val="19"/>
          <w:szCs w:val="19"/>
          <w:color w:val="auto"/>
        </w:rPr>
        <w:t>“Person” 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spacing w:after="0" w:line="144" w:lineRule="exact"/>
        <w:rPr>
          <w:sz w:val="20"/>
          <w:szCs w:val="20"/>
          <w:color w:val="auto"/>
        </w:rPr>
      </w:pPr>
    </w:p>
    <w:p>
      <w:pPr>
        <w:ind w:right="540" w:firstLine="696"/>
        <w:spacing w:after="0" w:line="286" w:lineRule="auto"/>
        <w:rPr>
          <w:sz w:val="20"/>
          <w:szCs w:val="20"/>
          <w:color w:val="auto"/>
        </w:rPr>
      </w:pPr>
      <w:r>
        <w:rPr>
          <w:rFonts w:ascii="Times New Roman" w:cs="Times New Roman" w:eastAsia="Times New Roman" w:hAnsi="Times New Roman"/>
          <w:sz w:val="19"/>
          <w:szCs w:val="19"/>
          <w:color w:val="auto"/>
        </w:rPr>
        <w:t>“Pool Balance” means, as of any day, the aggregate Principal Balance of all Receivables (or if indicated by the context, a specified portion of the Receivables) as of such day.</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“Portfolio Purchase Receivable” means any Receivable originated by Vroom Automotive, LLC or an Affiliate thereof, originally transferred to a third party purchaser who paid par or above par for the Receivable and then reacquired by Vroom Automotive, LLC or an Affiliate thereof and then subsequently acquired by the Borrower on or after the Closing Date, and with respect to which the Servicer holds the Certificate of Title or the application for a Certificate of Title for the related Financed Vehicle on such date.</w:t>
      </w:r>
    </w:p>
    <w:p>
      <w:pPr>
        <w:spacing w:after="0" w:line="150" w:lineRule="exact"/>
        <w:rPr>
          <w:sz w:val="20"/>
          <w:szCs w:val="20"/>
          <w:color w:val="auto"/>
        </w:rPr>
      </w:pPr>
    </w:p>
    <w:p>
      <w:pPr>
        <w:ind w:right="600" w:firstLine="696"/>
        <w:spacing w:after="0" w:line="286" w:lineRule="auto"/>
        <w:rPr>
          <w:sz w:val="20"/>
          <w:szCs w:val="20"/>
          <w:color w:val="auto"/>
        </w:rPr>
      </w:pPr>
      <w:r>
        <w:rPr>
          <w:rFonts w:ascii="Times New Roman" w:cs="Times New Roman" w:eastAsia="Times New Roman" w:hAnsi="Times New Roman"/>
          <w:sz w:val="19"/>
          <w:szCs w:val="19"/>
          <w:color w:val="auto"/>
        </w:rPr>
        <w:t>“Post Office Box” means one or more post office boxes established and maintained by the Servicer for the benefit of the Secured Parties pursuant to the Intercreditor Agreement and the Intercreditor Party Supplement.</w:t>
      </w:r>
    </w:p>
    <w:p>
      <w:pPr>
        <w:spacing w:after="0" w:line="127" w:lineRule="exact"/>
        <w:rPr>
          <w:sz w:val="20"/>
          <w:szCs w:val="20"/>
          <w:color w:val="auto"/>
        </w:rPr>
      </w:pPr>
    </w:p>
    <w:p>
      <w:pPr>
        <w:ind w:right="520" w:firstLine="696"/>
        <w:spacing w:after="0" w:line="286" w:lineRule="auto"/>
        <w:rPr>
          <w:sz w:val="20"/>
          <w:szCs w:val="20"/>
          <w:color w:val="auto"/>
        </w:rPr>
      </w:pPr>
      <w:r>
        <w:rPr>
          <w:rFonts w:ascii="Times New Roman" w:cs="Times New Roman" w:eastAsia="Times New Roman" w:hAnsi="Times New Roman"/>
          <w:sz w:val="19"/>
          <w:szCs w:val="19"/>
          <w:color w:val="auto"/>
        </w:rPr>
        <w:t>“Post Office Box Processor” means the Lockbox Bank and any other Person that may from time to time perform lockbox services with respect to one or more Post Office Boxes.</w:t>
      </w:r>
    </w:p>
    <w:p>
      <w:pPr>
        <w:spacing w:after="0" w:line="127"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“Power of Attorney” means a Power of Attorney of the Borrower appointing the Administrative Agent as its lawful attorney in accordance with Section 9.05, in substantially the form of Exhibit E.</w:t>
      </w:r>
    </w:p>
    <w:p>
      <w:pPr>
        <w:spacing w:after="0" w:line="127"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auto"/>
        </w:rPr>
        <w:t>“Prime Rate” means, as of any date,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6" w:name="page117"/>
    <w:bookmarkEnd w:id="116"/>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Principal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means any person holding an ownership interest in a Borrower of 25% or more.</w:t>
      </w:r>
    </w:p>
    <w:p>
      <w:pPr>
        <w:spacing w:after="0" w:line="204"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“Principal Amount” means, with respect to any Loan, the aggregate amount advanced by the Lenders on the Funding Date in respect of such Loan.</w:t>
      </w:r>
    </w:p>
    <w:p>
      <w:pPr>
        <w:spacing w:after="0" w:line="127"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“Principal Balance” means, with respect to a Receivable, as of the close of business on a date of determination, the Amount Financed of such Receivable minus the sum of the following related amounts, without duplication, (i) that portion of all Scheduled Payments actually received on or prior to such day allocable to principal using the Simple Interest Method, (ii) any payment of the Release Price with respect to a Receivable allocable to principal, (iii) any Cram Down Loss and (iv) any prepayment in full or any partial prepayment applied in reduction of principal. Notwithstanding the foregoing, and without duplication, the Principal Balance of a Defaulted Receivable will be zero as of the last day of the Collection Period during which it became a Defaulted Receivable.</w:t>
      </w:r>
    </w:p>
    <w:p>
      <w:pPr>
        <w:spacing w:after="0" w:line="157"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“PTI Ratio” means with respect to any Receivable, as of the related origination date, the ratio (expressed as a percentage) of (x) the scheduled monthly payment amount of such Receivable on the date such Receivable was originated, to (y) the combined monthly gross income from all sources of the Obligor(s) on the date such Receivable was originated.</w:t>
      </w:r>
    </w:p>
    <w:p>
      <w:pPr>
        <w:spacing w:after="0" w:line="144"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“Purchase Agreement” means the Purchase and Contribution Agreement, dated as of the Closing Date, between UACC and the Borrower, and each Transfer Agreement.</w:t>
      </w:r>
    </w:p>
    <w:p>
      <w:pPr>
        <w:spacing w:after="0" w:line="127" w:lineRule="exact"/>
        <w:rPr>
          <w:sz w:val="20"/>
          <w:szCs w:val="20"/>
          <w:color w:val="auto"/>
        </w:rPr>
      </w:pPr>
    </w:p>
    <w:p>
      <w:pPr>
        <w:ind w:right="180" w:firstLine="696"/>
        <w:spacing w:after="0" w:line="262" w:lineRule="auto"/>
        <w:rPr>
          <w:sz w:val="20"/>
          <w:szCs w:val="20"/>
          <w:color w:val="auto"/>
        </w:rPr>
      </w:pPr>
      <w:r>
        <w:rPr>
          <w:rFonts w:ascii="Times New Roman" w:cs="Times New Roman" w:eastAsia="Times New Roman" w:hAnsi="Times New Roman"/>
          <w:sz w:val="19"/>
          <w:szCs w:val="19"/>
          <w:color w:val="auto"/>
        </w:rPr>
        <w:t>“Qualified Institution” 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spacing w:after="0" w:line="150"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“Qualified Subordinated Debt” means any debt outstanding pursuant to that certain credit agreement, dated as of March 8, 2025, among Vroom, Inc., UACC and Darkwater Funding LLC, as co-borrowers and Mudrick Capital Management, L.P., as lender, which provides for a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delayed draw term loan to each co-borrower.</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“Rating Agency” means any nationally recognized statistical ratings organization acceptable to the Administrative Agent.</w:t>
      </w:r>
    </w:p>
    <w:p>
      <w:pPr>
        <w:spacing w:after="0" w:line="202" w:lineRule="exact"/>
        <w:rPr>
          <w:sz w:val="20"/>
          <w:szCs w:val="20"/>
          <w:color w:val="auto"/>
        </w:rPr>
      </w:pPr>
    </w:p>
    <w:p>
      <w:pPr>
        <w:ind w:right="640" w:firstLine="696"/>
        <w:spacing w:after="0" w:line="268" w:lineRule="auto"/>
        <w:rPr>
          <w:sz w:val="20"/>
          <w:szCs w:val="20"/>
          <w:color w:val="auto"/>
        </w:rPr>
      </w:pPr>
      <w:r>
        <w:rPr>
          <w:rFonts w:ascii="Times New Roman" w:cs="Times New Roman" w:eastAsia="Times New Roman" w:hAnsi="Times New Roman"/>
          <w:sz w:val="19"/>
          <w:szCs w:val="19"/>
          <w:color w:val="auto"/>
        </w:rPr>
        <w:t>“Rating Request” means a written request by the Administrative Agent to the Borrower and the Servicer, stating that the Administrative Agent intends to request that one or more Rating Agencies publicly/privately issue a rating to the transactions contemplated by this Agreement pursuant to Section 2.13(g).</w:t>
      </w:r>
    </w:p>
    <w:p>
      <w:pPr>
        <w:spacing w:after="0" w:line="144"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“Receivable” 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and loan made by a Dealer or the Originator with respect to a Financed Vehicle in connection therewith, and includes the right of payment of any finance charges and other obligations of the Obligor with respect thereto. Notwithstanding the foregoing, once the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7" w:name="page118"/>
    <w:bookmarkEnd w:id="117"/>
    <w:p>
      <w:pPr>
        <w:spacing w:after="0" w:line="26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9"/>
          <w:szCs w:val="19"/>
          <w:color w:val="auto"/>
        </w:rPr>
        <w:t>Administrative Agent has released its security interest in a Receivable and the related Contract in accordance with the terms of this Agreement, such Receivable shall no longer be a Receivable hereunder.</w:t>
      </w:r>
    </w:p>
    <w:p>
      <w:pPr>
        <w:spacing w:after="0" w:line="12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“Receivable Data” means a data tape, which shall include as to each Receivable such information as shall be agreed upon by the Administrative Agent and the Servicer, including such information as the Administrative Agent may reasonably request from time to time to satisfy or fulfill regulatory requirements applicable to the Secured Parties, including capital treatment under Basel II or Basel III.</w:t>
      </w:r>
    </w:p>
    <w:p>
      <w:pPr>
        <w:spacing w:after="0" w:line="144"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“Receivable File” means, with respect to each Receivable and the related Contract, (i) (x) in the case of a Tangible Contract, the original fully executed Contract, (y) in the case of an Electronic Contract, an Authoritative Copy of the executed Contract and (z) in the case of a Contract which has been Exported, the physical rendering of the related Electronic Contract produced upon Export, together with the related document history report, and (ii) any instruments or documents that may modify the terms and conditions of such Receivable or Contract and the original endorsements or assignments of such Contract.</w:t>
      </w:r>
    </w:p>
    <w:p>
      <w:pPr>
        <w:spacing w:after="0" w:line="154" w:lineRule="exact"/>
        <w:rPr>
          <w:sz w:val="20"/>
          <w:szCs w:val="20"/>
          <w:color w:val="auto"/>
        </w:rPr>
      </w:pPr>
    </w:p>
    <w:p>
      <w:pPr>
        <w:ind w:right="560" w:firstLine="696"/>
        <w:spacing w:after="0" w:line="286" w:lineRule="auto"/>
        <w:rPr>
          <w:sz w:val="20"/>
          <w:szCs w:val="20"/>
          <w:color w:val="auto"/>
        </w:rPr>
      </w:pPr>
      <w:r>
        <w:rPr>
          <w:rFonts w:ascii="Times New Roman" w:cs="Times New Roman" w:eastAsia="Times New Roman" w:hAnsi="Times New Roman"/>
          <w:sz w:val="19"/>
          <w:szCs w:val="19"/>
          <w:color w:val="auto"/>
        </w:rPr>
        <w:t>“Receivable Receipt” means the receivable receipt substantially in the form attached hereto as Exhibit G executed by the Custodian for the benefit of the Administrative Agent.</w:t>
      </w:r>
    </w:p>
    <w:p>
      <w:pPr>
        <w:spacing w:after="0" w:line="12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“Records” means, with respect to any Receivable, all documents, books, records and other information (including computer programs, tapes, disks, data processing software and related property and rights) maintained with respect to any related item of Collateral and the related Obligor.</w:t>
      </w:r>
    </w:p>
    <w:p>
      <w:pPr>
        <w:spacing w:after="0" w:line="144" w:lineRule="exact"/>
        <w:rPr>
          <w:sz w:val="20"/>
          <w:szCs w:val="20"/>
          <w:color w:val="auto"/>
        </w:rPr>
      </w:pPr>
    </w:p>
    <w:p>
      <w:pPr>
        <w:ind w:right="140" w:firstLine="696"/>
        <w:spacing w:after="0" w:line="259" w:lineRule="auto"/>
        <w:rPr>
          <w:sz w:val="20"/>
          <w:szCs w:val="20"/>
          <w:color w:val="auto"/>
        </w:rPr>
      </w:pPr>
      <w:r>
        <w:rPr>
          <w:rFonts w:ascii="Times New Roman" w:cs="Times New Roman" w:eastAsia="Times New Roman" w:hAnsi="Times New Roman"/>
          <w:sz w:val="19"/>
          <w:szCs w:val="19"/>
          <w:color w:val="auto"/>
        </w:rPr>
        <w:t>“Recoveries” means, with respect to any Payment Date and the related Collection Period, all monies collected from whatever source during such Collection Period in respect of a Defaulted Receivable, including Insurance Proceeds (but excluding payment of the related Release Price), net of any amounts required by Applicable Law to be remitted to the related Obligor and net of the Servicer’s reasonable out-of-pocket expenses (other than overhead) incurred in connection with the liquidation of such Defaulted Receivable and the related Financed Vehicle, to the extent not previously reimbursed to the Servicer.</w:t>
      </w:r>
    </w:p>
    <w:p>
      <w:pPr>
        <w:spacing w:after="0" w:line="154" w:lineRule="exact"/>
        <w:rPr>
          <w:sz w:val="20"/>
          <w:szCs w:val="20"/>
          <w:color w:val="auto"/>
        </w:rPr>
      </w:pPr>
    </w:p>
    <w:p>
      <w:pPr>
        <w:ind w:right="340" w:firstLine="696"/>
        <w:spacing w:after="0" w:line="286" w:lineRule="auto"/>
        <w:rPr>
          <w:sz w:val="20"/>
          <w:szCs w:val="20"/>
          <w:color w:val="auto"/>
        </w:rPr>
      </w:pPr>
      <w:r>
        <w:rPr>
          <w:rFonts w:ascii="Times New Roman" w:cs="Times New Roman" w:eastAsia="Times New Roman" w:hAnsi="Times New Roman"/>
          <w:sz w:val="19"/>
          <w:szCs w:val="19"/>
          <w:color w:val="auto"/>
        </w:rPr>
        <w:t>“Registrar of Titles” means, with respect to any Governmental Authority or body responsible for the registration of, and the issuance of certificates of title relating to, motor vehicles and Liens thereon.</w:t>
      </w:r>
    </w:p>
    <w:p>
      <w:pPr>
        <w:spacing w:after="0" w:line="127"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“Regulation AB” means Subpart 229.1100 – Asset Backed Securities (Regulation AB), 17 C.F.R. §§229.1100-229.1125, as such may be amended from time to time, and subject to such clarification and interpretation as have been provided by the Commission in the adopting releases (Asset Backed Securities, Securities Act Release No. 33 8518, 70 Fed. Reg. 1,506, 1,531 (Jan. 7, 2005) and the portions of Asset-Backed Securities Disclosure and Registration, Securities Act Release No. 33-9638, 79 Fed. Reg. 57,184 (Sept. 24, 2014)) that are in effect on any specific date or by the staff of the Commission, or as may be provided by the Commission or its staff from time to time.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8" w:name="page119"/>
    <w:bookmarkEnd w:id="118"/>
    <w:p>
      <w:pPr>
        <w:spacing w:after="0" w:line="269" w:lineRule="exact"/>
        <w:rPr>
          <w:sz w:val="20"/>
          <w:szCs w:val="20"/>
          <w:color w:val="auto"/>
        </w:rPr>
      </w:pPr>
    </w:p>
    <w:p>
      <w:pPr>
        <w:ind w:right="360" w:firstLine="696"/>
        <w:spacing w:after="0" w:line="286" w:lineRule="auto"/>
        <w:rPr>
          <w:sz w:val="20"/>
          <w:szCs w:val="20"/>
          <w:color w:val="auto"/>
        </w:rPr>
      </w:pPr>
      <w:r>
        <w:rPr>
          <w:rFonts w:ascii="Times New Roman" w:cs="Times New Roman" w:eastAsia="Times New Roman" w:hAnsi="Times New Roman"/>
          <w:sz w:val="19"/>
          <w:szCs w:val="19"/>
          <w:color w:val="auto"/>
        </w:rPr>
        <w:t>“Release Date” means a Payment Date specified by the Borrower in connection with the retransfer of the Receivables under Section 5.04(b).</w:t>
      </w:r>
    </w:p>
    <w:p>
      <w:pPr>
        <w:spacing w:after="0" w:line="127" w:lineRule="exact"/>
        <w:rPr>
          <w:sz w:val="20"/>
          <w:szCs w:val="20"/>
          <w:color w:val="auto"/>
        </w:rPr>
      </w:pPr>
    </w:p>
    <w:p>
      <w:pPr>
        <w:jc w:val="both"/>
        <w:ind w:right="300" w:firstLine="696"/>
        <w:spacing w:after="0" w:line="268" w:lineRule="auto"/>
        <w:rPr>
          <w:sz w:val="20"/>
          <w:szCs w:val="20"/>
          <w:color w:val="auto"/>
        </w:rPr>
      </w:pPr>
      <w:r>
        <w:rPr>
          <w:rFonts w:ascii="Times New Roman" w:cs="Times New Roman" w:eastAsia="Times New Roman" w:hAnsi="Times New Roman"/>
          <w:sz w:val="19"/>
          <w:szCs w:val="19"/>
          <w:color w:val="auto"/>
        </w:rPr>
        <w:t>“Release Price” means an amount equal to the Principal Balance of each Receivable retransferred or repurchased pursuant to Section 5.04(a) or (b), plus accrued interest on such Receivable (at the related APR) through the date of such retransfer or repurchase, and all Breakage Costs, if any, arising out of or relating to such retransfer or repurchase.</w:t>
      </w:r>
    </w:p>
    <w:p>
      <w:pPr>
        <w:spacing w:after="0" w:line="144"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“Relevant Governmental Body” means the Federal Reserve Board or the Federal Reserve Bank of New York, or a committee officially endorsed or convened by the Federal Reserve Board or the Federal Reserve Bank of New York, or any successor thereto.</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“Reporting Date” means the date which is two Business Days prior to any Payment Date.</w:t>
      </w:r>
    </w:p>
    <w:p>
      <w:pPr>
        <w:spacing w:after="0" w:line="202" w:lineRule="exact"/>
        <w:rPr>
          <w:sz w:val="20"/>
          <w:szCs w:val="20"/>
          <w:color w:val="auto"/>
        </w:rPr>
      </w:pPr>
    </w:p>
    <w:p>
      <w:pPr>
        <w:ind w:right="120" w:firstLine="696"/>
        <w:spacing w:after="0" w:line="268" w:lineRule="auto"/>
        <w:rPr>
          <w:sz w:val="20"/>
          <w:szCs w:val="20"/>
          <w:color w:val="auto"/>
        </w:rPr>
      </w:pPr>
      <w:r>
        <w:rPr>
          <w:rFonts w:ascii="Times New Roman" w:cs="Times New Roman" w:eastAsia="Times New Roman" w:hAnsi="Times New Roman"/>
          <w:sz w:val="19"/>
          <w:szCs w:val="19"/>
          <w:color w:val="auto"/>
        </w:rPr>
        <w:t>“Required Legend” means a legend applied by the E-Vault System to every page of a Contract which identifies the owner of Record as “VFS Near Prime Trust I, and held by United Auto Credit Corporation, as Custodian, on behalf of Fifth Third Bank, National Association, as Administrative Agent”.</w:t>
      </w:r>
    </w:p>
    <w:p>
      <w:pPr>
        <w:spacing w:after="0" w:line="144"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“Required Lenders” means at a particular time, Lenders with aggregate Commitments in excess of 66 2/3% of the Aggregate Commitment.</w:t>
      </w:r>
    </w:p>
    <w:p>
      <w:pPr>
        <w:spacing w:after="0" w:line="127"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“Requirements of Law” 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 upon such Person or to which such Person is subject, whether federal, State or local (including usury laws, the Federal Truth in Lending Act, Regulations U and T of the Federal Reserve Board and Regulations B, X and Z of the Consumer Financial Protection Bureau).</w:t>
      </w:r>
    </w:p>
    <w:p>
      <w:pPr>
        <w:spacing w:after="0" w:line="154" w:lineRule="exact"/>
        <w:rPr>
          <w:sz w:val="20"/>
          <w:szCs w:val="20"/>
          <w:color w:val="auto"/>
        </w:rPr>
      </w:pPr>
    </w:p>
    <w:p>
      <w:pPr>
        <w:ind w:right="60" w:firstLine="696"/>
        <w:spacing w:after="0" w:line="256" w:lineRule="auto"/>
        <w:rPr>
          <w:sz w:val="20"/>
          <w:szCs w:val="20"/>
          <w:color w:val="auto"/>
        </w:rPr>
      </w:pPr>
      <w:r>
        <w:rPr>
          <w:rFonts w:ascii="Times New Roman" w:cs="Times New Roman" w:eastAsia="Times New Roman" w:hAnsi="Times New Roman"/>
          <w:sz w:val="19"/>
          <w:szCs w:val="19"/>
          <w:color w:val="auto"/>
        </w:rPr>
        <w:t>“Responsible Officer” means, when used with respect to (i) any Person other than the Borrower, any officer of such Person, including any director,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spacing w:after="0" w:line="157" w:lineRule="exact"/>
        <w:rPr>
          <w:sz w:val="20"/>
          <w:szCs w:val="20"/>
          <w:color w:val="auto"/>
        </w:rPr>
      </w:pPr>
    </w:p>
    <w:p>
      <w:pPr>
        <w:ind w:right="1040" w:firstLine="696"/>
        <w:spacing w:after="0" w:line="286" w:lineRule="auto"/>
        <w:rPr>
          <w:sz w:val="20"/>
          <w:szCs w:val="20"/>
          <w:color w:val="auto"/>
        </w:rPr>
      </w:pPr>
      <w:r>
        <w:rPr>
          <w:rFonts w:ascii="Times New Roman" w:cs="Times New Roman" w:eastAsia="Times New Roman" w:hAnsi="Times New Roman"/>
          <w:sz w:val="19"/>
          <w:szCs w:val="19"/>
          <w:color w:val="auto"/>
        </w:rPr>
        <w:t>“Revolving Period” means the period commencing on the Closing Date and ending on the earlier to occur of (i) the Commitment Termination Date and (ii) the day immediately preceding the Termination Date.</w:t>
      </w:r>
    </w:p>
    <w:p>
      <w:pPr>
        <w:spacing w:after="0" w:line="127" w:lineRule="exact"/>
        <w:rPr>
          <w:sz w:val="20"/>
          <w:szCs w:val="20"/>
          <w:color w:val="auto"/>
        </w:rPr>
      </w:pPr>
    </w:p>
    <w:p>
      <w:pPr>
        <w:ind w:right="420" w:firstLine="696"/>
        <w:spacing w:after="0" w:line="268" w:lineRule="auto"/>
        <w:rPr>
          <w:sz w:val="20"/>
          <w:szCs w:val="20"/>
          <w:color w:val="auto"/>
        </w:rPr>
      </w:pPr>
      <w:r>
        <w:rPr>
          <w:rFonts w:ascii="Times New Roman" w:cs="Times New Roman" w:eastAsia="Times New Roman" w:hAnsi="Times New Roman"/>
          <w:sz w:val="19"/>
          <w:szCs w:val="19"/>
          <w:color w:val="auto"/>
        </w:rPr>
        <w:t>“Sanctioned Country” means, at any time, a country or territory which is the subject or target of any Sanctions broadly restricting or prohibiting dealings with such country or territory (including, without limitation, the Crimea region of Ukraine and the countries of Cuba, Iran, North Korea and Syria).</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9" w:name="page120"/>
    <w:bookmarkEnd w:id="119"/>
    <w:p>
      <w:pPr>
        <w:spacing w:after="0" w:line="269"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“Sanctioned Person” means, at any time, any Person, or Person acting on behalf of any Person, with whom dealings are restricted or prohibited under Sanctions, including (a) any Person named on any Sanctions-related list of designated Persons maintained by OFAC, the U.S. Department of State, or by the United Nations Security Council, her Majesty’s Treasury of the United Kingdom, the European Union or any EU member state, (b) any Person located, operating under the laws of, organized or resident in, or any Governmental Authority or governmental instrumentality of, a Sanctioned Country or (c) any Person directly or indirectly, in whole or in part, owned by, controlled by, or acting on behalf of any Person described in (a) or (b) above.</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“Sanctions” means economic or financial sanctions or trade embargoes imposed, administered or enforced from time to time by</w:t>
      </w:r>
    </w:p>
    <w:p>
      <w:pPr>
        <w:spacing w:after="0" w:line="32" w:lineRule="exact"/>
        <w:rPr>
          <w:sz w:val="20"/>
          <w:szCs w:val="20"/>
          <w:color w:val="auto"/>
        </w:rPr>
      </w:pPr>
    </w:p>
    <w:p>
      <w:pPr>
        <w:ind w:firstLine="6"/>
        <w:spacing w:after="0" w:line="254" w:lineRule="auto"/>
        <w:tabs>
          <w:tab w:leader="none" w:pos="26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government, including those administered by OFAC, the U.S. Department of Commerce, or the U.S. Department of State, (b) the United Nations Security Council, the European Union or Her Majesty’s Treasury of the United Kingdom, or (c) any other similar sanctions imposed by a Governmental Authority to which the Borrower or Servicer, or any of the Borrower or Servicer’s Subsidiaries and/or Affiliates are subject, as applicable.</w:t>
      </w:r>
    </w:p>
    <w:p>
      <w:pPr>
        <w:spacing w:after="0" w:line="157"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auto"/>
        </w:rPr>
        <w:t>“Schedule C-1 Receivable” means a Receivable (i) which satisfies each of the eligibility requirements set forth on Schedule B hereto as of its respective Cut-Off Date, other than paragraphs (viii), (ix), (xiii), (xvii), (xx), (xxv), (xxviii), (xxx), (xxxi) and (xxxvii) therein, and (ii) is identified in Schedule C-1 hereof.</w:t>
      </w:r>
    </w:p>
    <w:p>
      <w:pPr>
        <w:spacing w:after="0" w:line="144" w:lineRule="exact"/>
        <w:rPr>
          <w:sz w:val="20"/>
          <w:szCs w:val="20"/>
          <w:color w:val="auto"/>
        </w:rPr>
      </w:pPr>
    </w:p>
    <w:p>
      <w:pPr>
        <w:ind w:right="120" w:firstLine="696"/>
        <w:spacing w:after="0" w:line="268" w:lineRule="auto"/>
        <w:rPr>
          <w:sz w:val="20"/>
          <w:szCs w:val="20"/>
          <w:color w:val="auto"/>
        </w:rPr>
      </w:pPr>
      <w:r>
        <w:rPr>
          <w:rFonts w:ascii="Times New Roman" w:cs="Times New Roman" w:eastAsia="Times New Roman" w:hAnsi="Times New Roman"/>
          <w:sz w:val="19"/>
          <w:szCs w:val="19"/>
          <w:color w:val="auto"/>
        </w:rPr>
        <w:t>“Schedule of Receivables” means the schedule of Receivables attached hereto (i) with respect to Receivables other than Schedule C-1 Receivables, as Schedule C, as updated from time to time in connection with each Funding Request, or (ii) with respect to Schedule C-1 Receivables, Schedule C-1.</w:t>
      </w:r>
    </w:p>
    <w:p>
      <w:pPr>
        <w:spacing w:after="0" w:line="144" w:lineRule="exact"/>
        <w:rPr>
          <w:sz w:val="20"/>
          <w:szCs w:val="20"/>
          <w:color w:val="auto"/>
        </w:rPr>
      </w:pPr>
    </w:p>
    <w:p>
      <w:pPr>
        <w:ind w:right="500" w:firstLine="696"/>
        <w:spacing w:after="0" w:line="286" w:lineRule="auto"/>
        <w:rPr>
          <w:sz w:val="20"/>
          <w:szCs w:val="20"/>
          <w:color w:val="auto"/>
        </w:rPr>
      </w:pPr>
      <w:r>
        <w:rPr>
          <w:rFonts w:ascii="Times New Roman" w:cs="Times New Roman" w:eastAsia="Times New Roman" w:hAnsi="Times New Roman"/>
          <w:sz w:val="19"/>
          <w:szCs w:val="19"/>
          <w:color w:val="auto"/>
        </w:rPr>
        <w:t>“Scheduled Payments” means regularly scheduled payments to be made by an Obligor pursuant to the terms of the related Contract.</w:t>
      </w:r>
    </w:p>
    <w:p>
      <w:pPr>
        <w:spacing w:after="0" w:line="127" w:lineRule="exact"/>
        <w:rPr>
          <w:sz w:val="20"/>
          <w:szCs w:val="20"/>
          <w:color w:val="auto"/>
        </w:rPr>
      </w:pPr>
    </w:p>
    <w:p>
      <w:pPr>
        <w:jc w:val="both"/>
        <w:ind w:right="100" w:firstLine="696"/>
        <w:spacing w:after="0" w:line="286" w:lineRule="auto"/>
        <w:rPr>
          <w:sz w:val="20"/>
          <w:szCs w:val="20"/>
          <w:color w:val="auto"/>
        </w:rPr>
      </w:pPr>
      <w:r>
        <w:rPr>
          <w:rFonts w:ascii="Times New Roman" w:cs="Times New Roman" w:eastAsia="Times New Roman" w:hAnsi="Times New Roman"/>
          <w:sz w:val="19"/>
          <w:szCs w:val="19"/>
          <w:color w:val="auto"/>
        </w:rPr>
        <w:t>“Secured Party” means (i) the Administrative Agent, (ii) each Lender and (iii) each Bank Products and/or Derivatives provider, if any, that executes a counterpart of this Agreement agreeing to be bound by the terms of this Agreement applicable to a Secured Party.</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“Securities Act” means the Securities Act of 1933, as amended.</w:t>
      </w:r>
    </w:p>
    <w:p>
      <w:pPr>
        <w:spacing w:after="0" w:line="202" w:lineRule="exact"/>
        <w:rPr>
          <w:sz w:val="20"/>
          <w:szCs w:val="20"/>
          <w:color w:val="auto"/>
        </w:rPr>
      </w:pPr>
    </w:p>
    <w:p>
      <w:pPr>
        <w:ind w:right="120" w:firstLine="696"/>
        <w:spacing w:after="0" w:line="268" w:lineRule="auto"/>
        <w:rPr>
          <w:sz w:val="20"/>
          <w:szCs w:val="20"/>
          <w:color w:val="auto"/>
        </w:rPr>
      </w:pPr>
      <w:r>
        <w:rPr>
          <w:rFonts w:ascii="Times New Roman" w:cs="Times New Roman" w:eastAsia="Times New Roman" w:hAnsi="Times New Roman"/>
          <w:sz w:val="19"/>
          <w:szCs w:val="19"/>
          <w:color w:val="auto"/>
        </w:rPr>
        <w:t>“Securitization” means any public SEC-registered, Rule 144A or 4(a)(2) private offering of asset-backed term notes or secured loan or similar transaction involving all or a portion of the Collateral, provided, that in each case no adverse selection procedures were used by the Borrower or such Special Purpose Affiliate with respect to such Collateral.</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“Securitization Date” means the date upon which a Securitization is consummated.</w:t>
      </w:r>
    </w:p>
    <w:p>
      <w:pPr>
        <w:spacing w:after="0" w:line="202" w:lineRule="exact"/>
        <w:rPr>
          <w:sz w:val="20"/>
          <w:szCs w:val="20"/>
          <w:color w:val="auto"/>
        </w:rPr>
      </w:pPr>
    </w:p>
    <w:p>
      <w:pPr>
        <w:ind w:right="240" w:firstLine="696"/>
        <w:spacing w:after="0" w:line="268" w:lineRule="auto"/>
        <w:rPr>
          <w:sz w:val="20"/>
          <w:szCs w:val="20"/>
          <w:color w:val="auto"/>
        </w:rPr>
      </w:pPr>
      <w:r>
        <w:rPr>
          <w:rFonts w:ascii="Times New Roman" w:cs="Times New Roman" w:eastAsia="Times New Roman" w:hAnsi="Times New Roman"/>
          <w:sz w:val="19"/>
          <w:szCs w:val="19"/>
          <w:color w:val="auto"/>
        </w:rPr>
        <w:t>“Securitization Date Certificate” means a certificate, substantially in the form attached as Annex 1 to Exhibit H hereto, delivered by a Responsible Officer of the Servicer on a Securitization Date indicating that the requirements set forth in this Agreement for a Securitization have been satisfied.</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0" w:name="page121"/>
    <w:bookmarkEnd w:id="120"/>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“Securitization Release” means a release executed pursuant to Section 2.15, substantially in the form of Exhibit H hereto.</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“Seller” has the meaning set forth in the Purchase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“Seller Indemnified Amounts” has the meaning given to such term in Section 5.07 of the Purchase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“Seller Indemnified Parties” has the meaning given to such term in Section 5.07 of the Purchase Agreement.</w:t>
      </w:r>
    </w:p>
    <w:p>
      <w:pPr>
        <w:spacing w:after="0" w:line="200" w:lineRule="exact"/>
        <w:rPr>
          <w:sz w:val="20"/>
          <w:szCs w:val="20"/>
          <w:color w:val="auto"/>
        </w:rPr>
      </w:pPr>
    </w:p>
    <w:p>
      <w:pPr>
        <w:ind w:right="20" w:firstLine="696"/>
        <w:spacing w:after="0" w:line="288" w:lineRule="auto"/>
        <w:rPr>
          <w:sz w:val="20"/>
          <w:szCs w:val="20"/>
          <w:color w:val="auto"/>
        </w:rPr>
      </w:pPr>
      <w:r>
        <w:rPr>
          <w:rFonts w:ascii="Times New Roman" w:cs="Times New Roman" w:eastAsia="Times New Roman" w:hAnsi="Times New Roman"/>
          <w:sz w:val="19"/>
          <w:szCs w:val="19"/>
          <w:color w:val="auto"/>
        </w:rPr>
        <w:t xml:space="preserve">“Senior Interest” means any Interest accrued at a rate equal to (a) the Benchmark or the Base Rate, as the case may be,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Applicable Margin at the Closing Date.</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has the meaning given to such term in the Preamble.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Basic Documents” means all Basic Documents to which the Servicer is a party or by which it is bound.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File” means, with respect to a Receivable, each of the following documents:</w:t>
      </w:r>
    </w:p>
    <w:p>
      <w:pPr>
        <w:spacing w:after="0" w:line="202" w:lineRule="exact"/>
        <w:rPr>
          <w:sz w:val="20"/>
          <w:szCs w:val="20"/>
          <w:color w:val="auto"/>
        </w:rPr>
      </w:pPr>
    </w:p>
    <w:p>
      <w:pPr>
        <w:ind w:left="1680" w:hanging="234"/>
        <w:spacing w:after="0"/>
        <w:tabs>
          <w:tab w:leader="none" w:pos="168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fully executed original of the related Contract;</w:t>
      </w:r>
    </w:p>
    <w:p>
      <w:pPr>
        <w:spacing w:after="0" w:line="201" w:lineRule="exact"/>
        <w:rPr>
          <w:rFonts w:ascii="Times New Roman" w:cs="Times New Roman" w:eastAsia="Times New Roman" w:hAnsi="Times New Roman"/>
          <w:sz w:val="19"/>
          <w:szCs w:val="19"/>
          <w:color w:val="auto"/>
        </w:rPr>
      </w:pPr>
    </w:p>
    <w:p>
      <w:pPr>
        <w:ind w:left="700" w:right="460" w:firstLine="746"/>
        <w:spacing w:after="0" w:line="268" w:lineRule="auto"/>
        <w:tabs>
          <w:tab w:leader="none" w:pos="1727"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electronic evidence of (a) an Insurance Policy, (b) an application form for an Insurance Policy signed by the related Obligor or (c) a signed representation letter from the Obligor pursuant to which the Obligor has agreed to obtain physical damage insurance for the related Financed Vehicle;</w:t>
      </w:r>
    </w:p>
    <w:p>
      <w:pPr>
        <w:spacing w:after="0" w:line="144" w:lineRule="exact"/>
        <w:rPr>
          <w:rFonts w:ascii="Times New Roman" w:cs="Times New Roman" w:eastAsia="Times New Roman" w:hAnsi="Times New Roman"/>
          <w:sz w:val="19"/>
          <w:szCs w:val="19"/>
          <w:color w:val="auto"/>
        </w:rPr>
      </w:pPr>
    </w:p>
    <w:p>
      <w:pPr>
        <w:ind w:left="700" w:firstLine="746"/>
        <w:spacing w:after="0" w:line="262" w:lineRule="auto"/>
        <w:tabs>
          <w:tab w:leader="none" w:pos="178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applicable jurisdiction (a) issues original certificates of title, the original Certificate of Title or, until such original Certificate of Title is available, an application therefor, or (b) does not issue original certificates of title, a copy of such Certificate of Title or other equivalent issued by such jurisdiction with a copy (including an electronic copy) of the application filed to amend the Certificate of Title to indicate the security interest of the Originator in the related Financed Vehicle;</w:t>
      </w:r>
    </w:p>
    <w:p>
      <w:pPr>
        <w:spacing w:after="0" w:line="150"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electronic copy of the original credit application signed by the related Obligor;</w:t>
      </w:r>
    </w:p>
    <w:p>
      <w:pPr>
        <w:spacing w:after="0" w:line="201" w:lineRule="exact"/>
        <w:rPr>
          <w:rFonts w:ascii="Times New Roman" w:cs="Times New Roman" w:eastAsia="Times New Roman" w:hAnsi="Times New Roman"/>
          <w:sz w:val="19"/>
          <w:szCs w:val="19"/>
          <w:color w:val="auto"/>
        </w:rPr>
      </w:pPr>
    </w:p>
    <w:p>
      <w:pPr>
        <w:ind w:left="700" w:right="120" w:firstLine="746"/>
        <w:spacing w:after="0" w:line="286" w:lineRule="auto"/>
        <w:tabs>
          <w:tab w:leader="none" w:pos="171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electronic copies of all original assumption, consolidation, extension, modification or waiver agreements, if any, relating to such Receivable; and</w:t>
      </w:r>
    </w:p>
    <w:p>
      <w:pPr>
        <w:spacing w:after="0" w:line="127" w:lineRule="exact"/>
        <w:rPr>
          <w:rFonts w:ascii="Times New Roman" w:cs="Times New Roman" w:eastAsia="Times New Roman" w:hAnsi="Times New Roman"/>
          <w:sz w:val="19"/>
          <w:szCs w:val="19"/>
          <w:color w:val="auto"/>
        </w:rPr>
      </w:pPr>
    </w:p>
    <w:p>
      <w:pPr>
        <w:ind w:left="700" w:right="320" w:firstLine="746"/>
        <w:spacing w:after="0" w:line="286" w:lineRule="auto"/>
        <w:tabs>
          <w:tab w:leader="none" w:pos="1769"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other documents that the Servicer shall keep on file, in accordance with its customary procedures and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 relating to such Receivable, the related Obligor or the related Financed Vehicle.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Indemnified Amounts” has the meaning given to such term in Section 10.01(b).</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Indemnified Parties” has the meaning given to such term in Section 10.01(b).</w:t>
      </w: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121" w:name="page122"/>
    <w:bookmarkEnd w:id="121"/>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Termination Event” has the meaning given to such term in Section 7.14.</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Termination Notice” has the meaning given to such term in Section 7.14.</w:t>
      </w:r>
    </w:p>
    <w:p>
      <w:pPr>
        <w:spacing w:after="0" w:line="202"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“Servicing Fee” means the fee payable to the Servicer on each Payment Date in accordance with Section 2.12(b) in an amount equal to the product of (i) one-twelfth, (ii) the Servicing Fee Rate for each Receivable type (i.e. Non-Prime Receivables and Near-Prime Receivables) and (iii) the daily average Pool Balance during the related Collection Period for each Receivable type (i.e. Non-Prime Receivables and Near -Prime Receivables); provided, that if UACC is no longer the Servicer, the “Servicing Fee” shall be adjusted by the Administrative Agent at the request of the then Servicer to reflect the then market rates for the servicing of motor vehicles receivables similar to the Receivables.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“Servicing Fee Rate” means (i) for Non-Prime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(ii) for Near-Prime Receivables,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96"/>
        <w:spacing w:after="0" w:line="244" w:lineRule="exact"/>
        <w:rPr>
          <w:sz w:val="20"/>
          <w:szCs w:val="20"/>
          <w:color w:val="auto"/>
        </w:rPr>
      </w:pPr>
      <w:r>
        <w:rPr>
          <w:rFonts w:ascii="Times New Roman" w:cs="Times New Roman" w:eastAsia="Times New Roman" w:hAnsi="Times New Roman"/>
          <w:sz w:val="19"/>
          <w:szCs w:val="19"/>
          <w:color w:val="auto"/>
        </w:rPr>
        <w:t>“Short-Term Rating Requirement” means, with respect to any Person, that such Person has a short-term unsecured debt rating of not less than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Standard &amp; Poor’s and not less than Prime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Moody’s.</w:t>
      </w:r>
    </w:p>
    <w:p>
      <w:pPr>
        <w:spacing w:after="0" w:line="162" w:lineRule="exact"/>
        <w:rPr>
          <w:sz w:val="20"/>
          <w:szCs w:val="20"/>
          <w:color w:val="auto"/>
        </w:rPr>
      </w:pPr>
    </w:p>
    <w:p>
      <w:pPr>
        <w:ind w:right="560" w:firstLine="696"/>
        <w:spacing w:after="0" w:line="286" w:lineRule="auto"/>
        <w:rPr>
          <w:sz w:val="20"/>
          <w:szCs w:val="20"/>
          <w:color w:val="auto"/>
        </w:rPr>
      </w:pPr>
      <w:r>
        <w:rPr>
          <w:rFonts w:ascii="Times New Roman" w:cs="Times New Roman" w:eastAsia="Times New Roman" w:hAnsi="Times New Roman"/>
          <w:sz w:val="19"/>
          <w:szCs w:val="19"/>
          <w:color w:val="auto"/>
        </w:rPr>
        <w:t>“Simple Interest Contract” means any Contract under which the portion of a payment allocable to interest and the portion allocable to principal are determined in accordance with the Simple Interest Method.</w:t>
      </w:r>
    </w:p>
    <w:p>
      <w:pPr>
        <w:spacing w:after="0" w:line="127" w:lineRule="exact"/>
        <w:rPr>
          <w:sz w:val="20"/>
          <w:szCs w:val="20"/>
          <w:color w:val="auto"/>
        </w:rPr>
      </w:pPr>
    </w:p>
    <w:p>
      <w:pPr>
        <w:jc w:val="both"/>
        <w:ind w:right="120" w:firstLine="696"/>
        <w:spacing w:after="0" w:line="268" w:lineRule="auto"/>
        <w:rPr>
          <w:sz w:val="20"/>
          <w:szCs w:val="20"/>
          <w:color w:val="auto"/>
        </w:rPr>
      </w:pPr>
      <w:r>
        <w:rPr>
          <w:rFonts w:ascii="Times New Roman" w:cs="Times New Roman" w:eastAsia="Times New Roman" w:hAnsi="Times New Roman"/>
          <w:sz w:val="19"/>
          <w:szCs w:val="19"/>
          <w:color w:val="auto"/>
        </w:rPr>
        <w:t>“Simple Interest Method” 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“SOFR” means a rate equal to the secured overnight financing rate as administered by the SOFR Administrator.</w:t>
      </w:r>
    </w:p>
    <w:p>
      <w:pPr>
        <w:spacing w:after="0" w:line="202"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“SOFR Administrator” means the Federal Reserve Bank of New York (or a successor administrator of the secured overnight financing rate).</w:t>
      </w:r>
    </w:p>
    <w:p>
      <w:pPr>
        <w:spacing w:after="0" w:line="127" w:lineRule="exact"/>
        <w:rPr>
          <w:sz w:val="20"/>
          <w:szCs w:val="20"/>
          <w:color w:val="auto"/>
        </w:rPr>
      </w:pPr>
    </w:p>
    <w:p>
      <w:pPr>
        <w:ind w:right="120" w:firstLine="696"/>
        <w:spacing w:after="0" w:line="255" w:lineRule="auto"/>
        <w:rPr>
          <w:sz w:val="20"/>
          <w:szCs w:val="20"/>
          <w:color w:val="auto"/>
        </w:rPr>
      </w:pPr>
      <w:r>
        <w:rPr>
          <w:rFonts w:ascii="Times New Roman" w:cs="Times New Roman" w:eastAsia="Times New Roman" w:hAnsi="Times New Roman"/>
          <w:sz w:val="19"/>
          <w:szCs w:val="19"/>
          <w:color w:val="auto"/>
        </w:rPr>
        <w:t>“Solvent” 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a business or a transaction, for which such Person’s property would constitute unreasonably small capital.</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2" w:name="page123"/>
    <w:bookmarkEnd w:id="122"/>
    <w:p>
      <w:pPr>
        <w:spacing w:after="0" w:line="269" w:lineRule="exact"/>
        <w:rPr>
          <w:sz w:val="20"/>
          <w:szCs w:val="20"/>
          <w:color w:val="auto"/>
        </w:rPr>
      </w:pPr>
    </w:p>
    <w:p>
      <w:pPr>
        <w:ind w:right="220" w:firstLine="696"/>
        <w:spacing w:after="0" w:line="286" w:lineRule="auto"/>
        <w:rPr>
          <w:sz w:val="20"/>
          <w:szCs w:val="20"/>
          <w:color w:val="auto"/>
        </w:rPr>
      </w:pPr>
      <w:r>
        <w:rPr>
          <w:rFonts w:ascii="Times New Roman" w:cs="Times New Roman" w:eastAsia="Times New Roman" w:hAnsi="Times New Roman"/>
          <w:sz w:val="19"/>
          <w:szCs w:val="19"/>
          <w:color w:val="auto"/>
        </w:rPr>
        <w:t>“Special Purpose Affiliate” means any bankruptcy-remote special purpose entity that is an Affiliate of the Borrower and was created for the purpose of one or more Securitizations.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“Standard &amp; Poor’s” means Standard &amp; Poor’s Ratings Services, a Standard &amp; Poor’s Financial Services LLC business.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“State” means any state of the United States or the District of Columbia.</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“Subordinate Interest” means all accrued Interest other than Senior Interest.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“Subsequent Loan” means each Loan made following the Initial Loan.</w:t>
      </w:r>
    </w:p>
    <w:p>
      <w:pPr>
        <w:spacing w:after="0" w:line="202" w:lineRule="exact"/>
        <w:rPr>
          <w:sz w:val="20"/>
          <w:szCs w:val="20"/>
          <w:color w:val="auto"/>
        </w:rPr>
      </w:pPr>
    </w:p>
    <w:p>
      <w:pPr>
        <w:ind w:right="600" w:firstLine="696"/>
        <w:spacing w:after="0" w:line="286" w:lineRule="auto"/>
        <w:rPr>
          <w:sz w:val="20"/>
          <w:szCs w:val="20"/>
          <w:color w:val="auto"/>
        </w:rPr>
      </w:pPr>
      <w:r>
        <w:rPr>
          <w:rFonts w:ascii="Times New Roman" w:cs="Times New Roman" w:eastAsia="Times New Roman" w:hAnsi="Times New Roman"/>
          <w:sz w:val="19"/>
          <w:szCs w:val="19"/>
          <w:color w:val="auto"/>
        </w:rPr>
        <w:t>“Subsequent Receivable” means each Receivable that becomes a part of the Collateral on a Funding Date other than the Funding Date relating to the Initial Loan.</w:t>
      </w:r>
    </w:p>
    <w:p>
      <w:pPr>
        <w:spacing w:after="0" w:line="127"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“Subservicer” means a subservicer appointed by the Servicer and acceptable to the Administrative Agent for the servicing and administration of the Receivables.</w:t>
      </w:r>
    </w:p>
    <w:p>
      <w:pPr>
        <w:spacing w:after="0" w:line="127" w:lineRule="exact"/>
        <w:rPr>
          <w:sz w:val="20"/>
          <w:szCs w:val="20"/>
          <w:color w:val="auto"/>
        </w:rPr>
      </w:pPr>
    </w:p>
    <w:p>
      <w:pPr>
        <w:ind w:right="180" w:firstLine="696"/>
        <w:spacing w:after="0" w:line="268" w:lineRule="auto"/>
        <w:rPr>
          <w:sz w:val="20"/>
          <w:szCs w:val="20"/>
          <w:color w:val="auto"/>
        </w:rPr>
      </w:pPr>
      <w:r>
        <w:rPr>
          <w:rFonts w:ascii="Times New Roman" w:cs="Times New Roman" w:eastAsia="Times New Roman" w:hAnsi="Times New Roman"/>
          <w:sz w:val="19"/>
          <w:szCs w:val="19"/>
          <w:color w:val="auto"/>
        </w:rPr>
        <w:t>“Subsidiary” 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“Successor Servicer” has the meaning given to such term in Section 7.15(a).</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“System Description” shall mean a description of the E-Vault System in form and substance satisfactory to the Administrative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“Tangible Contract” means a Contract that constitutes “tangible chattel paper” under and as defined in Section 9-102(78)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UCC.</w:t>
      </w:r>
    </w:p>
    <w:p>
      <w:pPr>
        <w:spacing w:after="0" w:line="180"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auto"/>
        </w:rPr>
        <w:t>“Tangible Net Worth” means, with respect to any Person, the net worth of such Person calculated in accordance with GAAP, after subtracting therefrom the aggregate amount of such Person’s intangible assets, including goodwill, franchises, licenses, patents, trademarks, tradenames, copyrights and service marks.</w:t>
      </w:r>
    </w:p>
    <w:p>
      <w:pPr>
        <w:spacing w:after="0" w:line="144" w:lineRule="exact"/>
        <w:rPr>
          <w:sz w:val="20"/>
          <w:szCs w:val="20"/>
          <w:color w:val="auto"/>
        </w:rPr>
      </w:pPr>
    </w:p>
    <w:p>
      <w:pPr>
        <w:ind w:right="20" w:firstLine="696"/>
        <w:spacing w:after="0" w:line="268" w:lineRule="auto"/>
        <w:rPr>
          <w:sz w:val="20"/>
          <w:szCs w:val="20"/>
          <w:color w:val="auto"/>
        </w:rPr>
      </w:pPr>
      <w:r>
        <w:rPr>
          <w:rFonts w:ascii="Times New Roman" w:cs="Times New Roman" w:eastAsia="Times New Roman" w:hAnsi="Times New Roman"/>
          <w:sz w:val="19"/>
          <w:szCs w:val="19"/>
          <w:color w:val="auto"/>
        </w:rPr>
        <w:t>“Tax” or “Taxes” means any present or future taxes, levies, imposts, duties, charges, withholding (including backup withholding), assessments or fees of any nature (including interest, penalties and additions thereto) that are imposed by any Government Authority, including any interest, additions to tax or penalties applicable thereto.</w:t>
      </w:r>
    </w:p>
    <w:p>
      <w:pPr>
        <w:spacing w:after="0" w:line="144"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“Term SOFR” means,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23" w:name="page124"/>
    <w:bookmarkEnd w:id="123"/>
    <w:p>
      <w:pPr>
        <w:spacing w:after="0" w:line="2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shall ever be less than the Index Floor, then Term SOFR shall be deemed to be the Index Floor.</w:t>
      </w:r>
    </w:p>
    <w:p>
      <w:pPr>
        <w:spacing w:after="0" w:line="386" w:lineRule="exact"/>
        <w:rPr>
          <w:sz w:val="20"/>
          <w:szCs w:val="20"/>
          <w:color w:val="auto"/>
        </w:rPr>
      </w:pPr>
    </w:p>
    <w:p>
      <w:pPr>
        <w:ind w:right="200" w:firstLine="696"/>
        <w:spacing w:after="0" w:line="286" w:lineRule="auto"/>
        <w:rPr>
          <w:sz w:val="20"/>
          <w:szCs w:val="20"/>
          <w:color w:val="auto"/>
        </w:rPr>
      </w:pPr>
      <w:r>
        <w:rPr>
          <w:rFonts w:ascii="Times New Roman" w:cs="Times New Roman" w:eastAsia="Times New Roman" w:hAnsi="Times New Roman"/>
          <w:sz w:val="19"/>
          <w:szCs w:val="19"/>
          <w:color w:val="auto"/>
        </w:rPr>
        <w:t>“Term SOFR Administrator” means CME Group Benchmark Administration Limited (CBA) (or a successor administrator of the Term SOFR Reference Rate selected by the Administrative Agent in its reasonable discretion).</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“Term SOFR Loan” means any Loans that accrue interest by reference to the Term SOFR Rate.</w:t>
      </w:r>
    </w:p>
    <w:p>
      <w:pPr>
        <w:spacing w:after="0" w:line="202" w:lineRule="exact"/>
        <w:rPr>
          <w:sz w:val="20"/>
          <w:szCs w:val="20"/>
          <w:color w:val="auto"/>
        </w:rPr>
      </w:pPr>
    </w:p>
    <w:p>
      <w:pPr>
        <w:jc w:val="both"/>
        <w:ind w:right="320" w:firstLine="696"/>
        <w:spacing w:after="0" w:line="286" w:lineRule="auto"/>
        <w:rPr>
          <w:sz w:val="20"/>
          <w:szCs w:val="20"/>
          <w:color w:val="auto"/>
        </w:rPr>
      </w:pPr>
      <w:r>
        <w:rPr>
          <w:rFonts w:ascii="Times New Roman" w:cs="Times New Roman" w:eastAsia="Times New Roman" w:hAnsi="Times New Roman"/>
          <w:sz w:val="19"/>
          <w:szCs w:val="19"/>
          <w:color w:val="auto"/>
        </w:rPr>
        <w:t>“Term SOFR Rate” means, with respect to any Interest Period, the greater of (a) the Index Floor and (b) Term SOFR. Each determination by the Administrative Agent of the Term SOFR Rate shall be conclusive and binding in the absence of manifest error.</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“Term SOFR Reference Rate” means the forward-looking term rate based on SOFR.</w:t>
      </w:r>
    </w:p>
    <w:p>
      <w:pPr>
        <w:spacing w:after="0" w:line="202" w:lineRule="exact"/>
        <w:rPr>
          <w:sz w:val="20"/>
          <w:szCs w:val="20"/>
          <w:color w:val="auto"/>
        </w:rPr>
      </w:pPr>
    </w:p>
    <w:p>
      <w:pPr>
        <w:ind w:right="560" w:firstLine="696"/>
        <w:spacing w:after="0" w:line="268" w:lineRule="auto"/>
        <w:rPr>
          <w:sz w:val="20"/>
          <w:szCs w:val="20"/>
          <w:color w:val="auto"/>
        </w:rPr>
      </w:pPr>
      <w:r>
        <w:rPr>
          <w:rFonts w:ascii="Times New Roman" w:cs="Times New Roman" w:eastAsia="Times New Roman" w:hAnsi="Times New Roman"/>
          <w:sz w:val="19"/>
          <w:szCs w:val="19"/>
          <w:color w:val="auto"/>
        </w:rPr>
        <w:t>“Termination Date” means the earliest to occur of (i) the Business Day designated by the Borrower to the Lenders as the Termination Date at any time following 60 days’ prior written notice or (ii) the automatic occurrence, or the declaration of the occurrence, of the Termination Date in accordance with Section 9.01(b).</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“Termination Event” has the meaning given to such term in Section 9.01(a).</w:t>
      </w:r>
    </w:p>
    <w:p>
      <w:pPr>
        <w:spacing w:after="0" w:line="202" w:lineRule="exact"/>
        <w:rPr>
          <w:sz w:val="20"/>
          <w:szCs w:val="20"/>
          <w:color w:val="auto"/>
        </w:rPr>
      </w:pPr>
    </w:p>
    <w:p>
      <w:pPr>
        <w:ind w:right="260" w:firstLine="696"/>
        <w:spacing w:after="0" w:line="268" w:lineRule="auto"/>
        <w:rPr>
          <w:sz w:val="20"/>
          <w:szCs w:val="20"/>
          <w:color w:val="auto"/>
        </w:rPr>
      </w:pPr>
      <w:r>
        <w:rPr>
          <w:rFonts w:ascii="Times New Roman" w:cs="Times New Roman" w:eastAsia="Times New Roman" w:hAnsi="Times New Roman"/>
          <w:sz w:val="19"/>
          <w:szCs w:val="19"/>
          <w:color w:val="auto"/>
        </w:rPr>
        <w:t>“Title Administrator” means each of Decision Dynamics, Inc., or any successor thereto, or other Person that has executed an agreement in form and substance satisfactory to the Administrative Agent to provide motor vehicle title administration software and related services to the Servicer.</w:t>
      </w:r>
    </w:p>
    <w:p>
      <w:pPr>
        <w:spacing w:after="0" w:line="144" w:lineRule="exact"/>
        <w:rPr>
          <w:sz w:val="20"/>
          <w:szCs w:val="20"/>
          <w:color w:val="auto"/>
        </w:rPr>
      </w:pPr>
    </w:p>
    <w:p>
      <w:pPr>
        <w:ind w:right="120" w:firstLine="696"/>
        <w:spacing w:after="0" w:line="268" w:lineRule="auto"/>
        <w:rPr>
          <w:sz w:val="20"/>
          <w:szCs w:val="20"/>
          <w:color w:val="auto"/>
        </w:rPr>
      </w:pPr>
      <w:r>
        <w:rPr>
          <w:rFonts w:ascii="Times New Roman" w:cs="Times New Roman" w:eastAsia="Times New Roman" w:hAnsi="Times New Roman"/>
          <w:sz w:val="19"/>
          <w:szCs w:val="19"/>
          <w:color w:val="auto"/>
        </w:rPr>
        <w:t>“Title Administrator Agreement” means a letter agreement from the Servicer to the Title Administrator, and acknowledged by the Administrative Agent, the Borrower and the Custodian, in form and substance satisfactory to the Administrative Agent, with such changes as may be agreed to in writing by the Administrative Agent from time to time.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“Transfer” has the meaning ascribed to such term in the System Description.</w:t>
      </w:r>
    </w:p>
    <w:p>
      <w:pPr>
        <w:spacing w:after="0" w:line="202"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“Transfer Agreement” means a Transfer Agreement in substantially the form attached to the Purchase Agreement as Exhibit A, executed by the Borrower and UACC in connection with a transfer of Receivables and the related Collateral on any Funding Date.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“Transfer Date” has the meaning set forth in the Purchase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“Transition Expenses” has the meaning given to such term in Section 7.15(d).</w:t>
      </w: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24" w:name="page125"/>
    <w:bookmarkEnd w:id="124"/>
    <w:p>
      <w:pPr>
        <w:spacing w:after="0" w:line="269" w:lineRule="exact"/>
        <w:rPr>
          <w:sz w:val="20"/>
          <w:szCs w:val="20"/>
          <w:color w:val="auto"/>
        </w:rPr>
      </w:pPr>
    </w:p>
    <w:p>
      <w:pPr>
        <w:ind w:right="520" w:firstLine="696"/>
        <w:spacing w:after="0" w:line="286" w:lineRule="auto"/>
        <w:rPr>
          <w:sz w:val="20"/>
          <w:szCs w:val="20"/>
          <w:color w:val="auto"/>
        </w:rPr>
      </w:pPr>
      <w:r>
        <w:rPr>
          <w:rFonts w:ascii="Times New Roman" w:cs="Times New Roman" w:eastAsia="Times New Roman" w:hAnsi="Times New Roman"/>
          <w:sz w:val="19"/>
          <w:szCs w:val="19"/>
          <w:color w:val="auto"/>
        </w:rPr>
        <w:t xml:space="preserve">“Trust Agreement” means the Amended and Restated Trust Agreement, dated as of the Closing Date, between UACC, as depositor, and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Owner Trustee and Certificate Registrar.</w:t>
      </w:r>
    </w:p>
    <w:p>
      <w:pPr>
        <w:spacing w:after="0" w:line="127" w:lineRule="exact"/>
        <w:rPr>
          <w:sz w:val="20"/>
          <w:szCs w:val="20"/>
          <w:color w:val="auto"/>
        </w:rPr>
      </w:pPr>
    </w:p>
    <w:p>
      <w:pPr>
        <w:jc w:val="both"/>
        <w:ind w:right="180" w:firstLine="696"/>
        <w:spacing w:after="0" w:line="268" w:lineRule="auto"/>
        <w:rPr>
          <w:sz w:val="20"/>
          <w:szCs w:val="20"/>
          <w:color w:val="auto"/>
        </w:rPr>
      </w:pPr>
      <w:r>
        <w:rPr>
          <w:rFonts w:ascii="Times New Roman" w:cs="Times New Roman" w:eastAsia="Times New Roman" w:hAnsi="Times New Roman"/>
          <w:sz w:val="19"/>
          <w:szCs w:val="19"/>
          <w:color w:val="auto"/>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“UACC” means United Auto Credit Corporation (d/b/a Vroom Financial Services).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“UCC” means the Uniform Commercial Code as from time to time in effect in the applicable jurisdiction.</w:t>
      </w:r>
    </w:p>
    <w:p>
      <w:pPr>
        <w:spacing w:after="0" w:line="202"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“Unadjusted Benchmark Replacement” means the applicable Benchmark Replacement excluding the related Benchmark Replacement Adjustment.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“United States” or “U.S.” means the United States of America.</w:t>
      </w:r>
    </w:p>
    <w:p>
      <w:pPr>
        <w:spacing w:after="0" w:line="202" w:lineRule="exact"/>
        <w:rPr>
          <w:sz w:val="20"/>
          <w:szCs w:val="20"/>
          <w:color w:val="auto"/>
        </w:rPr>
      </w:pPr>
    </w:p>
    <w:p>
      <w:pPr>
        <w:ind w:right="220" w:firstLine="696"/>
        <w:spacing w:after="0" w:line="286" w:lineRule="auto"/>
        <w:rPr>
          <w:sz w:val="20"/>
          <w:szCs w:val="20"/>
          <w:color w:val="auto"/>
        </w:rPr>
      </w:pPr>
      <w:r>
        <w:rPr>
          <w:rFonts w:ascii="Times New Roman" w:cs="Times New Roman" w:eastAsia="Times New Roman" w:hAnsi="Times New Roman"/>
          <w:sz w:val="19"/>
          <w:szCs w:val="19"/>
          <w:color w:val="auto"/>
        </w:rPr>
        <w:t>“Unmatured Servicer Termination Event” means any event that, with the giving of notice or the lapse of time, or both, would become a Servicer Termination Event.</w:t>
      </w:r>
    </w:p>
    <w:p>
      <w:pPr>
        <w:spacing w:after="0" w:line="127"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color w:val="auto"/>
        </w:rPr>
        <w:t>“Unmatured Termination Event” means any event that, with the giving of notice or the lapse of time, or both, would become a Termination Event.</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“Unused Fee” means, with respect to any Payment Date and the related Collection Period, the fee payable by the Borrower pursuant to the Fee Letter on such Payment Date in an amount equal to the product of (i) the Unused Fee Rate and (ii) the Aggregate Commitment minus the average daily Loans Outstanding during such Collection Period divided by 12 (or for the first Interest Period, the actual number of days in the first Interest Period divided by 360).</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“Unused Fee Rate” has the meaning set forth in the Fee Letter.</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“Upfront Fee” has the meaning given to such term in the Fee Letter.</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“Volcker Rule” means the regulations adopted to implement Section 619 of the Dodd-Frank Act.</w:t>
      </w:r>
    </w:p>
    <w:p>
      <w:pPr>
        <w:spacing w:after="0" w:line="200" w:lineRule="exact"/>
        <w:rPr>
          <w:sz w:val="20"/>
          <w:szCs w:val="20"/>
          <w:color w:val="auto"/>
        </w:rPr>
      </w:pPr>
    </w:p>
    <w:p>
      <w:pPr>
        <w:ind w:right="140" w:firstLine="696"/>
        <w:spacing w:after="0" w:line="263" w:lineRule="auto"/>
        <w:rPr>
          <w:sz w:val="20"/>
          <w:szCs w:val="20"/>
          <w:color w:val="auto"/>
        </w:rPr>
      </w:pPr>
      <w:r>
        <w:rPr>
          <w:rFonts w:ascii="Times New Roman" w:cs="Times New Roman" w:eastAsia="Times New Roman" w:hAnsi="Times New Roman"/>
          <w:sz w:val="19"/>
          <w:szCs w:val="19"/>
          <w:color w:val="auto"/>
        </w:rPr>
        <w:t>“Weighted Average Credit Score” means with respect to a type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Non-Prime or Near-Prime Receivables, as applicable) of Eligible Receivables as of any day, the average of the original non-zero FICO® Scores (using, with respect to a Receivable that has co-obligors, the higher of the FICO® Scores of the co-obligors) of such Receivables as of such day, weighted according to the aggregate Principal Balance of such Eligible Receivables as of such day.</w:t>
      </w:r>
    </w:p>
    <w:p>
      <w:pPr>
        <w:spacing w:after="0" w:line="147" w:lineRule="exact"/>
        <w:rPr>
          <w:sz w:val="20"/>
          <w:szCs w:val="20"/>
          <w:color w:val="auto"/>
        </w:rPr>
      </w:pPr>
    </w:p>
    <w:p>
      <w:pPr>
        <w:ind w:right="240" w:firstLine="696"/>
        <w:spacing w:after="0" w:line="269" w:lineRule="auto"/>
        <w:rPr>
          <w:sz w:val="20"/>
          <w:szCs w:val="20"/>
          <w:color w:val="auto"/>
        </w:rPr>
      </w:pPr>
      <w:r>
        <w:rPr>
          <w:rFonts w:ascii="Times New Roman" w:cs="Times New Roman" w:eastAsia="Times New Roman" w:hAnsi="Times New Roman"/>
          <w:sz w:val="19"/>
          <w:szCs w:val="19"/>
          <w:color w:val="auto"/>
        </w:rPr>
        <w:t>“Weighted Average LTV Ratio” means with respect to a type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Non-Prime or Near-Prime Receivables, as applicable) of Eligible Receivables as of any day, the average of the Loan-to-Value Ratios of such Receivables, weighted according to the aggregate Principal Balance of such Receivables as of such day.</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5" w:name="page126"/>
    <w:bookmarkEnd w:id="125"/>
    <w:p>
      <w:pPr>
        <w:spacing w:after="0" w:line="267" w:lineRule="exact"/>
        <w:rPr>
          <w:sz w:val="20"/>
          <w:szCs w:val="20"/>
          <w:color w:val="auto"/>
        </w:rPr>
      </w:pPr>
    </w:p>
    <w:p>
      <w:pPr>
        <w:ind w:right="340" w:firstLine="696"/>
        <w:spacing w:after="0" w:line="269" w:lineRule="auto"/>
        <w:rPr>
          <w:sz w:val="20"/>
          <w:szCs w:val="20"/>
          <w:color w:val="auto"/>
        </w:rPr>
      </w:pPr>
      <w:r>
        <w:rPr>
          <w:rFonts w:ascii="Times New Roman" w:cs="Times New Roman" w:eastAsia="Times New Roman" w:hAnsi="Times New Roman"/>
          <w:sz w:val="19"/>
          <w:szCs w:val="19"/>
          <w:color w:val="auto"/>
        </w:rPr>
        <w:t>“Weighted Average PTI Ratio” means with respect to a type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Non-Prime or Near-Prime Receivables, as applicable) of Eligible Receivables as of any day, the average of the PTI Ratios for such Receivables, weighted according to the aggregate Principal Balance of such Receivables as of such day.</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One.02.  </w:t>
      </w:r>
      <w:r>
        <w:rPr>
          <w:rFonts w:ascii="Times New Roman" w:cs="Times New Roman" w:eastAsia="Times New Roman" w:hAnsi="Times New Roman"/>
          <w:sz w:val="19"/>
          <w:szCs w:val="19"/>
          <w:b w:val="1"/>
          <w:bCs w:val="1"/>
          <w:color w:val="000000"/>
        </w:rPr>
        <w:t>Accounting Terms and Determinations</w:t>
      </w:r>
    </w:p>
    <w:p>
      <w:pPr>
        <w:spacing w:after="0" w:line="204" w:lineRule="exact"/>
        <w:rPr>
          <w:sz w:val="20"/>
          <w:szCs w:val="20"/>
          <w:color w:val="auto"/>
        </w:rPr>
      </w:pPr>
    </w:p>
    <w:p>
      <w:pPr>
        <w:ind w:right="280" w:firstLine="696"/>
        <w:spacing w:after="0" w:line="268" w:lineRule="auto"/>
        <w:rPr>
          <w:sz w:val="20"/>
          <w:szCs w:val="20"/>
          <w:color w:val="auto"/>
        </w:rPr>
      </w:pPr>
      <w:r>
        <w:rPr>
          <w:rFonts w:ascii="Times New Roman" w:cs="Times New Roman" w:eastAsia="Times New Roman" w:hAnsi="Times New Roman"/>
          <w:sz w:val="19"/>
          <w:szCs w:val="19"/>
          <w:color w:val="auto"/>
        </w:rPr>
        <w:t>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One.03.  </w:t>
      </w:r>
      <w:r>
        <w:rPr>
          <w:rFonts w:ascii="Times New Roman" w:cs="Times New Roman" w:eastAsia="Times New Roman" w:hAnsi="Times New Roman"/>
          <w:sz w:val="19"/>
          <w:szCs w:val="19"/>
          <w:b w:val="1"/>
          <w:bCs w:val="1"/>
          <w:color w:val="000000"/>
        </w:rPr>
        <w:t>Computation of Time Periods</w:t>
      </w:r>
    </w:p>
    <w:p>
      <w:pPr>
        <w:spacing w:after="0" w:line="204"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Unless otherwise stated in this Agreement, in the computation of a period of time from a specified date to a later specified date, the word “from” means “from and including” and the words “to” and “until” each mean “to but excluding.”</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One.04.  </w:t>
      </w:r>
      <w:r>
        <w:rPr>
          <w:rFonts w:ascii="Times New Roman" w:cs="Times New Roman" w:eastAsia="Times New Roman" w:hAnsi="Times New Roman"/>
          <w:sz w:val="19"/>
          <w:szCs w:val="19"/>
          <w:b w:val="1"/>
          <w:bCs w:val="1"/>
          <w:color w:val="000000"/>
        </w:rPr>
        <w:t>Interpretation</w:t>
      </w:r>
    </w:p>
    <w:p>
      <w:pPr>
        <w:spacing w:after="0" w:line="204" w:lineRule="exact"/>
        <w:rPr>
          <w:sz w:val="20"/>
          <w:szCs w:val="20"/>
          <w:color w:val="auto"/>
        </w:rPr>
      </w:pPr>
    </w:p>
    <w:p>
      <w:pPr>
        <w:ind w:right="100" w:firstLine="696"/>
        <w:spacing w:after="0" w:line="254" w:lineRule="auto"/>
        <w:rPr>
          <w:sz w:val="20"/>
          <w:szCs w:val="20"/>
          <w:color w:val="auto"/>
        </w:rPr>
      </w:pPr>
      <w:r>
        <w:rPr>
          <w:rFonts w:ascii="Times New Roman" w:cs="Times New Roman" w:eastAsia="Times New Roman" w:hAnsi="Times New Roman"/>
          <w:sz w:val="19"/>
          <w:szCs w:val="19"/>
          <w:color w:val="auto"/>
        </w:rPr>
        <w:t>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reproducing words in a visible form; and (x) the term “proceeds” has the meaning set forth in the applicable UCC.</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One.05.  </w:t>
      </w:r>
      <w:r>
        <w:rPr>
          <w:rFonts w:ascii="Times New Roman" w:cs="Times New Roman" w:eastAsia="Times New Roman" w:hAnsi="Times New Roman"/>
          <w:sz w:val="19"/>
          <w:szCs w:val="19"/>
          <w:b w:val="1"/>
          <w:bCs w:val="1"/>
          <w:color w:val="000000"/>
        </w:rPr>
        <w:t>Rates</w:t>
      </w:r>
    </w:p>
    <w:p>
      <w:pPr>
        <w:spacing w:after="0" w:line="204"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The Administrative Agent does not warrant or accept any responsibility for, and shall not have any liability with respect to, (a) the continuation of, administration of, submission of, calculation of or any other matter related to the Term SOFR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Rate, Term</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6" w:name="page127"/>
    <w:bookmarkEnd w:id="126"/>
    <w:p>
      <w:pPr>
        <w:spacing w:after="0" w:line="2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Rate,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TWO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LOANS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Two.01.  </w:t>
      </w:r>
      <w:r>
        <w:rPr>
          <w:rFonts w:ascii="Times New Roman" w:cs="Times New Roman" w:eastAsia="Times New Roman" w:hAnsi="Times New Roman"/>
          <w:sz w:val="19"/>
          <w:szCs w:val="19"/>
          <w:b w:val="1"/>
          <w:bCs w:val="1"/>
          <w:color w:val="000000"/>
        </w:rPr>
        <w:t>Loans</w:t>
      </w:r>
    </w:p>
    <w:p>
      <w:pPr>
        <w:spacing w:after="0" w:line="204" w:lineRule="exact"/>
        <w:rPr>
          <w:sz w:val="20"/>
          <w:szCs w:val="20"/>
          <w:color w:val="auto"/>
        </w:rPr>
      </w:pPr>
    </w:p>
    <w:p>
      <w:pPr>
        <w:jc w:val="both"/>
        <w:ind w:firstLine="702"/>
        <w:spacing w:after="0" w:line="268" w:lineRule="auto"/>
        <w:tabs>
          <w:tab w:leader="none" w:pos="95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terms and conditions set forth herein, including this Section and Article Four, the Borrower may from time to time on any Business Day during the Revolving Period, request that each Committed Lender make an advance (each, a “Loan”) in the amount of each such Committed Lender’s Lender Advance, to the Borrower on a Funding Date.</w:t>
      </w:r>
    </w:p>
    <w:p>
      <w:pPr>
        <w:spacing w:after="0" w:line="144" w:lineRule="exact"/>
        <w:rPr>
          <w:rFonts w:ascii="Times New Roman" w:cs="Times New Roman" w:eastAsia="Times New Roman" w:hAnsi="Times New Roman"/>
          <w:sz w:val="19"/>
          <w:szCs w:val="19"/>
          <w:color w:val="auto"/>
        </w:rPr>
      </w:pPr>
    </w:p>
    <w:p>
      <w:pPr>
        <w:jc w:val="both"/>
        <w:ind w:right="200" w:firstLine="702"/>
        <w:spacing w:after="0" w:line="268" w:lineRule="auto"/>
        <w:tabs>
          <w:tab w:leader="none" w:pos="96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12:01 p.m., New York City time, one Business Days prior to the proposed Funding Date, the Borrower shall notify the Secured Parties of such proposed Funding Date and Loan by delivering to the Secured Parties and the Paying Agent, in form and substance satisfactory to the Administrative Agent:</w:t>
      </w:r>
    </w:p>
    <w:p>
      <w:pPr>
        <w:spacing w:after="0" w:line="144" w:lineRule="exact"/>
        <w:rPr>
          <w:rFonts w:ascii="Times New Roman" w:cs="Times New Roman" w:eastAsia="Times New Roman" w:hAnsi="Times New Roman"/>
          <w:sz w:val="19"/>
          <w:szCs w:val="19"/>
          <w:color w:val="auto"/>
        </w:rPr>
      </w:pPr>
    </w:p>
    <w:p>
      <w:pPr>
        <w:ind w:left="700" w:right="460" w:firstLine="890"/>
        <w:spacing w:after="0" w:line="268" w:lineRule="auto"/>
        <w:tabs>
          <w:tab w:leader="none" w:pos="1817" w:val="left"/>
        </w:tabs>
        <w:numPr>
          <w:ilvl w:val="2"/>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Funding Request, which will include, among other things, the proposed Funding Date, a calculation of the Borrowing Base and the Principal Amount of the Loan requested, which shall be in an amount at least equal to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integral multiples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in excess thereof; and</w:t>
      </w:r>
    </w:p>
    <w:p>
      <w:pPr>
        <w:spacing w:after="0" w:line="144" w:lineRule="exact"/>
        <w:rPr>
          <w:rFonts w:ascii="Times New Roman" w:cs="Times New Roman" w:eastAsia="Times New Roman" w:hAnsi="Times New Roman"/>
          <w:sz w:val="19"/>
          <w:szCs w:val="19"/>
          <w:color w:val="auto"/>
        </w:rPr>
      </w:pPr>
    </w:p>
    <w:p>
      <w:pPr>
        <w:ind w:left="1800" w:hanging="282"/>
        <w:spacing w:after="0"/>
        <w:tabs>
          <w:tab w:leader="none" w:pos="180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updated Schedule of Receivables that includes each Receivable that is the subject of the proposed Loan.</w:t>
      </w:r>
    </w:p>
    <w:p>
      <w:pPr>
        <w:spacing w:after="0" w:line="201" w:lineRule="exact"/>
        <w:rPr>
          <w:rFonts w:ascii="Times New Roman" w:cs="Times New Roman" w:eastAsia="Times New Roman" w:hAnsi="Times New Roman"/>
          <w:sz w:val="19"/>
          <w:szCs w:val="19"/>
          <w:color w:val="auto"/>
        </w:rPr>
      </w:pPr>
    </w:p>
    <w:p>
      <w:pPr>
        <w:ind w:right="40" w:firstLine="702"/>
        <w:spacing w:after="0" w:line="268" w:lineRule="auto"/>
        <w:tabs>
          <w:tab w:leader="none" w:pos="95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receipt by the Administrative Agent and the Lenders of a Funding Request, and prior to the Commitment Termination Date, each Committed Lender severally agrees to make its Lender Advance of any Loan requested by the Borrower, in each case subject to the conditions contained herein, in an aggregate amount equal to the Loan so requested.</w:t>
      </w:r>
    </w:p>
    <w:p>
      <w:pPr>
        <w:spacing w:after="0" w:line="144"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w:t>
      </w:r>
    </w:p>
    <w:p>
      <w:pPr>
        <w:spacing w:after="0" w:line="201" w:lineRule="exact"/>
        <w:rPr>
          <w:rFonts w:ascii="Times New Roman" w:cs="Times New Roman" w:eastAsia="Times New Roman" w:hAnsi="Times New Roman"/>
          <w:sz w:val="19"/>
          <w:szCs w:val="19"/>
          <w:color w:val="auto"/>
        </w:rPr>
      </w:pPr>
    </w:p>
    <w:p>
      <w:pPr>
        <w:ind w:left="700" w:right="100" w:firstLine="890"/>
        <w:spacing w:after="0" w:line="286" w:lineRule="auto"/>
        <w:tabs>
          <w:tab w:leader="none" w:pos="1817" w:val="left"/>
        </w:tabs>
        <w:numPr>
          <w:ilvl w:val="2"/>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Committed Lender be required on any date to fund a Principal Amount that would cause its Lender Percentage of the Loans Outstanding, determined after giving effect to such funding, to exceed its Commitment;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spacing w:after="0" w:line="269" w:lineRule="exact"/>
        <w:rPr>
          <w:sz w:val="20"/>
          <w:szCs w:val="20"/>
          <w:color w:val="auto"/>
        </w:rPr>
      </w:pPr>
    </w:p>
    <w:p>
      <w:pPr>
        <w:ind w:left="700" w:right="320" w:firstLine="818"/>
        <w:spacing w:after="0" w:line="286" w:lineRule="auto"/>
        <w:tabs>
          <w:tab w:leader="none" w:pos="1799"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Committed Lender be obligated to fund any Loan to the extent that after giving effect to such Loan, an Early Amortization Event or a Termination Event would occur;</w:t>
      </w:r>
    </w:p>
    <w:p>
      <w:pPr>
        <w:spacing w:after="0" w:line="127"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700" w:right="100" w:firstLine="758"/>
        <w:spacing w:after="0" w:line="286" w:lineRule="auto"/>
        <w:tabs>
          <w:tab w:leader="none" w:pos="178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be made after the Revolving Period or the Principal Amount of any Loan exceed the Available Amount on the related Funding Date;</w:t>
      </w:r>
    </w:p>
    <w:p>
      <w:pPr>
        <w:spacing w:after="0" w:line="127" w:lineRule="exact"/>
        <w:rPr>
          <w:rFonts w:ascii="Times New Roman" w:cs="Times New Roman" w:eastAsia="Times New Roman" w:hAnsi="Times New Roman"/>
          <w:sz w:val="19"/>
          <w:szCs w:val="19"/>
          <w:color w:val="auto"/>
        </w:rPr>
      </w:pPr>
    </w:p>
    <w:p>
      <w:pPr>
        <w:ind w:left="1800" w:hanging="270"/>
        <w:spacing w:after="0"/>
        <w:tabs>
          <w:tab w:leader="none" w:pos="180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more than one Loan be funded on any Business Day.</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Two.02.  </w:t>
      </w:r>
      <w:r>
        <w:rPr>
          <w:rFonts w:ascii="Times New Roman" w:cs="Times New Roman" w:eastAsia="Times New Roman" w:hAnsi="Times New Roman"/>
          <w:sz w:val="19"/>
          <w:szCs w:val="19"/>
          <w:b w:val="1"/>
          <w:bCs w:val="1"/>
          <w:color w:val="000000"/>
        </w:rPr>
        <w:t>Funding Mechanics</w:t>
      </w:r>
    </w:p>
    <w:p>
      <w:pPr>
        <w:spacing w:after="0" w:line="204" w:lineRule="exact"/>
        <w:rPr>
          <w:sz w:val="20"/>
          <w:szCs w:val="20"/>
          <w:color w:val="auto"/>
        </w:rPr>
      </w:pPr>
    </w:p>
    <w:p>
      <w:pPr>
        <w:ind w:right="100" w:firstLine="702"/>
        <w:spacing w:after="0" w:line="256" w:lineRule="auto"/>
        <w:tabs>
          <w:tab w:leader="none" w:pos="972" w:val="left"/>
        </w:tabs>
        <w:numPr>
          <w:ilvl w:val="0"/>
          <w:numId w:val="44"/>
        </w:numPr>
        <w:rPr>
          <w:rFonts w:ascii="Times New Roman" w:cs="Times New Roman" w:eastAsia="Times New Roman" w:hAnsi="Times New Roman"/>
          <w:sz w:val="19"/>
          <w:szCs w:val="19"/>
          <w:b w:val="1"/>
          <w:bCs w:val="1"/>
          <w:color w:val="1F3763"/>
        </w:rPr>
      </w:pPr>
      <w:r>
        <w:rPr>
          <w:rFonts w:ascii="Times New Roman" w:cs="Times New Roman" w:eastAsia="Times New Roman" w:hAnsi="Times New Roman"/>
          <w:sz w:val="19"/>
          <w:szCs w:val="19"/>
          <w:color w:val="auto"/>
        </w:rPr>
        <w:t>If any Funding Request is delivered to the Administrative Agent and each Lender after 12:01 p.m., New York City time, on the first Business Day prior to the proposed Funding Date, such Funding Request shall be deemed to be received prior to 12:01 p.m., New York City time, on the next succeeding Business Day and the proposed Funding Date of such proposed Loan shall be deemed to be the Business Day following such deemed receipt. Each Funding Request shall include a representation by the Borrower that (i) the requested Loan will not, on the Funding Date, exceed the Available Amount, (ii) after giving effect to the requested Loan, a Borrowing Base Deficiency will not exist, and (iii) all conditions precedent to the making of such Loan have been (or prior to the making of such Loan on the Funding Date will be) satisfied. Any Funding Request shall be irrevocable.</w:t>
      </w:r>
    </w:p>
    <w:p>
      <w:pPr>
        <w:spacing w:after="0" w:line="157" w:lineRule="exact"/>
        <w:rPr>
          <w:rFonts w:ascii="Times New Roman" w:cs="Times New Roman" w:eastAsia="Times New Roman" w:hAnsi="Times New Roman"/>
          <w:sz w:val="19"/>
          <w:szCs w:val="19"/>
          <w:b w:val="1"/>
          <w:bCs w:val="1"/>
          <w:color w:val="1F3763"/>
        </w:rPr>
      </w:pPr>
    </w:p>
    <w:p>
      <w:pPr>
        <w:ind w:right="120" w:firstLine="702"/>
        <w:spacing w:after="0" w:line="259" w:lineRule="auto"/>
        <w:tabs>
          <w:tab w:leader="none" w:pos="972" w:val="left"/>
        </w:tabs>
        <w:numPr>
          <w:ilvl w:val="0"/>
          <w:numId w:val="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Subject to the fulfillment of the applicable conditions set forth in Article Four, as certified in the Funding Request to the Secured Parties by the Borrower, not later than 4:00 p.m. New York City time on such Funding Date, each Lender shall make its Lender Advance of the requested Loans available to the Borrower by wire transfer of immediately available funds to the Borrower’s Account. Each Lender shall promptly notify the Borrower and the Administrative Agent in the event that it fails to make such funds available to the Borrower before such time.</w:t>
      </w:r>
    </w:p>
    <w:p>
      <w:pPr>
        <w:spacing w:after="0" w:line="153" w:lineRule="exact"/>
        <w:rPr>
          <w:rFonts w:ascii="Times New Roman" w:cs="Times New Roman" w:eastAsia="Times New Roman" w:hAnsi="Times New Roman"/>
          <w:sz w:val="19"/>
          <w:szCs w:val="19"/>
          <w:color w:val="1F3763"/>
        </w:rPr>
      </w:pPr>
    </w:p>
    <w:p>
      <w:pPr>
        <w:ind w:firstLine="702"/>
        <w:spacing w:after="0" w:line="262" w:lineRule="auto"/>
        <w:tabs>
          <w:tab w:leader="none" w:pos="95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makes available to the Borrower funds for any Loan to be made by such Lender as provided in the foregoing provisions of this Article, but the conditions to the applicable Loan set forth in Article Four are not satisfied or waived in accordance with the terms hereof, the Borrower shall return such funds (in like funds as received from such Lender), together with interest thereon at the Default Rate, to such Lender.</w:t>
      </w:r>
    </w:p>
    <w:p>
      <w:pPr>
        <w:spacing w:after="0" w:line="150" w:lineRule="exact"/>
        <w:rPr>
          <w:rFonts w:ascii="Times New Roman" w:cs="Times New Roman" w:eastAsia="Times New Roman" w:hAnsi="Times New Roman"/>
          <w:sz w:val="19"/>
          <w:szCs w:val="19"/>
          <w:color w:val="auto"/>
        </w:rPr>
      </w:pPr>
    </w:p>
    <w:p>
      <w:pPr>
        <w:ind w:right="180" w:firstLine="702"/>
        <w:spacing w:after="0" w:line="268" w:lineRule="auto"/>
        <w:tabs>
          <w:tab w:leader="none" w:pos="968"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Two.03.  </w:t>
      </w:r>
      <w:r>
        <w:rPr>
          <w:rFonts w:ascii="Times New Roman" w:cs="Times New Roman" w:eastAsia="Times New Roman" w:hAnsi="Times New Roman"/>
          <w:sz w:val="19"/>
          <w:szCs w:val="19"/>
          <w:b w:val="1"/>
          <w:bCs w:val="1"/>
          <w:color w:val="000000"/>
        </w:rPr>
        <w:t>Reductions of Commitments</w:t>
      </w:r>
    </w:p>
    <w:p>
      <w:pPr>
        <w:spacing w:after="0" w:line="204" w:lineRule="exact"/>
        <w:rPr>
          <w:sz w:val="20"/>
          <w:szCs w:val="20"/>
          <w:color w:val="auto"/>
        </w:rPr>
      </w:pPr>
    </w:p>
    <w:p>
      <w:pPr>
        <w:ind w:right="400" w:firstLine="702"/>
        <w:spacing w:after="0" w:line="268" w:lineRule="auto"/>
        <w:tabs>
          <w:tab w:leader="none" w:pos="95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during the Revolving Period the Borrower may, upon at least five Business Days’ prior written notice to the Secured Parties and the Paying Agent, reduce the Facility Amount, which shall be applied, unless otherwise consented to by the Administrative Agent and the Lenders, pro rata to the Commitments. Each partial reduction shall be in a minimum aggregate</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8" w:name="page129"/>
    <w:bookmarkEnd w:id="128"/>
    <w:p>
      <w:pPr>
        <w:spacing w:after="0" w:line="2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amount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integral multiples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in excess thereof. Reductions of the Facility Amount pursuant to this Section shall be allocated to the Commitment of each Committed Lender, pro rata based on the Lender Percentage represented by such Commitment. Any request for a reduction in the Facility Amount shall be irrevocable and the Borrower shall deliver no more than four such requests in any 12-month period.</w:t>
      </w:r>
    </w:p>
    <w:p>
      <w:pPr>
        <w:spacing w:after="0" w:line="150" w:lineRule="exact"/>
        <w:rPr>
          <w:sz w:val="20"/>
          <w:szCs w:val="20"/>
          <w:color w:val="auto"/>
        </w:rPr>
      </w:pPr>
    </w:p>
    <w:p>
      <w:pPr>
        <w:ind w:firstLine="702"/>
        <w:spacing w:after="0" w:line="257" w:lineRule="auto"/>
        <w:tabs>
          <w:tab w:leader="none" w:pos="96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reduction of the Facility Amount, the Borrower shall remit to the Secured Parties, (i) instructions regarding such reduction and (ii) for payment to each applicable Secured Party, cash in an amount sufficient to pay the Aggregate Unpaids with respect to such reduction, including any associated Breakage Costs. The Borrower shall apply such amounts first to the pro rata reduction of the Loans Outstanding, and second to the payment of the remaining Aggregate Unpaids with respect thereto, including any Breakage Costs, by paying such amounts to the applicable Secured Parties pro rata, based on their respective remaining Aggregate Unpaids.</w:t>
      </w:r>
    </w:p>
    <w:p>
      <w:pPr>
        <w:spacing w:after="0" w:line="156"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Commitment Termination Date, the Commitment of each Lender shall be automatically reduced to zero.</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Two.04.  </w:t>
      </w:r>
      <w:r>
        <w:rPr>
          <w:rFonts w:ascii="Times New Roman" w:cs="Times New Roman" w:eastAsia="Times New Roman" w:hAnsi="Times New Roman"/>
          <w:sz w:val="19"/>
          <w:szCs w:val="19"/>
          <w:b w:val="1"/>
          <w:bCs w:val="1"/>
          <w:color w:val="000000"/>
        </w:rPr>
        <w:t>Extensions of Commitments</w:t>
      </w:r>
    </w:p>
    <w:p>
      <w:pPr>
        <w:spacing w:after="0" w:line="204" w:lineRule="exact"/>
        <w:rPr>
          <w:sz w:val="20"/>
          <w:szCs w:val="20"/>
          <w:color w:val="auto"/>
        </w:rPr>
      </w:pPr>
    </w:p>
    <w:p>
      <w:pPr>
        <w:ind w:right="100" w:firstLine="702"/>
        <w:spacing w:after="0" w:line="253" w:lineRule="auto"/>
        <w:tabs>
          <w:tab w:leader="none" w:pos="972" w:val="left"/>
        </w:tabs>
        <w:numPr>
          <w:ilvl w:val="0"/>
          <w:numId w:val="47"/>
        </w:numPr>
        <w:rPr>
          <w:rFonts w:ascii="Times New Roman" w:cs="Times New Roman" w:eastAsia="Times New Roman" w:hAnsi="Times New Roman"/>
          <w:sz w:val="19"/>
          <w:szCs w:val="19"/>
          <w:b w:val="1"/>
          <w:bCs w:val="1"/>
          <w:color w:val="1F3763"/>
        </w:rPr>
      </w:pPr>
      <w:r>
        <w:rPr>
          <w:rFonts w:ascii="Times New Roman" w:cs="Times New Roman" w:eastAsia="Times New Roman" w:hAnsi="Times New Roman"/>
          <w:sz w:val="19"/>
          <w:szCs w:val="19"/>
          <w:color w:val="auto"/>
        </w:rPr>
        <w:t>So long as no Commitment Termination Date has occurred, the Borrower may request in writing, before the Commitment Proposed Extension Date, to each Committed Lender (with a copy to the Administrative Agent), that each Committed Lender extend its Commitment Termination Date up to an additional 728-day period as herein provided, which request may be granted or denied by each Committed Lender in its sole discretion. On or before the last day of the Election Period, each Committed Lender shall notify the Borrower and the Administrative Agent of its willingness or refusal to so extend its Commitment Termination Date, provided that the failure of any Committed Lender to timely respond shall be deemed to be its refusal to so extend. If (i) one or more Committed Lenders have agreed to extend the Commitment Termination Date and (ii) at the end of the applicable Election Period, no Commitment Termination Date shall have occurred and be continuing, the Commitment Termination Date then in effect for each such Committed Lender shall be extended to the date agreed upon by the Administrative Agent and each such Committed Lender or, if such day is not a Business Day, the next preceding Business Day (or any other date as agreed upon by the Borrower and each Committed Lender); provided, that if not all Committed Lenders agree to such extension, the Borrower may elect, by notice to the Administrative Agent and the Committed Lenders, delivered not later than five Business Days after the end of the Election Period, not to have such extension become effective.</w:t>
      </w:r>
    </w:p>
    <w:p>
      <w:pPr>
        <w:spacing w:after="0" w:line="162" w:lineRule="exact"/>
        <w:rPr>
          <w:rFonts w:ascii="Times New Roman" w:cs="Times New Roman" w:eastAsia="Times New Roman" w:hAnsi="Times New Roman"/>
          <w:sz w:val="19"/>
          <w:szCs w:val="19"/>
          <w:b w:val="1"/>
          <w:bCs w:val="1"/>
          <w:color w:val="1F3763"/>
        </w:rPr>
      </w:pPr>
    </w:p>
    <w:p>
      <w:pPr>
        <w:ind w:right="40" w:firstLine="702"/>
        <w:spacing w:after="0" w:line="257" w:lineRule="auto"/>
        <w:tabs>
          <w:tab w:leader="none" w:pos="972" w:val="left"/>
        </w:tabs>
        <w:numPr>
          <w:ilvl w:val="0"/>
          <w:numId w:val="4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Within two Business Days following the end of an Election Period, the Administrative Agent shall notify each other Lender and the Borrower of the identity of any Dissenting Lender and the amount of its Commitment. The Borrower may (but shall not be required to) request one or more other Lenders or seek another financial institution reasonably acceptable to the Administrative Agent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Administrative Agent</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9" w:name="page130"/>
    <w:bookmarkEnd w:id="129"/>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spacing w:after="0" w:line="127" w:lineRule="exact"/>
        <w:rPr>
          <w:sz w:val="20"/>
          <w:szCs w:val="20"/>
          <w:color w:val="auto"/>
        </w:rPr>
      </w:pPr>
    </w:p>
    <w:p>
      <w:pPr>
        <w:ind w:firstLine="702"/>
        <w:spacing w:after="0" w:line="256" w:lineRule="auto"/>
        <w:tabs>
          <w:tab w:leader="none" w:pos="960" w:val="left"/>
        </w:tabs>
        <w:numPr>
          <w:ilvl w:val="0"/>
          <w:numId w:val="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spacing w:after="0" w:line="157" w:lineRule="exact"/>
        <w:rPr>
          <w:rFonts w:ascii="Times New Roman" w:cs="Times New Roman" w:eastAsia="Times New Roman" w:hAnsi="Times New Roman"/>
          <w:sz w:val="19"/>
          <w:szCs w:val="19"/>
          <w:color w:val="1F3763"/>
        </w:rPr>
      </w:pPr>
    </w:p>
    <w:p>
      <w:pPr>
        <w:ind w:right="40" w:firstLine="702"/>
        <w:spacing w:after="0" w:line="259" w:lineRule="auto"/>
        <w:tabs>
          <w:tab w:leader="none" w:pos="972" w:val="left"/>
        </w:tabs>
        <w:numPr>
          <w:ilvl w:val="0"/>
          <w:numId w:val="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Prior to the occurrence of a Termination Event, if a Partial Expiration Event has occurred, the Administrative Agent shall give notice to the Borrower and the Servicer to apply any Collections in accordance with Section 2.08(a)(vii), to the pro rata repayment of such amounts owing to any Non-Extending Lender as of the date of the related Partial Expiration Event, commencing no later than the first Payment Date which is at least two Business Days following the Commitment Termination Date for the Non-Extending Lender, specifying the amounts thereof.</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Two.05.  </w:t>
      </w:r>
      <w:r>
        <w:rPr>
          <w:rFonts w:ascii="Times New Roman" w:cs="Times New Roman" w:eastAsia="Times New Roman" w:hAnsi="Times New Roman"/>
          <w:sz w:val="19"/>
          <w:szCs w:val="19"/>
          <w:b w:val="1"/>
          <w:bCs w:val="1"/>
          <w:color w:val="000000"/>
        </w:rPr>
        <w:t>The Notes</w:t>
      </w:r>
    </w:p>
    <w:p>
      <w:pPr>
        <w:spacing w:after="0" w:line="204" w:lineRule="exact"/>
        <w:rPr>
          <w:sz w:val="20"/>
          <w:szCs w:val="20"/>
          <w:color w:val="auto"/>
        </w:rPr>
      </w:pPr>
    </w:p>
    <w:p>
      <w:pPr>
        <w:ind w:right="40" w:firstLine="702"/>
        <w:spacing w:after="0" w:line="257" w:lineRule="auto"/>
        <w:tabs>
          <w:tab w:leader="none" w:pos="95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Loans made by the Lenders hereunder shall be evidenced by one or more duly executed promissory notes payable to the Persons specified by the Owners, with the Lender’s Loans Outstanding not to exceed the Commitment for the applicable Lender or the Aggregate Commitment in total, in substantially the form of Exhibit B hereto (each, a “Note” and collectively, the “Notes”). Each Note shall be dated the Closing Date and shall otherwise be duly completed and shall be delivered by the Borrower to the applicable Lender. The maturity date of each Note shall be the Final Maturity Date or such later date as to which the Administrative Agent, with the consent of each Lender, shall notify the Borrower in writing.</w:t>
      </w:r>
    </w:p>
    <w:p>
      <w:pPr>
        <w:spacing w:after="0" w:line="156" w:lineRule="exact"/>
        <w:rPr>
          <w:rFonts w:ascii="Times New Roman" w:cs="Times New Roman" w:eastAsia="Times New Roman" w:hAnsi="Times New Roman"/>
          <w:sz w:val="19"/>
          <w:szCs w:val="19"/>
          <w:color w:val="auto"/>
        </w:rPr>
      </w:pPr>
    </w:p>
    <w:p>
      <w:pPr>
        <w:ind w:right="100" w:firstLine="702"/>
        <w:spacing w:after="0" w:line="259" w:lineRule="auto"/>
        <w:tabs>
          <w:tab w:leader="none" w:pos="96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is hereby authorized to enter notations (which may be computer generated) on a schedule attached to the Note with respect to the Lender Advance, regarding (i) the date and Principal Amount thereof and (ii) each payment and repayment of principal thereof and any such recordation shall constitute prima facie evidence of the accuracy of the information so recorded. The failure of a Lender to make any such notation on the schedule attached to its Note shall not limit or otherwise affect the obligation of the Borrower to repay the Loans in accordance with their respective terms as set forth herein.</w:t>
      </w:r>
    </w:p>
    <w:p>
      <w:pPr>
        <w:spacing w:after="0" w:line="153"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Facility Termination Date, each Lender shall mark its Note “Paid” and return it to the Borrower.</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Two.06.  </w:t>
      </w:r>
      <w:r>
        <w:rPr>
          <w:rFonts w:ascii="Times New Roman" w:cs="Times New Roman" w:eastAsia="Times New Roman" w:hAnsi="Times New Roman"/>
          <w:sz w:val="19"/>
          <w:szCs w:val="19"/>
          <w:b w:val="1"/>
          <w:bCs w:val="1"/>
          <w:color w:val="000000"/>
        </w:rPr>
        <w:t>Optional Principal Repayments; Interpayments</w:t>
      </w:r>
    </w:p>
    <w:p>
      <w:pPr>
        <w:spacing w:after="0" w:line="204" w:lineRule="exact"/>
        <w:rPr>
          <w:sz w:val="20"/>
          <w:szCs w:val="20"/>
          <w:color w:val="auto"/>
        </w:rPr>
      </w:pPr>
    </w:p>
    <w:p>
      <w:pPr>
        <w:ind w:right="160" w:firstLine="702"/>
        <w:spacing w:after="0" w:line="286" w:lineRule="auto"/>
        <w:tabs>
          <w:tab w:leader="none" w:pos="95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Business Day prior to the occurrence of a Termination Date, the Borrower may prepay all or a portion of the Loans Outstanding and all other Aggregate Unpaids, on at least</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0" w:name="page131"/>
    <w:bookmarkEnd w:id="130"/>
    <w:p>
      <w:pPr>
        <w:spacing w:after="0" w:line="2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two Business Days’ prior notice to the Secured Parties and the Paying Agent; provided that (i) the amount prepaid is at least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or integral multiples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in excess thereof (unless otherwise agreed to in writing by the Administrative Agent); (ii) the Borrower pays to the appropriate parties all Aggregate Unpaids (excluding all Breakage Costs) due and owing pursuant to Section 2.08(a) in connection with and through the date of such prepayment, including any fees or other amounts payable pursuant to Section 10.01; and (iii) the Borrower certifies that following such prepayment, the Borrower will be in compliance with the provisions of this Agreement. Any notice of a prepayment shall be irrevocable.</w:t>
      </w:r>
    </w:p>
    <w:p>
      <w:pPr>
        <w:spacing w:after="0" w:line="157" w:lineRule="exact"/>
        <w:rPr>
          <w:sz w:val="20"/>
          <w:szCs w:val="20"/>
          <w:color w:val="auto"/>
        </w:rPr>
      </w:pPr>
    </w:p>
    <w:p>
      <w:pPr>
        <w:ind w:firstLine="702"/>
        <w:spacing w:after="0" w:line="256" w:lineRule="auto"/>
        <w:tabs>
          <w:tab w:leader="none" w:pos="968"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related optional principal repayment date the following shall be true and correct and the Borrower shall be deemed to have certified that after giving effect to such optional principal repayment and the release to the Borrower of the related Receivables, (A) no adverse selection procedures shall have been used by the Borrower with respect to the Receivables that will remain part of the Collateral after giving effect to such optional principal repayment, (B)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(C) after giving effect to such optional principal repayment,</w:t>
      </w:r>
    </w:p>
    <w:p>
      <w:pPr>
        <w:spacing w:after="0" w:line="2" w:lineRule="exact"/>
        <w:rPr>
          <w:rFonts w:ascii="Times New Roman" w:cs="Times New Roman" w:eastAsia="Times New Roman" w:hAnsi="Times New Roman"/>
          <w:sz w:val="19"/>
          <w:szCs w:val="19"/>
          <w:color w:val="auto"/>
        </w:rPr>
      </w:pPr>
    </w:p>
    <w:p>
      <w:pPr>
        <w:ind w:left="240" w:hanging="234"/>
        <w:spacing w:after="0"/>
        <w:tabs>
          <w:tab w:leader="none" w:pos="2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Borrowing Base Deficiency shall have occurred, and (ii) no Advance Rate Reduction Event shall have occurred.</w:t>
      </w:r>
    </w:p>
    <w:p>
      <w:pPr>
        <w:spacing w:after="0" w:line="179" w:lineRule="exact"/>
        <w:rPr>
          <w:rFonts w:ascii="Times New Roman" w:cs="Times New Roman" w:eastAsia="Times New Roman" w:hAnsi="Times New Roman"/>
          <w:sz w:val="19"/>
          <w:szCs w:val="19"/>
          <w:color w:val="auto"/>
        </w:rPr>
      </w:pPr>
    </w:p>
    <w:p>
      <w:pPr>
        <w:ind w:right="200" w:firstLine="702"/>
        <w:spacing w:after="0" w:line="286" w:lineRule="auto"/>
        <w:tabs>
          <w:tab w:leader="none" w:pos="957"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prior to the related optional principal repayment date, the Borrower shall have delivered to the Secured Parties a list specifying all Contracts relating to the Receivables to be released pursuant to such optional principal repayment.</w:t>
      </w:r>
    </w:p>
    <w:p>
      <w:pPr>
        <w:spacing w:after="0" w:line="127" w:lineRule="exact"/>
        <w:rPr>
          <w:rFonts w:ascii="Times New Roman" w:cs="Times New Roman" w:eastAsia="Times New Roman" w:hAnsi="Times New Roman"/>
          <w:sz w:val="19"/>
          <w:szCs w:val="19"/>
          <w:color w:val="auto"/>
        </w:rPr>
      </w:pPr>
    </w:p>
    <w:p>
      <w:pPr>
        <w:ind w:right="180" w:firstLine="702"/>
        <w:spacing w:after="0" w:line="268" w:lineRule="auto"/>
        <w:tabs>
          <w:tab w:leader="none" w:pos="96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agrees to pay the reasonable out-of-pocket legal fees and expenses of the Paying Agent and the Secured Parties in connection with any optional principal repayment (including expenses incurred in connection with the release of the Lien of the Secured Parties in connection with such optional principal repayment).</w:t>
      </w:r>
    </w:p>
    <w:p>
      <w:pPr>
        <w:spacing w:after="0" w:line="144" w:lineRule="exact"/>
        <w:rPr>
          <w:rFonts w:ascii="Times New Roman" w:cs="Times New Roman" w:eastAsia="Times New Roman" w:hAnsi="Times New Roman"/>
          <w:sz w:val="19"/>
          <w:szCs w:val="19"/>
          <w:color w:val="auto"/>
        </w:rPr>
      </w:pPr>
    </w:p>
    <w:p>
      <w:pPr>
        <w:ind w:right="80" w:firstLine="702"/>
        <w:spacing w:after="0" w:line="257" w:lineRule="auto"/>
        <w:tabs>
          <w:tab w:leader="none" w:pos="957"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provisions of Section 2.06(a), the Borrower may, prior to the occurrence of a Termination Event, and only if approved by the Administrative Agent in its sole discretion (and with written notice to the Paying Agent), subject to the payment of all amounts set forth in Section 2.06(a), prepay all or any portion of the Loans Outstanding on any Business Day by making an Interpayment. On the Payment Date relating to the Collection Period during which an Interpayment is made, if required by the Administrative Agent, UACC shall deposit into the Collection Account an amount equal to the Monthly Accrued Interest Payment Amount.</w:t>
      </w:r>
    </w:p>
    <w:p>
      <w:pPr>
        <w:spacing w:after="0" w:line="156" w:lineRule="exact"/>
        <w:rPr>
          <w:rFonts w:ascii="Times New Roman" w:cs="Times New Roman" w:eastAsia="Times New Roman" w:hAnsi="Times New Roman"/>
          <w:sz w:val="19"/>
          <w:szCs w:val="19"/>
          <w:color w:val="auto"/>
        </w:rPr>
      </w:pPr>
    </w:p>
    <w:p>
      <w:pPr>
        <w:ind w:right="100" w:firstLine="702"/>
        <w:spacing w:after="0" w:line="262" w:lineRule="auto"/>
        <w:tabs>
          <w:tab w:leader="none" w:pos="936"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optional principal repayment of a Term SOFR Loan on a day other than the last day of an Interest Period therefor shall include Interest on the Principal Amount being repaid and shall be subject to Section 2.18. Any optional principal repayment of Loans Outstanding shall be applied first to that portion of such Loans Outstanding comprised of Base Rate Loans and then to that portion of such Loans Outstanding comprised of Term SOFR Loans, in direct order of Interest Period maturities.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Two.07.  </w:t>
      </w:r>
      <w:r>
        <w:rPr>
          <w:rFonts w:ascii="Times New Roman" w:cs="Times New Roman" w:eastAsia="Times New Roman" w:hAnsi="Times New Roman"/>
          <w:sz w:val="19"/>
          <w:szCs w:val="19"/>
          <w:b w:val="1"/>
          <w:bCs w:val="1"/>
          <w:color w:val="000000"/>
        </w:rPr>
        <w:t>Payments</w:t>
      </w:r>
    </w:p>
    <w:p>
      <w:pPr>
        <w:spacing w:after="0" w:line="204" w:lineRule="exact"/>
        <w:rPr>
          <w:sz w:val="20"/>
          <w:szCs w:val="20"/>
          <w:color w:val="auto"/>
        </w:rPr>
      </w:pPr>
    </w:p>
    <w:p>
      <w:pPr>
        <w:jc w:val="both"/>
        <w:ind w:right="100" w:firstLine="702"/>
        <w:spacing w:after="0" w:line="268" w:lineRule="auto"/>
        <w:tabs>
          <w:tab w:leader="none" w:pos="95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Interest on the unpaid Principal Amount of each Loan for the period from the related Funding Date until the date that such Loan shall be paid in full. Interest shall accrue during each Interest Period at the Interest Rate and be payable on the Loans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1" w:name="page132"/>
    <w:bookmarkEnd w:id="13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Outstanding on each Payment Date in accordance with Section 2.08, unless earlier paid pursuant to Section 2.06 or Section 2.15.</w:t>
      </w:r>
    </w:p>
    <w:p>
      <w:pPr>
        <w:spacing w:after="0" w:line="202" w:lineRule="exact"/>
        <w:rPr>
          <w:sz w:val="20"/>
          <w:szCs w:val="20"/>
          <w:color w:val="auto"/>
        </w:rPr>
      </w:pPr>
    </w:p>
    <w:p>
      <w:pPr>
        <w:ind w:right="120" w:firstLine="702"/>
        <w:spacing w:after="0" w:line="286" w:lineRule="auto"/>
        <w:tabs>
          <w:tab w:leader="none" w:pos="96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Lender’s Invested Percentage of the Loans Outstanding shall bear Interest for each Interest Period at a rate per annum equal to the Interest Rate for each day during each Interest Period.</w:t>
      </w:r>
    </w:p>
    <w:p>
      <w:pPr>
        <w:spacing w:after="0" w:line="127" w:lineRule="exact"/>
        <w:rPr>
          <w:rFonts w:ascii="Times New Roman" w:cs="Times New Roman" w:eastAsia="Times New Roman" w:hAnsi="Times New Roman"/>
          <w:sz w:val="19"/>
          <w:szCs w:val="19"/>
          <w:color w:val="auto"/>
        </w:rPr>
      </w:pPr>
    </w:p>
    <w:p>
      <w:pPr>
        <w:ind w:right="40" w:firstLine="702"/>
        <w:spacing w:after="0" w:line="286" w:lineRule="auto"/>
        <w:tabs>
          <w:tab w:leader="none" w:pos="95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calculated by reference to the Interest Rate shall be calculated on the basis of (i) for the Term SOFR Rate, a 360-day year for the actual days elapsed and (ii) the Prime Rate, a 365 or 366-day year, as applicable for the actual days elapsed.</w:t>
      </w:r>
    </w:p>
    <w:p>
      <w:pPr>
        <w:spacing w:after="0" w:line="127" w:lineRule="exact"/>
        <w:rPr>
          <w:rFonts w:ascii="Times New Roman" w:cs="Times New Roman" w:eastAsia="Times New Roman" w:hAnsi="Times New Roman"/>
          <w:sz w:val="19"/>
          <w:szCs w:val="19"/>
          <w:color w:val="auto"/>
        </w:rPr>
      </w:pPr>
    </w:p>
    <w:p>
      <w:pPr>
        <w:ind w:right="200" w:firstLine="702"/>
        <w:spacing w:after="0" w:line="255" w:lineRule="auto"/>
        <w:tabs>
          <w:tab w:leader="none" w:pos="96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unpaid Principal Amount of and Interest on the Notes shall be paid as provided herein and in the Notes. Payments in respect of the unpaid Principal Amount and Interest (including pursuant to Sections 2.06 and 2.15) shall be allocated and applied to Owners of such Note based on their respective Invested Percentages, or in any such case in such other proportions as each affected Lender may agree upon in writing from time to time with the Administrative Agent and the Borrower; provided that from and after the Commitment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2.08(a)(vii) in reduction of the Partial Expiration Event Amount shall be allocated and applied to Non-Extending Lenders pro rata based on their respective Lender Percentages.</w:t>
      </w:r>
    </w:p>
    <w:p>
      <w:pPr>
        <w:spacing w:after="0" w:line="155" w:lineRule="exact"/>
        <w:rPr>
          <w:rFonts w:ascii="Times New Roman" w:cs="Times New Roman" w:eastAsia="Times New Roman" w:hAnsi="Times New Roman"/>
          <w:sz w:val="19"/>
          <w:szCs w:val="19"/>
          <w:color w:val="auto"/>
        </w:rPr>
      </w:pPr>
    </w:p>
    <w:p>
      <w:pPr>
        <w:ind w:right="260" w:firstLine="702"/>
        <w:spacing w:after="0" w:line="262" w:lineRule="auto"/>
        <w:tabs>
          <w:tab w:leader="none" w:pos="95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or before 12:01 p.m. (New York City time) on the day that is two Business Days prior to next Interest Period, the Administrative Agent shall notify each Lender, the Borrower and the Servicer of the Benchmark or the Base Rate, as the case may be, due for the next Interest Period. Each determination of the Benchmark and Base Rate by the Administrative Agent pursuant to any provision of this Agreement shall be conclusive and binding on the Borrower and the Lenders in the absence of manifest error.</w:t>
      </w:r>
    </w:p>
    <w:p>
      <w:pPr>
        <w:spacing w:after="0" w:line="150" w:lineRule="exact"/>
        <w:rPr>
          <w:rFonts w:ascii="Times New Roman" w:cs="Times New Roman" w:eastAsia="Times New Roman" w:hAnsi="Times New Roman"/>
          <w:sz w:val="19"/>
          <w:szCs w:val="19"/>
          <w:color w:val="auto"/>
        </w:rPr>
      </w:pPr>
    </w:p>
    <w:p>
      <w:pPr>
        <w:ind w:firstLine="702"/>
        <w:spacing w:after="0" w:line="255" w:lineRule="auto"/>
        <w:tabs>
          <w:tab w:leader="none" w:pos="93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lawfully have received, had the Interest due been calculated from the Closing Date at the Maximum Lawful Rate.</w:t>
      </w:r>
    </w:p>
    <w:p>
      <w:pPr>
        <w:spacing w:after="0" w:line="159" w:lineRule="exact"/>
        <w:rPr>
          <w:rFonts w:ascii="Times New Roman" w:cs="Times New Roman" w:eastAsia="Times New Roman" w:hAnsi="Times New Roman"/>
          <w:sz w:val="19"/>
          <w:szCs w:val="19"/>
          <w:color w:val="auto"/>
        </w:rPr>
      </w:pPr>
    </w:p>
    <w:p>
      <w:pPr>
        <w:jc w:val="both"/>
        <w:ind w:right="60" w:firstLine="702"/>
        <w:spacing w:after="0" w:line="268" w:lineRule="auto"/>
        <w:tabs>
          <w:tab w:leader="none" w:pos="96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or the other Basic Documents, the Loans Outstanding, together with all Aggregate Unpaids, shall be due and payable in full in immediately available funds upon the automatic occurrence, or the declaration of the occurrence, of the Termination Date in accordance with Section 9.01(b).</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2" w:name="page133"/>
    <w:bookmarkEnd w:id="132"/>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Two.08.  </w:t>
      </w:r>
      <w:r>
        <w:rPr>
          <w:rFonts w:ascii="Times New Roman" w:cs="Times New Roman" w:eastAsia="Times New Roman" w:hAnsi="Times New Roman"/>
          <w:sz w:val="19"/>
          <w:szCs w:val="19"/>
          <w:b w:val="1"/>
          <w:bCs w:val="1"/>
          <w:color w:val="000000"/>
        </w:rPr>
        <w:t>Settlement Procedures</w:t>
      </w:r>
    </w:p>
    <w:p>
      <w:pPr>
        <w:spacing w:after="0" w:line="204" w:lineRule="exact"/>
        <w:rPr>
          <w:sz w:val="20"/>
          <w:szCs w:val="20"/>
          <w:color w:val="auto"/>
        </w:rPr>
      </w:pPr>
    </w:p>
    <w:p>
      <w:pPr>
        <w:ind w:right="220" w:firstLine="702"/>
        <w:spacing w:after="0" w:line="268" w:lineRule="auto"/>
        <w:tabs>
          <w:tab w:leader="none" w:pos="95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Payment Date, the Servicer shall instruct (by delivery of the Monthly Report on the related Reporting Date) the Paying Agent to pay to the following Persons, from the Collection Account to the extent of Available Funds, the following amounts in the following order of priority, as set forth in the Monthly Report:</w:t>
      </w:r>
    </w:p>
    <w:p>
      <w:pPr>
        <w:spacing w:after="0" w:line="144" w:lineRule="exact"/>
        <w:rPr>
          <w:rFonts w:ascii="Times New Roman" w:cs="Times New Roman" w:eastAsia="Times New Roman" w:hAnsi="Times New Roman"/>
          <w:sz w:val="19"/>
          <w:szCs w:val="19"/>
          <w:color w:val="auto"/>
        </w:rPr>
      </w:pPr>
    </w:p>
    <w:p>
      <w:pPr>
        <w:ind w:left="700" w:firstLine="890"/>
        <w:spacing w:after="0" w:line="259" w:lineRule="auto"/>
        <w:tabs>
          <w:tab w:leader="none" w:pos="1817" w:val="left"/>
        </w:tabs>
        <w:numPr>
          <w:ilvl w:val="5"/>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per annum;</w:t>
      </w:r>
    </w:p>
    <w:p>
      <w:pPr>
        <w:spacing w:after="0" w:line="153" w:lineRule="exact"/>
        <w:rPr>
          <w:rFonts w:ascii="Times New Roman" w:cs="Times New Roman" w:eastAsia="Times New Roman" w:hAnsi="Times New Roman"/>
          <w:sz w:val="19"/>
          <w:szCs w:val="19"/>
          <w:color w:val="auto"/>
        </w:rPr>
      </w:pPr>
    </w:p>
    <w:p>
      <w:pPr>
        <w:ind w:left="700" w:firstLine="818"/>
        <w:spacing w:after="0" w:line="259" w:lineRule="auto"/>
        <w:tabs>
          <w:tab w:leader="none" w:pos="1799" w:val="left"/>
        </w:tabs>
        <w:numPr>
          <w:ilvl w:val="4"/>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pro rata, (A) to the Paying Agent, an amount equal to any accrued and unpaid Paying Agent Fee, together with its accrued and unpaid expenses and indemnities (which expenses and indemnities prior to the occurrence of a Termination Event shall not exceed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per annum), (B) to the Successor Servicer, any unpaid Transition Expenses payable pursuant to Section 7.15(d), and (C) to the extent not previously paid, to the E-Vault Provider, any unpaid fees and expenses due and owing in respect of Electronic Contracts maintained in the Warehouse Vault Partition;</w:t>
      </w:r>
    </w:p>
    <w:p>
      <w:pPr>
        <w:spacing w:after="0" w:line="153" w:lineRule="exact"/>
        <w:rPr>
          <w:rFonts w:ascii="Times New Roman" w:cs="Times New Roman" w:eastAsia="Times New Roman" w:hAnsi="Times New Roman"/>
          <w:sz w:val="19"/>
          <w:szCs w:val="19"/>
          <w:color w:val="auto"/>
        </w:rPr>
      </w:pPr>
    </w:p>
    <w:p>
      <w:pPr>
        <w:ind w:left="700" w:right="320" w:firstLine="746"/>
        <w:spacing w:after="0" w:line="268" w:lineRule="auto"/>
        <w:tabs>
          <w:tab w:leader="none" w:pos="1780" w:val="left"/>
        </w:tabs>
        <w:numPr>
          <w:ilvl w:val="3"/>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to the extent not paid for by UACC, to the Custodian (if not UACC), the accrued and unpaid Custodian Fee and any accrued and unpaid expenses and indemnities which amounts may be limited as per the successor Custodian Agreement;</w:t>
      </w:r>
    </w:p>
    <w:p>
      <w:pPr>
        <w:spacing w:after="0" w:line="144" w:lineRule="exact"/>
        <w:rPr>
          <w:rFonts w:ascii="Times New Roman" w:cs="Times New Roman" w:eastAsia="Times New Roman" w:hAnsi="Times New Roman"/>
          <w:sz w:val="19"/>
          <w:szCs w:val="19"/>
          <w:color w:val="auto"/>
        </w:rPr>
      </w:pPr>
    </w:p>
    <w:p>
      <w:pPr>
        <w:ind w:left="700" w:right="100" w:firstLine="758"/>
        <w:spacing w:after="0" w:line="268" w:lineRule="auto"/>
        <w:tabs>
          <w:tab w:leader="none" w:pos="1781" w:val="left"/>
        </w:tabs>
        <w:numPr>
          <w:ilvl w:val="3"/>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Fourth, pro rata in accordance with their Invested Percentages, to each Lender in an amount equal to any accrued and unpaid (i) Senior Interest on the Loans, (ii) the Unused Fee, and (iii) any accrued and unpaid Senior Interest on the Loans and Unused Fees that remain unpaid on one or more prior Payment Dates;</w:t>
      </w:r>
    </w:p>
    <w:p>
      <w:pPr>
        <w:spacing w:after="0" w:line="144" w:lineRule="exact"/>
        <w:rPr>
          <w:rFonts w:ascii="Times New Roman" w:cs="Times New Roman" w:eastAsia="Times New Roman" w:hAnsi="Times New Roman"/>
          <w:sz w:val="19"/>
          <w:szCs w:val="19"/>
          <w:color w:val="auto"/>
        </w:rPr>
      </w:pPr>
    </w:p>
    <w:p>
      <w:pPr>
        <w:ind w:left="700" w:right="160" w:firstLine="830"/>
        <w:spacing w:after="0" w:line="286" w:lineRule="auto"/>
        <w:tabs>
          <w:tab w:leader="none" w:pos="1800" w:val="left"/>
        </w:tabs>
        <w:numPr>
          <w:ilvl w:val="4"/>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Fifth, pro rata in accordance with their Invested Percentages, to each Lender, in an amount equal to the Monthly Principal Payment Amount;</w:t>
      </w:r>
    </w:p>
    <w:p>
      <w:pPr>
        <w:spacing w:after="0" w:line="127" w:lineRule="exact"/>
        <w:rPr>
          <w:rFonts w:ascii="Times New Roman" w:cs="Times New Roman" w:eastAsia="Times New Roman" w:hAnsi="Times New Roman"/>
          <w:sz w:val="19"/>
          <w:szCs w:val="19"/>
          <w:color w:val="auto"/>
        </w:rPr>
      </w:pPr>
    </w:p>
    <w:p>
      <w:pPr>
        <w:ind w:left="700" w:right="100" w:firstLine="758"/>
        <w:spacing w:after="0" w:line="268" w:lineRule="auto"/>
        <w:tabs>
          <w:tab w:leader="none" w:pos="1781" w:val="left"/>
        </w:tabs>
        <w:numPr>
          <w:ilvl w:val="3"/>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Sixth, pro rata in accordance with their Invested Percentages, to each Lender in an amount equal to any accrued and unpaid Subordinate Interest on the Loans, any accrued and unpaid Subordinate Interest on the Loans that remain unpaid on one or more prior Payment Dates;</w:t>
      </w:r>
    </w:p>
    <w:p>
      <w:pPr>
        <w:spacing w:after="0" w:line="144" w:lineRule="exact"/>
        <w:rPr>
          <w:rFonts w:ascii="Times New Roman" w:cs="Times New Roman" w:eastAsia="Times New Roman" w:hAnsi="Times New Roman"/>
          <w:sz w:val="19"/>
          <w:szCs w:val="19"/>
          <w:color w:val="auto"/>
        </w:rPr>
      </w:pPr>
    </w:p>
    <w:p>
      <w:pPr>
        <w:ind w:left="700" w:right="480" w:firstLine="698"/>
        <w:spacing w:after="0" w:line="286" w:lineRule="auto"/>
        <w:tabs>
          <w:tab w:leader="none" w:pos="1775" w:val="left"/>
        </w:tabs>
        <w:numPr>
          <w:ilvl w:val="3"/>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Seventh, if a Partial Expiration Event has occurred, the remaining funds to reduce pro rata the portion of the Loans Outstanding constituting the Lender Advances of any Non-Extending Lender, to zero;</w:t>
      </w:r>
    </w:p>
    <w:p>
      <w:pPr>
        <w:spacing w:after="0" w:line="127" w:lineRule="exact"/>
        <w:rPr>
          <w:rFonts w:ascii="Times New Roman" w:cs="Times New Roman" w:eastAsia="Times New Roman" w:hAnsi="Times New Roman"/>
          <w:sz w:val="19"/>
          <w:szCs w:val="19"/>
          <w:color w:val="auto"/>
        </w:rPr>
      </w:pPr>
    </w:p>
    <w:p>
      <w:pPr>
        <w:ind w:left="700" w:right="180" w:firstLine="626"/>
        <w:spacing w:after="0" w:line="286" w:lineRule="auto"/>
        <w:tabs>
          <w:tab w:leader="none" w:pos="1756"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Eighth, pro rata, to the Affected Parties and the Indemnified Parties, all other Aggregate Unpaids (other than the principal amount of the Loans Outstanding) then due under this Agreement or the other Basic Documents to them;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3" w:name="page134"/>
    <w:bookmarkEnd w:id="133"/>
    <w:p>
      <w:pPr>
        <w:spacing w:after="0" w:line="269" w:lineRule="exact"/>
        <w:rPr>
          <w:sz w:val="20"/>
          <w:szCs w:val="20"/>
          <w:color w:val="auto"/>
        </w:rPr>
      </w:pPr>
    </w:p>
    <w:p>
      <w:pPr>
        <w:ind w:left="680" w:right="660" w:firstLine="758"/>
        <w:spacing w:after="0" w:line="286" w:lineRule="auto"/>
        <w:tabs>
          <w:tab w:leader="none" w:pos="1761"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Ninth, to the Servicer, the Owner Trustee, the Custodian (if other than UACC), the Paying Agent and any Successor Servicer, any fees, expenses and indemnities not paid pursuant to clauses (i) through (iii) above; and</w:t>
      </w:r>
    </w:p>
    <w:p>
      <w:pPr>
        <w:spacing w:after="0" w:line="127" w:lineRule="exact"/>
        <w:rPr>
          <w:rFonts w:ascii="Times New Roman" w:cs="Times New Roman" w:eastAsia="Times New Roman" w:hAnsi="Times New Roman"/>
          <w:sz w:val="19"/>
          <w:szCs w:val="19"/>
          <w:color w:val="auto"/>
        </w:rPr>
      </w:pPr>
    </w:p>
    <w:p>
      <w:pPr>
        <w:ind w:left="680" w:right="420" w:firstLine="830"/>
        <w:spacing w:after="0" w:line="286" w:lineRule="auto"/>
        <w:tabs>
          <w:tab w:leader="none" w:pos="178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Tenth, any remaining amount shall be distributed to the Borrower into the Borrower’s Account or such other account as directed by the Borrower.</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2F5496"/>
        </w:rPr>
        <w:t xml:space="preserve">Section Two.09.  </w:t>
      </w:r>
      <w:r>
        <w:rPr>
          <w:rFonts w:ascii="Times New Roman" w:cs="Times New Roman" w:eastAsia="Times New Roman" w:hAnsi="Times New Roman"/>
          <w:sz w:val="19"/>
          <w:szCs w:val="19"/>
          <w:b w:val="1"/>
          <w:bCs w:val="1"/>
          <w:color w:val="000000"/>
        </w:rPr>
        <w:t>[Reserved]</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2F5496"/>
        </w:rPr>
        <w:t xml:space="preserve">Section Two.10.  </w:t>
      </w:r>
      <w:r>
        <w:rPr>
          <w:rFonts w:ascii="Times New Roman" w:cs="Times New Roman" w:eastAsia="Times New Roman" w:hAnsi="Times New Roman"/>
          <w:sz w:val="19"/>
          <w:szCs w:val="19"/>
          <w:b w:val="1"/>
          <w:bCs w:val="1"/>
          <w:color w:val="000000"/>
        </w:rPr>
        <w:t>Payments, Computations, Etc.</w:t>
      </w:r>
    </w:p>
    <w:p>
      <w:pPr>
        <w:spacing w:after="0" w:line="204" w:lineRule="exact"/>
        <w:rPr>
          <w:sz w:val="20"/>
          <w:szCs w:val="20"/>
          <w:color w:val="auto"/>
        </w:rPr>
      </w:pPr>
    </w:p>
    <w:p>
      <w:pPr>
        <w:ind w:left="-20" w:right="120" w:firstLine="702"/>
        <w:spacing w:after="0" w:line="257" w:lineRule="auto"/>
        <w:tabs>
          <w:tab w:leader="none" w:pos="93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expressly provided herein, all amounts to be paid or deposited by the Borrower hereunder shall be paid or deposited in accordance with the terms hereof no later than 12:01 p.m., New York, New York time, on the day when due in Dollars in immediately available funds to the depository account or accounts specified by each Lender. Except as otherwise provided in Section 2.07, the Borrower shall, to the extent permitted by Applicable Law, pay to the Lender, interest on all amounts not paid or deposited when due hereunder at the Default Rate, payable on demand; provided, however, that such interest rate shall not at any time exceed the Maximum Lawful Rate.</w:t>
      </w:r>
    </w:p>
    <w:p>
      <w:pPr>
        <w:spacing w:after="0" w:line="156" w:lineRule="exact"/>
        <w:rPr>
          <w:rFonts w:ascii="Times New Roman" w:cs="Times New Roman" w:eastAsia="Times New Roman" w:hAnsi="Times New Roman"/>
          <w:sz w:val="19"/>
          <w:szCs w:val="19"/>
          <w:color w:val="auto"/>
        </w:rPr>
      </w:pPr>
    </w:p>
    <w:p>
      <w:pPr>
        <w:ind w:left="-20" w:right="140" w:firstLine="702"/>
        <w:spacing w:after="0" w:line="257" w:lineRule="auto"/>
        <w:tabs>
          <w:tab w:leader="none" w:pos="94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12:01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spacing w:after="0" w:line="156" w:lineRule="exact"/>
        <w:rPr>
          <w:rFonts w:ascii="Times New Roman" w:cs="Times New Roman" w:eastAsia="Times New Roman" w:hAnsi="Times New Roman"/>
          <w:sz w:val="19"/>
          <w:szCs w:val="19"/>
          <w:color w:val="auto"/>
        </w:rPr>
      </w:pPr>
    </w:p>
    <w:p>
      <w:pPr>
        <w:ind w:left="-20" w:right="140" w:firstLine="702"/>
        <w:spacing w:after="0" w:line="257" w:lineRule="auto"/>
        <w:tabs>
          <w:tab w:leader="none" w:pos="93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Loan requested by the Borrower and approved by a Lender and the Administrative Agent pursuant to Section 2.01 is not, for any reason (other than due to the gross negligence, bad faith or willful misconduct of such Lender),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spacing w:after="0" w:line="156" w:lineRule="exact"/>
        <w:rPr>
          <w:rFonts w:ascii="Times New Roman" w:cs="Times New Roman" w:eastAsia="Times New Roman" w:hAnsi="Times New Roman"/>
          <w:sz w:val="19"/>
          <w:szCs w:val="19"/>
          <w:color w:val="auto"/>
        </w:rPr>
      </w:pPr>
    </w:p>
    <w:p>
      <w:pPr>
        <w:ind w:left="-20" w:firstLine="702"/>
        <w:spacing w:after="0" w:line="268" w:lineRule="auto"/>
        <w:tabs>
          <w:tab w:leader="none" w:pos="94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herein, all payments hereunder shall be made without set-off (other than as provided by Section 2.16) or counterclaim and in such amounts as may be necessary in order that all such payments shall not be less than the amounts otherwise specified to be paid under this Agreement.</w:t>
      </w:r>
    </w:p>
    <w:p>
      <w:pPr>
        <w:spacing w:after="0" w:line="144" w:lineRule="exact"/>
        <w:rPr>
          <w:rFonts w:ascii="Times New Roman" w:cs="Times New Roman" w:eastAsia="Times New Roman" w:hAnsi="Times New Roman"/>
          <w:sz w:val="19"/>
          <w:szCs w:val="19"/>
          <w:color w:val="auto"/>
        </w:rPr>
      </w:pPr>
    </w:p>
    <w:p>
      <w:pPr>
        <w:ind w:left="-20" w:right="120" w:firstLine="702"/>
        <w:spacing w:after="0" w:line="262" w:lineRule="auto"/>
        <w:tabs>
          <w:tab w:leader="none" w:pos="93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649605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440" w:right="680" w:bottom="1440" w:gutter="0" w:footer="0" w:header="0"/>
        </w:sectPr>
      </w:pPr>
    </w:p>
    <w:bookmarkStart w:id="134" w:name="page135"/>
    <w:bookmarkEnd w:id="134"/>
    <w:p>
      <w:pPr>
        <w:spacing w:after="0" w:line="2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the extent such payment or proceeds are set aside, the obligation or part thereof intended to be satisfied shall be revived and continue in full force and effect, as if such payment or proceeds had not been received or deemed received by such related party.</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Two.11.  </w:t>
      </w:r>
      <w:r>
        <w:rPr>
          <w:rFonts w:ascii="Times New Roman" w:cs="Times New Roman" w:eastAsia="Times New Roman" w:hAnsi="Times New Roman"/>
          <w:sz w:val="19"/>
          <w:szCs w:val="19"/>
          <w:b w:val="1"/>
          <w:bCs w:val="1"/>
          <w:color w:val="000000"/>
        </w:rPr>
        <w:t>Collections and Allocations; Investment of Funds</w:t>
      </w:r>
    </w:p>
    <w:p>
      <w:pPr>
        <w:spacing w:after="0" w:line="204" w:lineRule="exact"/>
        <w:rPr>
          <w:sz w:val="20"/>
          <w:szCs w:val="20"/>
          <w:color w:val="auto"/>
        </w:rPr>
      </w:pPr>
    </w:p>
    <w:p>
      <w:pPr>
        <w:ind w:firstLine="702"/>
        <w:spacing w:after="0" w:line="253" w:lineRule="auto"/>
        <w:tabs>
          <w:tab w:leader="none" w:pos="957"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Lockbox Account; provided, that such payments may also be directed to and accepted by the Servicer in accordance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The Servicer shall provide the Lockbox Bank with standing instructions to remit all cleared funds in the Lockbox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the Lockbox Bank, on behalf of the Administrative Agent and the other secured parties as set forth in the Intercreditor Agreement and the Intercreditor Party Supplement, shall have exclusive access to the Post Office Boxes. The Servicer shall direct the Lockbox Bank to remove all payments on or in respect of the Receivables from the Post Office Boxes on each Business Day and shall deposit such amounts into the Lockbox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Lockbox Account shall be performed by the Successor Servicer unless otherwise designated by the Administrative Agent in writing.</w:t>
      </w:r>
    </w:p>
    <w:p>
      <w:pPr>
        <w:spacing w:after="0" w:line="158" w:lineRule="exact"/>
        <w:rPr>
          <w:rFonts w:ascii="Times New Roman" w:cs="Times New Roman" w:eastAsia="Times New Roman" w:hAnsi="Times New Roman"/>
          <w:sz w:val="19"/>
          <w:szCs w:val="19"/>
          <w:color w:val="auto"/>
        </w:rPr>
      </w:pPr>
    </w:p>
    <w:p>
      <w:pPr>
        <w:ind w:right="80" w:firstLine="702"/>
        <w:spacing w:after="0" w:line="262" w:lineRule="auto"/>
        <w:tabs>
          <w:tab w:leader="none" w:pos="96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Closing Date and on each Funding Date, the Servicer will deposit (in immediately available funds) into either Account all Collections available after the applicable Cutoff Date and through and including the Closing Date or Funding Date, as the case may be, in respect of Receivables added to the Collateral on the related date. The Servicer will deposit all Collections received into either Account within two Business Days of receipt.</w:t>
      </w:r>
    </w:p>
    <w:p>
      <w:pPr>
        <w:spacing w:after="0" w:line="150" w:lineRule="exact"/>
        <w:rPr>
          <w:rFonts w:ascii="Times New Roman" w:cs="Times New Roman" w:eastAsia="Times New Roman" w:hAnsi="Times New Roman"/>
          <w:sz w:val="19"/>
          <w:szCs w:val="19"/>
          <w:color w:val="auto"/>
        </w:rPr>
      </w:pPr>
    </w:p>
    <w:p>
      <w:pPr>
        <w:jc w:val="both"/>
        <w:ind w:right="220" w:firstLine="702"/>
        <w:spacing w:after="0" w:line="268" w:lineRule="auto"/>
        <w:tabs>
          <w:tab w:leader="none" w:pos="957"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spacing w:after="0" w:line="144" w:lineRule="exact"/>
        <w:rPr>
          <w:rFonts w:ascii="Times New Roman" w:cs="Times New Roman" w:eastAsia="Times New Roman" w:hAnsi="Times New Roman"/>
          <w:sz w:val="19"/>
          <w:szCs w:val="19"/>
          <w:color w:val="auto"/>
        </w:rPr>
      </w:pPr>
    </w:p>
    <w:p>
      <w:pPr>
        <w:ind w:right="120" w:firstLine="702"/>
        <w:spacing w:after="0" w:line="257" w:lineRule="auto"/>
        <w:tabs>
          <w:tab w:leader="none" w:pos="96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there are uninvested amounts on deposit in the Collection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Absent such written direction, funds in the Collection Account shall remain uninvested. No Permitted Investment may be purchased at a premium. Any earnings (and losses) on the foregoing investments shall be for the account of the Borrower. Each of the Borrower and</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5" w:name="page136"/>
    <w:bookmarkEnd w:id="135"/>
    <w:p>
      <w:pPr>
        <w:spacing w:after="0" w:line="2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the Administrative Agent acknowledges that upon its written request and at no additional cost, it has the right to receive notification after the completion of each purchase and sale of Permitted Investments or Paying Agent’s receipt of a broker’s confirmation. Each of the Borrower and the Administrative Agent agrees that such notifications shall not be provided by the Paying Agent hereunder, and the Paying Agent shall make available, upon request and in lieu of notifications, periodic account statements that reflect such investment activity. No statement need be made available for any account if no activity has occurred in such account during such period.</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Two.12.  </w:t>
      </w:r>
      <w:r>
        <w:rPr>
          <w:rFonts w:ascii="Times New Roman" w:cs="Times New Roman" w:eastAsia="Times New Roman" w:hAnsi="Times New Roman"/>
          <w:sz w:val="19"/>
          <w:szCs w:val="19"/>
          <w:b w:val="1"/>
          <w:bCs w:val="1"/>
          <w:color w:val="000000"/>
        </w:rPr>
        <w:t>Fees</w:t>
      </w:r>
    </w:p>
    <w:p>
      <w:pPr>
        <w:spacing w:after="0" w:line="204" w:lineRule="exact"/>
        <w:rPr>
          <w:sz w:val="20"/>
          <w:szCs w:val="20"/>
          <w:color w:val="auto"/>
        </w:rPr>
      </w:pPr>
    </w:p>
    <w:p>
      <w:pPr>
        <w:ind w:right="40" w:firstLine="702"/>
        <w:spacing w:after="0" w:line="268" w:lineRule="auto"/>
        <w:tabs>
          <w:tab w:leader="none" w:pos="957"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agrees to pay to each Lender, monthly in arrears, its respective portion of the Unused Fee from the Collection Account in accordance with Section 2.08. Payments of the Unused Fee shall be allocated and paid to the Lenders based upon their respective Invested Percentages for the applicable Interest Period.</w:t>
      </w:r>
    </w:p>
    <w:p>
      <w:pPr>
        <w:spacing w:after="0" w:line="144" w:lineRule="exact"/>
        <w:rPr>
          <w:rFonts w:ascii="Times New Roman" w:cs="Times New Roman" w:eastAsia="Times New Roman" w:hAnsi="Times New Roman"/>
          <w:sz w:val="19"/>
          <w:szCs w:val="19"/>
          <w:color w:val="auto"/>
        </w:rPr>
      </w:pPr>
    </w:p>
    <w:p>
      <w:pPr>
        <w:ind w:right="480" w:firstLine="702"/>
        <w:spacing w:after="0" w:line="286" w:lineRule="auto"/>
        <w:tabs>
          <w:tab w:leader="none" w:pos="96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Servicer, any Successor Servicer, the Paying Agent and the Custodian shall be entitled to receive any accrued and unpaid Servicing Fee, Paying Agent Fee and Custodian Fee due to them, respectively, in accordance with Section 2.08.</w:t>
      </w:r>
    </w:p>
    <w:p>
      <w:pPr>
        <w:spacing w:after="0" w:line="127" w:lineRule="exact"/>
        <w:rPr>
          <w:rFonts w:ascii="Times New Roman" w:cs="Times New Roman" w:eastAsia="Times New Roman" w:hAnsi="Times New Roman"/>
          <w:sz w:val="19"/>
          <w:szCs w:val="19"/>
          <w:color w:val="auto"/>
        </w:rPr>
      </w:pPr>
    </w:p>
    <w:p>
      <w:pPr>
        <w:ind w:firstLine="702"/>
        <w:spacing w:after="0" w:line="260" w:lineRule="auto"/>
        <w:tabs>
          <w:tab w:leader="none" w:pos="957"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paid to the Administrative Agent, on or before the Closing Date, any fees set forth in the Fee Letter to be paid on the Closing Date and any reasonable out-of-pocket fees and expenses (including the fees and expense of its outside counsel in connection with the preparation, negotiation and execution of this Agreement and those charged by any nationally recognized statistical rating organization in connection with reviewing the transactions contemplated by this Agreement, if any) in immediately available funds.</w:t>
      </w:r>
    </w:p>
    <w:p>
      <w:pPr>
        <w:spacing w:after="0" w:line="3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Two.13.  </w:t>
      </w:r>
      <w:r>
        <w:rPr>
          <w:rFonts w:ascii="Times New Roman" w:cs="Times New Roman" w:eastAsia="Times New Roman" w:hAnsi="Times New Roman"/>
          <w:sz w:val="19"/>
          <w:szCs w:val="19"/>
          <w:b w:val="1"/>
          <w:bCs w:val="1"/>
          <w:color w:val="000000"/>
        </w:rPr>
        <w:t>Increased Costs; Capital Adequacy; Illegality; Rating Requests</w:t>
      </w:r>
    </w:p>
    <w:p>
      <w:pPr>
        <w:spacing w:after="0" w:line="204" w:lineRule="exact"/>
        <w:rPr>
          <w:sz w:val="20"/>
          <w:szCs w:val="20"/>
          <w:color w:val="auto"/>
        </w:rPr>
      </w:pPr>
    </w:p>
    <w:p>
      <w:pPr>
        <w:ind w:right="160" w:firstLine="702"/>
        <w:spacing w:after="0" w:line="253" w:lineRule="auto"/>
        <w:tabs>
          <w:tab w:leader="none" w:pos="972" w:val="left"/>
        </w:tabs>
        <w:numPr>
          <w:ilvl w:val="0"/>
          <w:numId w:val="63"/>
        </w:numPr>
        <w:rPr>
          <w:rFonts w:ascii="Times New Roman" w:cs="Times New Roman" w:eastAsia="Times New Roman" w:hAnsi="Times New Roman"/>
          <w:sz w:val="19"/>
          <w:szCs w:val="19"/>
          <w:b w:val="1"/>
          <w:bCs w:val="1"/>
          <w:color w:val="1F3763"/>
        </w:rPr>
      </w:pPr>
      <w:r>
        <w:rPr>
          <w:rFonts w:ascii="Times New Roman" w:cs="Times New Roman" w:eastAsia="Times New Roman" w:hAnsi="Times New Roman"/>
          <w:sz w:val="19"/>
          <w:szCs w:val="19"/>
          <w:color w:val="auto"/>
        </w:rPr>
        <w:t>If either (i) the introduction of or any change (including any change by way of imposition or increase of reserve requirements) in or in the interpretation of any Applicable Law or (ii) the compliance by a Lender or any of its Affiliates (each, an “Affected Party”) with any guideline or request from any Governmental Authority (whether or not having the force of law), shall (A) subject an Affected Party to any Tax (except for Taxes described in clauses (ii) through (iv) of the definition of Excluded Taxes, any Indemnified Taxes, and Connection Income Taxes), duty or other charge with respect to a Loan hereunder, or on any payment made hereunder, (B) impose, modify or deem applicable any reserve requirement (including any reserve requirement imposed by the Federal Reserve Board, but excluding any reserve requirement, if any, included in the determination of Interest), special deposit or similar requirement against assets of, deposits with or for the amount of, or credit extended by, any Affected Party or (C) impose any other condition affecting a Loan or an Affected Party’s rights hereunder, then within 30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165" w:lineRule="exact"/>
        <w:rPr>
          <w:rFonts w:ascii="Times New Roman" w:cs="Times New Roman" w:eastAsia="Times New Roman" w:hAnsi="Times New Roman"/>
          <w:sz w:val="19"/>
          <w:szCs w:val="19"/>
          <w:b w:val="1"/>
          <w:bCs w:val="1"/>
          <w:color w:val="1F3763"/>
        </w:rPr>
      </w:pPr>
    </w:p>
    <w:p>
      <w:pPr>
        <w:ind w:right="240" w:firstLine="702"/>
        <w:spacing w:after="0" w:line="286" w:lineRule="auto"/>
        <w:tabs>
          <w:tab w:leader="none" w:pos="972" w:val="left"/>
        </w:tabs>
        <w:numPr>
          <w:ilvl w:val="0"/>
          <w:numId w:val="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either (i) the introduction of or any change in or in the interpretation of any law, guideline, rule, regulation, directive or request (including the Dodd-Frank Act, Basel II or Basel</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6" w:name="page137"/>
    <w:bookmarkEnd w:id="136"/>
    <w:p>
      <w:pPr>
        <w:spacing w:after="0" w:line="269" w:lineRule="exact"/>
        <w:rPr>
          <w:sz w:val="20"/>
          <w:szCs w:val="20"/>
          <w:color w:val="auto"/>
        </w:rPr>
      </w:pPr>
    </w:p>
    <w:p>
      <w:pPr>
        <w:ind w:left="-6" w:right="60" w:firstLine="6"/>
        <w:spacing w:after="0" w:line="256" w:lineRule="auto"/>
        <w:tabs>
          <w:tab w:leader="none" w:pos="29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(ii) compliance by any Affected Party with any law, guideline, rule, regulation, directive or request from any central bank or other Governmental Authority (whether or not having the force of law), including compliance by an Affected Party with any request or directive regarding capital adequacy (including the Dodd-Frank Act, Basel II or Basel III) has the result of reducing the rate of return on an Affected Party’s capital or assets as a consequence of its obligations under this Agreement, then from time to time, within 30 days after demand by such Affected Party (which demand shall be accompanied by a statement setting forth the basis for such demand), the Borrower shall pay directly to such Affected Party such additional amount or amounts as will compensate such Affected Party for such reduction.</w:t>
      </w:r>
    </w:p>
    <w:p>
      <w:pPr>
        <w:spacing w:after="0" w:line="157" w:lineRule="exact"/>
        <w:rPr>
          <w:rFonts w:ascii="Times New Roman" w:cs="Times New Roman" w:eastAsia="Times New Roman" w:hAnsi="Times New Roman"/>
          <w:sz w:val="19"/>
          <w:szCs w:val="19"/>
          <w:color w:val="auto"/>
        </w:rPr>
      </w:pPr>
    </w:p>
    <w:p>
      <w:pPr>
        <w:ind w:left="954" w:hanging="258"/>
        <w:spacing w:after="0"/>
        <w:tabs>
          <w:tab w:leader="none" w:pos="95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6" w:firstLine="702"/>
        <w:spacing w:after="0" w:line="268" w:lineRule="auto"/>
        <w:tabs>
          <w:tab w:leader="none" w:pos="962"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spacing w:after="0" w:line="144" w:lineRule="exact"/>
        <w:rPr>
          <w:rFonts w:ascii="Times New Roman" w:cs="Times New Roman" w:eastAsia="Times New Roman" w:hAnsi="Times New Roman"/>
          <w:sz w:val="19"/>
          <w:szCs w:val="19"/>
          <w:color w:val="auto"/>
        </w:rPr>
      </w:pPr>
    </w:p>
    <w:p>
      <w:pPr>
        <w:ind w:left="954" w:hanging="258"/>
        <w:spacing w:after="0"/>
        <w:tabs>
          <w:tab w:leader="none" w:pos="95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934" w:hanging="238"/>
        <w:spacing w:after="0"/>
        <w:tabs>
          <w:tab w:leader="none" w:pos="93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6" w:right="40" w:firstLine="702"/>
        <w:spacing w:after="0" w:line="253" w:lineRule="auto"/>
        <w:tabs>
          <w:tab w:leader="none" w:pos="962"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Owner or Committed Lender has, or anticipates having, any claim for compensation under the FAS 166/167 Rules against the Borrower, and such Owner or Committed Lender believes that having the transactions contemplated by this Agreement publicly rated by a Rating Agency or qualifying under the supervisory formula approach under Basel II or Basel III would reduce the amount of such compensation by an amount deemed by such Owner or Committed Lender to be material, the Administrative Agent, on behalf of such Owner or Committed Lender shall provide a Rating Request to the Borrower and the Servicer. The Borrower and the Servicer shall cooperate with the Administrative Agent’s efforts to obtain the rating from the Rating Agency specified in the Rating Request within 120 days following delivery of any Rating Request, and shall provide directly or through distribution to the Administrative Agent or Owner any information such Rating Agency may require for purposes of providing and monitoring such rating. The Borrower shall pay the initial fees payable to the Rating Agency in connection with a Rating Request, and the Servicer shall pay any subsequent or ongoing fees and if the amount of the increase in compensation from obtaining a rating is less than the Rating Agency fee, the obligation to pay the Rating Agency will be borne by the applicable Secured Party and the Borrower/Servicer will reimburse the Secured Party only for the increased compensation.</w:t>
      </w:r>
    </w:p>
    <w:p>
      <w:pPr>
        <w:spacing w:after="0" w:line="163" w:lineRule="exact"/>
        <w:rPr>
          <w:sz w:val="20"/>
          <w:szCs w:val="20"/>
          <w:color w:val="auto"/>
        </w:rPr>
      </w:pPr>
    </w:p>
    <w:p>
      <w:pPr>
        <w:ind w:left="694"/>
        <w:spacing w:after="0"/>
        <w:rPr>
          <w:sz w:val="20"/>
          <w:szCs w:val="20"/>
          <w:color w:val="auto"/>
        </w:rPr>
      </w:pPr>
      <w:r>
        <w:rPr>
          <w:rFonts w:ascii="Times New Roman" w:cs="Times New Roman" w:eastAsia="Times New Roman" w:hAnsi="Times New Roman"/>
          <w:sz w:val="19"/>
          <w:szCs w:val="19"/>
          <w:b w:val="1"/>
          <w:bCs w:val="1"/>
          <w:color w:val="2F5496"/>
        </w:rPr>
        <w:t xml:space="preserve">Section Two.14.  </w:t>
      </w:r>
      <w:r>
        <w:rPr>
          <w:rFonts w:ascii="Times New Roman" w:cs="Times New Roman" w:eastAsia="Times New Roman" w:hAnsi="Times New Roman"/>
          <w:sz w:val="19"/>
          <w:szCs w:val="19"/>
          <w:b w:val="1"/>
          <w:bCs w:val="1"/>
          <w:color w:val="000000"/>
        </w:rPr>
        <w:t>Taxes</w:t>
      </w:r>
    </w:p>
    <w:p>
      <w:pPr>
        <w:spacing w:after="0" w:line="204" w:lineRule="exact"/>
        <w:rPr>
          <w:sz w:val="20"/>
          <w:szCs w:val="20"/>
          <w:color w:val="auto"/>
        </w:rPr>
      </w:pPr>
    </w:p>
    <w:p>
      <w:pPr>
        <w:ind w:left="-6" w:right="20" w:firstLine="702"/>
        <w:spacing w:after="0" w:line="259" w:lineRule="auto"/>
        <w:tabs>
          <w:tab w:leader="none" w:pos="951"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If such Taxes are Indemnified Taxes, the Borrower shall increase the amount payable to each Lender or the Administrative Agent, as the case may be (such increase, the “Additional Amount”) such that</w:t>
      </w:r>
    </w:p>
    <w:p>
      <w:pPr>
        <w:spacing w:after="0" w:line="15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649605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1440" w:right="680" w:bottom="1440" w:gutter="0" w:footer="0" w:header="0"/>
        </w:sectPr>
      </w:pPr>
    </w:p>
    <w:bookmarkStart w:id="137" w:name="page138"/>
    <w:bookmarkEnd w:id="137"/>
    <w:p>
      <w:pPr>
        <w:spacing w:after="0" w:line="26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every net payment made under this Agreement after deduction or withholding for or on account of any Non- Excluded Taxes (including any deduction or withholding for or on account of such Additional Amount) is not less than the amount that would have been paid had no such deduction or withholding been deducted or withheld.</w:t>
      </w:r>
    </w:p>
    <w:p>
      <w:pPr>
        <w:spacing w:after="0" w:line="144" w:lineRule="exact"/>
        <w:rPr>
          <w:sz w:val="20"/>
          <w:szCs w:val="20"/>
          <w:color w:val="auto"/>
        </w:rPr>
      </w:pPr>
    </w:p>
    <w:p>
      <w:pPr>
        <w:ind w:right="140" w:firstLine="702"/>
        <w:spacing w:after="0" w:line="286" w:lineRule="auto"/>
        <w:tabs>
          <w:tab w:leader="none" w:pos="972" w:val="left"/>
        </w:tabs>
        <w:numPr>
          <w:ilvl w:val="0"/>
          <w:numId w:val="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Borrower shall timely pay to the relevant Governmental Authority in accordance with Applicable Law, or at the option of the Administrative Agent timely reimburse it for the payment of, any Other Taxes.</w:t>
      </w:r>
    </w:p>
    <w:p>
      <w:pPr>
        <w:spacing w:after="0" w:line="127" w:lineRule="exact"/>
        <w:rPr>
          <w:rFonts w:ascii="Times New Roman" w:cs="Times New Roman" w:eastAsia="Times New Roman" w:hAnsi="Times New Roman"/>
          <w:sz w:val="19"/>
          <w:szCs w:val="19"/>
          <w:color w:val="1F3763"/>
        </w:rPr>
      </w:pPr>
    </w:p>
    <w:p>
      <w:pPr>
        <w:ind w:firstLine="702"/>
        <w:spacing w:after="0" w:line="255" w:lineRule="auto"/>
        <w:tabs>
          <w:tab w:leader="none" w:pos="957"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indemnify each Secured Party, within 10 days after demand therefor, for the full amount of Indemnified Taxes (including any Indemnified Taxes imposed by any jurisdiction on such Additional Amounts) paid by such Secured Party or required to be withheld or deducted from a payment to such Secured Party and any liability (including penalties, interest and expenses) arising therefrom or with respect thereto whether or not such Indemnified Taxes were correctly or legally imposed or asserted by the relevant Governmental Authority; provided, however, that the Secured Party making a demand for indemnity payment hereunder shall provide the Borrower with a certificate from the relevant taxing authority or from a Responsible Officer of such Secured Party stating or otherwise evidencing that such Secured Party has made payment of such Taxes and will provide a copy of or extract from documentation, if available, furnished by such taxing authority evidencing assertion or payment of such Taxes. This indemnification shall be made within 10 days from the date a Secured Party makes demand therefor.</w:t>
      </w:r>
    </w:p>
    <w:p>
      <w:pPr>
        <w:spacing w:after="0" w:line="155" w:lineRule="exact"/>
        <w:rPr>
          <w:rFonts w:ascii="Times New Roman" w:cs="Times New Roman" w:eastAsia="Times New Roman" w:hAnsi="Times New Roman"/>
          <w:sz w:val="19"/>
          <w:szCs w:val="19"/>
          <w:color w:val="auto"/>
        </w:rPr>
      </w:pPr>
    </w:p>
    <w:p>
      <w:pPr>
        <w:ind w:right="280" w:firstLine="702"/>
        <w:spacing w:after="0" w:line="268" w:lineRule="auto"/>
        <w:tabs>
          <w:tab w:leader="none" w:pos="96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practicable and at least within 30 days after the date of any payment by the Borrower of any Taxes pursuant to this Section, the Borrower will furnish to the Administrative Agent, at its address set forth in Schedule E appropriate evidence of payment thereof.</w:t>
      </w:r>
    </w:p>
    <w:p>
      <w:pPr>
        <w:spacing w:after="0" w:line="144" w:lineRule="exact"/>
        <w:rPr>
          <w:rFonts w:ascii="Times New Roman" w:cs="Times New Roman" w:eastAsia="Times New Roman" w:hAnsi="Times New Roman"/>
          <w:sz w:val="19"/>
          <w:szCs w:val="19"/>
          <w:color w:val="auto"/>
        </w:rPr>
      </w:pPr>
    </w:p>
    <w:p>
      <w:pPr>
        <w:ind w:right="20" w:firstLine="702"/>
        <w:spacing w:after="0" w:line="252" w:lineRule="auto"/>
        <w:tabs>
          <w:tab w:leader="none" w:pos="957"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Lender is a Non-U.S. Lender, such Lender shall, to the extent that it may then do so under Applicable Law, deliver to the Borrower, with a copy to the Administrative Agent and the Paying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2.14(e),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w:t>
      </w:r>
    </w:p>
    <w:p>
      <w:pPr>
        <w:spacing w:after="0" w:line="7" w:lineRule="exact"/>
        <w:rPr>
          <w:rFonts w:ascii="Times New Roman" w:cs="Times New Roman" w:eastAsia="Times New Roman" w:hAnsi="Times New Roman"/>
          <w:sz w:val="19"/>
          <w:szCs w:val="19"/>
          <w:color w:val="auto"/>
        </w:rPr>
      </w:pPr>
    </w:p>
    <w:p>
      <w:pPr>
        <w:ind w:right="2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 If a Lender is a “United States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8" w:name="page139"/>
    <w:bookmarkEnd w:id="138"/>
    <w:p>
      <w:pPr>
        <w:spacing w:after="0" w:line="269"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9"/>
          <w:szCs w:val="19"/>
          <w:color w:val="auto"/>
        </w:rPr>
        <w:t>form or certificate previously delivered pursuant to this Section 2.14(e) and upon written request of the Borrower, a duly completed copy of the IRS Form W-9 (or any successor forms or other certificates or statements which may be required from time to time by the relevant U.S. taxing authorities or Applicable Law) . Upon request from the Paying Agent, the Borrower will provide such additional information that it may have to assist the Paying Agent in making any withholdings or informational reports, if any.</w:t>
      </w:r>
    </w:p>
    <w:p>
      <w:pPr>
        <w:spacing w:after="0" w:line="150" w:lineRule="exact"/>
        <w:rPr>
          <w:sz w:val="20"/>
          <w:szCs w:val="20"/>
          <w:color w:val="auto"/>
        </w:rPr>
      </w:pPr>
    </w:p>
    <w:p>
      <w:pPr>
        <w:ind w:firstLine="702"/>
        <w:spacing w:after="0" w:line="255" w:lineRule="auto"/>
        <w:tabs>
          <w:tab w:leader="none" w:pos="936"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deliver to the Borrower, with a copy to the Administrative Agent and the Paying Agent, at the time or times prescribed by Applicable Law and at such time or times reasonably requested by the Borrower or the Administrative Agent, such documentation prescribed by Applicable Law (including as prescribed by Code Section 1471(b)(3)(C)(i)) and such additional documentation reasonably requested by the Borrower or the Administrative Agent to comply with its obligations under FATCA, to determine that such recipient has complied with such recipient’s obligations under FATCA, or to determine the amount to deduct and withhold from such payment, if any. Solely for purposes of this Section 2.14(f), “FATCA” shall include any amendments made to FATCA after the date of this Agreement.</w:t>
      </w:r>
    </w:p>
    <w:p>
      <w:pPr>
        <w:spacing w:after="0" w:line="155" w:lineRule="exact"/>
        <w:rPr>
          <w:rFonts w:ascii="Times New Roman" w:cs="Times New Roman" w:eastAsia="Times New Roman" w:hAnsi="Times New Roman"/>
          <w:sz w:val="19"/>
          <w:szCs w:val="19"/>
          <w:color w:val="auto"/>
        </w:rPr>
      </w:pPr>
    </w:p>
    <w:p>
      <w:pPr>
        <w:ind w:right="60" w:firstLine="702"/>
        <w:spacing w:after="0" w:line="257" w:lineRule="auto"/>
        <w:tabs>
          <w:tab w:leader="none" w:pos="96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30 days of the written request of the Borrower to a Secured Party, the Secured Party shall execute and deliver to the Borrower such certificates, forms or other documents which can be furnished consistent with the facts and which are reasonably necessary to assist the Borrower in applying for refunds of Taxes remitted hereunder; provided, however, that (i) the Secured Party shall not be required to deliver such certificates, forms or other documents if in their respective sole discretion it is determined that the deliverance of such certificate, form or other document would have a Material Adverse Effect on the Secured Party and (ii) the Borrower shall reimburse the Secured Party for any reasonable expenses incurred in the delivery of such certificate, form or other document.</w:t>
      </w:r>
    </w:p>
    <w:p>
      <w:pPr>
        <w:spacing w:after="0" w:line="156" w:lineRule="exact"/>
        <w:rPr>
          <w:rFonts w:ascii="Times New Roman" w:cs="Times New Roman" w:eastAsia="Times New Roman" w:hAnsi="Times New Roman"/>
          <w:sz w:val="19"/>
          <w:szCs w:val="19"/>
          <w:color w:val="auto"/>
        </w:rPr>
      </w:pPr>
    </w:p>
    <w:p>
      <w:pPr>
        <w:ind w:right="40" w:firstLine="702"/>
        <w:spacing w:after="0" w:line="262" w:lineRule="auto"/>
        <w:tabs>
          <w:tab w:leader="none" w:pos="96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each Lender, or other Person designated by a Lender, by its acceptance of the Notes, agree to treat the Notes for federal, State and local income, single business and franchise Tax purposes as Indebtedness of the Borrower.</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Two.15.  </w:t>
      </w:r>
      <w:r>
        <w:rPr>
          <w:rFonts w:ascii="Times New Roman" w:cs="Times New Roman" w:eastAsia="Times New Roman" w:hAnsi="Times New Roman"/>
          <w:sz w:val="19"/>
          <w:szCs w:val="19"/>
          <w:b w:val="1"/>
          <w:bCs w:val="1"/>
          <w:color w:val="000000"/>
        </w:rPr>
        <w:t>Securitizations</w:t>
      </w:r>
    </w:p>
    <w:p>
      <w:pPr>
        <w:spacing w:after="0" w:line="204" w:lineRule="exact"/>
        <w:rPr>
          <w:sz w:val="20"/>
          <w:szCs w:val="20"/>
          <w:color w:val="auto"/>
        </w:rPr>
      </w:pPr>
    </w:p>
    <w:p>
      <w:pPr>
        <w:ind w:right="140" w:firstLine="702"/>
        <w:spacing w:after="0" w:line="268" w:lineRule="auto"/>
        <w:tabs>
          <w:tab w:leader="none" w:pos="957"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Termination Event has occurred, the Borrower shall have the right on any Business Day to prepay all or (subject to clause (v) below) a portion of the Loans Outstanding and request the Administrative Agent to release its security interest and Lien on the</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9" w:name="page140"/>
    <w:bookmarkEnd w:id="139"/>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related Receivables (and the other related Collateral) in connection with a Securitization, subject to the following terms and conditions:</w:t>
      </w:r>
    </w:p>
    <w:p>
      <w:pPr>
        <w:spacing w:after="0" w:line="202" w:lineRule="exact"/>
        <w:rPr>
          <w:sz w:val="20"/>
          <w:szCs w:val="20"/>
          <w:color w:val="auto"/>
        </w:rPr>
      </w:pPr>
    </w:p>
    <w:p>
      <w:pPr>
        <w:ind w:left="700" w:right="60" w:firstLine="890"/>
        <w:spacing w:after="0" w:line="262" w:lineRule="auto"/>
        <w:tabs>
          <w:tab w:leader="none" w:pos="1817" w:val="left"/>
        </w:tabs>
        <w:numPr>
          <w:ilvl w:val="2"/>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given the Secured Parties, the Paying Agent and the Custodian at least five (5) Business Days’ prior written notice of its intent to effect a Securitization and, at least two (2) Business Days prior to the closing of the Securitization, shall provide the Secured Parties with all information reasonably required by it to produce the related Securitization Release, substantially in the form attached hereto as Exhibit H.</w:t>
      </w:r>
    </w:p>
    <w:p>
      <w:pPr>
        <w:spacing w:after="0" w:line="150" w:lineRule="exact"/>
        <w:rPr>
          <w:rFonts w:ascii="Times New Roman" w:cs="Times New Roman" w:eastAsia="Times New Roman" w:hAnsi="Times New Roman"/>
          <w:sz w:val="19"/>
          <w:szCs w:val="19"/>
          <w:color w:val="auto"/>
        </w:rPr>
      </w:pPr>
    </w:p>
    <w:p>
      <w:pPr>
        <w:ind w:left="700" w:right="60" w:firstLine="818"/>
        <w:spacing w:after="0" w:line="262" w:lineRule="auto"/>
        <w:tabs>
          <w:tab w:leader="none" w:pos="1799"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Securitization shall reduce the Loans Outstanding either (A) to $0.00 or (B) to no less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provided, however, that notwithstanding the foregoing provisions of this Section, the Administrative Agent may, acting in good faith, permit a Securitization following the occurrence of a Termination Event provided that such Securitization satisfies the other provisions of this Section and shall reduce the Loans Outstanding to $0.00.</w:t>
      </w:r>
    </w:p>
    <w:p>
      <w:pPr>
        <w:spacing w:after="0" w:line="150" w:lineRule="exact"/>
        <w:rPr>
          <w:rFonts w:ascii="Times New Roman" w:cs="Times New Roman" w:eastAsia="Times New Roman" w:hAnsi="Times New Roman"/>
          <w:sz w:val="19"/>
          <w:szCs w:val="19"/>
          <w:color w:val="auto"/>
        </w:rPr>
      </w:pPr>
    </w:p>
    <w:p>
      <w:pPr>
        <w:ind w:left="700" w:firstLine="746"/>
        <w:spacing w:after="0" w:line="255" w:lineRule="auto"/>
        <w:tabs>
          <w:tab w:leader="none" w:pos="17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 Securitization is to be effected on a Payment Date (in which case the relevant calculations with respect to such Securitization shall be reflected on the applicable Monthly Report), the Servicer shall deliver to the Secured Parties a Securitization Date Certificate and updated Receivable Data, together with evidence to the reasonable satisfaction of the Administrative Agent that the Borrower shall have sufficient funds on the related Securitization Date to effect such Securitization in accordance with this Agreement, which funds may come from the proceeds of sales of the Receivables in connection with such Securitization (which sales must be made in arm’s-length transactions); provided that, for the avoidance of doubt, the Administrative Agent shall not incur (and does not assume) any liability in connection with the determination by the Servicer or the Borrower that the Borrower has sufficient funds on the related Securitization Date to effect such Securitization in accordance with this Agreement.</w:t>
      </w:r>
    </w:p>
    <w:p>
      <w:pPr>
        <w:spacing w:after="0" w:line="155" w:lineRule="exact"/>
        <w:rPr>
          <w:rFonts w:ascii="Times New Roman" w:cs="Times New Roman" w:eastAsia="Times New Roman" w:hAnsi="Times New Roman"/>
          <w:sz w:val="19"/>
          <w:szCs w:val="19"/>
          <w:color w:val="auto"/>
        </w:rPr>
      </w:pPr>
    </w:p>
    <w:p>
      <w:pPr>
        <w:ind w:left="700" w:right="140" w:firstLine="758"/>
        <w:spacing w:after="0" w:line="255" w:lineRule="auto"/>
        <w:tabs>
          <w:tab w:leader="none" w:pos="1781"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related Securitization Date, the following shall be true and correct and the Borrower shall be deemed to have certified that, after giving effect to the Securitization and the release to the Borrower of the related Receivables (and the other related Collateral) on the related Securitization Date, (A) no adverse selection procedures shall have been used by the Borrower with respect to the Receivables that will remain subject to this Agreement after giving effect to the Securitization (except as is necessary to comply with normal and customary eligibility criteria for asset-backed securities transactions involving retail auto loan receivables similar to the Receivables), (B) the representations and warranties contained in Sections 5.01 and 5.02 are true and correct in all material respects, except to the extent relating to an earlier date, and (C) no Unmatured Termination Event, Termination Event, Early Amortization Event or Unmatured Servicer Termination Event, has occurred or will result from such Securitization.</w:t>
      </w:r>
    </w:p>
    <w:p>
      <w:pPr>
        <w:spacing w:after="0" w:line="155" w:lineRule="exact"/>
        <w:rPr>
          <w:rFonts w:ascii="Times New Roman" w:cs="Times New Roman" w:eastAsia="Times New Roman" w:hAnsi="Times New Roman"/>
          <w:sz w:val="19"/>
          <w:szCs w:val="19"/>
          <w:color w:val="auto"/>
        </w:rPr>
      </w:pPr>
    </w:p>
    <w:p>
      <w:pPr>
        <w:ind w:left="700" w:right="320" w:firstLine="830"/>
        <w:spacing w:after="0" w:line="262" w:lineRule="auto"/>
        <w:tabs>
          <w:tab w:leader="none" w:pos="1800"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related Securitization Date, the Borrower shall pay directly to the Secured Parties, in immediately available funds, (A) the portion of the Loans Outstanding to be paid (such amount to be allocated pro rata among the lenders based on the Invested Percentages of the Lenders), (B) an amount equal to all unpaid Interest (including Interest not yet accrued) to the extent reasonably estimated by the Administrative Agent to be</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0" w:name="page141"/>
    <w:bookmarkEnd w:id="140"/>
    <w:p>
      <w:pPr>
        <w:spacing w:after="0" w:line="269" w:lineRule="exact"/>
        <w:rPr>
          <w:sz w:val="20"/>
          <w:szCs w:val="20"/>
          <w:color w:val="auto"/>
        </w:rPr>
      </w:pPr>
    </w:p>
    <w:p>
      <w:pPr>
        <w:ind w:left="700" w:right="20"/>
        <w:spacing w:after="0" w:line="254" w:lineRule="auto"/>
        <w:rPr>
          <w:sz w:val="20"/>
          <w:szCs w:val="20"/>
          <w:color w:val="auto"/>
        </w:rPr>
      </w:pPr>
      <w:r>
        <w:rPr>
          <w:rFonts w:ascii="Times New Roman" w:cs="Times New Roman" w:eastAsia="Times New Roman" w:hAnsi="Times New Roman"/>
          <w:sz w:val="19"/>
          <w:szCs w:val="19"/>
          <w:color w:val="auto"/>
        </w:rPr>
        <w:t>attributable to that portion of the aggregate Loans Outstanding to be paid in connection with the Securitization, and (C) all Aggregate Unpaids then due and payable with respect thereto. The amount paid pursuant to (1) clauses (A) and (B) shall be deposited in the Collection Account to be applied as Available Funds pursuant to Section 2.08 on the Securitization Date or next Payment Date (or on such Payment Date, if the Securitization Date is on a Payment Date) and (2) clause (C) shall be paid to the Persons to whom such amounts are to be owed on such Securitization Date. In the event that the Administrative Agent subsequently determines that the actual accrued and unpaid Interest attributable to that portion of the aggregate Loans Outstanding paid in connection with the Securitization is in excess of the amount of accrued and unpaid Interest estimated pursuant to the foregoing clause (A), the Borrower will remit or cause to be remitted the amount of such excess to the Lenders in immediately available funds on the date of the Administrative Agent’s request or, if commercially impracticable, promptly upon such request.</w:t>
      </w:r>
    </w:p>
    <w:p>
      <w:pPr>
        <w:spacing w:after="0" w:line="160" w:lineRule="exact"/>
        <w:rPr>
          <w:sz w:val="20"/>
          <w:szCs w:val="20"/>
          <w:color w:val="auto"/>
        </w:rPr>
      </w:pPr>
    </w:p>
    <w:p>
      <w:pPr>
        <w:ind w:left="700" w:right="220" w:firstLine="758"/>
        <w:spacing w:after="0" w:line="286" w:lineRule="auto"/>
        <w:tabs>
          <w:tab w:leader="none" w:pos="1781"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related Securitization Date, the Servicer shall have received, in immediately available funds, all amounts due and payable by the Borrower to the Servicer under this Agreement.</w:t>
      </w:r>
    </w:p>
    <w:p>
      <w:pPr>
        <w:spacing w:after="0" w:line="127" w:lineRule="exact"/>
        <w:rPr>
          <w:rFonts w:ascii="Times New Roman" w:cs="Times New Roman" w:eastAsia="Times New Roman" w:hAnsi="Times New Roman"/>
          <w:sz w:val="19"/>
          <w:szCs w:val="19"/>
          <w:color w:val="auto"/>
        </w:rPr>
      </w:pPr>
    </w:p>
    <w:p>
      <w:pPr>
        <w:jc w:val="both"/>
        <w:ind w:right="100" w:firstLine="702"/>
        <w:spacing w:after="0" w:line="268" w:lineRule="auto"/>
        <w:tabs>
          <w:tab w:leader="none" w:pos="968"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agrees to pay the reasonable legal fees, expenses and indemnities of the Custodian, the Paying Agent, the Servicer and the Secured Parties in connection with any Securitization (including expenses incurred in connection with the release of the Lien of the Secured Parties in connection with such Securitization).</w:t>
      </w:r>
    </w:p>
    <w:p>
      <w:pPr>
        <w:spacing w:after="0" w:line="144" w:lineRule="exact"/>
        <w:rPr>
          <w:rFonts w:ascii="Times New Roman" w:cs="Times New Roman" w:eastAsia="Times New Roman" w:hAnsi="Times New Roman"/>
          <w:sz w:val="19"/>
          <w:szCs w:val="19"/>
          <w:color w:val="auto"/>
        </w:rPr>
      </w:pPr>
    </w:p>
    <w:p>
      <w:pPr>
        <w:ind w:right="40" w:firstLine="702"/>
        <w:spacing w:after="0" w:line="255" w:lineRule="auto"/>
        <w:tabs>
          <w:tab w:leader="none" w:pos="957"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Securitization, on the related Securitization Date, subject to satisfaction of the conditions referred to in this Section, the Administrative Agent shall, at the expense of the Borrower, (i) execute such instruments of release with respect to the portion of the related Receivables (and the other related Collateral) to be released to the Borrower, including a Securitization Release, in favor of the Borrower as the Borrower may reasonably request, (ii) deliver or cause to be delivered any portion of the related Receivables (and the other related Collateral) to be released to the Borrower to the Borrower and (iii) otherwise take such actions, and cause or permit the Servicer to take such actions, as are necessary and appropriate to release the Lien of the Administrative Agent on the portion of the related Receivables (and the other related Collateral) to be released to the Borrower and deliver to the Borrower such related Receivables and related Collateral.</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Two.16.  </w:t>
      </w:r>
      <w:r>
        <w:rPr>
          <w:rFonts w:ascii="Times New Roman" w:cs="Times New Roman" w:eastAsia="Times New Roman" w:hAnsi="Times New Roman"/>
          <w:sz w:val="19"/>
          <w:szCs w:val="19"/>
          <w:b w:val="1"/>
          <w:bCs w:val="1"/>
          <w:color w:val="000000"/>
        </w:rPr>
        <w:t>Sharing of Payments, Etc.</w:t>
      </w:r>
    </w:p>
    <w:p>
      <w:pPr>
        <w:spacing w:after="0" w:line="204" w:lineRule="exact"/>
        <w:rPr>
          <w:sz w:val="20"/>
          <w:szCs w:val="20"/>
          <w:color w:val="auto"/>
        </w:rPr>
      </w:pPr>
    </w:p>
    <w:p>
      <w:pPr>
        <w:ind w:right="80" w:firstLine="696"/>
        <w:spacing w:after="0" w:line="262" w:lineRule="auto"/>
        <w:rPr>
          <w:sz w:val="20"/>
          <w:szCs w:val="20"/>
          <w:color w:val="auto"/>
        </w:rPr>
      </w:pPr>
      <w:r>
        <w:rPr>
          <w:rFonts w:ascii="Times New Roman" w:cs="Times New Roman" w:eastAsia="Times New Roman" w:hAnsi="Times New Roman"/>
          <w:sz w:val="19"/>
          <w:szCs w:val="19"/>
          <w:color w:val="auto"/>
        </w:rPr>
        <w:t>If, other than as expressly provided elsewhere herein, any Lender shall obtain on account of the Notes owned by it any payment in excess of its Invested Percentage in such payment, such Lender shall immediately (i) notify the Administrative Agent of such fact and</w:t>
      </w:r>
    </w:p>
    <w:p>
      <w:pPr>
        <w:spacing w:after="0" w:line="1" w:lineRule="exact"/>
        <w:rPr>
          <w:sz w:val="20"/>
          <w:szCs w:val="20"/>
          <w:color w:val="auto"/>
        </w:rPr>
      </w:pPr>
    </w:p>
    <w:p>
      <w:pPr>
        <w:ind w:firstLine="6"/>
        <w:spacing w:after="0" w:line="252" w:lineRule="auto"/>
        <w:tabs>
          <w:tab w:leader="none" w:pos="28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 from the other Lenders such participations made by them as shall be necessary to cause such purchasing Lender to share the excess payment pro rata (based on the Lender Percentage of each Lender) with each of them;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(a) the amount of such paying Lender’s required repayment to (b) the total amount so recovered from the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1" w:name="page142"/>
    <w:bookmarkEnd w:id="141"/>
    <w:p>
      <w:pPr>
        <w:spacing w:after="0" w:line="26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Each such Lender will keep its own records (which shall be conclusive and binding in the absence of manifest error) of participations purchased under this Section.</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Two.17.  </w:t>
      </w:r>
      <w:r>
        <w:rPr>
          <w:rFonts w:ascii="Times New Roman" w:cs="Times New Roman" w:eastAsia="Times New Roman" w:hAnsi="Times New Roman"/>
          <w:sz w:val="19"/>
          <w:szCs w:val="19"/>
          <w:b w:val="1"/>
          <w:bCs w:val="1"/>
          <w:color w:val="000000"/>
        </w:rPr>
        <w:t>The Paying Agent</w:t>
      </w:r>
    </w:p>
    <w:p>
      <w:pPr>
        <w:spacing w:after="0" w:line="204" w:lineRule="exact"/>
        <w:rPr>
          <w:sz w:val="20"/>
          <w:szCs w:val="20"/>
          <w:color w:val="auto"/>
        </w:rPr>
      </w:pPr>
    </w:p>
    <w:p>
      <w:pPr>
        <w:ind w:right="80" w:firstLine="702"/>
        <w:spacing w:after="0" w:line="268" w:lineRule="auto"/>
        <w:tabs>
          <w:tab w:leader="none" w:pos="957"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hereby appoints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the initial Paying Agent. All payments of amounts due and payable in respect of the Obligations that are to be made from amounts withdrawn from the Collection Account shall be made on behalf of the Borrower by the Paying Agent in accordance with Section 2.08.</w:t>
      </w:r>
    </w:p>
    <w:p>
      <w:pPr>
        <w:spacing w:after="0" w:line="144" w:lineRule="exact"/>
        <w:rPr>
          <w:rFonts w:ascii="Times New Roman" w:cs="Times New Roman" w:eastAsia="Times New Roman" w:hAnsi="Times New Roman"/>
          <w:sz w:val="19"/>
          <w:szCs w:val="19"/>
          <w:color w:val="auto"/>
        </w:rPr>
      </w:pPr>
    </w:p>
    <w:p>
      <w:pPr>
        <w:ind w:right="20" w:firstLine="702"/>
        <w:spacing w:after="0" w:line="253" w:lineRule="auto"/>
        <w:tabs>
          <w:tab w:leader="none" w:pos="968"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be compensated for its activities hereunder and the Account Control Agreement by receiving the Paying Agent Fee. The Paying Agent Fee shall be payable in accordance with the priorities specified in Section 2.08 or, at the option of the Servicer, may be paid directly to the Paying Agent by the Servicer. The Borrower shall indemnify the Paying Agent and its officers, directors, employees and agents for, and hold them harmless against any fee, damage, loss, liability or expense incurred (including the reasonable fees and expenses of counsel and court costs, including, without limitation, those incurred in connection with any enforcement (including any action, claim, or suit brought) by the Paying Agent of any indemnification or other obligation of Borrower), other than in connection with the willful misconduct, gross negligence or bad faith on the part of the Paying Agent, arising out of or in connection with</w:t>
      </w:r>
    </w:p>
    <w:p>
      <w:pPr>
        <w:spacing w:after="0" w:line="6" w:lineRule="exact"/>
        <w:rPr>
          <w:rFonts w:ascii="Times New Roman" w:cs="Times New Roman" w:eastAsia="Times New Roman" w:hAnsi="Times New Roman"/>
          <w:sz w:val="19"/>
          <w:szCs w:val="19"/>
          <w:color w:val="auto"/>
        </w:rPr>
      </w:pPr>
    </w:p>
    <w:p>
      <w:pPr>
        <w:ind w:firstLine="6"/>
        <w:spacing w:after="0" w:line="252" w:lineRule="auto"/>
        <w:tabs>
          <w:tab w:leader="none" w:pos="22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of its obligations under and in accordance with this Agreement and the Account Control Agreement, including the costs and expenses of defending itself against any claim or liability in connection with the exercise or performance of any of its powers or duties under this Agreement or the Account Control Agreement and (ii) the negligence, willful misconduct or bad faith of the Borrower in the performance of its duties hereunder or thereunder. All such amounts shall be payable in accordance with Section 2.08. The provisions of this Section shall survive the resignation or removal of any party and the termination or assignment of this Agreement. Anything in this Agreement or the Account Control Agreement to the contrary notwithstanding, in no event shall Paying Agent be liable for special, indirect or consequential loss or damage of any kind whatsoever (including, but not limited to, lost profits), even if Paying Agent has been advised of the likelihood of such loss or damage and regardless of the form of action.</w:t>
      </w:r>
    </w:p>
    <w:p>
      <w:pPr>
        <w:spacing w:after="0" w:line="159" w:lineRule="exact"/>
        <w:rPr>
          <w:sz w:val="20"/>
          <w:szCs w:val="20"/>
          <w:color w:val="auto"/>
        </w:rPr>
      </w:pPr>
    </w:p>
    <w:p>
      <w:pPr>
        <w:ind w:right="280" w:firstLine="696"/>
        <w:spacing w:after="0" w:line="268" w:lineRule="auto"/>
        <w:rPr>
          <w:sz w:val="20"/>
          <w:szCs w:val="20"/>
          <w:color w:val="auto"/>
        </w:rPr>
      </w:pPr>
      <w:r>
        <w:rPr>
          <w:rFonts w:ascii="Times New Roman" w:cs="Times New Roman" w:eastAsia="Times New Roman" w:hAnsi="Times New Roman"/>
          <w:sz w:val="19"/>
          <w:szCs w:val="19"/>
          <w:color w:val="auto"/>
        </w:rPr>
        <w:t>THE FOREGOING INDEMNIFICATION SHALL APPLY WHETHER OR NOT SUCH LIABILITIES AND COSTS ARE IN ANY WAY OR TO ANY EXTENT OWED, IN WHOLE OR IN PART, UNDER ANY CLAIM OR THEORY OF STRICT LIABILITY.</w:t>
      </w:r>
    </w:p>
    <w:p>
      <w:pPr>
        <w:spacing w:after="0" w:line="144" w:lineRule="exact"/>
        <w:rPr>
          <w:sz w:val="20"/>
          <w:szCs w:val="20"/>
          <w:color w:val="auto"/>
        </w:rPr>
      </w:pPr>
    </w:p>
    <w:p>
      <w:pPr>
        <w:jc w:val="both"/>
        <w:ind w:right="100" w:firstLine="702"/>
        <w:spacing w:after="0" w:line="262" w:lineRule="auto"/>
        <w:tabs>
          <w:tab w:leader="none" w:pos="957"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be liable in accordance herewith only to the extent of the obligations specifically undertaken by the Paying Agent in such capacity herein and under the Account Control Agreement. No implied covenants or obligations shall be read into this Agreement or the Account Control Agreement against the Paying Agent and, in the absence of bad faith on the part of the Paying Agent, the Paying Agent may conclusively rely on the truth of the</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2" w:name="page143"/>
    <w:bookmarkEnd w:id="142"/>
    <w:p>
      <w:pPr>
        <w:spacing w:after="0" w:line="26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9"/>
          <w:szCs w:val="19"/>
          <w:color w:val="auto"/>
        </w:rPr>
        <w:t>statements and the correctness of the opinions expressed in any certificates or opinions furnished to the Paying Agent pursuant to and conforming to the requirements of this Agreement.</w:t>
      </w:r>
    </w:p>
    <w:p>
      <w:pPr>
        <w:spacing w:after="0" w:line="127" w:lineRule="exact"/>
        <w:rPr>
          <w:sz w:val="20"/>
          <w:szCs w:val="20"/>
          <w:color w:val="auto"/>
        </w:rPr>
      </w:pPr>
    </w:p>
    <w:p>
      <w:pPr>
        <w:ind w:left="980" w:hanging="278"/>
        <w:spacing w:after="0"/>
        <w:tabs>
          <w:tab w:leader="none" w:pos="98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not be liable for:</w:t>
      </w:r>
    </w:p>
    <w:p>
      <w:pPr>
        <w:spacing w:after="0" w:line="201" w:lineRule="exact"/>
        <w:rPr>
          <w:rFonts w:ascii="Times New Roman" w:cs="Times New Roman" w:eastAsia="Times New Roman" w:hAnsi="Times New Roman"/>
          <w:sz w:val="19"/>
          <w:szCs w:val="19"/>
          <w:color w:val="auto"/>
        </w:rPr>
      </w:pPr>
    </w:p>
    <w:p>
      <w:pPr>
        <w:ind w:left="1820" w:hanging="230"/>
        <w:spacing w:after="0"/>
        <w:tabs>
          <w:tab w:leader="none" w:pos="1820" w:val="left"/>
        </w:tabs>
        <w:numPr>
          <w:ilvl w:val="3"/>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error of judgment made in good faith by one of its Responsible Officers; or</w:t>
      </w:r>
    </w:p>
    <w:p>
      <w:pPr>
        <w:spacing w:after="0" w:line="201" w:lineRule="exact"/>
        <w:rPr>
          <w:rFonts w:ascii="Times New Roman" w:cs="Times New Roman" w:eastAsia="Times New Roman" w:hAnsi="Times New Roman"/>
          <w:sz w:val="19"/>
          <w:szCs w:val="19"/>
          <w:color w:val="auto"/>
        </w:rPr>
      </w:pPr>
    </w:p>
    <w:p>
      <w:pPr>
        <w:ind w:left="700" w:right="460" w:firstLine="818"/>
        <w:spacing w:after="0" w:line="262" w:lineRule="auto"/>
        <w:tabs>
          <w:tab w:leader="none" w:pos="1799" w:val="left"/>
        </w:tabs>
        <w:numPr>
          <w:ilvl w:val="2"/>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Paying Agent under this Agreement in each case unless it shall be proved that the Paying Agent shall have been negligent in ascertaining the pertinent facts.</w:t>
      </w:r>
    </w:p>
    <w:p>
      <w:pPr>
        <w:spacing w:after="0" w:line="150" w:lineRule="exact"/>
        <w:rPr>
          <w:rFonts w:ascii="Times New Roman" w:cs="Times New Roman" w:eastAsia="Times New Roman" w:hAnsi="Times New Roman"/>
          <w:sz w:val="19"/>
          <w:szCs w:val="19"/>
          <w:color w:val="auto"/>
        </w:rPr>
      </w:pPr>
    </w:p>
    <w:p>
      <w:pPr>
        <w:ind w:firstLine="702"/>
        <w:spacing w:after="0" w:line="259" w:lineRule="auto"/>
        <w:tabs>
          <w:tab w:leader="none" w:pos="957"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not be charged with knowledge of any event or information, including any Early Amortization Event, Servicer Termination Event, Unmatured Servicer Termination Event, Termination Event or Unmatured Termination Event unless a Responsible Officer of the Paying Agent obtains actual knowledge of such event or receives written notice of such event or information from the Borrower, the Servicer, or any Secured Party, as the case may be, and shall have no duty to take any action to determine whether any such event has occurred.</w:t>
      </w:r>
    </w:p>
    <w:p>
      <w:pPr>
        <w:spacing w:after="0" w:line="153" w:lineRule="exact"/>
        <w:rPr>
          <w:rFonts w:ascii="Times New Roman" w:cs="Times New Roman" w:eastAsia="Times New Roman" w:hAnsi="Times New Roman"/>
          <w:sz w:val="19"/>
          <w:szCs w:val="19"/>
          <w:color w:val="auto"/>
        </w:rPr>
      </w:pPr>
    </w:p>
    <w:p>
      <w:pPr>
        <w:ind w:firstLine="702"/>
        <w:spacing w:after="0" w:line="254" w:lineRule="auto"/>
        <w:tabs>
          <w:tab w:leader="none" w:pos="93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this Section, the Paying Agent shall have no duty (i) to see to, or with respect to the accuracy of,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Policy on the Financed Vehicles or Obligors or to effect or maintain any such Insurance Policy, (iii) to see to the payment or discharge of any Tax, assessment or other governmental charge or any Lien or encumbrance of any kind owing with respect to, assessed or levied against, any part of the Contracts,</w:t>
      </w:r>
    </w:p>
    <w:p>
      <w:pPr>
        <w:spacing w:after="0" w:line="3" w:lineRule="exact"/>
        <w:rPr>
          <w:rFonts w:ascii="Times New Roman" w:cs="Times New Roman" w:eastAsia="Times New Roman" w:hAnsi="Times New Roman"/>
          <w:sz w:val="19"/>
          <w:szCs w:val="19"/>
          <w:color w:val="auto"/>
        </w:rPr>
      </w:pPr>
    </w:p>
    <w:p>
      <w:pPr>
        <w:ind w:firstLine="6"/>
        <w:spacing w:after="0" w:line="252" w:lineRule="auto"/>
        <w:tabs>
          <w:tab w:leader="none" w:pos="325"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re-calculate or confirm or verify the contents of any reports or certificates of the Servicer or the Borrower or any other Person delivered to the Paying Agent pursuant to this Agreement or the Account Control Agreement believed by the Paying Agent to be genuine and to have been signed or presented by the proper party or parties or (v) to inspect the Financed Vehicles at any time or ascertain or inquire as to the performance or observance of any of the Borrower’s or the Servicer’s representations and warranties or covenants or the Servicer’s duties and obligations as Servicer and as Custodian of books, Records, files and computer records relating to the Contracts under this Agreement.</w:t>
      </w:r>
    </w:p>
    <w:p>
      <w:pPr>
        <w:spacing w:after="0" w:line="162" w:lineRule="exact"/>
        <w:rPr>
          <w:rFonts w:ascii="Times New Roman" w:cs="Times New Roman" w:eastAsia="Times New Roman" w:hAnsi="Times New Roman"/>
          <w:sz w:val="19"/>
          <w:szCs w:val="19"/>
          <w:color w:val="auto"/>
        </w:rPr>
      </w:pPr>
    </w:p>
    <w:p>
      <w:pPr>
        <w:ind w:right="180" w:firstLine="702"/>
        <w:spacing w:after="0" w:line="259" w:lineRule="auto"/>
        <w:tabs>
          <w:tab w:leader="none" w:pos="968"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Paying Agent to perform, or be responsible for the manner of performance of, any of the obligations of the Servicer, the Borrower or any other Person under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3" w:name="page144"/>
    <w:bookmarkEnd w:id="143"/>
    <w:p>
      <w:pPr>
        <w:spacing w:after="0" w:line="269" w:lineRule="exact"/>
        <w:rPr>
          <w:sz w:val="20"/>
          <w:szCs w:val="20"/>
          <w:color w:val="auto"/>
        </w:rPr>
      </w:pPr>
    </w:p>
    <w:p>
      <w:pPr>
        <w:ind w:right="100" w:firstLine="702"/>
        <w:spacing w:after="0" w:line="259" w:lineRule="auto"/>
        <w:tabs>
          <w:tab w:leader="none" w:pos="96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 The Paying Agent shall be under no duty to inquire into or investigate the validity, accuracy or content of any such document.</w:t>
      </w:r>
    </w:p>
    <w:p>
      <w:pPr>
        <w:spacing w:after="0" w:line="153" w:lineRule="exact"/>
        <w:rPr>
          <w:rFonts w:ascii="Times New Roman" w:cs="Times New Roman" w:eastAsia="Times New Roman" w:hAnsi="Times New Roman"/>
          <w:sz w:val="19"/>
          <w:szCs w:val="19"/>
          <w:color w:val="auto"/>
        </w:rPr>
      </w:pPr>
    </w:p>
    <w:p>
      <w:pPr>
        <w:ind w:right="80" w:firstLine="702"/>
        <w:spacing w:after="0" w:line="268" w:lineRule="auto"/>
        <w:tabs>
          <w:tab w:leader="none" w:pos="92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may consult with counsel of its choice with regard to legal questions arising out of or in connection with this Agreement and the advice or opinion of such counsel shall be full and complete authorization and protection in respect of any action taken, omitted or suffered by the Paying Agent in good faith in accordance therewith.</w:t>
      </w:r>
    </w:p>
    <w:p>
      <w:pPr>
        <w:spacing w:after="0" w:line="144" w:lineRule="exact"/>
        <w:rPr>
          <w:rFonts w:ascii="Times New Roman" w:cs="Times New Roman" w:eastAsia="Times New Roman" w:hAnsi="Times New Roman"/>
          <w:sz w:val="19"/>
          <w:szCs w:val="19"/>
          <w:color w:val="auto"/>
        </w:rPr>
      </w:pPr>
    </w:p>
    <w:p>
      <w:pPr>
        <w:ind w:firstLine="702"/>
        <w:spacing w:after="0" w:line="259" w:lineRule="auto"/>
        <w:tabs>
          <w:tab w:leader="none" w:pos="92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be under no obligation to exercise any of the rights, powers or remedies vested in it by this Agreement or to undertake any discretionary action,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Paying Agent security or indemnity reasonably satisfactory to it against the costs, expenses and liabilities that may be incurred therein or thereby.</w:t>
      </w:r>
    </w:p>
    <w:p>
      <w:pPr>
        <w:spacing w:after="0" w:line="153" w:lineRule="exact"/>
        <w:rPr>
          <w:rFonts w:ascii="Times New Roman" w:cs="Times New Roman" w:eastAsia="Times New Roman" w:hAnsi="Times New Roman"/>
          <w:sz w:val="19"/>
          <w:szCs w:val="19"/>
          <w:color w:val="auto"/>
        </w:rPr>
      </w:pPr>
    </w:p>
    <w:p>
      <w:pPr>
        <w:ind w:right="40" w:firstLine="702"/>
        <w:spacing w:after="0" w:line="256" w:lineRule="auto"/>
        <w:tabs>
          <w:tab w:leader="none" w:pos="96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not be bound to make any investigation into the facts of matters stated in any resolution, certificate, statement, instrument, opinion, report, notice, request, consent, order, approval, bond or other paper or document, unless requested in writing so to do by a Secured Party; provided, that if the payment within a reasonable time to the Paying Agent of the costs, expenses or liabilities likely to be incurred by it in the making of such investigation shall be, in the opinion of the Paying Agent, not reasonably assured by the Borrower, the Paying Agent may require indemnity reasonably satisfactory to it against such cost, expense or liability as a condition to so proceeding. The reasonable expense of every such examination shall be paid by the Borrower or, if paid by the Paying Agent, shall be reimbursed by the Borrower pursuant to Section 2.08.</w:t>
      </w:r>
    </w:p>
    <w:p>
      <w:pPr>
        <w:spacing w:after="0" w:line="157" w:lineRule="exact"/>
        <w:rPr>
          <w:rFonts w:ascii="Times New Roman" w:cs="Times New Roman" w:eastAsia="Times New Roman" w:hAnsi="Times New Roman"/>
          <w:sz w:val="19"/>
          <w:szCs w:val="19"/>
          <w:color w:val="auto"/>
        </w:rPr>
      </w:pPr>
    </w:p>
    <w:p>
      <w:pPr>
        <w:ind w:right="60" w:firstLine="702"/>
        <w:spacing w:after="0" w:line="268" w:lineRule="auto"/>
        <w:tabs>
          <w:tab w:leader="none" w:pos="92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may execute any of the trusts or powers hereunder or perform any duties under this Agreement either directly or by or through agents or attorneys or a custodian. The Paying Agent shall not be responsible for any misconduct or negligence of any such agent or custodian appointed with due care by it hereunder.</w:t>
      </w:r>
    </w:p>
    <w:p>
      <w:pPr>
        <w:spacing w:after="0" w:line="144" w:lineRule="exact"/>
        <w:rPr>
          <w:rFonts w:ascii="Times New Roman" w:cs="Times New Roman" w:eastAsia="Times New Roman" w:hAnsi="Times New Roman"/>
          <w:sz w:val="19"/>
          <w:szCs w:val="19"/>
          <w:color w:val="auto"/>
        </w:rPr>
      </w:pPr>
    </w:p>
    <w:p>
      <w:pPr>
        <w:ind w:right="120" w:firstLine="702"/>
        <w:spacing w:after="0" w:line="255" w:lineRule="auto"/>
        <w:tabs>
          <w:tab w:leader="none" w:pos="102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have no duties or responsibilities except those that are specifically set forth herein and the other Basic Documents to which it is a party, and no implied covenants or obligations shall be read into this Agreement against the Paying Agent. The Paying Agent shall have the right to request instructions from the Administrative Agent, the Borrower or the Servicer with respect to any act, action or failure to act in connection with and as set forth in this Agreement, and the Paying Agent shall be entitled to refrain from taking such action and continue to refrain from acting unless and until the Paying Agent shall have received written instructions from the Administrative Agent, the Borrower or the Servicer, as applicable, without incurring any liability therefor to the Administrative Agent, the Borrower, the Servicer or any other person, and shall further be entitled to conclusively rely on any such instruction received.</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4" w:name="page145"/>
    <w:bookmarkEnd w:id="144"/>
    <w:p>
      <w:pPr>
        <w:spacing w:after="0" w:line="269" w:lineRule="exact"/>
        <w:rPr>
          <w:sz w:val="20"/>
          <w:szCs w:val="20"/>
          <w:color w:val="auto"/>
        </w:rPr>
      </w:pPr>
    </w:p>
    <w:p>
      <w:pPr>
        <w:ind w:right="40" w:firstLine="702"/>
        <w:spacing w:after="0" w:line="262" w:lineRule="auto"/>
        <w:tabs>
          <w:tab w:leader="none" w:pos="968"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may act in reliance upon any written communication of the Administrative Agent concerning the delivery of Collateral pursuant to this Agreement. The Paying Agent does not assume and shall have no responsibility for, and makes no representation as to, monitoring the value of the Receivables and other Collateral. The Paying Agent shall not be liable for any action or omission to act hereunder, except for its own gross negligence, bad faith or willful misconduct.</w:t>
      </w:r>
    </w:p>
    <w:p>
      <w:pPr>
        <w:spacing w:after="0" w:line="150"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THE FOREGOING PARAGRAPH SHALL APPLY WHETHER OR NOT SUCH LIABILITIES ARE IN ANY WAY OR TO ANY EXTENT OWED, IN WHOLE OR IN PART, UNDER ANY CLAIM OR THEORY OF STRICT LIABILITY.</w:t>
      </w:r>
    </w:p>
    <w:p>
      <w:pPr>
        <w:spacing w:after="0" w:line="127" w:lineRule="exact"/>
        <w:rPr>
          <w:sz w:val="20"/>
          <w:szCs w:val="20"/>
          <w:color w:val="auto"/>
        </w:rPr>
      </w:pPr>
    </w:p>
    <w:p>
      <w:pPr>
        <w:ind w:right="120" w:firstLine="702"/>
        <w:spacing w:after="0" w:line="253" w:lineRule="auto"/>
        <w:tabs>
          <w:tab w:leader="none" w:pos="96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Paying Agent shall at any time receive conflicting instructions from the Administrative Agent and the Servicer or any other party to this Agreement and the conflict between such instructions cannot be resolved by reference to the terms of this Agreement, the Paying Agent shall be entitled to rely on the instructions of the Administrative Agent. In the absence of bad faith, gross negligence or willful misconduct on the part of the Paying Agent, the Paying Agent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Paying Agent may rely upon the validity of documents delivered to it, without investigation as to their authenticity or legal effectiveness, and the Paying Agent shall not be liable to the Servicer or any other party to this Agreement in respect of any claims that may arise or be asserted against the Paying Agent because of the invalidity of any such documents or their failure to fulfill their intended purpose. The Paying Agent shall not be bound to ascertain or inquire as to the performance or observance of any of the terms of this Agreement or any other agreement on the part of any party, except as may otherwise be specifically set forth herein, and may assume performance thereby absent actual knowledge of, or written notice to, a Responsible Officer of the Paying Agent to the contrary.</w:t>
      </w:r>
    </w:p>
    <w:p>
      <w:pPr>
        <w:spacing w:after="0" w:line="162" w:lineRule="exact"/>
        <w:rPr>
          <w:rFonts w:ascii="Times New Roman" w:cs="Times New Roman" w:eastAsia="Times New Roman" w:hAnsi="Times New Roman"/>
          <w:sz w:val="19"/>
          <w:szCs w:val="19"/>
          <w:color w:val="auto"/>
        </w:rPr>
      </w:pPr>
    </w:p>
    <w:p>
      <w:pPr>
        <w:ind w:firstLine="702"/>
        <w:spacing w:after="0" w:line="254" w:lineRule="auto"/>
        <w:tabs>
          <w:tab w:leader="none" w:pos="96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Paying Agent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spacing w:after="0" w:line="160" w:lineRule="exact"/>
        <w:rPr>
          <w:rFonts w:ascii="Times New Roman" w:cs="Times New Roman" w:eastAsia="Times New Roman" w:hAnsi="Times New Roman"/>
          <w:sz w:val="19"/>
          <w:szCs w:val="19"/>
          <w:color w:val="auto"/>
        </w:rPr>
      </w:pPr>
    </w:p>
    <w:p>
      <w:pPr>
        <w:ind w:right="20" w:firstLine="702"/>
        <w:spacing w:after="0" w:line="268" w:lineRule="auto"/>
        <w:tabs>
          <w:tab w:leader="none" w:pos="96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Paying Agent shall not be imputed with any knowledge of, or information possessed or obtained by any other Person, or any affiliate, line of business, or other division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vice versa). Information contained in any reports (including Monthly Reports)</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5" w:name="page146"/>
    <w:bookmarkEnd w:id="145"/>
    <w:p>
      <w:pPr>
        <w:spacing w:after="0" w:line="26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9"/>
          <w:szCs w:val="19"/>
          <w:color w:val="auto"/>
        </w:rPr>
        <w:t>delivered to the Paying Agent and any other publicly available information shall not constitute actual or constructive knowledge or notice.</w:t>
      </w:r>
    </w:p>
    <w:p>
      <w:pPr>
        <w:spacing w:after="0" w:line="127" w:lineRule="exact"/>
        <w:rPr>
          <w:sz w:val="20"/>
          <w:szCs w:val="20"/>
          <w:color w:val="auto"/>
        </w:rPr>
      </w:pPr>
    </w:p>
    <w:p>
      <w:pPr>
        <w:ind w:right="140" w:firstLine="702"/>
        <w:spacing w:after="0" w:line="268" w:lineRule="auto"/>
        <w:tabs>
          <w:tab w:leader="none" w:pos="93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the Paying Agent acts or refrains from acting, it may require an Officer’s Certificate or an Opinion of Counsel, as applicable (at the expense of the party requesting the Paying Agent act or refrain from acting). The Paying Agent shall not be liable for any action it takes, suffers or omits to take in good faith in reliance on such Officer’s Certificate or Opinion of Counsel.</w:t>
      </w:r>
    </w:p>
    <w:p>
      <w:pPr>
        <w:spacing w:after="0" w:line="144" w:lineRule="exact"/>
        <w:rPr>
          <w:rFonts w:ascii="Times New Roman" w:cs="Times New Roman" w:eastAsia="Times New Roman" w:hAnsi="Times New Roman"/>
          <w:sz w:val="19"/>
          <w:szCs w:val="19"/>
          <w:color w:val="auto"/>
        </w:rPr>
      </w:pPr>
    </w:p>
    <w:p>
      <w:pPr>
        <w:ind w:right="40" w:firstLine="702"/>
        <w:spacing w:after="0" w:line="286" w:lineRule="auto"/>
        <w:tabs>
          <w:tab w:leader="none" w:pos="94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the Paying Agent shall not be required to take any action that is not in accordance with Applicable Law.</w:t>
      </w:r>
    </w:p>
    <w:p>
      <w:pPr>
        <w:spacing w:after="0" w:line="127" w:lineRule="exact"/>
        <w:rPr>
          <w:rFonts w:ascii="Times New Roman" w:cs="Times New Roman" w:eastAsia="Times New Roman" w:hAnsi="Times New Roman"/>
          <w:sz w:val="19"/>
          <w:szCs w:val="19"/>
          <w:color w:val="auto"/>
        </w:rPr>
      </w:pPr>
    </w:p>
    <w:p>
      <w:pPr>
        <w:ind w:right="260" w:firstLine="702"/>
        <w:spacing w:after="0" w:line="286" w:lineRule="auto"/>
        <w:tabs>
          <w:tab w:leader="none" w:pos="925"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 of the Paying Agent to perform any permissive or discretionary act enumerated in this Agreement or any related document shall not be construed as a duty.</w:t>
      </w:r>
    </w:p>
    <w:p>
      <w:pPr>
        <w:spacing w:after="0" w:line="127"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not be responsible for the recitals in this Agreement (which are the statements of the Borrower).</w:t>
      </w:r>
    </w:p>
    <w:p>
      <w:pPr>
        <w:spacing w:after="0" w:line="201" w:lineRule="exact"/>
        <w:rPr>
          <w:rFonts w:ascii="Times New Roman" w:cs="Times New Roman" w:eastAsia="Times New Roman" w:hAnsi="Times New Roman"/>
          <w:sz w:val="19"/>
          <w:szCs w:val="19"/>
          <w:color w:val="auto"/>
        </w:rPr>
      </w:pPr>
    </w:p>
    <w:p>
      <w:pPr>
        <w:ind w:right="240" w:firstLine="702"/>
        <w:spacing w:after="0" w:line="286" w:lineRule="auto"/>
        <w:tabs>
          <w:tab w:leader="none" w:pos="968"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Paying Agent be liable either directly or indirectly for losses or delays resulting from any Force Majeure Event to the extent beyond Paying Agent’s reasonable control.</w:t>
      </w:r>
    </w:p>
    <w:p>
      <w:pPr>
        <w:spacing w:after="0" w:line="127" w:lineRule="exact"/>
        <w:rPr>
          <w:rFonts w:ascii="Times New Roman" w:cs="Times New Roman" w:eastAsia="Times New Roman" w:hAnsi="Times New Roman"/>
          <w:sz w:val="19"/>
          <w:szCs w:val="19"/>
          <w:color w:val="auto"/>
        </w:rPr>
      </w:pPr>
    </w:p>
    <w:p>
      <w:pPr>
        <w:ind w:right="180" w:firstLine="702"/>
        <w:spacing w:after="0" w:line="286" w:lineRule="auto"/>
        <w:tabs>
          <w:tab w:leader="none" w:pos="101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benefits, protections and indemnities afforded to the Paying Agent hereunder shall apply equally to the Paying Agent under any other Basic Document to which it is a party.</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Two.18.  </w:t>
      </w:r>
      <w:r>
        <w:rPr>
          <w:rFonts w:ascii="Times New Roman" w:cs="Times New Roman" w:eastAsia="Times New Roman" w:hAnsi="Times New Roman"/>
          <w:sz w:val="19"/>
          <w:szCs w:val="19"/>
          <w:b w:val="1"/>
          <w:bCs w:val="1"/>
          <w:color w:val="000000"/>
        </w:rPr>
        <w:t>Interest Rate Replacement; Illegality</w:t>
      </w:r>
    </w:p>
    <w:p>
      <w:pPr>
        <w:spacing w:after="0" w:line="204" w:lineRule="exact"/>
        <w:rPr>
          <w:sz w:val="20"/>
          <w:szCs w:val="20"/>
          <w:color w:val="auto"/>
        </w:rPr>
      </w:pPr>
    </w:p>
    <w:p>
      <w:pPr>
        <w:ind w:firstLine="702"/>
        <w:spacing w:after="0" w:line="245" w:lineRule="auto"/>
        <w:tabs>
          <w:tab w:leader="none" w:pos="957"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Notwithstanding anything to the contrary herein or in any other Basic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Basic Document in respect of such Benchmark setting and subsequent Benchmark settings without any amendment to, or further action or consent of any other party to, this Agreement or any other Basic Document and (y) if a Benchmark Replacement is determined in accordance with clause (b) of the definition of “Benchmark Replacement” for such Benchmark Replacement Date, such Benchmark Replacement will replace such Benchmark for all purposes hereunder and under any Basic Document in respect of any Benchmark setting at or after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Business Day after the date notice of such Benchmark Replacement is provided to the Lenders without any amendment to, or further action or consent of any other party to, this Agreement or any other Basic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75" w:lineRule="exact"/>
        <w:rPr>
          <w:rFonts w:ascii="Times New Roman" w:cs="Times New Roman" w:eastAsia="Times New Roman" w:hAnsi="Times New Roman"/>
          <w:sz w:val="19"/>
          <w:szCs w:val="19"/>
          <w:color w:val="auto"/>
        </w:rPr>
      </w:pPr>
    </w:p>
    <w:p>
      <w:pPr>
        <w:ind w:right="20" w:firstLine="702"/>
        <w:spacing w:after="0" w:line="286" w:lineRule="auto"/>
        <w:tabs>
          <w:tab w:leader="none" w:pos="97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Benchmark Replacement Conforming Changes. In connection with the use, administration, adoption or implementation of a Benchmark Replacement, the Administrative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6" w:name="page147"/>
    <w:bookmarkEnd w:id="146"/>
    <w:p>
      <w:pPr>
        <w:spacing w:after="0" w:line="2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Agent will have the right to make Conforming Changes from time to time and, notwithstanding anything to the contrary herein or in any other Basic Document, any amendments implementing such Conforming Changes will become effective without any further action or consent of any other party to this Agreement or any other Basic Document; provided, however, that any such amendment must not affect Owner Trustee’s or the Paying Agent’s rights, indemnities or obligations without its consent.</w:t>
      </w:r>
    </w:p>
    <w:p>
      <w:pPr>
        <w:spacing w:after="0" w:line="150" w:lineRule="exact"/>
        <w:rPr>
          <w:sz w:val="20"/>
          <w:szCs w:val="20"/>
          <w:color w:val="auto"/>
        </w:rPr>
      </w:pPr>
    </w:p>
    <w:p>
      <w:pPr>
        <w:ind w:right="20" w:firstLine="702"/>
        <w:spacing w:after="0" w:line="254" w:lineRule="auto"/>
        <w:tabs>
          <w:tab w:leader="none" w:pos="9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Standards for Decisions and Determinations. The Administrative Agent will promptly notify the Borrower and the Lenders of (i) any occurrence of a Benchmark Transition Event and its related Benchmark Replacement Date,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Section 2.18(d) and (y) the commencement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Basic Document, except, in each case, as expressly required pursuant to this Section 2.18.</w:t>
      </w:r>
    </w:p>
    <w:p>
      <w:pPr>
        <w:spacing w:after="0" w:line="160" w:lineRule="exact"/>
        <w:rPr>
          <w:rFonts w:ascii="Times New Roman" w:cs="Times New Roman" w:eastAsia="Times New Roman" w:hAnsi="Times New Roman"/>
          <w:sz w:val="19"/>
          <w:szCs w:val="19"/>
          <w:color w:val="auto"/>
        </w:rPr>
      </w:pPr>
    </w:p>
    <w:p>
      <w:pPr>
        <w:ind w:firstLine="702"/>
        <w:spacing w:after="0" w:line="252" w:lineRule="auto"/>
        <w:tabs>
          <w:tab w:leader="none" w:pos="97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Unavailability of Tenor of Benchmark. Notwithstanding anything to the contrary herein or in any other Basic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of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of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 Neither the Owner Trustee nor the Paying Agent shall be (i) responsible for making decisions or determinations in connection with any Benchmark Replacement or Benchmark Transition Event or (ii) have any liability for any determination, decision or election made by or on behalf of the Administrative Agent or the Borrower in connection with a Benchmark Transition Event or a Benchmark Replacement. Each Lender shall be deemed to waive and release any and all claims against the Owner Trustee and the Paying Agent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7" w:name="page148"/>
    <w:bookmarkEnd w:id="147"/>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relating to any such determination, decision or election by the Administrative Agent or the Borrower.</w:t>
      </w:r>
    </w:p>
    <w:p>
      <w:pPr>
        <w:spacing w:after="0" w:line="202" w:lineRule="exact"/>
        <w:rPr>
          <w:sz w:val="20"/>
          <w:szCs w:val="20"/>
          <w:color w:val="auto"/>
        </w:rPr>
      </w:pPr>
    </w:p>
    <w:p>
      <w:pPr>
        <w:ind w:right="100" w:firstLine="702"/>
        <w:spacing w:after="0" w:line="255" w:lineRule="auto"/>
        <w:tabs>
          <w:tab w:leader="none" w:pos="96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Benchmark Unavailability Period. Upon the Borrower’s receipt of notice of the commencement of a Benchmark Unavailability Period, (i) the Borrower may revoke any pending request for a Term SOFR Loan of, conversion to or continuation of Term SOFR Loans to be made, converted or continued during any Benchmark Unavailability Period and, failing that, the Borrower will be deemed to have converted any such request into a request for a Borrowing of or conversion to Base Rate Loans and (ii) any outstanding affected Term SOFR Loans will be deemed to have been converted to Base Rate Loans at the end of the applicable Interest Period.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59" w:lineRule="exact"/>
        <w:rPr>
          <w:rFonts w:ascii="Times New Roman" w:cs="Times New Roman" w:eastAsia="Times New Roman" w:hAnsi="Times New Roman"/>
          <w:sz w:val="19"/>
          <w:szCs w:val="19"/>
          <w:color w:val="auto"/>
        </w:rPr>
      </w:pPr>
    </w:p>
    <w:p>
      <w:pPr>
        <w:ind w:right="100" w:firstLine="702"/>
        <w:spacing w:after="0" w:line="257" w:lineRule="auto"/>
        <w:tabs>
          <w:tab w:leader="none" w:pos="93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Illegality. Notwithstanding any other provisions hereof, if any Law shall make it unlawful for any Lender to make, fund or maintain Term SOFR Loans, such Lender shall promptly give notice of such circumstances to Administrative Agent, Borrower and the other Lenders. In such an event, (i) the commitment of the Lenders to make Term SOFR Loans, continue Term SOFR Loans as Term SOFR Loans or convert Base Rate Loans to Term SOFR Loans shall be immediately suspended and (ii) any outstanding Term SOFR Loans shall be converted automatically to Base Rate Loans on the last day of the Interest Period thereof or at such earlier time as may be required by Law.</w:t>
      </w:r>
    </w:p>
    <w:p>
      <w:pPr>
        <w:spacing w:after="0" w:line="1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2F5496"/>
        </w:rPr>
        <w:t>ARTICLE THREE</w:t>
      </w:r>
    </w:p>
    <w:p>
      <w:pPr>
        <w:spacing w:after="0" w:line="23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SECURITY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Three.01.  </w:t>
      </w:r>
      <w:r>
        <w:rPr>
          <w:rFonts w:ascii="Times New Roman" w:cs="Times New Roman" w:eastAsia="Times New Roman" w:hAnsi="Times New Roman"/>
          <w:sz w:val="19"/>
          <w:szCs w:val="19"/>
          <w:b w:val="1"/>
          <w:bCs w:val="1"/>
          <w:color w:val="000000"/>
        </w:rPr>
        <w:t>Collateral and Back-Up Collateral</w:t>
      </w:r>
    </w:p>
    <w:p>
      <w:pPr>
        <w:spacing w:after="0" w:line="204" w:lineRule="exact"/>
        <w:rPr>
          <w:sz w:val="20"/>
          <w:szCs w:val="20"/>
          <w:color w:val="auto"/>
        </w:rPr>
      </w:pPr>
    </w:p>
    <w:p>
      <w:pPr>
        <w:ind w:right="80" w:firstLine="702"/>
        <w:spacing w:after="0" w:line="257" w:lineRule="auto"/>
        <w:tabs>
          <w:tab w:leader="none" w:pos="957"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“Collateral”):</w:t>
      </w:r>
    </w:p>
    <w:p>
      <w:pPr>
        <w:spacing w:after="0" w:line="156" w:lineRule="exact"/>
        <w:rPr>
          <w:rFonts w:ascii="Times New Roman" w:cs="Times New Roman" w:eastAsia="Times New Roman" w:hAnsi="Times New Roman"/>
          <w:sz w:val="19"/>
          <w:szCs w:val="19"/>
          <w:color w:val="auto"/>
        </w:rPr>
      </w:pPr>
    </w:p>
    <w:p>
      <w:pPr>
        <w:ind w:left="700" w:firstLine="890"/>
        <w:spacing w:after="0" w:line="257" w:lineRule="auto"/>
        <w:tabs>
          <w:tab w:leader="none" w:pos="1817"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Receivables, all security interests or Liens purporting to secure payment of the foregoing, if any, and the related Contracts (including the right to service the Receivables in connection therewith) listed on the Schedule of Receivables, whether now existing or hereafter acquired, and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after the related Cutoff Date;</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8" w:name="page149"/>
    <w:bookmarkEnd w:id="148"/>
    <w:p>
      <w:pPr>
        <w:spacing w:after="0" w:line="269" w:lineRule="exact"/>
        <w:rPr>
          <w:sz w:val="20"/>
          <w:szCs w:val="20"/>
          <w:color w:val="auto"/>
        </w:rPr>
      </w:pPr>
    </w:p>
    <w:p>
      <w:pPr>
        <w:ind w:left="700" w:right="20" w:firstLine="818"/>
        <w:spacing w:after="0" w:line="262" w:lineRule="auto"/>
        <w:tabs>
          <w:tab w:leader="none" w:pos="1799" w:val="left"/>
        </w:tabs>
        <w:numPr>
          <w:ilvl w:val="4"/>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Financed Vehicles related to such Receivables (including Financed Vehicles that have been repossessed) or in any document or writing evidencing any security interest in any Financed Vehicle and each security interest in each Financed Vehicle, whether now existing or hereafter acquired, securing each such Receivable, including all proceeds from any sale or other disposition of such Financed Vehicles;</w:t>
      </w:r>
    </w:p>
    <w:p>
      <w:pPr>
        <w:spacing w:after="0" w:line="150"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3"/>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w:t>
      </w:r>
    </w:p>
    <w:p>
      <w:pPr>
        <w:spacing w:after="0" w:line="201" w:lineRule="exact"/>
        <w:rPr>
          <w:rFonts w:ascii="Times New Roman" w:cs="Times New Roman" w:eastAsia="Times New Roman" w:hAnsi="Times New Roman"/>
          <w:sz w:val="19"/>
          <w:szCs w:val="19"/>
          <w:color w:val="auto"/>
        </w:rPr>
      </w:pPr>
    </w:p>
    <w:p>
      <w:pPr>
        <w:ind w:left="1780" w:hanging="322"/>
        <w:spacing w:after="0"/>
        <w:tabs>
          <w:tab w:leader="none" w:pos="1780" w:val="left"/>
        </w:tabs>
        <w:numPr>
          <w:ilvl w:val="3"/>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1600" w:hanging="274"/>
        <w:spacing w:after="0"/>
        <w:tabs>
          <w:tab w:leader="none" w:pos="1600"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 and</w:t>
      </w:r>
    </w:p>
    <w:p>
      <w:pPr>
        <w:spacing w:after="0" w:line="201" w:lineRule="exact"/>
        <w:rPr>
          <w:rFonts w:ascii="Times New Roman" w:cs="Times New Roman" w:eastAsia="Times New Roman" w:hAnsi="Times New Roman"/>
          <w:sz w:val="19"/>
          <w:szCs w:val="19"/>
          <w:color w:val="auto"/>
        </w:rPr>
      </w:pPr>
    </w:p>
    <w:p>
      <w:pPr>
        <w:ind w:left="1660" w:hanging="322"/>
        <w:spacing w:after="0"/>
        <w:tabs>
          <w:tab w:leader="none" w:pos="1660"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income, products, accessions and proceeds of the foregoing.</w:t>
      </w:r>
    </w:p>
    <w:p>
      <w:pPr>
        <w:spacing w:after="0" w:line="201" w:lineRule="exact"/>
        <w:rPr>
          <w:rFonts w:ascii="Times New Roman" w:cs="Times New Roman" w:eastAsia="Times New Roman" w:hAnsi="Times New Roman"/>
          <w:sz w:val="19"/>
          <w:szCs w:val="19"/>
          <w:color w:val="auto"/>
        </w:rPr>
      </w:pPr>
    </w:p>
    <w:p>
      <w:pPr>
        <w:ind w:firstLine="702"/>
        <w:spacing w:after="0" w:line="255" w:lineRule="auto"/>
        <w:tabs>
          <w:tab w:leader="none" w:pos="96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under this Section does not constitute and is not intended to result in a creation or an assumption by any Secured Party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no Secured Party shall have any obligations or liability under the Collateral by reason of this Agreement, nor shall any Secured Party be obligated to perform any of the obligations or duties of the Borrower thereunder or to take any action to collect or enforce any claim for payment assigned hereunder.</w:t>
      </w:r>
    </w:p>
    <w:p>
      <w:pPr>
        <w:spacing w:after="0" w:line="159" w:lineRule="exact"/>
        <w:rPr>
          <w:rFonts w:ascii="Times New Roman" w:cs="Times New Roman" w:eastAsia="Times New Roman" w:hAnsi="Times New Roman"/>
          <w:sz w:val="19"/>
          <w:szCs w:val="19"/>
          <w:color w:val="auto"/>
        </w:rPr>
      </w:pPr>
    </w:p>
    <w:p>
      <w:pPr>
        <w:ind w:firstLine="702"/>
        <w:spacing w:after="0" w:line="286" w:lineRule="auto"/>
        <w:tabs>
          <w:tab w:leader="none" w:pos="957"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grant of security interest, no account, instrument, chattel paper or other obligation or property of any kind due from, owned by or belonging to a Sanctioned Person shall be Collateral.</w:t>
      </w:r>
    </w:p>
    <w:p>
      <w:pPr>
        <w:spacing w:after="0" w:line="127" w:lineRule="exact"/>
        <w:rPr>
          <w:rFonts w:ascii="Times New Roman" w:cs="Times New Roman" w:eastAsia="Times New Roman" w:hAnsi="Times New Roman"/>
          <w:sz w:val="19"/>
          <w:szCs w:val="19"/>
          <w:color w:val="auto"/>
        </w:rPr>
      </w:pPr>
    </w:p>
    <w:p>
      <w:pPr>
        <w:ind w:right="20" w:firstLine="702"/>
        <w:spacing w:after="0" w:line="262" w:lineRule="auto"/>
        <w:tabs>
          <w:tab w:leader="none" w:pos="96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 and the Administrative Agent represents and warrants as to itself that each remittance of Collections by the Borrower to any Secured Party under this Agreement will have been (i) in payment of a debt incurred by the Borrower in the ordinary course of business or financial affairs of the Borrower and any Secured Party and (ii) made in the ordinary course of business or financial affairs of the Borrower and any Secured Party.</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Three.02.  </w:t>
      </w:r>
      <w:r>
        <w:rPr>
          <w:rFonts w:ascii="Times New Roman" w:cs="Times New Roman" w:eastAsia="Times New Roman" w:hAnsi="Times New Roman"/>
          <w:sz w:val="19"/>
          <w:szCs w:val="19"/>
          <w:b w:val="1"/>
          <w:bCs w:val="1"/>
          <w:color w:val="000000"/>
        </w:rPr>
        <w:t>Release of Collateral; No Legal Title</w:t>
      </w:r>
    </w:p>
    <w:p>
      <w:pPr>
        <w:spacing w:after="0" w:line="204" w:lineRule="exact"/>
        <w:rPr>
          <w:sz w:val="20"/>
          <w:szCs w:val="20"/>
          <w:color w:val="auto"/>
        </w:rPr>
      </w:pPr>
    </w:p>
    <w:p>
      <w:pPr>
        <w:ind w:right="100" w:firstLine="702"/>
        <w:spacing w:after="0" w:line="255" w:lineRule="auto"/>
        <w:tabs>
          <w:tab w:leader="none" w:pos="95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same time as any Contract relating to a Receivable (i) expires by its terms and all amounts in respect thereof have been paid by the related Obligor and deposited in either Account or (ii) has been prepaid in full and all amounts in respect thereof have been paid by the related Obligor and deposited in either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either Account, the Administrative Agent will, at the sole expense of the Servicer, promptly execute and deliver to the Servicer any assignments, bills of sale, termination statements and any other releases and instruments as the Servicer may reasonably request in order to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9" w:name="page150"/>
    <w:bookmarkEnd w:id="149"/>
    <w:p>
      <w:pPr>
        <w:spacing w:after="0" w:line="2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release and transfer of such Financed Vehicle; provided, that the Administrative Agent will not make any representation or warranty, express or implied, with respect to any such Receivable, Financed Vehicle and all related Collateral in connection with such sale or transfer and assignment. Nothing in this Section shall diminish the Servicer’s obligations pursuant to Sections 7.03(c)(iii) and 7.03(d) with respect to the proceeds of any such sale.</w:t>
      </w:r>
    </w:p>
    <w:p>
      <w:pPr>
        <w:spacing w:after="0" w:line="150" w:lineRule="exact"/>
        <w:rPr>
          <w:sz w:val="20"/>
          <w:szCs w:val="20"/>
          <w:color w:val="auto"/>
        </w:rPr>
      </w:pPr>
    </w:p>
    <w:p>
      <w:pPr>
        <w:ind w:firstLine="702"/>
        <w:spacing w:after="0" w:line="255" w:lineRule="auto"/>
        <w:tabs>
          <w:tab w:leader="none" w:pos="968"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(i) reallocation of the Receivables and related Collateral in connection with an optional principal repayment pursuant to Section 2.06 or a Securitization pursuant to Section 2.15 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related Receivables (and the other related Collateral) to be released to the Borrower, (B) 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related Receivables (and the other related Collateral) to be released to the Borrower and deliver to the Borrower such Receivables and related Collateral.</w:t>
      </w:r>
    </w:p>
    <w:p>
      <w:pPr>
        <w:spacing w:after="0" w:line="155" w:lineRule="exact"/>
        <w:rPr>
          <w:rFonts w:ascii="Times New Roman" w:cs="Times New Roman" w:eastAsia="Times New Roman" w:hAnsi="Times New Roman"/>
          <w:sz w:val="19"/>
          <w:szCs w:val="19"/>
          <w:color w:val="auto"/>
        </w:rPr>
      </w:pPr>
    </w:p>
    <w:p>
      <w:pPr>
        <w:ind w:right="320" w:firstLine="702"/>
        <w:spacing w:after="0" w:line="262" w:lineRule="auto"/>
        <w:tabs>
          <w:tab w:leader="none" w:pos="957"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(i) the Borrower shall not be permitted to remove any Contract or related Collateral from the Lien of this Agreement, (ii) the Borrower shall not be permitted to sell, transfer or assign any Receivable to any party and (iii) the Administrative Agent shall not release its interest in any Contract or related Collateral except in accordance with the provisions of Section 2.06, Section 2.15, Section 3.02, or Section 5.04 of this Agreement.</w:t>
      </w:r>
    </w:p>
    <w:p>
      <w:pPr>
        <w:spacing w:after="0" w:line="150" w:lineRule="exact"/>
        <w:rPr>
          <w:rFonts w:ascii="Times New Roman" w:cs="Times New Roman" w:eastAsia="Times New Roman" w:hAnsi="Times New Roman"/>
          <w:sz w:val="19"/>
          <w:szCs w:val="19"/>
          <w:color w:val="auto"/>
        </w:rPr>
      </w:pPr>
    </w:p>
    <w:p>
      <w:pPr>
        <w:ind w:right="160" w:firstLine="702"/>
        <w:spacing w:after="0" w:line="286" w:lineRule="auto"/>
        <w:tabs>
          <w:tab w:leader="none" w:pos="968"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Three.03.  </w:t>
      </w:r>
      <w:r>
        <w:rPr>
          <w:rFonts w:ascii="Times New Roman" w:cs="Times New Roman" w:eastAsia="Times New Roman" w:hAnsi="Times New Roman"/>
          <w:sz w:val="19"/>
          <w:szCs w:val="19"/>
          <w:b w:val="1"/>
          <w:bCs w:val="1"/>
          <w:color w:val="000000"/>
        </w:rPr>
        <w:t>Protection of Security Interest; Administrative Agent, as Attorney-in-Fact</w:t>
      </w:r>
    </w:p>
    <w:p>
      <w:pPr>
        <w:spacing w:after="0" w:line="204" w:lineRule="exact"/>
        <w:rPr>
          <w:sz w:val="20"/>
          <w:szCs w:val="20"/>
          <w:color w:val="auto"/>
        </w:rPr>
      </w:pPr>
    </w:p>
    <w:p>
      <w:pPr>
        <w:ind w:right="60" w:firstLine="702"/>
        <w:spacing w:after="0" w:line="256" w:lineRule="auto"/>
        <w:tabs>
          <w:tab w:leader="none" w:pos="957"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any Secured Party as Lienholder.</w:t>
      </w:r>
    </w:p>
    <w:p>
      <w:pPr>
        <w:spacing w:after="0" w:line="157" w:lineRule="exact"/>
        <w:rPr>
          <w:rFonts w:ascii="Times New Roman" w:cs="Times New Roman" w:eastAsia="Times New Roman" w:hAnsi="Times New Roman"/>
          <w:sz w:val="19"/>
          <w:szCs w:val="19"/>
          <w:color w:val="auto"/>
        </w:rPr>
      </w:pPr>
    </w:p>
    <w:p>
      <w:pPr>
        <w:ind w:right="180" w:firstLine="702"/>
        <w:spacing w:after="0" w:line="268" w:lineRule="auto"/>
        <w:tabs>
          <w:tab w:leader="none" w:pos="96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fails to perform any of its obligations hereunder after three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0" w:name="page151"/>
    <w:bookmarkEnd w:id="150"/>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Such financing statements may describe the Collateral in the same manner as described herein or may contain an indication or description of Collateral that describes such property in any other manner as the Administrative Agent may determine, in its reasonable discretion, is necessary, advisable or prudent to ensure the perfection of the security interest in the Collateral granted to the Administrative Agent herein, including, without limitation, describing such property as “all assets” or “all personal property, whether now owned or hereafter acquired.” This appointment is coupled with an interest and is irrevocable.</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Three.04.  </w:t>
      </w:r>
      <w:r>
        <w:rPr>
          <w:rFonts w:ascii="Times New Roman" w:cs="Times New Roman" w:eastAsia="Times New Roman" w:hAnsi="Times New Roman"/>
          <w:sz w:val="19"/>
          <w:szCs w:val="19"/>
          <w:b w:val="1"/>
          <w:bCs w:val="1"/>
          <w:color w:val="000000"/>
        </w:rPr>
        <w:t>Assignment of the Purchase Agreement</w:t>
      </w:r>
    </w:p>
    <w:p>
      <w:pPr>
        <w:spacing w:after="0" w:line="204" w:lineRule="exact"/>
        <w:rPr>
          <w:sz w:val="20"/>
          <w:szCs w:val="20"/>
          <w:color w:val="auto"/>
        </w:rPr>
      </w:pPr>
    </w:p>
    <w:p>
      <w:pPr>
        <w:ind w:right="120" w:firstLine="696"/>
        <w:spacing w:after="0" w:line="254" w:lineRule="auto"/>
        <w:rPr>
          <w:sz w:val="20"/>
          <w:szCs w:val="20"/>
          <w:color w:val="auto"/>
        </w:rPr>
      </w:pPr>
      <w:r>
        <w:rPr>
          <w:rFonts w:ascii="Times New Roman" w:cs="Times New Roman" w:eastAsia="Times New Roman" w:hAnsi="Times New Roman"/>
          <w:sz w:val="19"/>
          <w:szCs w:val="19"/>
          <w:color w:val="auto"/>
        </w:rPr>
        <w:t xml:space="preserve">The Borrower hereby represents, warrants and confirms to the Administrative Agent that the Borrower has assigned to the Administrative Agent, for the ratable benefit of the Secured Parties hereunder, all of the Borrower’s right and title to and interest in the Purchase Agreement. The Borrower confirms that the Administrative Agent shall have the sole right to enforce the Borrower’s rights and remedies under the Purchase Agreement for the benefit of the Secured Parties, but without any obligation on the part of the Secured Parties or any of their respective Affiliates, to perform any of the obligations of the Borrower under the Purchase Agreement. The Borrower further confirms and agrees that such assignment to the Administrative Agent shall terminate upon the Facility Termination Date; provided, however, that the rights of the Secured Parties pursuant to such assignment with respect to rights and remedies in connection with any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any breach of any representation, warranty or covenants made by the Seller pursuant to the Purchase Agreement, which rights and remedies survive the termination of the Purchase Agreement, shall be continuing and shall survive any termination of such assignment.</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Three.05.  </w:t>
      </w:r>
      <w:r>
        <w:rPr>
          <w:rFonts w:ascii="Times New Roman" w:cs="Times New Roman" w:eastAsia="Times New Roman" w:hAnsi="Times New Roman"/>
          <w:sz w:val="19"/>
          <w:szCs w:val="19"/>
          <w:b w:val="1"/>
          <w:bCs w:val="1"/>
          <w:color w:val="000000"/>
        </w:rPr>
        <w:t>Waiver of Certain Laws</w:t>
      </w:r>
    </w:p>
    <w:p>
      <w:pPr>
        <w:spacing w:after="0" w:line="204"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auto"/>
        </w:rPr>
        <w:t>Each of the Borrower, the Servicer, the Paying Agent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Paying Agent and the Custodian for itself and all who may at any time claim through or under it, hereby waives, to the full extent that it may be lawful so to do, the benefit of all such</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1" w:name="page152"/>
    <w:bookmarkEnd w:id="151"/>
    <w:p>
      <w:pPr>
        <w:spacing w:after="0" w:line="269"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9"/>
          <w:szCs w:val="19"/>
          <w:color w:val="auto"/>
        </w:rPr>
        <w:t>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FOUR</w:t>
      </w:r>
    </w:p>
    <w:p>
      <w:pPr>
        <w:spacing w:after="0" w:line="23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CONDITIONS OF CLOSING AND LOANS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Four.01.  </w:t>
      </w:r>
      <w:r>
        <w:rPr>
          <w:rFonts w:ascii="Times New Roman" w:cs="Times New Roman" w:eastAsia="Times New Roman" w:hAnsi="Times New Roman"/>
          <w:sz w:val="19"/>
          <w:szCs w:val="19"/>
          <w:b w:val="1"/>
          <w:bCs w:val="1"/>
          <w:color w:val="000000"/>
        </w:rPr>
        <w:t>Conditions to Closing and Initial Loan</w:t>
      </w:r>
    </w:p>
    <w:p>
      <w:pPr>
        <w:spacing w:after="0" w:line="204" w:lineRule="exact"/>
        <w:rPr>
          <w:sz w:val="20"/>
          <w:szCs w:val="20"/>
          <w:color w:val="auto"/>
        </w:rPr>
      </w:pPr>
    </w:p>
    <w:p>
      <w:pPr>
        <w:jc w:val="both"/>
        <w:ind w:right="180" w:firstLine="696"/>
        <w:spacing w:after="0" w:line="268" w:lineRule="auto"/>
        <w:rPr>
          <w:sz w:val="20"/>
          <w:szCs w:val="20"/>
          <w:color w:val="auto"/>
        </w:rPr>
      </w:pPr>
      <w:r>
        <w:rPr>
          <w:rFonts w:ascii="Times New Roman" w:cs="Times New Roman" w:eastAsia="Times New Roman" w:hAnsi="Times New Roman"/>
          <w:sz w:val="19"/>
          <w:szCs w:val="19"/>
          <w:color w:val="auto"/>
        </w:rPr>
        <w:t xml:space="preserve">The Closing Date shall not occur and no Lender shall be obligated to make any Lender Advance hereunder on the occasion of the Initial Loan, nor shall any Secured Party, the Paying Agent or the Custodian be obligated to take, fulfill or perform any other action hereunder, until all of the following conditions have been satisfied, </w:t>
      </w:r>
      <w:r>
        <w:rPr>
          <w:rFonts w:ascii="Times New Roman" w:cs="Times New Roman" w:eastAsia="Times New Roman" w:hAnsi="Times New Roman"/>
          <w:sz w:val="19"/>
          <w:szCs w:val="19"/>
          <w:color w:val="222222"/>
        </w:rPr>
        <w:t>[***].</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Four.02.  </w:t>
      </w:r>
      <w:r>
        <w:rPr>
          <w:rFonts w:ascii="Times New Roman" w:cs="Times New Roman" w:eastAsia="Times New Roman" w:hAnsi="Times New Roman"/>
          <w:sz w:val="19"/>
          <w:szCs w:val="19"/>
          <w:b w:val="1"/>
          <w:bCs w:val="1"/>
          <w:color w:val="000000"/>
        </w:rPr>
        <w:t>Conditions Precedent to All Loans</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Each request for a Loan (including the Initial Loan) by the Borrower to a Lender shall be subject to the conditions set forth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4.01 and the further conditions precedent that:</w:t>
      </w:r>
    </w:p>
    <w:p>
      <w:pPr>
        <w:spacing w:after="0" w:line="1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FIVE</w:t>
      </w:r>
    </w:p>
    <w:p>
      <w:pPr>
        <w:spacing w:after="0" w:line="2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Five.01.  </w:t>
      </w:r>
      <w:r>
        <w:rPr>
          <w:rFonts w:ascii="Times New Roman" w:cs="Times New Roman" w:eastAsia="Times New Roman" w:hAnsi="Times New Roman"/>
          <w:sz w:val="19"/>
          <w:szCs w:val="19"/>
          <w:b w:val="1"/>
          <w:bCs w:val="1"/>
          <w:color w:val="000000"/>
        </w:rPr>
        <w:t>Representations and Warranties of the Borrower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Borrower represents and warrants, as of the Closing Date and each Funding Date, as follows:</w:t>
      </w:r>
    </w:p>
    <w:p>
      <w:pPr>
        <w:spacing w:after="0" w:line="202" w:lineRule="exact"/>
        <w:rPr>
          <w:sz w:val="20"/>
          <w:szCs w:val="20"/>
          <w:color w:val="auto"/>
        </w:rPr>
      </w:pPr>
    </w:p>
    <w:p>
      <w:pPr>
        <w:ind w:left="700" w:right="40" w:firstLine="746"/>
        <w:spacing w:after="0" w:line="262" w:lineRule="auto"/>
        <w:tabs>
          <w:tab w:leader="none" w:pos="170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Organization and Good Standing.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spacing w:after="0" w:line="150" w:lineRule="exact"/>
        <w:rPr>
          <w:rFonts w:ascii="Times New Roman" w:cs="Times New Roman" w:eastAsia="Times New Roman" w:hAnsi="Times New Roman"/>
          <w:sz w:val="19"/>
          <w:szCs w:val="19"/>
          <w:color w:val="auto"/>
        </w:rPr>
      </w:pPr>
    </w:p>
    <w:p>
      <w:pPr>
        <w:ind w:left="700" w:firstLine="746"/>
        <w:spacing w:after="0" w:line="262" w:lineRule="auto"/>
        <w:tabs>
          <w:tab w:leader="none" w:pos="172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Due Qualification. The Borrower is duly qualified to do business and is in good standing as a Delaware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 and the other Collateral).</w:t>
      </w:r>
    </w:p>
    <w:p>
      <w:pPr>
        <w:spacing w:after="0" w:line="150" w:lineRule="exact"/>
        <w:rPr>
          <w:rFonts w:ascii="Times New Roman" w:cs="Times New Roman" w:eastAsia="Times New Roman" w:hAnsi="Times New Roman"/>
          <w:sz w:val="19"/>
          <w:szCs w:val="19"/>
          <w:color w:val="auto"/>
        </w:rPr>
      </w:pPr>
    </w:p>
    <w:p>
      <w:pPr>
        <w:ind w:left="700" w:right="40" w:firstLine="746"/>
        <w:spacing w:after="0" w:line="268" w:lineRule="auto"/>
        <w:tabs>
          <w:tab w:leader="none" w:pos="170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Power and Authority; Due Authorization. The Borrower (i) has all necessary statutory trust power, authority and legal right to (A) execute and deliver the Borrower Basic Documents, (B) carry out the terms of the Borrower Basic Documents and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2" w:name="page153"/>
    <w:bookmarkEnd w:id="152"/>
    <w:p>
      <w:pPr>
        <w:spacing w:after="0" w:line="269" w:lineRule="exact"/>
        <w:rPr>
          <w:sz w:val="20"/>
          <w:szCs w:val="20"/>
          <w:color w:val="auto"/>
        </w:rPr>
      </w:pPr>
    </w:p>
    <w:p>
      <w:pPr>
        <w:jc w:val="both"/>
        <w:ind w:left="-2" w:right="180" w:firstLine="2"/>
        <w:spacing w:after="0" w:line="268" w:lineRule="auto"/>
        <w:tabs>
          <w:tab w:leader="none" w:pos="302"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spacing w:after="0" w:line="144" w:lineRule="exact"/>
        <w:rPr>
          <w:rFonts w:ascii="Times New Roman" w:cs="Times New Roman" w:eastAsia="Times New Roman" w:hAnsi="Times New Roman"/>
          <w:sz w:val="19"/>
          <w:szCs w:val="19"/>
          <w:color w:val="auto"/>
        </w:rPr>
      </w:pPr>
    </w:p>
    <w:p>
      <w:pPr>
        <w:ind w:left="-2" w:firstLine="746"/>
        <w:spacing w:after="0" w:line="255" w:lineRule="auto"/>
        <w:tabs>
          <w:tab w:leader="none" w:pos="1018"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Violation. The execution and delivery of the Borrower Basic Documents,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(except Permitted Liens)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spacing w:after="0" w:line="391" w:lineRule="exact"/>
        <w:rPr>
          <w:rFonts w:ascii="Times New Roman" w:cs="Times New Roman" w:eastAsia="Times New Roman" w:hAnsi="Times New Roman"/>
          <w:sz w:val="19"/>
          <w:szCs w:val="19"/>
          <w:color w:val="auto"/>
        </w:rPr>
      </w:pPr>
    </w:p>
    <w:p>
      <w:pPr>
        <w:ind w:left="-2" w:right="360" w:firstLine="746"/>
        <w:spacing w:after="0" w:line="262" w:lineRule="auto"/>
        <w:tabs>
          <w:tab w:leader="none" w:pos="1006"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Proceedings.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spacing w:after="0" w:line="150" w:lineRule="exact"/>
        <w:rPr>
          <w:rFonts w:ascii="Times New Roman" w:cs="Times New Roman" w:eastAsia="Times New Roman" w:hAnsi="Times New Roman"/>
          <w:sz w:val="19"/>
          <w:szCs w:val="19"/>
          <w:color w:val="auto"/>
        </w:rPr>
      </w:pPr>
    </w:p>
    <w:p>
      <w:pPr>
        <w:ind w:left="-2" w:right="140" w:firstLine="746"/>
        <w:spacing w:after="0" w:line="268" w:lineRule="auto"/>
        <w:tabs>
          <w:tab w:leader="none" w:pos="982"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Consents Required. All approvals, authorizations, consents, orders, licenses or other actions of any Person or of any Governmental Authority required for the due execution, delivery and performance by the Borrower of the Borrower Basic Documents have been obtained.</w:t>
      </w:r>
    </w:p>
    <w:p>
      <w:pPr>
        <w:spacing w:after="0" w:line="144" w:lineRule="exact"/>
        <w:rPr>
          <w:rFonts w:ascii="Times New Roman" w:cs="Times New Roman" w:eastAsia="Times New Roman" w:hAnsi="Times New Roman"/>
          <w:sz w:val="19"/>
          <w:szCs w:val="19"/>
          <w:color w:val="auto"/>
        </w:rPr>
      </w:pPr>
    </w:p>
    <w:p>
      <w:pPr>
        <w:ind w:left="-2" w:firstLine="746"/>
        <w:spacing w:after="0" w:line="286" w:lineRule="auto"/>
        <w:tabs>
          <w:tab w:leader="none" w:pos="1018"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Bulk Sales. The execution, delivery and performance of this Agreement do not require compliance with any “bulk sales” act or similar law by the Borrower.</w:t>
      </w:r>
    </w:p>
    <w:p>
      <w:pPr>
        <w:spacing w:after="0" w:line="127" w:lineRule="exact"/>
        <w:rPr>
          <w:rFonts w:ascii="Times New Roman" w:cs="Times New Roman" w:eastAsia="Times New Roman" w:hAnsi="Times New Roman"/>
          <w:sz w:val="19"/>
          <w:szCs w:val="19"/>
          <w:color w:val="auto"/>
        </w:rPr>
      </w:pPr>
    </w:p>
    <w:p>
      <w:pPr>
        <w:ind w:left="-2" w:right="580" w:firstLine="746"/>
        <w:spacing w:after="0" w:line="286" w:lineRule="auto"/>
        <w:tabs>
          <w:tab w:leader="none" w:pos="1018"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Solvency. The transactions contemplated by the Borrower Basic Documents do not and will not render the Borrower not Solvent.</w:t>
      </w:r>
    </w:p>
    <w:p>
      <w:pPr>
        <w:spacing w:after="0" w:line="127" w:lineRule="exact"/>
        <w:rPr>
          <w:rFonts w:ascii="Times New Roman" w:cs="Times New Roman" w:eastAsia="Times New Roman" w:hAnsi="Times New Roman"/>
          <w:sz w:val="19"/>
          <w:szCs w:val="19"/>
          <w:color w:val="auto"/>
        </w:rPr>
      </w:pPr>
    </w:p>
    <w:p>
      <w:pPr>
        <w:ind w:left="-2" w:right="80" w:firstLine="746"/>
        <w:spacing w:after="0" w:line="254" w:lineRule="auto"/>
        <w:tabs>
          <w:tab w:leader="none" w:pos="97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Selection Procedures. No procedures that could reasonably be expected to be adverse to the interests of the Secured Parties were utilized by the Borrower in identifying and/or selecting Receivables when compared to similar contracts owned by the Originator or any Subsidiary thereof in connection with Other Warehouse Agreements (if any) designed to fund the acquisition of assets similar to the Receivables, in each case taking into consideration the applicable eligibility criteria and concentration limits. In addition, each Receivable shall have been (i) (a) underwritten by the Originator in accordance with the </w:t>
      </w:r>
      <w:r>
        <w:rPr>
          <w:rFonts w:ascii="Times New Roman" w:cs="Times New Roman" w:eastAsia="Times New Roman" w:hAnsi="Times New Roman"/>
          <w:sz w:val="19"/>
          <w:szCs w:val="19"/>
          <w:color w:val="222222"/>
        </w:rPr>
        <w:t xml:space="preserve">[***] </w:t>
      </w:r>
      <w:r>
        <w:rPr>
          <w:rFonts w:ascii="Times New Roman" w:cs="Times New Roman" w:eastAsia="Times New Roman" w:hAnsi="Times New Roman"/>
          <w:sz w:val="19"/>
          <w:szCs w:val="19"/>
          <w:color w:val="000000"/>
        </w:rPr>
        <w:t>in effect at the time of origination of such Receivable except with regards to Receivables repurchased pursuant to</w:t>
      </w:r>
      <w:r>
        <w:rPr>
          <w:rFonts w:ascii="Times New Roman" w:cs="Times New Roman" w:eastAsia="Times New Roman" w:hAnsi="Times New Roman"/>
          <w:sz w:val="19"/>
          <w:szCs w:val="19"/>
          <w:color w:val="222222"/>
        </w:rPr>
        <w:t xml:space="preserve"> </w:t>
      </w:r>
      <w:r>
        <w:rPr>
          <w:rFonts w:ascii="Times New Roman" w:cs="Times New Roman" w:eastAsia="Times New Roman" w:hAnsi="Times New Roman"/>
          <w:sz w:val="19"/>
          <w:szCs w:val="19"/>
          <w:color w:val="000000"/>
        </w:rPr>
        <w:t xml:space="preserve">Schedule B (xlviii), (b) if such Receivable was originated on or after the Closing Date, underwritten in accordance with the </w:t>
      </w:r>
      <w:r>
        <w:rPr>
          <w:rFonts w:ascii="Times New Roman" w:cs="Times New Roman" w:eastAsia="Times New Roman" w:hAnsi="Times New Roman"/>
          <w:sz w:val="19"/>
          <w:szCs w:val="19"/>
          <w:color w:val="222222"/>
        </w:rPr>
        <w:t xml:space="preserve">[***] </w:t>
      </w:r>
      <w:r>
        <w:rPr>
          <w:rFonts w:ascii="Times New Roman" w:cs="Times New Roman" w:eastAsia="Times New Roman" w:hAnsi="Times New Roman"/>
          <w:sz w:val="19"/>
          <w:szCs w:val="19"/>
          <w:color w:val="000000"/>
        </w:rPr>
        <w:t>in effect at the time of origination but without giving effect to any amendment, supplement or modification thereto</w:t>
      </w:r>
      <w:r>
        <w:rPr>
          <w:rFonts w:ascii="Times New Roman" w:cs="Times New Roman" w:eastAsia="Times New Roman" w:hAnsi="Times New Roman"/>
          <w:sz w:val="19"/>
          <w:szCs w:val="19"/>
          <w:color w:val="222222"/>
        </w:rPr>
        <w:t xml:space="preserve"> </w:t>
      </w:r>
      <w:r>
        <w:rPr>
          <w:rFonts w:ascii="Times New Roman" w:cs="Times New Roman" w:eastAsia="Times New Roman" w:hAnsi="Times New Roman"/>
          <w:sz w:val="19"/>
          <w:szCs w:val="19"/>
          <w:color w:val="000000"/>
        </w:rPr>
        <w:t xml:space="preserve">implemented in contravention of the requirements of Sections 6.01(h), 6.02(l) or 6.04(h), and (ii) serviced in accordance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 xml:space="preserve"> as in</w:t>
      </w:r>
    </w:p>
    <w:p>
      <w:pPr>
        <w:spacing w:after="0" w:line="160" w:lineRule="exact"/>
        <w:rPr>
          <w:sz w:val="20"/>
          <w:szCs w:val="20"/>
          <w:color w:val="auto"/>
        </w:rPr>
      </w:pPr>
    </w:p>
    <w:p>
      <w:pPr>
        <w:ind w:left="4498"/>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649605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38"/>
          </w:cols>
          <w:pgMar w:left="1362" w:top="1440" w:right="700" w:bottom="1440" w:gutter="0" w:footer="0" w:header="0"/>
        </w:sectPr>
      </w:pPr>
    </w:p>
    <w:bookmarkStart w:id="153" w:name="page154"/>
    <w:bookmarkEnd w:id="153"/>
    <w:p>
      <w:pPr>
        <w:spacing w:after="0" w:line="26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9"/>
          <w:szCs w:val="19"/>
          <w:color w:val="auto"/>
        </w:rPr>
        <w:t xml:space="preserve">effect on the Closing Date or such date of repurchase pursuant to Schedule B (xlviii), as such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has been amended, supplemented or otherwise modified after the Closing Date, but without giving effect to any such amendment, supplement or modification implemented in contravention of the requirements of Sections 6.01(h), 6.02(l) or 6.04(h).</w:t>
      </w:r>
    </w:p>
    <w:p>
      <w:pPr>
        <w:spacing w:after="0" w:line="144" w:lineRule="exact"/>
        <w:rPr>
          <w:sz w:val="20"/>
          <w:szCs w:val="20"/>
          <w:color w:val="auto"/>
        </w:rPr>
      </w:pPr>
    </w:p>
    <w:p>
      <w:pPr>
        <w:ind w:firstLine="746"/>
        <w:spacing w:after="0" w:line="259" w:lineRule="auto"/>
        <w:tabs>
          <w:tab w:leader="none" w:pos="9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Taxes. The Borrower has filed or caused to be filed all Tax returns that are required to be filed by it. The Borrower has paid or made adequate provisions for the payment of all Taxes imposed on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no claim is being asserted, with respect to any such Tax, fee or other charge.</w:t>
      </w:r>
    </w:p>
    <w:p>
      <w:pPr>
        <w:spacing w:after="0" w:line="153" w:lineRule="exact"/>
        <w:rPr>
          <w:rFonts w:ascii="Times New Roman" w:cs="Times New Roman" w:eastAsia="Times New Roman" w:hAnsi="Times New Roman"/>
          <w:sz w:val="19"/>
          <w:szCs w:val="19"/>
          <w:color w:val="auto"/>
        </w:rPr>
      </w:pPr>
    </w:p>
    <w:p>
      <w:pPr>
        <w:ind w:right="120" w:firstLine="746"/>
        <w:spacing w:after="0" w:line="257" w:lineRule="auto"/>
        <w:tabs>
          <w:tab w:leader="none" w:pos="10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Exchange Act Compliance; Regulations T, U and X.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the Loans will be used to carry or purchase, any “Margin Stock” within the meaning of Regulation U or to extend “Purchase Credit” within the meaning of Regulation U.</w:t>
      </w:r>
    </w:p>
    <w:p>
      <w:pPr>
        <w:spacing w:after="0" w:line="156" w:lineRule="exact"/>
        <w:rPr>
          <w:rFonts w:ascii="Times New Roman" w:cs="Times New Roman" w:eastAsia="Times New Roman" w:hAnsi="Times New Roman"/>
          <w:sz w:val="19"/>
          <w:szCs w:val="19"/>
          <w:color w:val="auto"/>
        </w:rPr>
      </w:pPr>
    </w:p>
    <w:p>
      <w:pPr>
        <w:ind w:right="20" w:firstLine="746"/>
        <w:spacing w:after="0" w:line="256" w:lineRule="auto"/>
        <w:tabs>
          <w:tab w:leader="none" w:pos="9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Quality of Title. Each Receivable, together with the Contract related thereto that is part of the Collateral,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spacing w:after="0" w:line="157" w:lineRule="exact"/>
        <w:rPr>
          <w:rFonts w:ascii="Times New Roman" w:cs="Times New Roman" w:eastAsia="Times New Roman" w:hAnsi="Times New Roman"/>
          <w:sz w:val="19"/>
          <w:szCs w:val="19"/>
          <w:color w:val="auto"/>
        </w:rPr>
      </w:pPr>
    </w:p>
    <w:p>
      <w:pPr>
        <w:ind w:right="60" w:firstLine="746"/>
        <w:spacing w:after="0" w:line="254" w:lineRule="auto"/>
        <w:tabs>
          <w:tab w:leader="none" w:pos="1068" w:val="left"/>
        </w:tabs>
        <w:numPr>
          <w:ilvl w:val="0"/>
          <w:numId w:val="9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Security Interest.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control, in the case of that portion of the Collateral which constitutes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 In the case of Electronic Contracts, the Custodian has “control” for the benefit of the Administrative Agent (within the meaning of Section 9-105 of the UCC) of the Electronic Contracts pursuant to the Electronic Collateral Control Agreement.</w:t>
      </w:r>
    </w:p>
    <w:p>
      <w:pPr>
        <w:spacing w:after="0" w:line="16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54" w:name="page155"/>
    <w:bookmarkEnd w:id="154"/>
    <w:p>
      <w:pPr>
        <w:spacing w:after="0" w:line="269" w:lineRule="exact"/>
        <w:rPr>
          <w:sz w:val="20"/>
          <w:szCs w:val="20"/>
          <w:color w:val="auto"/>
        </w:rPr>
      </w:pPr>
    </w:p>
    <w:p>
      <w:pPr>
        <w:ind w:left="-80" w:firstLine="746"/>
        <w:spacing w:after="0" w:line="262" w:lineRule="auto"/>
        <w:tabs>
          <w:tab w:leader="none" w:pos="94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Reports Accurate.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Paying Agent and any Secured Party in connection with this Agreement are true, complete and correct in all material respects.</w:t>
      </w:r>
    </w:p>
    <w:p>
      <w:pPr>
        <w:spacing w:after="0" w:line="150" w:lineRule="exact"/>
        <w:rPr>
          <w:rFonts w:ascii="Times New Roman" w:cs="Times New Roman" w:eastAsia="Times New Roman" w:hAnsi="Times New Roman"/>
          <w:sz w:val="19"/>
          <w:szCs w:val="19"/>
          <w:color w:val="auto"/>
        </w:rPr>
      </w:pPr>
    </w:p>
    <w:p>
      <w:pPr>
        <w:ind w:left="-80" w:right="120" w:firstLine="746"/>
        <w:spacing w:after="0" w:line="262" w:lineRule="auto"/>
        <w:tabs>
          <w:tab w:leader="none" w:pos="94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Location of Offices. The Borrower’s location (within the meaning of Article 9 of the UCC) is the State of Delaware.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w:t>
      </w:r>
    </w:p>
    <w:p>
      <w:pPr>
        <w:spacing w:after="0" w:line="150" w:lineRule="exact"/>
        <w:rPr>
          <w:rFonts w:ascii="Times New Roman" w:cs="Times New Roman" w:eastAsia="Times New Roman" w:hAnsi="Times New Roman"/>
          <w:sz w:val="19"/>
          <w:szCs w:val="19"/>
          <w:color w:val="auto"/>
        </w:rPr>
      </w:pPr>
    </w:p>
    <w:p>
      <w:pPr>
        <w:ind w:left="-80" w:right="60" w:firstLine="746"/>
        <w:spacing w:after="0" w:line="255" w:lineRule="auto"/>
        <w:tabs>
          <w:tab w:leader="none" w:pos="94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Office Box; Lockbox Account; Collection Account. The Borrower has not granted any Person dominion or control of (i) any Post Office Box or the Lockbox Account other than in accordance with the terms of the Intercreditor Agreement and the Intercreditor Party Supplement or (ii) the Collection Account other than the Administrative Agent. The Lockbox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Lockbox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55" w:lineRule="exact"/>
        <w:rPr>
          <w:rFonts w:ascii="Times New Roman" w:cs="Times New Roman" w:eastAsia="Times New Roman" w:hAnsi="Times New Roman"/>
          <w:sz w:val="19"/>
          <w:szCs w:val="19"/>
          <w:color w:val="auto"/>
        </w:rPr>
      </w:pPr>
    </w:p>
    <w:p>
      <w:pPr>
        <w:ind w:left="-80" w:right="40" w:firstLine="746"/>
        <w:spacing w:after="0" w:line="286" w:lineRule="auto"/>
        <w:tabs>
          <w:tab w:leader="none" w:pos="94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Tradenames. The Borrower has no trade names, fictitious names, assumed names or “doing business as” names or other names under which it has done or is doing business.</w:t>
      </w:r>
    </w:p>
    <w:p>
      <w:pPr>
        <w:spacing w:after="0" w:line="127" w:lineRule="exact"/>
        <w:rPr>
          <w:rFonts w:ascii="Times New Roman" w:cs="Times New Roman" w:eastAsia="Times New Roman" w:hAnsi="Times New Roman"/>
          <w:sz w:val="19"/>
          <w:szCs w:val="19"/>
          <w:color w:val="auto"/>
        </w:rPr>
      </w:pPr>
    </w:p>
    <w:p>
      <w:pPr>
        <w:ind w:left="-80" w:right="200" w:firstLine="746"/>
        <w:spacing w:after="0" w:line="286" w:lineRule="auto"/>
        <w:tabs>
          <w:tab w:leader="none" w:pos="90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Agreement. The Purchase Agreement is the only agreement pursuant to which the Borrower purchases Receivables and the related Contracts.</w:t>
      </w:r>
    </w:p>
    <w:p>
      <w:pPr>
        <w:spacing w:after="0" w:line="127" w:lineRule="exact"/>
        <w:rPr>
          <w:rFonts w:ascii="Times New Roman" w:cs="Times New Roman" w:eastAsia="Times New Roman" w:hAnsi="Times New Roman"/>
          <w:sz w:val="19"/>
          <w:szCs w:val="19"/>
          <w:color w:val="auto"/>
        </w:rPr>
      </w:pPr>
    </w:p>
    <w:p>
      <w:pPr>
        <w:ind w:left="-80" w:firstLine="746"/>
        <w:spacing w:after="0" w:line="262" w:lineRule="auto"/>
        <w:tabs>
          <w:tab w:leader="none" w:pos="916"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Value Given. The Borrower shall have given reasonably equivalent value to the Seller in consideration for the transfer to the Borrower of the Receivables and the related Collateral under the Purchase Agreement, no such transfer shall have been made for or on account of an antecedent debt owed by the Seller to the Borrower and no such transfer is or may be voidable or subject to avoidance under any section of the Bankruptcy Code.</w:t>
      </w:r>
    </w:p>
    <w:p>
      <w:pPr>
        <w:spacing w:after="0" w:line="150" w:lineRule="exact"/>
        <w:rPr>
          <w:rFonts w:ascii="Times New Roman" w:cs="Times New Roman" w:eastAsia="Times New Roman" w:hAnsi="Times New Roman"/>
          <w:sz w:val="19"/>
          <w:szCs w:val="19"/>
          <w:color w:val="auto"/>
        </w:rPr>
      </w:pPr>
    </w:p>
    <w:p>
      <w:pPr>
        <w:ind w:left="-80" w:right="260" w:firstLine="746"/>
        <w:spacing w:after="0" w:line="268" w:lineRule="auto"/>
        <w:tabs>
          <w:tab w:leader="none" w:pos="892"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Accounting. The Borrower accounts for the transfers to it from UACC of the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spacing w:after="0" w:line="1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55" w:name="page156"/>
    <w:bookmarkEnd w:id="155"/>
    <w:p>
      <w:pPr>
        <w:spacing w:after="0" w:line="269" w:lineRule="exact"/>
        <w:rPr>
          <w:sz w:val="20"/>
          <w:szCs w:val="20"/>
          <w:color w:val="auto"/>
        </w:rPr>
      </w:pPr>
    </w:p>
    <w:p>
      <w:pPr>
        <w:ind w:left="940" w:hanging="274"/>
        <w:spacing w:after="0"/>
        <w:tabs>
          <w:tab w:leader="none" w:pos="94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Special Purpose Entity. The Borrower is in compliance with Section 6.02(n).</w:t>
      </w:r>
    </w:p>
    <w:p>
      <w:pPr>
        <w:spacing w:after="0" w:line="201" w:lineRule="exact"/>
        <w:rPr>
          <w:rFonts w:ascii="Times New Roman" w:cs="Times New Roman" w:eastAsia="Times New Roman" w:hAnsi="Times New Roman"/>
          <w:sz w:val="19"/>
          <w:szCs w:val="19"/>
          <w:color w:val="auto"/>
        </w:rPr>
      </w:pPr>
    </w:p>
    <w:p>
      <w:pPr>
        <w:ind w:left="-80" w:right="40" w:firstLine="746"/>
        <w:spacing w:after="0" w:line="257" w:lineRule="auto"/>
        <w:tabs>
          <w:tab w:leader="none" w:pos="94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Bankruptcy Filings.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spacing w:after="0" w:line="156" w:lineRule="exact"/>
        <w:rPr>
          <w:rFonts w:ascii="Times New Roman" w:cs="Times New Roman" w:eastAsia="Times New Roman" w:hAnsi="Times New Roman"/>
          <w:sz w:val="19"/>
          <w:szCs w:val="19"/>
          <w:color w:val="auto"/>
        </w:rPr>
      </w:pPr>
    </w:p>
    <w:p>
      <w:pPr>
        <w:ind w:left="-80" w:firstLine="746"/>
        <w:spacing w:after="0" w:line="259" w:lineRule="auto"/>
        <w:tabs>
          <w:tab w:leader="none" w:pos="97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 Company Act. The Borrower is not an “investment company” within the meaning of the Investment Company Act and is not required to register as an “investment company” under the Investment Company Act. In reaching this conclusion, the Borrower relied on the exemption from the definition of “investment company” contained in Section 3(c)(5)(A) of the Investment Company Act, although other exclusions or exemptions may apply. The Borrower is not a “covered fund” for purposes of the Volcker Rule.</w:t>
      </w:r>
    </w:p>
    <w:p>
      <w:pPr>
        <w:spacing w:after="0" w:line="153" w:lineRule="exact"/>
        <w:rPr>
          <w:rFonts w:ascii="Times New Roman" w:cs="Times New Roman" w:eastAsia="Times New Roman" w:hAnsi="Times New Roman"/>
          <w:sz w:val="19"/>
          <w:szCs w:val="19"/>
          <w:color w:val="auto"/>
        </w:rPr>
      </w:pPr>
    </w:p>
    <w:p>
      <w:pPr>
        <w:jc w:val="both"/>
        <w:ind w:left="-80" w:right="40" w:firstLine="746"/>
        <w:spacing w:after="0" w:line="268" w:lineRule="auto"/>
        <w:tabs>
          <w:tab w:leader="none" w:pos="94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ERISA. The Borrower has no current or former employees. The Borrower is not a Benefit Plan Investor. Neither the Borrower nor any ERISA Affiliate sponsors, contributes to or is required to contribute to or has any liability with respect to any Pension Plan or any Multiemployer Plan.</w:t>
      </w:r>
    </w:p>
    <w:p>
      <w:pPr>
        <w:spacing w:after="0" w:line="144" w:lineRule="exact"/>
        <w:rPr>
          <w:rFonts w:ascii="Times New Roman" w:cs="Times New Roman" w:eastAsia="Times New Roman" w:hAnsi="Times New Roman"/>
          <w:sz w:val="19"/>
          <w:szCs w:val="19"/>
          <w:color w:val="auto"/>
        </w:rPr>
      </w:pPr>
    </w:p>
    <w:p>
      <w:pPr>
        <w:jc w:val="both"/>
        <w:ind w:left="-80" w:right="100" w:firstLine="746"/>
        <w:spacing w:after="0" w:line="268" w:lineRule="auto"/>
        <w:tabs>
          <w:tab w:leader="none" w:pos="94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Accuracy of Representations and Warranties.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spacing w:after="0" w:line="144" w:lineRule="exact"/>
        <w:rPr>
          <w:rFonts w:ascii="Times New Roman" w:cs="Times New Roman" w:eastAsia="Times New Roman" w:hAnsi="Times New Roman"/>
          <w:sz w:val="19"/>
          <w:szCs w:val="19"/>
          <w:color w:val="auto"/>
        </w:rPr>
      </w:pPr>
    </w:p>
    <w:p>
      <w:pPr>
        <w:ind w:left="-80" w:right="40" w:firstLine="746"/>
        <w:spacing w:after="0" w:line="259" w:lineRule="auto"/>
        <w:tabs>
          <w:tab w:leader="none" w:pos="92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Representations and Warranties in Purchase Agreement. The representations and warranties made by the Borrower to the Seller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spacing w:after="0" w:line="154" w:lineRule="exact"/>
        <w:rPr>
          <w:sz w:val="20"/>
          <w:szCs w:val="20"/>
          <w:color w:val="auto"/>
        </w:rPr>
      </w:pPr>
    </w:p>
    <w:p>
      <w:pPr>
        <w:ind w:left="-80" w:right="40" w:firstLine="746"/>
        <w:spacing w:after="0" w:line="257" w:lineRule="auto"/>
        <w:tabs>
          <w:tab w:leader="none" w:pos="101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Sanctions. (i) The operations of the Borrower and its Subsidiaries and Affiliates are and have been conducted at all times in compliance with applicable Sanctions; (ii) none of the Borrower, its Affiliates or Subsidiaries, or any directors, officers, employees, agents or representatives thereof, or any Person or representative that will act in any capacity in connection with or benefit from the transactions described in the Basic Documents established hereby, is a Sanctioned Person or is in violation of Sanctions; (iii) none of the Borrower or any of its Subsidiaries or Affiliates will, directly or indirectly use the proceeds of the Loans or the proceeds of any other transaction contemplated by this</w:t>
      </w:r>
    </w:p>
    <w:p>
      <w:pPr>
        <w:spacing w:after="0" w:line="1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56" w:name="page157"/>
    <w:bookmarkEnd w:id="156"/>
    <w:p>
      <w:pPr>
        <w:spacing w:after="0" w:line="26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9"/>
          <w:szCs w:val="19"/>
          <w:color w:val="auto"/>
        </w:rPr>
        <w:t>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Sanctions by any Person participating in the transactions contemplated by this Agreement.</w:t>
      </w:r>
    </w:p>
    <w:p>
      <w:pPr>
        <w:spacing w:after="0" w:line="150" w:lineRule="exact"/>
        <w:rPr>
          <w:sz w:val="20"/>
          <w:szCs w:val="20"/>
          <w:color w:val="auto"/>
        </w:rPr>
      </w:pPr>
    </w:p>
    <w:p>
      <w:pPr>
        <w:ind w:firstLine="746"/>
        <w:spacing w:after="0" w:line="253" w:lineRule="auto"/>
        <w:tabs>
          <w:tab w:leader="none" w:pos="1116"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Anti-Corruption. (i) The operations of the Borrower and its Subsidiaries and Affiliates are and have been conducted at all times in compliance with applicable Anti-Corruption Laws; (ii) none of the Borrower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Borrower,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spacing w:after="0" w:line="165" w:lineRule="exact"/>
        <w:rPr>
          <w:rFonts w:ascii="Times New Roman" w:cs="Times New Roman" w:eastAsia="Times New Roman" w:hAnsi="Times New Roman"/>
          <w:sz w:val="19"/>
          <w:szCs w:val="19"/>
          <w:color w:val="auto"/>
        </w:rPr>
      </w:pPr>
    </w:p>
    <w:p>
      <w:pPr>
        <w:ind w:right="880" w:firstLine="746"/>
        <w:spacing w:after="0" w:line="286" w:lineRule="auto"/>
        <w:tabs>
          <w:tab w:leader="none" w:pos="109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Beneficial Ownership Certification. As of the Closing Date, the information included in the Beneficial Ownership Certification is true and correct in all material respects.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F5496"/>
        </w:rPr>
        <w:t xml:space="preserve">Section Five.02.  </w:t>
      </w:r>
      <w:r>
        <w:rPr>
          <w:rFonts w:ascii="Times New Roman" w:cs="Times New Roman" w:eastAsia="Times New Roman" w:hAnsi="Times New Roman"/>
          <w:sz w:val="19"/>
          <w:szCs w:val="19"/>
          <w:b w:val="1"/>
          <w:bCs w:val="1"/>
          <w:color w:val="000000"/>
        </w:rPr>
        <w:t>Representations and Warranties of the Borrower Relating to This Agreement and the Receivables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Borrower represents and warrants, as of the Closing Date and as of each Funding Date, as follows:</w:t>
      </w:r>
    </w:p>
    <w:p>
      <w:pPr>
        <w:spacing w:after="0" w:line="202" w:lineRule="exact"/>
        <w:rPr>
          <w:sz w:val="20"/>
          <w:szCs w:val="20"/>
          <w:color w:val="auto"/>
        </w:rPr>
      </w:pPr>
    </w:p>
    <w:p>
      <w:pPr>
        <w:jc w:val="both"/>
        <w:ind w:right="540" w:firstLine="746"/>
        <w:spacing w:after="0" w:line="262" w:lineRule="auto"/>
        <w:tabs>
          <w:tab w:leader="none" w:pos="100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Binding Obligation.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spacing w:after="0" w:line="150" w:lineRule="exact"/>
        <w:rPr>
          <w:rFonts w:ascii="Times New Roman" w:cs="Times New Roman" w:eastAsia="Times New Roman" w:hAnsi="Times New Roman"/>
          <w:sz w:val="19"/>
          <w:szCs w:val="19"/>
          <w:color w:val="auto"/>
        </w:rPr>
      </w:pPr>
    </w:p>
    <w:p>
      <w:pPr>
        <w:ind w:right="20" w:firstLine="746"/>
        <w:spacing w:after="0" w:line="259" w:lineRule="auto"/>
        <w:tabs>
          <w:tab w:leader="none" w:pos="102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Interest.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57" w:name="page158"/>
    <w:bookmarkEnd w:id="157"/>
    <w:p>
      <w:pPr>
        <w:spacing w:after="0" w:line="26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9"/>
          <w:szCs w:val="19"/>
          <w:color w:val="auto"/>
        </w:rPr>
        <w:t>Collateral and, if this Agreement constitutes the grant of a security interest in such property, except for the interest of the Borrower in such property. The representations and warranties contained in Schedule A are true and correct in all material respects.</w:t>
      </w:r>
    </w:p>
    <w:p>
      <w:pPr>
        <w:spacing w:after="0" w:line="144" w:lineRule="exact"/>
        <w:rPr>
          <w:sz w:val="20"/>
          <w:szCs w:val="20"/>
          <w:color w:val="auto"/>
        </w:rPr>
      </w:pPr>
    </w:p>
    <w:p>
      <w:pPr>
        <w:ind w:left="1020" w:hanging="274"/>
        <w:spacing w:after="0"/>
        <w:tabs>
          <w:tab w:leader="none" w:pos="10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Eligibility of Receivables.</w:t>
      </w:r>
    </w:p>
    <w:p>
      <w:pPr>
        <w:spacing w:after="0" w:line="201" w:lineRule="exact"/>
        <w:rPr>
          <w:rFonts w:ascii="Times New Roman" w:cs="Times New Roman" w:eastAsia="Times New Roman" w:hAnsi="Times New Roman"/>
          <w:sz w:val="19"/>
          <w:szCs w:val="19"/>
          <w:color w:val="auto"/>
        </w:rPr>
      </w:pPr>
    </w:p>
    <w:p>
      <w:pPr>
        <w:ind w:firstLine="890"/>
        <w:spacing w:after="0" w:line="254" w:lineRule="auto"/>
        <w:tabs>
          <w:tab w:leader="none" w:pos="1117" w:val="left"/>
        </w:tabs>
        <w:numPr>
          <w:ilvl w:val="2"/>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of the Initial Loan,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spacing w:after="0" w:line="160" w:lineRule="exact"/>
        <w:rPr>
          <w:rFonts w:ascii="Times New Roman" w:cs="Times New Roman" w:eastAsia="Times New Roman" w:hAnsi="Times New Roman"/>
          <w:sz w:val="19"/>
          <w:szCs w:val="19"/>
          <w:color w:val="auto"/>
        </w:rPr>
      </w:pPr>
    </w:p>
    <w:p>
      <w:pPr>
        <w:ind w:right="20" w:firstLine="818"/>
        <w:spacing w:after="0" w:line="253" w:lineRule="auto"/>
        <w:tabs>
          <w:tab w:leader="none" w:pos="109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Funding Date other than the date of the Initial Loan,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to the Administrative Agent have been duly obtained, effected or given and are in full force and effect and (E) the representations and warranties set forth in Section 5.02 are true and correct with respect to each Subsequent Receivable pledged on such day as if made on such day.</w:t>
      </w:r>
    </w:p>
    <w:p>
      <w:pPr>
        <w:spacing w:after="0" w:line="162" w:lineRule="exact"/>
        <w:rPr>
          <w:rFonts w:ascii="Times New Roman" w:cs="Times New Roman" w:eastAsia="Times New Roman" w:hAnsi="Times New Roman"/>
          <w:sz w:val="19"/>
          <w:szCs w:val="19"/>
          <w:color w:val="auto"/>
        </w:rPr>
      </w:pPr>
    </w:p>
    <w:p>
      <w:pPr>
        <w:ind w:right="140" w:firstLine="746"/>
        <w:spacing w:after="0" w:line="259" w:lineRule="auto"/>
        <w:tabs>
          <w:tab w:leader="none" w:pos="10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Electronic Contracts. Each E-Vault Access Agreement provides the Custodian a right to use the E-Vault System and exclusive access to the Warehouse Vault Partition (except to the extent otherwise expressly set forth herein or in the Electronic Collateral Control Agreement) and the terms thereof are sufficient to permit the Custodian to perform its duties and obligations hereunder and under each Electronic Collateral Control Agreement. Prior to the Facility Termination Date, the Borrower will not have</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1360" w:top="1440" w:right="700" w:bottom="1440" w:gutter="0" w:footer="0" w:header="0"/>
        </w:sectPr>
      </w:pPr>
    </w:p>
    <w:bookmarkStart w:id="158" w:name="page159"/>
    <w:bookmarkEnd w:id="158"/>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right of access to the Warehouse Vault Partition under the E-Vault Access Agreement or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F5496"/>
        </w:rPr>
        <w:t xml:space="preserve">Section Five.03.  </w:t>
      </w:r>
      <w:r>
        <w:rPr>
          <w:rFonts w:ascii="Times New Roman" w:cs="Times New Roman" w:eastAsia="Times New Roman" w:hAnsi="Times New Roman"/>
          <w:sz w:val="19"/>
          <w:szCs w:val="19"/>
          <w:b w:val="1"/>
          <w:bCs w:val="1"/>
          <w:color w:val="000000"/>
        </w:rPr>
        <w:t>Representations and Warranties of the Servicer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Servicer represents and warrants, as of the Closing Date and as of each Funding Date, as follows:</w:t>
      </w:r>
    </w:p>
    <w:p>
      <w:pPr>
        <w:spacing w:after="0" w:line="202" w:lineRule="exact"/>
        <w:rPr>
          <w:sz w:val="20"/>
          <w:szCs w:val="20"/>
          <w:color w:val="auto"/>
        </w:rPr>
      </w:pPr>
    </w:p>
    <w:p>
      <w:pPr>
        <w:jc w:val="both"/>
        <w:ind w:right="100" w:firstLine="746"/>
        <w:spacing w:after="0" w:line="262" w:lineRule="auto"/>
        <w:tabs>
          <w:tab w:leader="none" w:pos="1008"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Organization and Good Standing.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spacing w:after="0" w:line="150" w:lineRule="exact"/>
        <w:rPr>
          <w:rFonts w:ascii="Times New Roman" w:cs="Times New Roman" w:eastAsia="Times New Roman" w:hAnsi="Times New Roman"/>
          <w:sz w:val="19"/>
          <w:szCs w:val="19"/>
          <w:color w:val="auto"/>
        </w:rPr>
      </w:pPr>
    </w:p>
    <w:p>
      <w:pPr>
        <w:ind w:right="140" w:firstLine="746"/>
        <w:spacing w:after="0" w:line="268" w:lineRule="auto"/>
        <w:tabs>
          <w:tab w:leader="none" w:pos="1020"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Due Qualification. The Servicer is duly qualified to do business and is in good standing as a corporation, and has obtained all necessary licenses and approvals in all jurisdictions in which the ownership or lease of its property and or the conduct of its business, including the servicing of the Receivables, requires such qualification, licenses or approvals.</w:t>
      </w:r>
    </w:p>
    <w:p>
      <w:pPr>
        <w:spacing w:after="0" w:line="144" w:lineRule="exact"/>
        <w:rPr>
          <w:rFonts w:ascii="Times New Roman" w:cs="Times New Roman" w:eastAsia="Times New Roman" w:hAnsi="Times New Roman"/>
          <w:sz w:val="19"/>
          <w:szCs w:val="19"/>
          <w:color w:val="auto"/>
        </w:rPr>
      </w:pPr>
    </w:p>
    <w:p>
      <w:pPr>
        <w:ind w:right="80" w:firstLine="746"/>
        <w:spacing w:after="0" w:line="262" w:lineRule="auto"/>
        <w:tabs>
          <w:tab w:leader="none" w:pos="1008"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Power and Authority; Due Authorization. The Servicer (i) has all necessary corporate power, authority and legal right to (A) execute and deliver the Servicer Basic Documents and (B) carry out the terms of the Servicer Basic Documents and</w:t>
      </w:r>
    </w:p>
    <w:p>
      <w:pPr>
        <w:spacing w:after="0" w:line="1" w:lineRule="exact"/>
        <w:rPr>
          <w:rFonts w:ascii="Times New Roman" w:cs="Times New Roman" w:eastAsia="Times New Roman" w:hAnsi="Times New Roman"/>
          <w:sz w:val="19"/>
          <w:szCs w:val="19"/>
          <w:color w:val="auto"/>
        </w:rPr>
      </w:pPr>
    </w:p>
    <w:p>
      <w:pPr>
        <w:ind w:right="740" w:firstLine="2"/>
        <w:spacing w:after="0" w:line="262" w:lineRule="auto"/>
        <w:tabs>
          <w:tab w:leader="none" w:pos="28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duly authorized by all necessary corporate action the execution, delivery and performance of the Servicer Basic Documents.</w:t>
      </w:r>
    </w:p>
    <w:p>
      <w:pPr>
        <w:spacing w:after="0" w:line="149" w:lineRule="exact"/>
        <w:rPr>
          <w:rFonts w:ascii="Times New Roman" w:cs="Times New Roman" w:eastAsia="Times New Roman" w:hAnsi="Times New Roman"/>
          <w:sz w:val="19"/>
          <w:szCs w:val="19"/>
          <w:color w:val="auto"/>
        </w:rPr>
      </w:pPr>
    </w:p>
    <w:p>
      <w:pPr>
        <w:ind w:right="200" w:firstLine="746"/>
        <w:spacing w:after="0" w:line="262" w:lineRule="auto"/>
        <w:tabs>
          <w:tab w:leader="none" w:pos="1020"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Binding Obligation.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spacing w:after="0" w:line="150" w:lineRule="exact"/>
        <w:rPr>
          <w:rFonts w:ascii="Times New Roman" w:cs="Times New Roman" w:eastAsia="Times New Roman" w:hAnsi="Times New Roman"/>
          <w:sz w:val="19"/>
          <w:szCs w:val="19"/>
          <w:color w:val="auto"/>
        </w:rPr>
      </w:pPr>
    </w:p>
    <w:p>
      <w:pPr>
        <w:ind w:firstLine="746"/>
        <w:spacing w:after="0" w:line="256" w:lineRule="auto"/>
        <w:tabs>
          <w:tab w:leader="none" w:pos="1008"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Violation. The execution and delivery of the Servicer Basic Documents,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57" w:lineRule="exact"/>
        <w:rPr>
          <w:rFonts w:ascii="Times New Roman" w:cs="Times New Roman" w:eastAsia="Times New Roman" w:hAnsi="Times New Roman"/>
          <w:sz w:val="19"/>
          <w:szCs w:val="19"/>
          <w:color w:val="auto"/>
        </w:rPr>
      </w:pPr>
    </w:p>
    <w:p>
      <w:pPr>
        <w:ind w:right="140" w:firstLine="746"/>
        <w:spacing w:after="0" w:line="258" w:lineRule="auto"/>
        <w:tabs>
          <w:tab w:leader="none" w:pos="984"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Proceedings.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w:t>
      </w:r>
    </w:p>
    <w:p>
      <w:pPr>
        <w:spacing w:after="0" w:line="1" w:lineRule="exact"/>
        <w:rPr>
          <w:rFonts w:ascii="Times New Roman" w:cs="Times New Roman" w:eastAsia="Times New Roman" w:hAnsi="Times New Roman"/>
          <w:sz w:val="19"/>
          <w:szCs w:val="19"/>
          <w:color w:val="auto"/>
        </w:rPr>
      </w:pPr>
    </w:p>
    <w:p>
      <w:pPr>
        <w:ind w:left="340" w:hanging="338"/>
        <w:spacing w:after="0"/>
        <w:tabs>
          <w:tab w:leader="none" w:pos="3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challenging the enforceability of a material portion of the</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59" w:name="page160"/>
    <w:bookmarkEnd w:id="159"/>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Receivables or (iv) seeking any determination or ruling that could reasonably be expected to have a Material Adverse Effect.</w:t>
      </w:r>
    </w:p>
    <w:p>
      <w:pPr>
        <w:spacing w:after="0" w:line="202" w:lineRule="exact"/>
        <w:rPr>
          <w:sz w:val="20"/>
          <w:szCs w:val="20"/>
          <w:color w:val="auto"/>
        </w:rPr>
      </w:pPr>
    </w:p>
    <w:p>
      <w:pPr>
        <w:ind w:firstLine="746"/>
        <w:spacing w:after="0" w:line="268" w:lineRule="auto"/>
        <w:tabs>
          <w:tab w:leader="none" w:pos="102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Consents Required. All approvals, authorizations, consents, orders or other actions of any Person or of any Governmental Authority (if any) required for the due execution, delivery and performance by the Servicer of the Servicer Basic Documents have been obtained.</w:t>
      </w:r>
    </w:p>
    <w:p>
      <w:pPr>
        <w:spacing w:after="0" w:line="144" w:lineRule="exact"/>
        <w:rPr>
          <w:rFonts w:ascii="Times New Roman" w:cs="Times New Roman" w:eastAsia="Times New Roman" w:hAnsi="Times New Roman"/>
          <w:sz w:val="19"/>
          <w:szCs w:val="19"/>
          <w:color w:val="auto"/>
        </w:rPr>
      </w:pPr>
    </w:p>
    <w:p>
      <w:pPr>
        <w:ind w:right="20" w:firstLine="746"/>
        <w:spacing w:after="0" w:line="268" w:lineRule="auto"/>
        <w:tabs>
          <w:tab w:leader="none" w:pos="102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Reports Accurate. All Monthly Reports, information, exhibits, financial statements, documents, books, records or reports furnished or to be furnished by the Servicer to the Paying Agent or any Secured Party in connection with the Servicer Basic Documents are accurate, true and correct in all material respects.</w:t>
      </w:r>
    </w:p>
    <w:p>
      <w:pPr>
        <w:spacing w:after="0" w:line="144" w:lineRule="exact"/>
        <w:rPr>
          <w:rFonts w:ascii="Times New Roman" w:cs="Times New Roman" w:eastAsia="Times New Roman" w:hAnsi="Times New Roman"/>
          <w:sz w:val="19"/>
          <w:szCs w:val="19"/>
          <w:color w:val="auto"/>
        </w:rPr>
      </w:pPr>
    </w:p>
    <w:p>
      <w:pPr>
        <w:ind w:right="840" w:firstLine="746"/>
        <w:spacing w:after="0" w:line="286" w:lineRule="auto"/>
        <w:tabs>
          <w:tab w:leader="none" w:pos="972"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Servicer’s Performance. The Servicer has the knowledge, the experience and the systems, financial and operational capacity available to timely perform each of its obligations hereunder.</w:t>
      </w:r>
    </w:p>
    <w:p>
      <w:pPr>
        <w:spacing w:after="0" w:line="127" w:lineRule="exact"/>
        <w:rPr>
          <w:rFonts w:ascii="Times New Roman" w:cs="Times New Roman" w:eastAsia="Times New Roman" w:hAnsi="Times New Roman"/>
          <w:sz w:val="19"/>
          <w:szCs w:val="19"/>
          <w:color w:val="auto"/>
        </w:rPr>
      </w:pPr>
    </w:p>
    <w:p>
      <w:pPr>
        <w:ind w:left="980" w:hanging="234"/>
        <w:spacing w:after="0"/>
        <w:tabs>
          <w:tab w:leader="none" w:pos="98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Compliance with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The Servicer has, with respect to the Receivables, complied in all material respects with</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firstLine="746"/>
        <w:spacing w:after="0" w:line="255" w:lineRule="auto"/>
        <w:tabs>
          <w:tab w:leader="none" w:pos="102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Office Boxes; Lockbox Account; Collection Account. The Servicer has not granted any Person dominion or control of (i) any Post Office Box or the Lockbox Account other than in accordance with the terms of the Intercreditor Agreement and the Intercreditor Party Supplement or (ii) the Collection Account other than the Administrative Agent. The Lockbox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Lockbox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55" w:lineRule="exact"/>
        <w:rPr>
          <w:rFonts w:ascii="Times New Roman" w:cs="Times New Roman" w:eastAsia="Times New Roman" w:hAnsi="Times New Roman"/>
          <w:sz w:val="19"/>
          <w:szCs w:val="19"/>
          <w:color w:val="auto"/>
        </w:rPr>
      </w:pPr>
    </w:p>
    <w:p>
      <w:pPr>
        <w:ind w:left="980" w:hanging="234"/>
        <w:spacing w:after="0"/>
        <w:tabs>
          <w:tab w:leader="none" w:pos="98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Solvency. The transactions contemplated by the Servicer Basic Documents do not and will not render the Servicer</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Solvent.</w:t>
      </w:r>
    </w:p>
    <w:p>
      <w:pPr>
        <w:spacing w:after="0" w:line="179" w:lineRule="exact"/>
        <w:rPr>
          <w:rFonts w:ascii="Times New Roman" w:cs="Times New Roman" w:eastAsia="Times New Roman" w:hAnsi="Times New Roman"/>
          <w:sz w:val="19"/>
          <w:szCs w:val="19"/>
          <w:color w:val="auto"/>
        </w:rPr>
      </w:pPr>
    </w:p>
    <w:p>
      <w:pPr>
        <w:ind w:right="20" w:firstLine="746"/>
        <w:spacing w:after="0" w:line="257" w:lineRule="auto"/>
        <w:tabs>
          <w:tab w:leader="none" w:pos="106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Taxes. The Servicer has filed or caused to be filed all U.S. federal and State income and all other material Tax returns that are required to be filed by it. The Servicer has paid or made adequate provisions for the payment of all material Taxes imposed on it or any of its property (other than any amount of Tax the validity of which is currently being contested in good faith by appropriate proceedings and with respect to which reserves in accordance with GAAP have been provided on the books of the Servicer), and no Tax lien (other than a Permitted Lien) has been filed and no claim is being asserted, with respect to any such Tax, fee or other charge.</w:t>
      </w:r>
    </w:p>
    <w:p>
      <w:pPr>
        <w:spacing w:after="0" w:line="156" w:lineRule="exact"/>
        <w:rPr>
          <w:rFonts w:ascii="Times New Roman" w:cs="Times New Roman" w:eastAsia="Times New Roman" w:hAnsi="Times New Roman"/>
          <w:sz w:val="19"/>
          <w:szCs w:val="19"/>
          <w:color w:val="auto"/>
        </w:rPr>
      </w:pPr>
    </w:p>
    <w:p>
      <w:pPr>
        <w:jc w:val="both"/>
        <w:ind w:right="80" w:firstLine="746"/>
        <w:spacing w:after="0" w:line="286" w:lineRule="auto"/>
        <w:tabs>
          <w:tab w:leader="none" w:pos="102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Sanctions. (i) The operation of the Servicer and its Subsidiaries and Affiliates are and have been conducted at all times in compliance with applicable Sanctions; (ii) none of the Servicer, its Affiliates or Subsidiaries or any directors, officers,</w:t>
      </w:r>
    </w:p>
    <w:p>
      <w:pPr>
        <w:spacing w:after="0" w:line="1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360" w:top="1440" w:right="740" w:bottom="1440" w:gutter="0" w:footer="0" w:header="0"/>
        </w:sectPr>
      </w:pPr>
    </w:p>
    <w:bookmarkStart w:id="160" w:name="page161"/>
    <w:bookmarkEnd w:id="160"/>
    <w:p>
      <w:pPr>
        <w:spacing w:after="0" w:line="269"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9"/>
          <w:szCs w:val="19"/>
          <w:color w:val="auto"/>
        </w:rPr>
        <w:t>employees, agents or representatives thereof, or any Person or representative that will act in any capacity in connection with or benefit from the facility established hereby, is a Sanctioned Person or is in violation of any Sanctions; (iii) none of the Servicer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any Sanctions by any Person participating in the transactions contemplated by the Servicer Basic Documents.</w:t>
      </w:r>
    </w:p>
    <w:p>
      <w:pPr>
        <w:spacing w:after="0" w:line="157" w:lineRule="exact"/>
        <w:rPr>
          <w:sz w:val="20"/>
          <w:szCs w:val="20"/>
          <w:color w:val="auto"/>
        </w:rPr>
      </w:pPr>
    </w:p>
    <w:p>
      <w:pPr>
        <w:ind w:left="700" w:firstLine="746"/>
        <w:spacing w:after="0" w:line="253" w:lineRule="auto"/>
        <w:tabs>
          <w:tab w:leader="none" w:pos="172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Anti-Corruption. (i) The operations of the Servicer and its Subsidiaries and Affiliates are and have been conducted at all times in compliance with applicable Anti-Corruption Laws; (ii) none of the Servicer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Servicer, its Subsidiaries or Affiliates will use, directly or indirectly, the Loans or the proceeds of any other transaction contemplated by the Servicer Basic Documents in furtherance of an offer, payment, promise to pay, or authorization of the payment or giving of money, or anything else of value, to any person in violation of any applicable Anti-Corruption Laws.</w:t>
      </w:r>
    </w:p>
    <w:p>
      <w:pPr>
        <w:spacing w:after="0" w:line="165" w:lineRule="exact"/>
        <w:rPr>
          <w:rFonts w:ascii="Times New Roman" w:cs="Times New Roman" w:eastAsia="Times New Roman" w:hAnsi="Times New Roman"/>
          <w:sz w:val="19"/>
          <w:szCs w:val="19"/>
          <w:color w:val="auto"/>
        </w:rPr>
      </w:pPr>
    </w:p>
    <w:p>
      <w:pPr>
        <w:ind w:left="700" w:right="80" w:firstLine="746"/>
        <w:spacing w:after="0" w:line="268" w:lineRule="auto"/>
        <w:tabs>
          <w:tab w:leader="none" w:pos="172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ERISA Representations. The Servicer is not a Benefit Plan Investor. None of the Servicer or its ERISA Affiliates sponsors, contributes to, has any obligation to contribute to, or has any liability with respect to any Pension Plan or Multiemployer Plan.</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Five.04.  </w:t>
      </w:r>
      <w:r>
        <w:rPr>
          <w:rFonts w:ascii="Times New Roman" w:cs="Times New Roman" w:eastAsia="Times New Roman" w:hAnsi="Times New Roman"/>
          <w:sz w:val="19"/>
          <w:szCs w:val="19"/>
          <w:b w:val="1"/>
          <w:bCs w:val="1"/>
          <w:color w:val="000000"/>
        </w:rPr>
        <w:t>Retransfer/Transfer of Certain Receivables</w:t>
      </w:r>
    </w:p>
    <w:p>
      <w:pPr>
        <w:spacing w:after="0" w:line="204" w:lineRule="exact"/>
        <w:rPr>
          <w:sz w:val="20"/>
          <w:szCs w:val="20"/>
          <w:color w:val="auto"/>
        </w:rPr>
      </w:pPr>
    </w:p>
    <w:p>
      <w:pPr>
        <w:ind w:right="60" w:firstLine="702"/>
        <w:spacing w:after="0" w:line="255" w:lineRule="auto"/>
        <w:tabs>
          <w:tab w:leader="none" w:pos="96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Exercise of Rights under Purchase Agreement. The Borrower shall exercise its rights under Section 6.01 of the Purchase Agreement to require the Seller to repurchase any Receivable as to which an event described in such Section has occurred in accordance with the terms of the Purchase Agreement. Upon receipt of the Release Price in either Account for any Receivable repurchased pursuant to Section 6.01 of the Purchase Agreement as provided therein, the Administrative Agent shall automatically and without further action be deemed to transfer, assign and set-over to the Borrower, without recourse, representation or warranty, all the right, title and interest of the Administrative Agent in, to and under such Receivable all future monies due or to become due with respect thereto, all proceeds of such Receivable relating thereto, all rights to security for any such Receivable, and all proceeds and products of the foregoing. The Administrative Agent shall, at the sole expense of the Servicer, execute such documents and instruments of release as may be prepared by the Servicer on behalf of the Borrower and take other</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1" w:name="page162"/>
    <w:bookmarkEnd w:id="16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actions as shall reasonably be requested by the Borrower to effect the release of such Receivable pursuant to this subsection.</w:t>
      </w:r>
    </w:p>
    <w:p>
      <w:pPr>
        <w:spacing w:after="0" w:line="202" w:lineRule="exact"/>
        <w:rPr>
          <w:sz w:val="20"/>
          <w:szCs w:val="20"/>
          <w:color w:val="auto"/>
        </w:rPr>
      </w:pPr>
    </w:p>
    <w:p>
      <w:pPr>
        <w:ind w:firstLine="702"/>
        <w:spacing w:after="0" w:line="257" w:lineRule="auto"/>
        <w:tabs>
          <w:tab w:leader="none" w:pos="972"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of Receivables for Breach of Servicing Covenant. In the event that the Servicer breaches a servicing covenant pursuant to Section 7.03(c)(i), no later than the earlier of (i) knowledge by the Servicer of such event or (ii) receipt by the Servicer from a Secured Party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either Account in immediately available funds, and the Borrower shall accept the release of such Receivable(s).</w:t>
      </w:r>
    </w:p>
    <w:p>
      <w:pPr>
        <w:spacing w:after="0" w:line="156" w:lineRule="exact"/>
        <w:rPr>
          <w:rFonts w:ascii="Times New Roman" w:cs="Times New Roman" w:eastAsia="Times New Roman" w:hAnsi="Times New Roman"/>
          <w:sz w:val="19"/>
          <w:szCs w:val="19"/>
          <w:color w:val="auto"/>
        </w:rPr>
      </w:pPr>
    </w:p>
    <w:p>
      <w:pPr>
        <w:ind w:right="20" w:firstLine="702"/>
        <w:spacing w:after="0" w:line="257" w:lineRule="auto"/>
        <w:tabs>
          <w:tab w:leader="none" w:pos="96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Release. The Borrower or the Servicer, as applicable, shall provide written notice to the Secured Parties of any release of Receivables pursuant to Sections 5.04(a) or (b) prior to 12:01 p.m., New York, New York time, five Business Days prior to the related Release Date, and such notice shall include a calculation of the Borrowing Base after giving effect to such release, as well as representations and warranties by the Borrower that no Early Amortization Event, Termination Event, Unmatured Termination Event, Servicer Termination Event or Unmatured Servicer Termination Event has occurred and that the Borrowing Base calculation included with such notice is accurate.</w:t>
      </w:r>
    </w:p>
    <w:p>
      <w:pPr>
        <w:spacing w:after="0" w:line="156" w:lineRule="exact"/>
        <w:rPr>
          <w:rFonts w:ascii="Times New Roman" w:cs="Times New Roman" w:eastAsia="Times New Roman" w:hAnsi="Times New Roman"/>
          <w:sz w:val="19"/>
          <w:szCs w:val="19"/>
          <w:color w:val="auto"/>
        </w:rPr>
      </w:pPr>
    </w:p>
    <w:p>
      <w:pPr>
        <w:ind w:firstLine="702"/>
        <w:spacing w:after="0" w:line="262" w:lineRule="auto"/>
        <w:tabs>
          <w:tab w:leader="none" w:pos="972"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Repurchases/Purchases and Retransfer/Transfer. Notwithstanding anything to the contrary set forth herein, neither the Borrower nor the Servicer shall repurchase/purchase or retransfer/transfer any Receivables, either individually or in a series of transactions, which is designed for the purpose of impacting the calculation of the “Annualized Default Ratio”, the “Annualized Net Loss Ratio”, the “Delinquency Ratio” or the “Extension Ratio” without the consent of the Administrative Agent.</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2F5496"/>
        </w:rPr>
        <w:t>ARTICLE SIX</w:t>
      </w:r>
    </w:p>
    <w:p>
      <w:pPr>
        <w:spacing w:after="0" w:line="2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Six.01.  </w:t>
      </w:r>
      <w:r>
        <w:rPr>
          <w:rFonts w:ascii="Times New Roman" w:cs="Times New Roman" w:eastAsia="Times New Roman" w:hAnsi="Times New Roman"/>
          <w:sz w:val="19"/>
          <w:szCs w:val="19"/>
          <w:b w:val="1"/>
          <w:bCs w:val="1"/>
          <w:color w:val="000000"/>
        </w:rPr>
        <w:t>Affirmative Covenants of the Borrower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From the date hereof until the Facility Termination Date:</w:t>
      </w:r>
    </w:p>
    <w:p>
      <w:pPr>
        <w:spacing w:after="0" w:line="202" w:lineRule="exact"/>
        <w:rPr>
          <w:sz w:val="20"/>
          <w:szCs w:val="20"/>
          <w:color w:val="auto"/>
        </w:rPr>
      </w:pPr>
    </w:p>
    <w:p>
      <w:pPr>
        <w:ind w:left="700" w:right="320" w:firstLine="746"/>
        <w:spacing w:after="0" w:line="286" w:lineRule="auto"/>
        <w:tabs>
          <w:tab w:leader="none" w:pos="1708"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Laws. The Borrower will comply in all material respects with all Applicable Laws, including those with respect to the Receivables and related Financed Vehicles.</w:t>
      </w:r>
    </w:p>
    <w:p>
      <w:pPr>
        <w:spacing w:after="0" w:line="127" w:lineRule="exact"/>
        <w:rPr>
          <w:rFonts w:ascii="Times New Roman" w:cs="Times New Roman" w:eastAsia="Times New Roman" w:hAnsi="Times New Roman"/>
          <w:sz w:val="19"/>
          <w:szCs w:val="19"/>
          <w:color w:val="auto"/>
        </w:rPr>
      </w:pPr>
    </w:p>
    <w:p>
      <w:pPr>
        <w:jc w:val="both"/>
        <w:ind w:left="700" w:firstLine="746"/>
        <w:spacing w:after="0" w:line="262" w:lineRule="auto"/>
        <w:tabs>
          <w:tab w:leader="none" w:pos="172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Preservation of Existence. The Borrower will preserve and maintain its existence, rights, franchises and privileges as a statutory trust in the State of Delaware, and qualify and remain qualified in good standing as a foreign statutory trust in each jurisdiction where the failure to preserve and maintain such existence, rights, franchises, privileges and qualification has had, or could reasonably be expected to have, a Material Adverse Effect.</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2" w:name="page163"/>
    <w:bookmarkEnd w:id="162"/>
    <w:p>
      <w:pPr>
        <w:spacing w:after="0" w:line="269" w:lineRule="exact"/>
        <w:rPr>
          <w:sz w:val="20"/>
          <w:szCs w:val="20"/>
          <w:color w:val="auto"/>
        </w:rPr>
      </w:pPr>
    </w:p>
    <w:p>
      <w:pPr>
        <w:ind w:left="-80" w:right="180" w:firstLine="746"/>
        <w:spacing w:after="0" w:line="262" w:lineRule="auto"/>
        <w:tabs>
          <w:tab w:leader="none" w:pos="928"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and Compliance with Contracts. The Borrower will, at its expense, timely and fully perform and comply in all material respects (or cause UACC to perform and comply pursuant to the Purchase Agreement) with all provisions, covenants and other promises required to be observed by it under the Contracts and all other agreements related to such Contracts.</w:t>
      </w:r>
    </w:p>
    <w:p>
      <w:pPr>
        <w:spacing w:after="0" w:line="150" w:lineRule="exact"/>
        <w:rPr>
          <w:rFonts w:ascii="Times New Roman" w:cs="Times New Roman" w:eastAsia="Times New Roman" w:hAnsi="Times New Roman"/>
          <w:sz w:val="19"/>
          <w:szCs w:val="19"/>
          <w:color w:val="auto"/>
        </w:rPr>
      </w:pPr>
    </w:p>
    <w:p>
      <w:pPr>
        <w:ind w:left="-80" w:right="60" w:firstLine="746"/>
        <w:spacing w:after="0" w:line="257" w:lineRule="auto"/>
        <w:tabs>
          <w:tab w:leader="none" w:pos="9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Keeping of Records and Books of Account. To the extent not maintained and implemented by the Servicer, the Borrower will maintain and implement administrative and operating procedures (including an ability to recreate Records evidencing Receivables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w:t>
      </w:r>
    </w:p>
    <w:p>
      <w:pPr>
        <w:spacing w:after="0" w:line="156" w:lineRule="exact"/>
        <w:rPr>
          <w:rFonts w:ascii="Times New Roman" w:cs="Times New Roman" w:eastAsia="Times New Roman" w:hAnsi="Times New Roman"/>
          <w:sz w:val="19"/>
          <w:szCs w:val="19"/>
          <w:color w:val="auto"/>
        </w:rPr>
      </w:pPr>
    </w:p>
    <w:p>
      <w:pPr>
        <w:ind w:left="-80" w:firstLine="746"/>
        <w:spacing w:after="0" w:line="255" w:lineRule="auto"/>
        <w:tabs>
          <w:tab w:leader="none" w:pos="928"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Assets.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(as Seller),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w:t>
      </w:r>
    </w:p>
    <w:p>
      <w:pPr>
        <w:spacing w:after="0" w:line="159" w:lineRule="exact"/>
        <w:rPr>
          <w:rFonts w:ascii="Times New Roman" w:cs="Times New Roman" w:eastAsia="Times New Roman" w:hAnsi="Times New Roman"/>
          <w:sz w:val="19"/>
          <w:szCs w:val="19"/>
          <w:color w:val="auto"/>
        </w:rPr>
      </w:pPr>
    </w:p>
    <w:p>
      <w:pPr>
        <w:ind w:left="-80" w:right="500" w:firstLine="746"/>
        <w:spacing w:after="0" w:line="268" w:lineRule="auto"/>
        <w:tabs>
          <w:tab w:leader="none" w:pos="904"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of Collections. The Borrower will deliver to the Servicer for further remittance to either Account promptly (but in no event later than one Business Day after receipt) all Collections received by Borrower in respect of the Receivables.</w:t>
      </w:r>
    </w:p>
    <w:p>
      <w:pPr>
        <w:spacing w:after="0" w:line="144" w:lineRule="exact"/>
        <w:rPr>
          <w:rFonts w:ascii="Times New Roman" w:cs="Times New Roman" w:eastAsia="Times New Roman" w:hAnsi="Times New Roman"/>
          <w:sz w:val="19"/>
          <w:szCs w:val="19"/>
          <w:color w:val="auto"/>
        </w:rPr>
      </w:pPr>
    </w:p>
    <w:p>
      <w:pPr>
        <w:ind w:left="-80" w:right="140" w:firstLine="746"/>
        <w:spacing w:after="0" w:line="286" w:lineRule="auto"/>
        <w:tabs>
          <w:tab w:leader="none" w:pos="9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Separate Corporate Existence. The Borrower shall be in compliance with the special purpose entity requirements set forth in Section 6.02(n).</w:t>
      </w:r>
    </w:p>
    <w:p>
      <w:pPr>
        <w:spacing w:after="0" w:line="127" w:lineRule="exact"/>
        <w:rPr>
          <w:rFonts w:ascii="Times New Roman" w:cs="Times New Roman" w:eastAsia="Times New Roman" w:hAnsi="Times New Roman"/>
          <w:sz w:val="19"/>
          <w:szCs w:val="19"/>
          <w:color w:val="auto"/>
        </w:rPr>
      </w:pPr>
    </w:p>
    <w:p>
      <w:pPr>
        <w:ind w:left="940" w:hanging="274"/>
        <w:spacing w:after="0"/>
        <w:tabs>
          <w:tab w:leader="none" w:pos="9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w:t>
      </w:r>
    </w:p>
    <w:p>
      <w:pPr>
        <w:spacing w:after="0" w:line="201" w:lineRule="exact"/>
        <w:rPr>
          <w:rFonts w:ascii="Times New Roman" w:cs="Times New Roman" w:eastAsia="Times New Roman" w:hAnsi="Times New Roman"/>
          <w:sz w:val="19"/>
          <w:szCs w:val="19"/>
          <w:color w:val="auto"/>
        </w:rPr>
      </w:pPr>
    </w:p>
    <w:p>
      <w:pPr>
        <w:ind w:left="-80" w:right="100" w:firstLine="746"/>
        <w:spacing w:after="0" w:line="255" w:lineRule="auto"/>
        <w:tabs>
          <w:tab w:leader="none" w:pos="89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Early Amortization Events, Termination Events, and Servicer Termination Events. The Borrower will provide the Secured Parties and the Paying Agent with written notice immediately following the earlier of (i) actual knowledge by the Borrower and (ii) receipt by the Borrower from the Servicer or any Secured Party of written notice (which notice the Servicer shall be required to give promptly upon knowledge) of the occurrence of each Early Amortization Event, Termination Event, and Servicer Termination Event and, no later than three Business Days following the actual knowledge thereof, the Borrower will provide to the Secured Parties an Officer’s Certificate setting forth the details of such event and the action that the Borrower proposes to take with respect thereto. Additionally, the Borrower will provide the Secured Parties and the Paying Agent with</w:t>
      </w:r>
    </w:p>
    <w:p>
      <w:pPr>
        <w:spacing w:after="0" w:line="1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63" w:name="page164"/>
    <w:bookmarkEnd w:id="163"/>
    <w:p>
      <w:pPr>
        <w:spacing w:after="0" w:line="26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9"/>
          <w:szCs w:val="19"/>
          <w:color w:val="auto"/>
        </w:rPr>
        <w:t>written notice immediately following the earlier of (i) actual knowledge by the Borrower and (ii) receipt by the Borrower of written notice of, the occurrence of each Unmatured Termination Event and Unmatured Servicer Termination Event.</w:t>
      </w:r>
    </w:p>
    <w:p>
      <w:pPr>
        <w:spacing w:after="0" w:line="127" w:lineRule="exact"/>
        <w:rPr>
          <w:sz w:val="20"/>
          <w:szCs w:val="20"/>
          <w:color w:val="auto"/>
        </w:rPr>
      </w:pPr>
    </w:p>
    <w:p>
      <w:pPr>
        <w:ind w:right="140" w:firstLine="746"/>
        <w:spacing w:after="0" w:line="286" w:lineRule="auto"/>
        <w:tabs>
          <w:tab w:leader="none" w:pos="97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Taxes. The Borrower will file and pay any and all Taxes, including those required to meet the obligations of the Basic Documents that are due and payable, not being contested in good faith and fully reserved for in accordance with GAAP.</w:t>
      </w:r>
    </w:p>
    <w:p>
      <w:pPr>
        <w:spacing w:after="0" w:line="127" w:lineRule="exact"/>
        <w:rPr>
          <w:rFonts w:ascii="Times New Roman" w:cs="Times New Roman" w:eastAsia="Times New Roman" w:hAnsi="Times New Roman"/>
          <w:sz w:val="19"/>
          <w:szCs w:val="19"/>
          <w:color w:val="auto"/>
        </w:rPr>
      </w:pPr>
    </w:p>
    <w:p>
      <w:pPr>
        <w:ind w:right="560" w:firstLine="746"/>
        <w:spacing w:after="0" w:line="286" w:lineRule="auto"/>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of Proceeds. The Borrower will use the Principal Amounts only to acquire Receivables pursuant to the Purchase Agreement.</w:t>
      </w:r>
    </w:p>
    <w:p>
      <w:pPr>
        <w:spacing w:after="0" w:line="127" w:lineRule="exact"/>
        <w:rPr>
          <w:rFonts w:ascii="Times New Roman" w:cs="Times New Roman" w:eastAsia="Times New Roman" w:hAnsi="Times New Roman"/>
          <w:sz w:val="19"/>
          <w:szCs w:val="19"/>
          <w:color w:val="auto"/>
        </w:rPr>
      </w:pPr>
    </w:p>
    <w:p>
      <w:pPr>
        <w:jc w:val="both"/>
        <w:ind w:right="180" w:firstLine="746"/>
        <w:spacing w:after="0" w:line="268" w:lineRule="auto"/>
        <w:tabs>
          <w:tab w:leader="none" w:pos="97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Preservation of Security Interest. The Borrower will execute and file such financing and continuation statements and any other documents that may be required by any Applicable Law to preserve and protect fully the security interest of the Administrative Agent in, to and under the Collateral.</w:t>
      </w:r>
    </w:p>
    <w:p>
      <w:pPr>
        <w:spacing w:after="0" w:line="144" w:lineRule="exact"/>
        <w:rPr>
          <w:rFonts w:ascii="Times New Roman" w:cs="Times New Roman" w:eastAsia="Times New Roman" w:hAnsi="Times New Roman"/>
          <w:sz w:val="19"/>
          <w:szCs w:val="19"/>
          <w:color w:val="auto"/>
        </w:rPr>
      </w:pPr>
    </w:p>
    <w:p>
      <w:pPr>
        <w:ind w:left="1080" w:hanging="334"/>
        <w:spacing w:after="0"/>
        <w:tabs>
          <w:tab w:leader="none" w:pos="10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Reporting. The Borrower will furnish or cause to be furnished to the Secured Parties:</w:t>
      </w:r>
    </w:p>
    <w:p>
      <w:pPr>
        <w:spacing w:after="0" w:line="222" w:lineRule="exact"/>
        <w:rPr>
          <w:rFonts w:ascii="Times New Roman" w:cs="Times New Roman" w:eastAsia="Times New Roman" w:hAnsi="Times New Roman"/>
          <w:sz w:val="19"/>
          <w:szCs w:val="19"/>
          <w:color w:val="auto"/>
        </w:rPr>
      </w:pPr>
    </w:p>
    <w:p>
      <w:pPr>
        <w:ind w:left="1500" w:hanging="237"/>
        <w:spacing w:after="0"/>
        <w:tabs>
          <w:tab w:leader="none" w:pos="1500" w:val="left"/>
        </w:tabs>
        <w:numPr>
          <w:ilvl w:val="4"/>
          <w:numId w:val="113"/>
        </w:numPr>
        <w:rPr>
          <w:rFonts w:ascii="Times New Roman" w:cs="Times New Roman" w:eastAsia="Times New Roman" w:hAnsi="Times New Roman"/>
          <w:sz w:val="19"/>
          <w:szCs w:val="19"/>
          <w:color w:val="2F5496"/>
        </w:rPr>
      </w:pPr>
      <w:r>
        <w:rPr>
          <w:rFonts w:ascii="Times New Roman" w:cs="Times New Roman" w:eastAsia="Times New Roman" w:hAnsi="Times New Roman"/>
          <w:sz w:val="16"/>
          <w:szCs w:val="16"/>
          <w:color w:val="222222"/>
        </w:rPr>
        <w:t>[***].</w:t>
      </w:r>
    </w:p>
    <w:p>
      <w:pPr>
        <w:spacing w:after="0" w:line="180" w:lineRule="exact"/>
        <w:rPr>
          <w:rFonts w:ascii="Times New Roman" w:cs="Times New Roman" w:eastAsia="Times New Roman" w:hAnsi="Times New Roman"/>
          <w:sz w:val="19"/>
          <w:szCs w:val="19"/>
          <w:color w:val="2F5496"/>
        </w:rPr>
      </w:pPr>
    </w:p>
    <w:p>
      <w:pPr>
        <w:ind w:left="720" w:right="440" w:firstLine="471"/>
        <w:spacing w:after="0" w:line="286" w:lineRule="auto"/>
        <w:tabs>
          <w:tab w:leader="none" w:pos="1488" w:val="left"/>
        </w:tabs>
        <w:numPr>
          <w:ilvl w:val="3"/>
          <w:numId w:val="11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Monthly Reports. Not later than each Reporting Date, a Monthly Report and such other information as reasonably requested by the Administrative Agent.</w:t>
      </w:r>
    </w:p>
    <w:p>
      <w:pPr>
        <w:spacing w:after="0" w:line="127" w:lineRule="exact"/>
        <w:rPr>
          <w:rFonts w:ascii="Times New Roman" w:cs="Times New Roman" w:eastAsia="Times New Roman" w:hAnsi="Times New Roman"/>
          <w:sz w:val="19"/>
          <w:szCs w:val="19"/>
          <w:color w:val="2F5496"/>
        </w:rPr>
      </w:pPr>
    </w:p>
    <w:p>
      <w:pPr>
        <w:ind w:left="720" w:right="40" w:firstLine="387"/>
        <w:spacing w:after="0" w:line="259" w:lineRule="auto"/>
        <w:tabs>
          <w:tab w:leader="none" w:pos="1452" w:val="left"/>
        </w:tabs>
        <w:numPr>
          <w:ilvl w:val="1"/>
          <w:numId w:val="11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Income Tax Liability.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w:t>
      </w:r>
      <w:r>
        <w:rPr>
          <w:rFonts w:ascii="Times New Roman" w:cs="Times New Roman" w:eastAsia="Times New Roman" w:hAnsi="Times New Roman"/>
          <w:sz w:val="15"/>
          <w:szCs w:val="15"/>
          <w:color w:val="222222"/>
        </w:rPr>
        <w:t>[***]</w:t>
      </w:r>
      <w:r>
        <w:rPr>
          <w:rFonts w:ascii="Times New Roman" w:cs="Times New Roman" w:eastAsia="Times New Roman" w:hAnsi="Times New Roman"/>
          <w:sz w:val="19"/>
          <w:szCs w:val="19"/>
          <w:color w:val="auto"/>
        </w:rPr>
        <w:t xml:space="preserve"> in the aggregate, in writing specifying the nature of the items giving rise to such adjustments and the amounts thereof.</w:t>
      </w:r>
    </w:p>
    <w:p>
      <w:pPr>
        <w:spacing w:after="0" w:line="153" w:lineRule="exact"/>
        <w:rPr>
          <w:rFonts w:ascii="Times New Roman" w:cs="Times New Roman" w:eastAsia="Times New Roman" w:hAnsi="Times New Roman"/>
          <w:sz w:val="19"/>
          <w:szCs w:val="19"/>
          <w:color w:val="2F5496"/>
        </w:rPr>
      </w:pPr>
    </w:p>
    <w:p>
      <w:pPr>
        <w:jc w:val="both"/>
        <w:ind w:left="720" w:right="160" w:firstLine="411"/>
        <w:spacing w:after="0" w:line="268" w:lineRule="auto"/>
        <w:tabs>
          <w:tab w:leader="none" w:pos="1464" w:val="left"/>
        </w:tabs>
        <w:numPr>
          <w:ilvl w:val="2"/>
          <w:numId w:val="11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Tax Returns. Upon demand by the Administrative Agent, copies of all Tax returns and reports filed by the Borrower, or in which the Borrower was included on a consolidated or combined basis (excluding sales, use and like Taxes).</w:t>
      </w:r>
    </w:p>
    <w:p>
      <w:pPr>
        <w:spacing w:after="0" w:line="144" w:lineRule="exact"/>
        <w:rPr>
          <w:rFonts w:ascii="Times New Roman" w:cs="Times New Roman" w:eastAsia="Times New Roman" w:hAnsi="Times New Roman"/>
          <w:sz w:val="19"/>
          <w:szCs w:val="19"/>
          <w:color w:val="2F5496"/>
        </w:rPr>
      </w:pPr>
    </w:p>
    <w:p>
      <w:pPr>
        <w:ind w:left="720" w:firstLine="483"/>
        <w:spacing w:after="0" w:line="255" w:lineRule="auto"/>
        <w:tabs>
          <w:tab w:leader="none" w:pos="1488" w:val="left"/>
        </w:tabs>
        <w:numPr>
          <w:ilvl w:val="3"/>
          <w:numId w:val="11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Representations. Promptly upon receiving knowledge of same, the Borrower shall notify the Secured Parties if any representation or warranty set forth in Section 5.01 or 5.02 in any material respect was incorrect at the time it was given or deemed to have been given and at the same time deliver to the Secured Parties a written notice setting forth in reasonable detail the nature of such facts and circumstances. In particular, but without limiting the foregoing, the Borrower shall notify the Secured Parties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spacing w:after="0" w:line="3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1360" w:top="1440" w:right="700" w:bottom="1440" w:gutter="0" w:footer="0" w:header="0"/>
        </w:sectPr>
      </w:pPr>
    </w:p>
    <w:bookmarkStart w:id="164" w:name="page165"/>
    <w:bookmarkEnd w:id="164"/>
    <w:p>
      <w:pPr>
        <w:spacing w:after="0" w:line="269" w:lineRule="exact"/>
        <w:rPr>
          <w:sz w:val="20"/>
          <w:szCs w:val="20"/>
          <w:color w:val="auto"/>
        </w:rPr>
      </w:pPr>
    </w:p>
    <w:p>
      <w:pPr>
        <w:ind w:left="718" w:firstLine="411"/>
        <w:spacing w:after="0" w:line="262" w:lineRule="auto"/>
        <w:tabs>
          <w:tab w:leader="none" w:pos="1462" w:val="left"/>
        </w:tabs>
        <w:numPr>
          <w:ilvl w:val="4"/>
          <w:numId w:val="115"/>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Proceedings.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Governmental Authority, affecting the Borrower.</w:t>
      </w:r>
    </w:p>
    <w:p>
      <w:pPr>
        <w:spacing w:after="0" w:line="150" w:lineRule="exact"/>
        <w:rPr>
          <w:rFonts w:ascii="Times New Roman" w:cs="Times New Roman" w:eastAsia="Times New Roman" w:hAnsi="Times New Roman"/>
          <w:sz w:val="19"/>
          <w:szCs w:val="19"/>
          <w:color w:val="2F5496"/>
        </w:rPr>
      </w:pPr>
    </w:p>
    <w:p>
      <w:pPr>
        <w:jc w:val="both"/>
        <w:ind w:left="718" w:firstLine="327"/>
        <w:spacing w:after="0" w:line="268" w:lineRule="auto"/>
        <w:tabs>
          <w:tab w:leader="none" w:pos="1438" w:val="left"/>
        </w:tabs>
        <w:numPr>
          <w:ilvl w:val="3"/>
          <w:numId w:val="11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Notice of Material Events. Promptly upon any Responsible Officer of the Borrower becoming aware thereof, notice of any other event or circumstances that, in the reasonable judgment of the Borrower, is likely to have a Material Adverse Effect.</w:t>
      </w:r>
    </w:p>
    <w:p>
      <w:pPr>
        <w:spacing w:after="0" w:line="144" w:lineRule="exact"/>
        <w:rPr>
          <w:rFonts w:ascii="Times New Roman" w:cs="Times New Roman" w:eastAsia="Times New Roman" w:hAnsi="Times New Roman"/>
          <w:sz w:val="19"/>
          <w:szCs w:val="19"/>
          <w:color w:val="2F5496"/>
        </w:rPr>
      </w:pPr>
    </w:p>
    <w:p>
      <w:pPr>
        <w:ind w:left="718" w:right="340" w:firstLine="254"/>
        <w:spacing w:after="0" w:line="268" w:lineRule="auto"/>
        <w:tabs>
          <w:tab w:leader="none" w:pos="1414" w:val="left"/>
        </w:tabs>
        <w:numPr>
          <w:ilvl w:val="2"/>
          <w:numId w:val="11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Auditors’ Management Letters. Promptly after any auditors’ management letters are received by the Borrower or by its accountants, which refer in whole or in part to any inadequacy, defect, problem, qualification or other lack of fully satisfactory accounting controls utilized by the Borrower.</w:t>
      </w:r>
    </w:p>
    <w:p>
      <w:pPr>
        <w:spacing w:after="0" w:line="144" w:lineRule="exact"/>
        <w:rPr>
          <w:rFonts w:ascii="Times New Roman" w:cs="Times New Roman" w:eastAsia="Times New Roman" w:hAnsi="Times New Roman"/>
          <w:sz w:val="19"/>
          <w:szCs w:val="19"/>
          <w:color w:val="2F5496"/>
        </w:rPr>
      </w:pPr>
    </w:p>
    <w:p>
      <w:pPr>
        <w:ind w:left="718" w:right="480" w:firstLine="411"/>
        <w:spacing w:after="0" w:line="286" w:lineRule="auto"/>
        <w:tabs>
          <w:tab w:leader="none" w:pos="1462" w:val="left"/>
        </w:tabs>
        <w:numPr>
          <w:ilvl w:val="4"/>
          <w:numId w:val="11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ERISA. The Borrower shall promptly notify the Administrative Agent and the Lenders in the event the Borrower becomes a Benefit Plan Investor.</w:t>
      </w:r>
    </w:p>
    <w:p>
      <w:pPr>
        <w:spacing w:after="0" w:line="127" w:lineRule="exact"/>
        <w:rPr>
          <w:rFonts w:ascii="Times New Roman" w:cs="Times New Roman" w:eastAsia="Times New Roman" w:hAnsi="Times New Roman"/>
          <w:sz w:val="19"/>
          <w:szCs w:val="19"/>
          <w:color w:val="2F5496"/>
        </w:rPr>
      </w:pPr>
    </w:p>
    <w:p>
      <w:pPr>
        <w:ind w:left="-2" w:right="560" w:firstLine="746"/>
        <w:spacing w:after="0" w:line="286" w:lineRule="auto"/>
        <w:tabs>
          <w:tab w:leader="none" w:pos="1018"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Accounting Policy. The Borrower will promptly notify the Secured Parties of any change in the Borrower’s accounting policies that are not otherwise required by GAAP.</w:t>
      </w:r>
    </w:p>
    <w:p>
      <w:pPr>
        <w:spacing w:after="0" w:line="127" w:lineRule="exact"/>
        <w:rPr>
          <w:rFonts w:ascii="Times New Roman" w:cs="Times New Roman" w:eastAsia="Times New Roman" w:hAnsi="Times New Roman"/>
          <w:sz w:val="19"/>
          <w:szCs w:val="19"/>
          <w:color w:val="auto"/>
        </w:rPr>
      </w:pPr>
    </w:p>
    <w:p>
      <w:pPr>
        <w:ind w:left="1018" w:hanging="274"/>
        <w:spacing w:after="0"/>
        <w:tabs>
          <w:tab w:leader="none" w:pos="1018"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2" w:right="60" w:firstLine="746"/>
        <w:spacing w:after="0" w:line="262" w:lineRule="auto"/>
        <w:tabs>
          <w:tab w:leader="none" w:pos="1018"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The Borrower will furnish to the Secured Parties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spacing w:after="0" w:line="150" w:lineRule="exact"/>
        <w:rPr>
          <w:rFonts w:ascii="Times New Roman" w:cs="Times New Roman" w:eastAsia="Times New Roman" w:hAnsi="Times New Roman"/>
          <w:sz w:val="19"/>
          <w:szCs w:val="19"/>
          <w:color w:val="auto"/>
        </w:rPr>
      </w:pPr>
    </w:p>
    <w:p>
      <w:pPr>
        <w:jc w:val="both"/>
        <w:ind w:left="-2" w:right="140" w:firstLine="746"/>
        <w:spacing w:after="0" w:line="258" w:lineRule="auto"/>
        <w:tabs>
          <w:tab w:leader="none" w:pos="1018"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Regarding Collateral. The Borrower shall advise the Secured Parties in writing promptly, in reasonable detail of (i) any Lien (other than Permitted Liens) asserted or claim made against a material portion of the Collateral, (ii) the occurrence of a material breach by the Borrower of any of its representations and warranties or covenants contained herein and</w:t>
      </w:r>
    </w:p>
    <w:p>
      <w:pPr>
        <w:spacing w:after="0" w:line="1" w:lineRule="exact"/>
        <w:rPr>
          <w:rFonts w:ascii="Times New Roman" w:cs="Times New Roman" w:eastAsia="Times New Roman" w:hAnsi="Times New Roman"/>
          <w:sz w:val="19"/>
          <w:szCs w:val="19"/>
          <w:color w:val="auto"/>
        </w:rPr>
      </w:pPr>
    </w:p>
    <w:p>
      <w:pPr>
        <w:ind w:left="338" w:hanging="338"/>
        <w:spacing w:after="0"/>
        <w:tabs>
          <w:tab w:leader="none" w:pos="33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other event which would have a Material Adverse Effect.</w:t>
      </w:r>
    </w:p>
    <w:p>
      <w:pPr>
        <w:spacing w:after="0" w:line="179" w:lineRule="exact"/>
        <w:rPr>
          <w:rFonts w:ascii="Times New Roman" w:cs="Times New Roman" w:eastAsia="Times New Roman" w:hAnsi="Times New Roman"/>
          <w:sz w:val="19"/>
          <w:szCs w:val="19"/>
          <w:color w:val="auto"/>
        </w:rPr>
      </w:pPr>
    </w:p>
    <w:p>
      <w:pPr>
        <w:ind w:left="-2" w:right="280" w:firstLine="746"/>
        <w:spacing w:after="0" w:line="268" w:lineRule="auto"/>
        <w:tabs>
          <w:tab w:leader="none" w:pos="982"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Anti-Corruption Laws and Sanctions. The Borrower will maintain in effect and enforce policies and procedures designed to ensure compliance by the Borrower and each of its Subsidiaries and Affiliates and their respective directors, officers, employees and agents with applicable Anti-Corruption Laws and Sanctions.</w:t>
      </w:r>
    </w:p>
    <w:p>
      <w:pPr>
        <w:spacing w:after="0" w:line="144" w:lineRule="exact"/>
        <w:rPr>
          <w:rFonts w:ascii="Times New Roman" w:cs="Times New Roman" w:eastAsia="Times New Roman" w:hAnsi="Times New Roman"/>
          <w:sz w:val="19"/>
          <w:szCs w:val="19"/>
          <w:color w:val="auto"/>
        </w:rPr>
      </w:pPr>
    </w:p>
    <w:p>
      <w:pPr>
        <w:ind w:left="-2" w:right="520" w:firstLine="746"/>
        <w:spacing w:after="0" w:line="268" w:lineRule="auto"/>
        <w:tabs>
          <w:tab w:leader="none" w:pos="994"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Preservation of Security Interest. The Borrower will file or cause to be filed such financing and continuation statements (and amendments thereto) and any other documents that may be required by any law or regulation of any Governmental Authority</w:t>
      </w:r>
    </w:p>
    <w:p>
      <w:pPr>
        <w:spacing w:after="0" w:line="144" w:lineRule="exact"/>
        <w:rPr>
          <w:sz w:val="20"/>
          <w:szCs w:val="20"/>
          <w:color w:val="auto"/>
        </w:rPr>
      </w:pPr>
    </w:p>
    <w:p>
      <w:pPr>
        <w:ind w:left="4498"/>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649605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78"/>
          </w:cols>
          <w:pgMar w:left="1362" w:top="1440" w:right="660" w:bottom="1440" w:gutter="0" w:footer="0" w:header="0"/>
        </w:sectPr>
      </w:pPr>
    </w:p>
    <w:bookmarkStart w:id="165" w:name="page166"/>
    <w:bookmarkEnd w:id="165"/>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preserve and protect fully the security interest of the Administrative Agent in, to and under the Collateral.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F5496"/>
        </w:rPr>
        <w:t xml:space="preserve">Section Six.02.  </w:t>
      </w:r>
      <w:r>
        <w:rPr>
          <w:rFonts w:ascii="Times New Roman" w:cs="Times New Roman" w:eastAsia="Times New Roman" w:hAnsi="Times New Roman"/>
          <w:sz w:val="19"/>
          <w:szCs w:val="19"/>
          <w:b w:val="1"/>
          <w:bCs w:val="1"/>
          <w:color w:val="000000"/>
        </w:rPr>
        <w:t>Negative Covenants of the Borrower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the date hereof until the Facility Termination Date:</w:t>
      </w:r>
    </w:p>
    <w:p>
      <w:pPr>
        <w:spacing w:after="0" w:line="202" w:lineRule="exact"/>
        <w:rPr>
          <w:sz w:val="20"/>
          <w:szCs w:val="20"/>
          <w:color w:val="auto"/>
        </w:rPr>
      </w:pPr>
    </w:p>
    <w:p>
      <w:pPr>
        <w:ind w:right="120" w:firstLine="746"/>
        <w:spacing w:after="0" w:line="268" w:lineRule="auto"/>
        <w:tabs>
          <w:tab w:leader="none" w:pos="100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Business. The Borrower will not (i) engage in any business other than the transactions contemplated by the Basic Documents, (ii) incur any Indebtedness, obligation, liability or contingent obligation of any kind other than pursuant to this Agreement or (iii) form any Subsidiary or make any Investment in any other Person.</w:t>
      </w:r>
    </w:p>
    <w:p>
      <w:pPr>
        <w:spacing w:after="0" w:line="144" w:lineRule="exact"/>
        <w:rPr>
          <w:rFonts w:ascii="Times New Roman" w:cs="Times New Roman" w:eastAsia="Times New Roman" w:hAnsi="Times New Roman"/>
          <w:sz w:val="19"/>
          <w:szCs w:val="19"/>
          <w:color w:val="auto"/>
        </w:rPr>
      </w:pPr>
    </w:p>
    <w:p>
      <w:pPr>
        <w:ind w:firstLine="746"/>
        <w:spacing w:after="0" w:line="268" w:lineRule="auto"/>
        <w:tabs>
          <w:tab w:leader="none" w:pos="10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Receivables Not to be Evidenced by Instruments. The Borrower will take no action to cause any Receivable that is not, as of the Closing Date or the related Funding Date, as the case may be, evidenced by an Instrument, to be so evidenced except in connection with the enforcement or collection of such Receivable.</w:t>
      </w:r>
    </w:p>
    <w:p>
      <w:pPr>
        <w:spacing w:after="0" w:line="144" w:lineRule="exact"/>
        <w:rPr>
          <w:rFonts w:ascii="Times New Roman" w:cs="Times New Roman" w:eastAsia="Times New Roman" w:hAnsi="Times New Roman"/>
          <w:sz w:val="19"/>
          <w:szCs w:val="19"/>
          <w:color w:val="auto"/>
        </w:rPr>
      </w:pPr>
    </w:p>
    <w:p>
      <w:pPr>
        <w:ind w:firstLine="746"/>
        <w:spacing w:after="0" w:line="255" w:lineRule="auto"/>
        <w:tabs>
          <w:tab w:leader="none" w:pos="100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Interests.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(except Permitted Liens) on its interest, if any, hereunder. The Borrower will promptly notify the Secured Parties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spacing w:after="0" w:line="159" w:lineRule="exact"/>
        <w:rPr>
          <w:rFonts w:ascii="Times New Roman" w:cs="Times New Roman" w:eastAsia="Times New Roman" w:hAnsi="Times New Roman"/>
          <w:sz w:val="19"/>
          <w:szCs w:val="19"/>
          <w:color w:val="auto"/>
        </w:rPr>
      </w:pPr>
    </w:p>
    <w:p>
      <w:pPr>
        <w:jc w:val="both"/>
        <w:ind w:right="40" w:firstLine="746"/>
        <w:spacing w:after="0" w:line="262" w:lineRule="auto"/>
        <w:tabs>
          <w:tab w:leader="none" w:pos="10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Mergers, Acquisitions, Sales, Etc.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spacing w:after="0" w:line="150" w:lineRule="exact"/>
        <w:rPr>
          <w:rFonts w:ascii="Times New Roman" w:cs="Times New Roman" w:eastAsia="Times New Roman" w:hAnsi="Times New Roman"/>
          <w:sz w:val="19"/>
          <w:szCs w:val="19"/>
          <w:color w:val="auto"/>
        </w:rPr>
      </w:pPr>
    </w:p>
    <w:p>
      <w:pPr>
        <w:ind w:right="100" w:firstLine="746"/>
        <w:spacing w:after="0" w:line="257" w:lineRule="auto"/>
        <w:tabs>
          <w:tab w:leader="none" w:pos="100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Distributions.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pay cash distributions on the certificates issued pursuant to the Trust Agreement with funds distributed to the Borrower pursuant to Section 2.08(a)(x), subject to Applicable Law.</w:t>
      </w:r>
    </w:p>
    <w:p>
      <w:pPr>
        <w:spacing w:after="0" w:line="156" w:lineRule="exact"/>
        <w:rPr>
          <w:rFonts w:ascii="Times New Roman" w:cs="Times New Roman" w:eastAsia="Times New Roman" w:hAnsi="Times New Roman"/>
          <w:sz w:val="19"/>
          <w:szCs w:val="19"/>
          <w:color w:val="auto"/>
        </w:rPr>
      </w:pPr>
    </w:p>
    <w:p>
      <w:pPr>
        <w:ind w:right="80" w:firstLine="746"/>
        <w:spacing w:after="0" w:line="268" w:lineRule="auto"/>
        <w:tabs>
          <w:tab w:leader="none" w:pos="98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Name or Location of Receivable Files. The Borrower shall not (i) change its name (within the meaning of Sections 9-503 and 9-507(c) of any applicable enactment of the UCC), type or jurisdiction of organization, become a “new debtor” (as</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66" w:name="page167"/>
    <w:bookmarkEnd w:id="166"/>
    <w:p>
      <w:pPr>
        <w:spacing w:after="0" w:line="2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the majority of its books and Records are maintained as set forth in Section 14.02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spacing w:after="0" w:line="157" w:lineRule="exact"/>
        <w:rPr>
          <w:sz w:val="20"/>
          <w:szCs w:val="20"/>
          <w:color w:val="auto"/>
        </w:rPr>
      </w:pPr>
    </w:p>
    <w:p>
      <w:pPr>
        <w:jc w:val="both"/>
        <w:ind w:firstLine="746"/>
        <w:spacing w:after="0" w:line="268" w:lineRule="auto"/>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True Sale. Except for purposes of GAAP, the Borrower will not account for or treat the transactions contemplated by the Purchase Agreement in any manner other than as the sale, or absolute assignment, of the Receivables and other Collateral by the Seller to the Borrower.</w:t>
      </w:r>
    </w:p>
    <w:p>
      <w:pPr>
        <w:spacing w:after="0" w:line="144" w:lineRule="exact"/>
        <w:rPr>
          <w:rFonts w:ascii="Times New Roman" w:cs="Times New Roman" w:eastAsia="Times New Roman" w:hAnsi="Times New Roman"/>
          <w:sz w:val="19"/>
          <w:szCs w:val="19"/>
          <w:color w:val="auto"/>
        </w:rPr>
      </w:pPr>
    </w:p>
    <w:p>
      <w:pPr>
        <w:ind w:right="420" w:firstLine="746"/>
        <w:spacing w:after="0" w:line="286" w:lineRule="auto"/>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ERISA Matters. None of the Borrower or its ERISA Affiliates shall sponsor, adopt, contribute to or have any obligation to contribute to or have any liability with respect to any Pension Plan or any Multiemployer Plan.</w:t>
      </w:r>
    </w:p>
    <w:p>
      <w:pPr>
        <w:spacing w:after="0" w:line="127" w:lineRule="exact"/>
        <w:rPr>
          <w:rFonts w:ascii="Times New Roman" w:cs="Times New Roman" w:eastAsia="Times New Roman" w:hAnsi="Times New Roman"/>
          <w:sz w:val="19"/>
          <w:szCs w:val="19"/>
          <w:color w:val="auto"/>
        </w:rPr>
      </w:pPr>
    </w:p>
    <w:p>
      <w:pPr>
        <w:ind w:right="40" w:firstLine="746"/>
        <w:spacing w:after="0" w:line="268" w:lineRule="auto"/>
        <w:tabs>
          <w:tab w:leader="none" w:pos="97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Formation Documents; Purchase Agreement. Without the prior consent of the Administrative Agent, the Borrower will not amend, modify, waive or terminate any provision of its Formation Documents or the Purchase Agreement (including any Transfer Agreement).</w:t>
      </w:r>
    </w:p>
    <w:p>
      <w:pPr>
        <w:spacing w:after="0" w:line="144" w:lineRule="exact"/>
        <w:rPr>
          <w:rFonts w:ascii="Times New Roman" w:cs="Times New Roman" w:eastAsia="Times New Roman" w:hAnsi="Times New Roman"/>
          <w:sz w:val="19"/>
          <w:szCs w:val="19"/>
          <w:color w:val="auto"/>
        </w:rPr>
      </w:pPr>
    </w:p>
    <w:p>
      <w:pPr>
        <w:ind w:right="100" w:firstLine="746"/>
        <w:spacing w:after="0" w:line="259" w:lineRule="auto"/>
        <w:tabs>
          <w:tab w:leader="none" w:pos="97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Changes in Payment Instructions. The Borrower will not add or make any change, or permit the Servicer to make any change, in its instructions to Obligors regarding payments to be made to the Borrower or the Servicer, other than in accordance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or payments to be made to the Post Office Boxes or the Lockbox Account, other than in accordance with the terms of the Intercreditor Agreement and the Intercreditor Party Supplement and unless the Administrative Agent has received duly executed copies of all documentation related thereto.</w:t>
      </w:r>
    </w:p>
    <w:p>
      <w:pPr>
        <w:spacing w:after="0" w:line="153" w:lineRule="exact"/>
        <w:rPr>
          <w:rFonts w:ascii="Times New Roman" w:cs="Times New Roman" w:eastAsia="Times New Roman" w:hAnsi="Times New Roman"/>
          <w:sz w:val="19"/>
          <w:szCs w:val="19"/>
          <w:color w:val="auto"/>
        </w:rPr>
      </w:pPr>
    </w:p>
    <w:p>
      <w:pPr>
        <w:ind w:right="360" w:firstLine="746"/>
        <w:spacing w:after="0" w:line="286" w:lineRule="auto"/>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Extension or Amendment. The Borrower will not, except as otherwise permitted in Section 7.03(c)(i), extend, amend or otherwise modify, or permit the Servicer to extend, amend or otherwise modify, the terms of any Contract.</w:t>
      </w:r>
    </w:p>
    <w:p>
      <w:pPr>
        <w:spacing w:after="0" w:line="127" w:lineRule="exact"/>
        <w:rPr>
          <w:rFonts w:ascii="Times New Roman" w:cs="Times New Roman" w:eastAsia="Times New Roman" w:hAnsi="Times New Roman"/>
          <w:sz w:val="19"/>
          <w:szCs w:val="19"/>
          <w:color w:val="auto"/>
        </w:rPr>
      </w:pPr>
    </w:p>
    <w:p>
      <w:pPr>
        <w:ind w:left="980" w:hanging="234"/>
        <w:spacing w:after="0"/>
        <w:tabs>
          <w:tab w:leader="none" w:pos="98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w:t>
      </w:r>
    </w:p>
    <w:p>
      <w:pPr>
        <w:spacing w:after="0" w:line="201" w:lineRule="exact"/>
        <w:rPr>
          <w:rFonts w:ascii="Times New Roman" w:cs="Times New Roman" w:eastAsia="Times New Roman" w:hAnsi="Times New Roman"/>
          <w:sz w:val="19"/>
          <w:szCs w:val="19"/>
          <w:color w:val="auto"/>
        </w:rPr>
      </w:pPr>
    </w:p>
    <w:p>
      <w:pPr>
        <w:ind w:right="140" w:firstLine="746"/>
        <w:spacing w:after="0" w:line="268" w:lineRule="auto"/>
        <w:tabs>
          <w:tab w:leader="none" w:pos="106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Assignments. The Borrower will not assign or delegate, grant any interest in or permit any Lien (except Permitted Liens) to exist upon any of its rights, obligations or duties under this Agreement without the prior written consent of the Administrative Agent.</w:t>
      </w:r>
    </w:p>
    <w:p>
      <w:pPr>
        <w:spacing w:after="0" w:line="144" w:lineRule="exact"/>
        <w:rPr>
          <w:rFonts w:ascii="Times New Roman" w:cs="Times New Roman" w:eastAsia="Times New Roman" w:hAnsi="Times New Roman"/>
          <w:sz w:val="19"/>
          <w:szCs w:val="19"/>
          <w:color w:val="auto"/>
        </w:rPr>
      </w:pPr>
    </w:p>
    <w:p>
      <w:pPr>
        <w:ind w:left="1020" w:hanging="274"/>
        <w:spacing w:after="0"/>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Special Purpose Entity. The Borrower shall not (nor has the Borrower taken any such action in the past):</w:t>
      </w:r>
    </w:p>
    <w:p>
      <w:pPr>
        <w:spacing w:after="0" w:line="202" w:lineRule="exact"/>
        <w:rPr>
          <w:sz w:val="20"/>
          <w:szCs w:val="20"/>
          <w:color w:val="auto"/>
        </w:rPr>
      </w:pPr>
    </w:p>
    <w:p>
      <w:pPr>
        <w:ind w:left="720" w:right="60" w:firstLine="543"/>
        <w:spacing w:after="0" w:line="286" w:lineRule="auto"/>
        <w:tabs>
          <w:tab w:leader="none" w:pos="1500" w:val="left"/>
        </w:tabs>
        <w:numPr>
          <w:ilvl w:val="0"/>
          <w:numId w:val="12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engage in any business or activity other than the purchase and receipt of Receivables and related assets from the Seller under the Purchase Agreement, the</w:t>
      </w:r>
    </w:p>
    <w:p>
      <w:pPr>
        <w:spacing w:after="0" w:line="1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167" w:name="page168"/>
    <w:bookmarkEnd w:id="167"/>
    <w:p>
      <w:pPr>
        <w:spacing w:after="0" w:line="269" w:lineRule="exact"/>
        <w:rPr>
          <w:sz w:val="20"/>
          <w:szCs w:val="20"/>
          <w:color w:val="auto"/>
        </w:rPr>
      </w:pPr>
    </w:p>
    <w:p>
      <w:pPr>
        <w:ind w:left="640" w:right="540"/>
        <w:spacing w:after="0" w:line="286" w:lineRule="auto"/>
        <w:rPr>
          <w:sz w:val="20"/>
          <w:szCs w:val="20"/>
          <w:color w:val="auto"/>
        </w:rPr>
      </w:pPr>
      <w:r>
        <w:rPr>
          <w:rFonts w:ascii="Times New Roman" w:cs="Times New Roman" w:eastAsia="Times New Roman" w:hAnsi="Times New Roman"/>
          <w:sz w:val="19"/>
          <w:szCs w:val="19"/>
          <w:color w:val="auto"/>
        </w:rPr>
        <w:t>pledge of Receivables and other Collateral under the Basic Documents and such other activities as are incidental thereto;</w:t>
      </w:r>
    </w:p>
    <w:p>
      <w:pPr>
        <w:spacing w:after="0" w:line="127" w:lineRule="exact"/>
        <w:rPr>
          <w:sz w:val="20"/>
          <w:szCs w:val="20"/>
          <w:color w:val="auto"/>
        </w:rPr>
      </w:pPr>
    </w:p>
    <w:p>
      <w:pPr>
        <w:ind w:left="640" w:firstLine="471"/>
        <w:spacing w:after="0" w:line="286" w:lineRule="auto"/>
        <w:tabs>
          <w:tab w:leader="none" w:pos="1408" w:val="left"/>
        </w:tabs>
        <w:numPr>
          <w:ilvl w:val="2"/>
          <w:numId w:val="12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acquire or own any material assets other than (A) the Receivables and related assets from the Seller under the Purchase Agreement and (B) incidental property as may be necessary for the operation of the Borrower;</w:t>
      </w:r>
    </w:p>
    <w:p>
      <w:pPr>
        <w:spacing w:after="0" w:line="127" w:lineRule="exact"/>
        <w:rPr>
          <w:rFonts w:ascii="Times New Roman" w:cs="Times New Roman" w:eastAsia="Times New Roman" w:hAnsi="Times New Roman"/>
          <w:sz w:val="19"/>
          <w:szCs w:val="19"/>
          <w:color w:val="2F5496"/>
        </w:rPr>
      </w:pPr>
    </w:p>
    <w:p>
      <w:pPr>
        <w:ind w:left="640" w:firstLine="387"/>
        <w:spacing w:after="0" w:line="268" w:lineRule="auto"/>
        <w:tabs>
          <w:tab w:leader="none" w:pos="1372" w:val="left"/>
        </w:tabs>
        <w:numPr>
          <w:ilvl w:val="0"/>
          <w:numId w:val="12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spacing w:after="0" w:line="144" w:lineRule="exact"/>
        <w:rPr>
          <w:rFonts w:ascii="Times New Roman" w:cs="Times New Roman" w:eastAsia="Times New Roman" w:hAnsi="Times New Roman"/>
          <w:sz w:val="19"/>
          <w:szCs w:val="19"/>
          <w:color w:val="2F5496"/>
        </w:rPr>
      </w:pPr>
    </w:p>
    <w:p>
      <w:pPr>
        <w:ind w:left="640" w:right="60" w:firstLine="411"/>
        <w:spacing w:after="0" w:line="262" w:lineRule="auto"/>
        <w:tabs>
          <w:tab w:leader="none" w:pos="1384" w:val="left"/>
        </w:tabs>
        <w:numPr>
          <w:ilvl w:val="1"/>
          <w:numId w:val="12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spacing w:after="0" w:line="150" w:lineRule="exact"/>
        <w:rPr>
          <w:rFonts w:ascii="Times New Roman" w:cs="Times New Roman" w:eastAsia="Times New Roman" w:hAnsi="Times New Roman"/>
          <w:sz w:val="19"/>
          <w:szCs w:val="19"/>
          <w:color w:val="2F5496"/>
        </w:rPr>
      </w:pPr>
    </w:p>
    <w:p>
      <w:pPr>
        <w:ind w:left="1400" w:hanging="277"/>
        <w:spacing w:after="0"/>
        <w:tabs>
          <w:tab w:leader="none" w:pos="1400" w:val="left"/>
        </w:tabs>
        <w:numPr>
          <w:ilvl w:val="2"/>
          <w:numId w:val="12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own any Subsidiary or make any investment in any Person without the consent of the Administrative Agent;</w:t>
      </w:r>
    </w:p>
    <w:p>
      <w:pPr>
        <w:spacing w:after="0" w:line="202" w:lineRule="exact"/>
        <w:rPr>
          <w:sz w:val="20"/>
          <w:szCs w:val="20"/>
          <w:color w:val="auto"/>
        </w:rPr>
      </w:pPr>
    </w:p>
    <w:p>
      <w:pPr>
        <w:ind w:left="640" w:right="240" w:firstLine="411"/>
        <w:spacing w:after="0" w:line="286" w:lineRule="auto"/>
        <w:tabs>
          <w:tab w:leader="none" w:pos="1384" w:val="left"/>
        </w:tabs>
        <w:numPr>
          <w:ilvl w:val="2"/>
          <w:numId w:val="125"/>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commingle its assets with the assets of any of its Affiliates, or of any other Person, except as contemplated hereunder or under the Intercreditor Agreement;</w:t>
      </w:r>
    </w:p>
    <w:p>
      <w:pPr>
        <w:spacing w:after="0" w:line="127" w:lineRule="exact"/>
        <w:rPr>
          <w:rFonts w:ascii="Times New Roman" w:cs="Times New Roman" w:eastAsia="Times New Roman" w:hAnsi="Times New Roman"/>
          <w:sz w:val="19"/>
          <w:szCs w:val="19"/>
          <w:color w:val="2F5496"/>
        </w:rPr>
      </w:pPr>
    </w:p>
    <w:p>
      <w:pPr>
        <w:ind w:left="640" w:right="80" w:firstLine="327"/>
        <w:spacing w:after="0" w:line="262" w:lineRule="auto"/>
        <w:tabs>
          <w:tab w:leader="none" w:pos="1360" w:val="left"/>
        </w:tabs>
        <w:numPr>
          <w:ilvl w:val="1"/>
          <w:numId w:val="12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incur any Indebtedness,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spacing w:after="0" w:line="150" w:lineRule="exact"/>
        <w:rPr>
          <w:rFonts w:ascii="Times New Roman" w:cs="Times New Roman" w:eastAsia="Times New Roman" w:hAnsi="Times New Roman"/>
          <w:sz w:val="19"/>
          <w:szCs w:val="19"/>
          <w:color w:val="2F5496"/>
        </w:rPr>
      </w:pPr>
    </w:p>
    <w:p>
      <w:pPr>
        <w:ind w:left="1320" w:hanging="426"/>
        <w:spacing w:after="0"/>
        <w:tabs>
          <w:tab w:leader="none" w:pos="1320" w:val="left"/>
        </w:tabs>
        <w:numPr>
          <w:ilvl w:val="0"/>
          <w:numId w:val="12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become not Solvent;</w:t>
      </w:r>
    </w:p>
    <w:p>
      <w:pPr>
        <w:spacing w:after="0" w:line="201" w:lineRule="exact"/>
        <w:rPr>
          <w:rFonts w:ascii="Times New Roman" w:cs="Times New Roman" w:eastAsia="Times New Roman" w:hAnsi="Times New Roman"/>
          <w:sz w:val="19"/>
          <w:szCs w:val="19"/>
          <w:color w:val="2F5496"/>
        </w:rPr>
      </w:pPr>
    </w:p>
    <w:p>
      <w:pPr>
        <w:ind w:left="640" w:right="260" w:firstLine="411"/>
        <w:spacing w:after="0" w:line="286" w:lineRule="auto"/>
        <w:tabs>
          <w:tab w:leader="none" w:pos="1384" w:val="left"/>
        </w:tabs>
        <w:numPr>
          <w:ilvl w:val="2"/>
          <w:numId w:val="12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maintain its records, books of account and bank accounts separate and apart from those of any other Person, except as contemplated hereunder or under the Intercreditor Agreement;</w:t>
      </w:r>
    </w:p>
    <w:p>
      <w:pPr>
        <w:spacing w:after="0" w:line="127" w:lineRule="exact"/>
        <w:rPr>
          <w:rFonts w:ascii="Times New Roman" w:cs="Times New Roman" w:eastAsia="Times New Roman" w:hAnsi="Times New Roman"/>
          <w:sz w:val="19"/>
          <w:szCs w:val="19"/>
          <w:color w:val="2F5496"/>
        </w:rPr>
      </w:pPr>
    </w:p>
    <w:p>
      <w:pPr>
        <w:ind w:left="640" w:right="100" w:firstLine="483"/>
        <w:spacing w:after="0" w:line="268" w:lineRule="auto"/>
        <w:tabs>
          <w:tab w:leader="none" w:pos="1408" w:val="left"/>
        </w:tabs>
        <w:numPr>
          <w:ilvl w:val="3"/>
          <w:numId w:val="12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not including its Affiliates;</w:t>
      </w:r>
    </w:p>
    <w:p>
      <w:pPr>
        <w:spacing w:after="0" w:line="144" w:lineRule="exact"/>
        <w:rPr>
          <w:sz w:val="20"/>
          <w:szCs w:val="20"/>
          <w:color w:val="auto"/>
        </w:rPr>
      </w:pPr>
    </w:p>
    <w:p>
      <w:pPr>
        <w:ind w:left="1380" w:hanging="329"/>
        <w:spacing w:after="0"/>
        <w:tabs>
          <w:tab w:leader="none" w:pos="1380" w:val="left"/>
        </w:tabs>
        <w:numPr>
          <w:ilvl w:val="1"/>
          <w:numId w:val="12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seek its dissolution or winding up in whole or in part;</w:t>
      </w:r>
    </w:p>
    <w:p>
      <w:pPr>
        <w:spacing w:after="0" w:line="201" w:lineRule="exact"/>
        <w:rPr>
          <w:rFonts w:ascii="Times New Roman" w:cs="Times New Roman" w:eastAsia="Times New Roman" w:hAnsi="Times New Roman"/>
          <w:sz w:val="19"/>
          <w:szCs w:val="19"/>
          <w:color w:val="2F5496"/>
        </w:rPr>
      </w:pPr>
    </w:p>
    <w:p>
      <w:pPr>
        <w:ind w:left="640" w:right="620" w:firstLine="327"/>
        <w:spacing w:after="0" w:line="286" w:lineRule="auto"/>
        <w:tabs>
          <w:tab w:leader="none" w:pos="1360" w:val="left"/>
        </w:tabs>
        <w:numPr>
          <w:ilvl w:val="0"/>
          <w:numId w:val="12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correct any known misunderstandings regarding the separate identity of Borrower or UACC, as applicable, or any Principal or Affiliate thereof or any other Person;</w:t>
      </w:r>
    </w:p>
    <w:p>
      <w:pPr>
        <w:spacing w:after="0" w:line="1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168" w:name="page169"/>
    <w:bookmarkEnd w:id="168"/>
    <w:p>
      <w:pPr>
        <w:spacing w:after="0" w:line="269" w:lineRule="exact"/>
        <w:rPr>
          <w:sz w:val="20"/>
          <w:szCs w:val="20"/>
          <w:color w:val="auto"/>
        </w:rPr>
      </w:pPr>
    </w:p>
    <w:p>
      <w:pPr>
        <w:ind w:left="640" w:right="200" w:firstLine="254"/>
        <w:spacing w:after="0" w:line="286" w:lineRule="auto"/>
        <w:tabs>
          <w:tab w:leader="none" w:pos="1336" w:val="left"/>
        </w:tabs>
        <w:numPr>
          <w:ilvl w:val="2"/>
          <w:numId w:val="13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guarantee, become obligated for, or hold itself out to be responsible for the Indebtedness of another Person, except as expressly provided in the Basic Documents;</w:t>
      </w:r>
    </w:p>
    <w:p>
      <w:pPr>
        <w:spacing w:after="0" w:line="127" w:lineRule="exact"/>
        <w:rPr>
          <w:rFonts w:ascii="Times New Roman" w:cs="Times New Roman" w:eastAsia="Times New Roman" w:hAnsi="Times New Roman"/>
          <w:sz w:val="19"/>
          <w:szCs w:val="19"/>
          <w:color w:val="2F5496"/>
        </w:rPr>
      </w:pPr>
    </w:p>
    <w:p>
      <w:pPr>
        <w:ind w:left="640" w:right="640" w:firstLine="266"/>
        <w:spacing w:after="0" w:line="286" w:lineRule="auto"/>
        <w:tabs>
          <w:tab w:leader="none" w:pos="1336" w:val="left"/>
        </w:tabs>
        <w:numPr>
          <w:ilvl w:val="2"/>
          <w:numId w:val="13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make any loan or advances to any third party, including any principal or Affiliate, or hold evidence of Indebtedness issued by any other Person (other than Permitted Investments);</w:t>
      </w:r>
    </w:p>
    <w:p>
      <w:pPr>
        <w:spacing w:after="0" w:line="127" w:lineRule="exact"/>
        <w:rPr>
          <w:rFonts w:ascii="Times New Roman" w:cs="Times New Roman" w:eastAsia="Times New Roman" w:hAnsi="Times New Roman"/>
          <w:sz w:val="19"/>
          <w:szCs w:val="19"/>
          <w:color w:val="2F5496"/>
        </w:rPr>
      </w:pPr>
    </w:p>
    <w:p>
      <w:pPr>
        <w:ind w:left="640" w:right="160" w:firstLine="351"/>
        <w:spacing w:after="0" w:line="262" w:lineRule="auto"/>
        <w:tabs>
          <w:tab w:leader="none" w:pos="1372" w:val="left"/>
        </w:tabs>
        <w:numPr>
          <w:ilvl w:val="4"/>
          <w:numId w:val="13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either to hold itself out to the public as a legal entity separate and distinct from any other Person or to conduct its business solely in its own name in order not (A) to mislead others as to the identity with which such other Person is transacting business, or (B) to suggest that it is responsible for the Indebtedness of any other Person (including any of its Principals or Affiliates);</w:t>
      </w:r>
    </w:p>
    <w:p>
      <w:pPr>
        <w:spacing w:after="0" w:line="150" w:lineRule="exact"/>
        <w:rPr>
          <w:rFonts w:ascii="Times New Roman" w:cs="Times New Roman" w:eastAsia="Times New Roman" w:hAnsi="Times New Roman"/>
          <w:sz w:val="19"/>
          <w:szCs w:val="19"/>
          <w:color w:val="2F5496"/>
        </w:rPr>
      </w:pPr>
    </w:p>
    <w:p>
      <w:pPr>
        <w:ind w:left="640" w:firstLine="266"/>
        <w:spacing w:after="0" w:line="286" w:lineRule="auto"/>
        <w:tabs>
          <w:tab w:leader="none" w:pos="1336" w:val="left"/>
        </w:tabs>
        <w:numPr>
          <w:ilvl w:val="3"/>
          <w:numId w:val="13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maintain adequate capital for the normal obligations reasonably foreseeable in a business of its size and character and in light of its contemplated business operations;</w:t>
      </w:r>
    </w:p>
    <w:p>
      <w:pPr>
        <w:spacing w:after="0" w:line="127" w:lineRule="exact"/>
        <w:rPr>
          <w:rFonts w:ascii="Times New Roman" w:cs="Times New Roman" w:eastAsia="Times New Roman" w:hAnsi="Times New Roman"/>
          <w:sz w:val="19"/>
          <w:szCs w:val="19"/>
          <w:color w:val="2F5496"/>
        </w:rPr>
      </w:pPr>
    </w:p>
    <w:p>
      <w:pPr>
        <w:ind w:left="640" w:firstLine="194"/>
        <w:spacing w:after="0" w:line="286" w:lineRule="auto"/>
        <w:tabs>
          <w:tab w:leader="none" w:pos="1324" w:val="left"/>
        </w:tabs>
        <w:numPr>
          <w:ilvl w:val="1"/>
          <w:numId w:val="13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file or consent to the filing of any petition, either voluntary or involuntary, to take advantage of any applicable Insolvency Laws, or make an assignment for the benefit of creditors;</w:t>
      </w:r>
    </w:p>
    <w:p>
      <w:pPr>
        <w:spacing w:after="0" w:line="127" w:lineRule="exact"/>
        <w:rPr>
          <w:rFonts w:ascii="Times New Roman" w:cs="Times New Roman" w:eastAsia="Times New Roman" w:hAnsi="Times New Roman"/>
          <w:sz w:val="19"/>
          <w:szCs w:val="19"/>
          <w:color w:val="2F5496"/>
        </w:rPr>
      </w:pPr>
    </w:p>
    <w:p>
      <w:pPr>
        <w:ind w:left="640" w:firstLine="122"/>
        <w:spacing w:after="0" w:line="286" w:lineRule="auto"/>
        <w:tabs>
          <w:tab w:leader="none" w:pos="1300" w:val="left"/>
        </w:tabs>
        <w:numPr>
          <w:ilvl w:val="0"/>
          <w:numId w:val="1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share any common logo with or hold itself out as or be considered as a department or division of (A) any of its Principals or Affiliates, (B) any Affiliate of a Principal or (C) any other Person;</w:t>
      </w:r>
    </w:p>
    <w:p>
      <w:pPr>
        <w:spacing w:after="0" w:line="127" w:lineRule="exact"/>
        <w:rPr>
          <w:rFonts w:ascii="Times New Roman" w:cs="Times New Roman" w:eastAsia="Times New Roman" w:hAnsi="Times New Roman"/>
          <w:sz w:val="19"/>
          <w:szCs w:val="19"/>
          <w:color w:val="2F5496"/>
        </w:rPr>
      </w:pPr>
    </w:p>
    <w:p>
      <w:pPr>
        <w:ind w:left="640" w:right="120" w:firstLine="266"/>
        <w:spacing w:after="0" w:line="286" w:lineRule="auto"/>
        <w:tabs>
          <w:tab w:leader="none" w:pos="1336" w:val="left"/>
        </w:tabs>
        <w:numPr>
          <w:ilvl w:val="2"/>
          <w:numId w:val="1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permit any transfer (whether in any one or more transactions) of a direct or indirect ownership interest in the Borrower, unless the Borrower delivers to the Secured Parties an acceptable non-consolidation opinion;</w:t>
      </w:r>
    </w:p>
    <w:p>
      <w:pPr>
        <w:spacing w:after="0" w:line="127" w:lineRule="exact"/>
        <w:rPr>
          <w:rFonts w:ascii="Times New Roman" w:cs="Times New Roman" w:eastAsia="Times New Roman" w:hAnsi="Times New Roman"/>
          <w:sz w:val="19"/>
          <w:szCs w:val="19"/>
          <w:color w:val="2F5496"/>
        </w:rPr>
      </w:pPr>
    </w:p>
    <w:p>
      <w:pPr>
        <w:ind w:left="1360" w:hanging="369"/>
        <w:spacing w:after="0"/>
        <w:tabs>
          <w:tab w:leader="none" w:pos="1360" w:val="left"/>
        </w:tabs>
        <w:numPr>
          <w:ilvl w:val="4"/>
          <w:numId w:val="1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pay its own liabilities and expenses only out of its own funds;</w:t>
      </w:r>
    </w:p>
    <w:p>
      <w:pPr>
        <w:spacing w:after="0" w:line="201" w:lineRule="exact"/>
        <w:rPr>
          <w:rFonts w:ascii="Times New Roman" w:cs="Times New Roman" w:eastAsia="Times New Roman" w:hAnsi="Times New Roman"/>
          <w:sz w:val="19"/>
          <w:szCs w:val="19"/>
          <w:color w:val="2F5496"/>
        </w:rPr>
      </w:pPr>
    </w:p>
    <w:p>
      <w:pPr>
        <w:ind w:left="1320" w:hanging="414"/>
        <w:spacing w:after="0"/>
        <w:tabs>
          <w:tab w:leader="none" w:pos="1320" w:val="left"/>
        </w:tabs>
        <w:numPr>
          <w:ilvl w:val="3"/>
          <w:numId w:val="1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acquire the obligations or securities of its Affiliates or stockholders;</w:t>
      </w:r>
    </w:p>
    <w:p>
      <w:pPr>
        <w:spacing w:after="0" w:line="201" w:lineRule="exact"/>
        <w:rPr>
          <w:rFonts w:ascii="Times New Roman" w:cs="Times New Roman" w:eastAsia="Times New Roman" w:hAnsi="Times New Roman"/>
          <w:sz w:val="19"/>
          <w:szCs w:val="19"/>
          <w:color w:val="2F5496"/>
        </w:rPr>
      </w:pPr>
    </w:p>
    <w:p>
      <w:pPr>
        <w:ind w:left="640" w:firstLine="194"/>
        <w:spacing w:after="0" w:line="286" w:lineRule="auto"/>
        <w:tabs>
          <w:tab w:leader="none" w:pos="1324" w:val="left"/>
        </w:tabs>
        <w:numPr>
          <w:ilvl w:val="1"/>
          <w:numId w:val="1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allocate fairly and reasonably any overhead expenses that are shared with an Affiliate, including paying for office space and services performed by any employee of an Affiliate;</w:t>
      </w:r>
    </w:p>
    <w:p>
      <w:pPr>
        <w:spacing w:after="0" w:line="127" w:lineRule="exact"/>
        <w:rPr>
          <w:sz w:val="20"/>
          <w:szCs w:val="20"/>
          <w:color w:val="auto"/>
        </w:rPr>
      </w:pPr>
    </w:p>
    <w:p>
      <w:pPr>
        <w:ind w:left="1300" w:hanging="538"/>
        <w:spacing w:after="0"/>
        <w:tabs>
          <w:tab w:leader="none" w:pos="1300" w:val="left"/>
        </w:tabs>
        <w:numPr>
          <w:ilvl w:val="0"/>
          <w:numId w:val="13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use separate invoices and checks bearing its own name;</w:t>
      </w:r>
    </w:p>
    <w:p>
      <w:pPr>
        <w:spacing w:after="0" w:line="201" w:lineRule="exact"/>
        <w:rPr>
          <w:rFonts w:ascii="Times New Roman" w:cs="Times New Roman" w:eastAsia="Times New Roman" w:hAnsi="Times New Roman"/>
          <w:sz w:val="19"/>
          <w:szCs w:val="19"/>
          <w:color w:val="2F5496"/>
        </w:rPr>
      </w:pPr>
    </w:p>
    <w:p>
      <w:pPr>
        <w:ind w:left="640" w:right="660" w:firstLine="134"/>
        <w:spacing w:after="0" w:line="286" w:lineRule="auto"/>
        <w:tabs>
          <w:tab w:leader="none" w:pos="1300" w:val="left"/>
        </w:tabs>
        <w:numPr>
          <w:ilvl w:val="0"/>
          <w:numId w:val="13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pledge its assets for the benefit of any other Person, other than with respect to payment of Obligations hereunder;</w:t>
      </w:r>
    </w:p>
    <w:p>
      <w:pPr>
        <w:spacing w:after="0" w:line="127" w:lineRule="exact"/>
        <w:rPr>
          <w:rFonts w:ascii="Times New Roman" w:cs="Times New Roman" w:eastAsia="Times New Roman" w:hAnsi="Times New Roman"/>
          <w:sz w:val="19"/>
          <w:szCs w:val="19"/>
          <w:color w:val="2F5496"/>
        </w:rPr>
      </w:pPr>
    </w:p>
    <w:p>
      <w:pPr>
        <w:ind w:left="640" w:right="20" w:firstLine="206"/>
        <w:spacing w:after="0" w:line="262" w:lineRule="auto"/>
        <w:tabs>
          <w:tab w:leader="none" w:pos="1324" w:val="left"/>
        </w:tabs>
        <w:numPr>
          <w:ilvl w:val="1"/>
          <w:numId w:val="13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include provisions in the Trust Agreement that require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w:t>
      </w:r>
    </w:p>
    <w:p>
      <w:pPr>
        <w:spacing w:after="0" w:line="1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69" w:name="page170"/>
    <w:bookmarkEnd w:id="169"/>
    <w:p>
      <w:pPr>
        <w:spacing w:after="0" w:line="269" w:lineRule="exact"/>
        <w:rPr>
          <w:sz w:val="20"/>
          <w:szCs w:val="20"/>
          <w:color w:val="auto"/>
        </w:rPr>
      </w:pPr>
    </w:p>
    <w:p>
      <w:pPr>
        <w:ind w:left="640" w:right="320"/>
        <w:spacing w:after="0" w:line="262" w:lineRule="auto"/>
        <w:rPr>
          <w:sz w:val="20"/>
          <w:szCs w:val="20"/>
          <w:color w:val="auto"/>
        </w:rPr>
      </w:pPr>
      <w:r>
        <w:rPr>
          <w:rFonts w:ascii="Times New Roman" w:cs="Times New Roman" w:eastAsia="Times New Roman" w:hAnsi="Times New Roman"/>
          <w:sz w:val="19"/>
          <w:szCs w:val="19"/>
          <w:color w:val="auto"/>
        </w:rPr>
        <w:t>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spacing w:after="0" w:line="150" w:lineRule="exact"/>
        <w:rPr>
          <w:sz w:val="20"/>
          <w:szCs w:val="20"/>
          <w:color w:val="auto"/>
        </w:rPr>
      </w:pPr>
    </w:p>
    <w:p>
      <w:pPr>
        <w:ind w:left="640" w:right="60" w:firstLine="134"/>
        <w:spacing w:after="0" w:line="286" w:lineRule="auto"/>
        <w:tabs>
          <w:tab w:leader="none" w:pos="1300" w:val="left"/>
        </w:tabs>
        <w:numPr>
          <w:ilvl w:val="2"/>
          <w:numId w:val="13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amend, restate, supplement or otherwise modify its Formation Documents in any respect that would impair its ability to comply with the Basic Documents;</w:t>
      </w:r>
    </w:p>
    <w:p>
      <w:pPr>
        <w:spacing w:after="0" w:line="127" w:lineRule="exact"/>
        <w:rPr>
          <w:rFonts w:ascii="Times New Roman" w:cs="Times New Roman" w:eastAsia="Times New Roman" w:hAnsi="Times New Roman"/>
          <w:sz w:val="19"/>
          <w:szCs w:val="19"/>
          <w:color w:val="2F5496"/>
        </w:rPr>
      </w:pPr>
    </w:p>
    <w:p>
      <w:pPr>
        <w:ind w:left="640" w:right="140" w:firstLine="62"/>
        <w:spacing w:after="0" w:line="286" w:lineRule="auto"/>
        <w:tabs>
          <w:tab w:leader="none" w:pos="1288" w:val="left"/>
        </w:tabs>
        <w:numPr>
          <w:ilvl w:val="1"/>
          <w:numId w:val="135"/>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 xml:space="preserve">not take or refrain from taking, as applicable, each of the activities specified in the non-consolidation opinion of </w:t>
      </w:r>
      <w:r>
        <w:rPr>
          <w:rFonts w:ascii="Times New Roman" w:cs="Times New Roman" w:eastAsia="Times New Roman" w:hAnsi="Times New Roman"/>
          <w:sz w:val="15"/>
          <w:szCs w:val="15"/>
          <w:color w:val="222222"/>
        </w:rPr>
        <w:t>[***]</w:t>
      </w:r>
      <w:r>
        <w:rPr>
          <w:rFonts w:ascii="Times New Roman" w:cs="Times New Roman" w:eastAsia="Times New Roman" w:hAnsi="Times New Roman"/>
          <w:sz w:val="19"/>
          <w:szCs w:val="19"/>
          <w:color w:val="auto"/>
        </w:rPr>
        <w:t>, dated the Closing Date;</w:t>
      </w:r>
    </w:p>
    <w:p>
      <w:pPr>
        <w:spacing w:after="0" w:line="127" w:lineRule="exact"/>
        <w:rPr>
          <w:rFonts w:ascii="Times New Roman" w:cs="Times New Roman" w:eastAsia="Times New Roman" w:hAnsi="Times New Roman"/>
          <w:sz w:val="19"/>
          <w:szCs w:val="19"/>
          <w:color w:val="2F5496"/>
        </w:rPr>
      </w:pPr>
    </w:p>
    <w:p>
      <w:pPr>
        <w:ind w:left="640" w:right="520" w:hanging="10"/>
        <w:spacing w:after="0" w:line="286" w:lineRule="auto"/>
        <w:tabs>
          <w:tab w:leader="none" w:pos="1264" w:val="left"/>
        </w:tabs>
        <w:numPr>
          <w:ilvl w:val="0"/>
          <w:numId w:val="13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elect or otherwise permit the Borrower to be treated as an entity taxable as a corporation for U.S. federal income Tax purposes; and</w:t>
      </w:r>
    </w:p>
    <w:p>
      <w:pPr>
        <w:spacing w:after="0" w:line="127" w:lineRule="exact"/>
        <w:rPr>
          <w:rFonts w:ascii="Times New Roman" w:cs="Times New Roman" w:eastAsia="Times New Roman" w:hAnsi="Times New Roman"/>
          <w:sz w:val="19"/>
          <w:szCs w:val="19"/>
          <w:color w:val="2F5496"/>
        </w:rPr>
      </w:pPr>
    </w:p>
    <w:p>
      <w:pPr>
        <w:ind w:left="640" w:firstLine="134"/>
        <w:spacing w:after="0" w:line="258" w:lineRule="auto"/>
        <w:tabs>
          <w:tab w:leader="none" w:pos="1300" w:val="left"/>
        </w:tabs>
        <w:numPr>
          <w:ilvl w:val="2"/>
          <w:numId w:val="13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fail to maintain separate financial statements, showing its assets and liabilities separate and apart from those of any other Person, or have its assets listed on the financial statement of any other Person; provided, however, that the Borrower’s assets may be included in a consolidated financial statement of its Affiliates in accordance with GAAP, if</w:t>
      </w:r>
    </w:p>
    <w:p>
      <w:pPr>
        <w:spacing w:after="0" w:line="1" w:lineRule="exact"/>
        <w:rPr>
          <w:rFonts w:ascii="Times New Roman" w:cs="Times New Roman" w:eastAsia="Times New Roman" w:hAnsi="Times New Roman"/>
          <w:sz w:val="19"/>
          <w:szCs w:val="19"/>
          <w:color w:val="2F5496"/>
        </w:rPr>
      </w:pPr>
    </w:p>
    <w:p>
      <w:pPr>
        <w:ind w:left="640" w:right="380"/>
        <w:spacing w:after="0" w:line="254" w:lineRule="auto"/>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 appropriate notation shall be made on such consolidated financial statements to indicate the separateness of the Borrower from such Affiliates and to indicate that the Borrower’s assets and credit are not available to satisfy the Indebtedness and obligations of such Affiliates or any other Person and (b) such assets shall also be listed on the Borrower’s own separate balance sheet.</w:t>
      </w:r>
    </w:p>
    <w:p>
      <w:pPr>
        <w:spacing w:after="0" w:line="157" w:lineRule="exact"/>
        <w:rPr>
          <w:sz w:val="20"/>
          <w:szCs w:val="20"/>
          <w:color w:val="auto"/>
        </w:rPr>
      </w:pPr>
    </w:p>
    <w:p>
      <w:pPr>
        <w:ind w:left="-80" w:right="60" w:firstLine="746"/>
        <w:spacing w:after="0" w:line="286" w:lineRule="auto"/>
        <w:tabs>
          <w:tab w:leader="none" w:pos="94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Lenders. The Borrower will not add any Lender to this Agreement without the prior written consent of the Administrative Agent.</w:t>
      </w:r>
    </w:p>
    <w:p>
      <w:pPr>
        <w:spacing w:after="0" w:line="127" w:lineRule="exact"/>
        <w:rPr>
          <w:rFonts w:ascii="Times New Roman" w:cs="Times New Roman" w:eastAsia="Times New Roman" w:hAnsi="Times New Roman"/>
          <w:sz w:val="19"/>
          <w:szCs w:val="19"/>
          <w:color w:val="auto"/>
        </w:rPr>
      </w:pPr>
    </w:p>
    <w:p>
      <w:pPr>
        <w:ind w:left="-80" w:right="260" w:firstLine="746"/>
        <w:spacing w:after="0" w:line="268" w:lineRule="auto"/>
        <w:tabs>
          <w:tab w:leader="none" w:pos="94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The Borrower will not create, or participate in the creation of, or permit to exist, any Liens (other than Permitted Liens) and will not enter into any control agreement with respect to the Post Office Boxes or the Lockbox Account other than pursuant to the Intercreditor Agreement.</w:t>
      </w:r>
    </w:p>
    <w:p>
      <w:pPr>
        <w:spacing w:after="0" w:line="144" w:lineRule="exact"/>
        <w:rPr>
          <w:rFonts w:ascii="Times New Roman" w:cs="Times New Roman" w:eastAsia="Times New Roman" w:hAnsi="Times New Roman"/>
          <w:sz w:val="19"/>
          <w:szCs w:val="19"/>
          <w:color w:val="auto"/>
        </w:rPr>
      </w:pPr>
    </w:p>
    <w:p>
      <w:pPr>
        <w:ind w:left="-80" w:right="120" w:firstLine="746"/>
        <w:spacing w:after="0" w:line="255" w:lineRule="auto"/>
        <w:tabs>
          <w:tab w:leader="none" w:pos="94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Anti-Corruption Laws and Sanctions. The Borrower shall not, nor shall the Borrower’s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spacing w:after="0" w:line="1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170" w:name="page171"/>
    <w:bookmarkEnd w:id="170"/>
    <w:p>
      <w:pPr>
        <w:spacing w:after="0" w:line="269" w:lineRule="exact"/>
        <w:rPr>
          <w:sz w:val="20"/>
          <w:szCs w:val="20"/>
          <w:color w:val="auto"/>
        </w:rPr>
      </w:pPr>
    </w:p>
    <w:p>
      <w:pPr>
        <w:ind w:right="20" w:firstLine="746"/>
        <w:spacing w:after="0" w:line="262" w:lineRule="auto"/>
        <w:tabs>
          <w:tab w:leader="none" w:pos="984"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Agreement. The Borrower will not consent to any amendment, consent or waiver to the Purchase Agreement that could reasonably be expected to be adverse to the interests of the Administrative Agent without the prior written consent of the Administrative Agent; provided that no consent shall be required in connection with any change mandated by Applicable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F5496"/>
        </w:rPr>
        <w:t xml:space="preserve">Section Six.03.  </w:t>
      </w:r>
      <w:r>
        <w:rPr>
          <w:rFonts w:ascii="Times New Roman" w:cs="Times New Roman" w:eastAsia="Times New Roman" w:hAnsi="Times New Roman"/>
          <w:sz w:val="19"/>
          <w:szCs w:val="19"/>
          <w:b w:val="1"/>
          <w:bCs w:val="1"/>
          <w:color w:val="000000"/>
        </w:rPr>
        <w:t>[Reserved]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F5496"/>
        </w:rPr>
        <w:t xml:space="preserve">Section Six.04.  </w:t>
      </w:r>
      <w:r>
        <w:rPr>
          <w:rFonts w:ascii="Times New Roman" w:cs="Times New Roman" w:eastAsia="Times New Roman" w:hAnsi="Times New Roman"/>
          <w:sz w:val="19"/>
          <w:szCs w:val="19"/>
          <w:b w:val="1"/>
          <w:bCs w:val="1"/>
          <w:color w:val="000000"/>
        </w:rPr>
        <w:t>Affirmative Covenants of the Servicer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Except as otherwise provided herein, from the date hereof until the Facility Termination Date:</w:t>
      </w:r>
    </w:p>
    <w:p>
      <w:pPr>
        <w:spacing w:after="0" w:line="202" w:lineRule="exact"/>
        <w:rPr>
          <w:sz w:val="20"/>
          <w:szCs w:val="20"/>
          <w:color w:val="auto"/>
        </w:rPr>
      </w:pPr>
    </w:p>
    <w:p>
      <w:pPr>
        <w:ind w:right="20" w:firstLine="746"/>
        <w:spacing w:after="0" w:line="286" w:lineRule="auto"/>
        <w:tabs>
          <w:tab w:leader="none" w:pos="1008"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Law. The Servicer will comply in all material respects with all Applicable Laws, including those with respect to the Receivables, the related Contracts, Financed Vehicles and Receivable Files or any part thereof.</w:t>
      </w:r>
    </w:p>
    <w:p>
      <w:pPr>
        <w:spacing w:after="0" w:line="127" w:lineRule="exact"/>
        <w:rPr>
          <w:rFonts w:ascii="Times New Roman" w:cs="Times New Roman" w:eastAsia="Times New Roman" w:hAnsi="Times New Roman"/>
          <w:sz w:val="19"/>
          <w:szCs w:val="19"/>
          <w:color w:val="auto"/>
        </w:rPr>
      </w:pPr>
    </w:p>
    <w:p>
      <w:pPr>
        <w:ind w:right="440" w:firstLine="746"/>
        <w:spacing w:after="0" w:line="262" w:lineRule="auto"/>
        <w:tabs>
          <w:tab w:leader="none" w:pos="102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Preservation of Corporate Existence.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50" w:lineRule="exact"/>
        <w:rPr>
          <w:rFonts w:ascii="Times New Roman" w:cs="Times New Roman" w:eastAsia="Times New Roman" w:hAnsi="Times New Roman"/>
          <w:sz w:val="19"/>
          <w:szCs w:val="19"/>
          <w:color w:val="auto"/>
        </w:rPr>
      </w:pPr>
    </w:p>
    <w:p>
      <w:pPr>
        <w:ind w:firstLine="746"/>
        <w:spacing w:after="0" w:line="268" w:lineRule="auto"/>
        <w:tabs>
          <w:tab w:leader="none" w:pos="1008"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and Compliance with Receivables.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spacing w:after="0" w:line="144" w:lineRule="exact"/>
        <w:rPr>
          <w:rFonts w:ascii="Times New Roman" w:cs="Times New Roman" w:eastAsia="Times New Roman" w:hAnsi="Times New Roman"/>
          <w:sz w:val="19"/>
          <w:szCs w:val="19"/>
          <w:color w:val="auto"/>
        </w:rPr>
      </w:pPr>
    </w:p>
    <w:p>
      <w:pPr>
        <w:ind w:right="360" w:firstLine="746"/>
        <w:spacing w:after="0" w:line="268" w:lineRule="auto"/>
        <w:tabs>
          <w:tab w:leader="none" w:pos="102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and Compliance with Servicer Basic Documents. The Servicer will timely and fully perform and comply in all material respects with all provisions, covenants and other promises required to be observed by it under the Servicer Basic Documents.</w:t>
      </w:r>
    </w:p>
    <w:p>
      <w:pPr>
        <w:spacing w:after="0" w:line="144" w:lineRule="exact"/>
        <w:rPr>
          <w:rFonts w:ascii="Times New Roman" w:cs="Times New Roman" w:eastAsia="Times New Roman" w:hAnsi="Times New Roman"/>
          <w:sz w:val="19"/>
          <w:szCs w:val="19"/>
          <w:color w:val="auto"/>
        </w:rPr>
      </w:pPr>
    </w:p>
    <w:p>
      <w:pPr>
        <w:ind w:right="60" w:firstLine="746"/>
        <w:spacing w:after="0" w:line="257" w:lineRule="auto"/>
        <w:tabs>
          <w:tab w:leader="none" w:pos="1008"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Keeping of Records and Books of Account. The Servicer will maintain and implement administrative and operating procedures (including an ability to recreate Records evidencing Receivables, including the Servicer Files,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 including the Servicer Files.</w:t>
      </w:r>
    </w:p>
    <w:p>
      <w:pPr>
        <w:spacing w:after="0" w:line="156" w:lineRule="exact"/>
        <w:rPr>
          <w:rFonts w:ascii="Times New Roman" w:cs="Times New Roman" w:eastAsia="Times New Roman" w:hAnsi="Times New Roman"/>
          <w:sz w:val="19"/>
          <w:szCs w:val="19"/>
          <w:color w:val="auto"/>
        </w:rPr>
      </w:pPr>
    </w:p>
    <w:p>
      <w:pPr>
        <w:ind w:right="140" w:firstLine="746"/>
        <w:spacing w:after="0" w:line="286" w:lineRule="auto"/>
        <w:tabs>
          <w:tab w:leader="none" w:pos="98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Taxes. The Servicer will file all material Tax returns required to be filed by it and pay any and all material Taxes, including those required to meet the obligations of the Basic Documents.</w:t>
      </w:r>
    </w:p>
    <w:p>
      <w:pPr>
        <w:spacing w:after="0" w:line="1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71" w:name="page172"/>
    <w:bookmarkEnd w:id="171"/>
    <w:p>
      <w:pPr>
        <w:spacing w:after="0" w:line="269" w:lineRule="exact"/>
        <w:rPr>
          <w:sz w:val="20"/>
          <w:szCs w:val="20"/>
          <w:color w:val="auto"/>
        </w:rPr>
      </w:pPr>
    </w:p>
    <w:p>
      <w:pPr>
        <w:ind w:left="-80" w:right="280" w:firstLine="746"/>
        <w:spacing w:after="0" w:line="268" w:lineRule="auto"/>
        <w:tabs>
          <w:tab w:leader="none" w:pos="94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Preservation of Security Interest. The Servicer will execute and file such financing and continuation statements (and amendments thereto) and any other documents that may be required by any Applicable Law of any Governmental Authority to preserve and protect fully the security interest of the Administrative Agent in, to and under the Collateral.</w:t>
      </w:r>
    </w:p>
    <w:p>
      <w:pPr>
        <w:spacing w:after="0" w:line="144" w:lineRule="exact"/>
        <w:rPr>
          <w:rFonts w:ascii="Times New Roman" w:cs="Times New Roman" w:eastAsia="Times New Roman" w:hAnsi="Times New Roman"/>
          <w:sz w:val="19"/>
          <w:szCs w:val="19"/>
          <w:color w:val="auto"/>
        </w:rPr>
      </w:pPr>
    </w:p>
    <w:p>
      <w:pPr>
        <w:ind w:left="940" w:hanging="274"/>
        <w:spacing w:after="0"/>
        <w:tabs>
          <w:tab w:leader="none" w:pos="94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w:t>
      </w:r>
    </w:p>
    <w:p>
      <w:pPr>
        <w:spacing w:after="0" w:line="201" w:lineRule="exact"/>
        <w:rPr>
          <w:rFonts w:ascii="Times New Roman" w:cs="Times New Roman" w:eastAsia="Times New Roman" w:hAnsi="Times New Roman"/>
          <w:sz w:val="19"/>
          <w:szCs w:val="19"/>
          <w:color w:val="auto"/>
        </w:rPr>
      </w:pPr>
    </w:p>
    <w:p>
      <w:pPr>
        <w:ind w:left="-80" w:firstLine="746"/>
        <w:spacing w:after="0" w:line="255" w:lineRule="auto"/>
        <w:tabs>
          <w:tab w:leader="none" w:pos="89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Early Amortization Events, Termination Events, and Servicer Termination Events. The Servicer will furnish to the Secured Parties and the Paying Agent, as soon as possible and in any event within three Business Days after the earlier of (i) actual knowledge by the Servicer or (ii) receipt by the Servicer from the Borrower or any Secured Party of written notice thereof (which notice the Borrower shall be required to give promptly upon knowledge thereof) of the knowledge of each of an Early Amortization Event, Termination Event and Servicer Termination Event, a written statement of its chief financial officer or chief accounting officer setting forth the details of such event and the action that the Servicer purposes to take with respect thereto. Additionally, the Servicer will furnish to the Secured Parties and the Paying Agent, as soon as possible and in any event within three Business Days after the earlier of (i) actual knowledge by the Servicer or (ii) receipt by the Servicer of written notice of, each of an Unmatured Termination Event and Unmatured Servicer Termination Event.</w:t>
      </w:r>
    </w:p>
    <w:p>
      <w:pPr>
        <w:spacing w:after="0" w:line="155" w:lineRule="exact"/>
        <w:rPr>
          <w:rFonts w:ascii="Times New Roman" w:cs="Times New Roman" w:eastAsia="Times New Roman" w:hAnsi="Times New Roman"/>
          <w:sz w:val="19"/>
          <w:szCs w:val="19"/>
          <w:color w:val="auto"/>
        </w:rPr>
      </w:pPr>
    </w:p>
    <w:p>
      <w:pPr>
        <w:ind w:left="-80" w:right="220" w:firstLine="746"/>
        <w:spacing w:after="0" w:line="262" w:lineRule="auto"/>
        <w:tabs>
          <w:tab w:leader="none" w:pos="89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The Servicer will furnish to the Secured Parties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any Secured Party under or as contemplated by this Agreement.</w:t>
      </w:r>
    </w:p>
    <w:p>
      <w:pPr>
        <w:spacing w:after="0" w:line="150" w:lineRule="exact"/>
        <w:rPr>
          <w:rFonts w:ascii="Times New Roman" w:cs="Times New Roman" w:eastAsia="Times New Roman" w:hAnsi="Times New Roman"/>
          <w:sz w:val="19"/>
          <w:szCs w:val="19"/>
          <w:color w:val="auto"/>
        </w:rPr>
      </w:pPr>
    </w:p>
    <w:p>
      <w:pPr>
        <w:ind w:left="-80" w:right="40" w:firstLine="746"/>
        <w:spacing w:after="0" w:line="256" w:lineRule="auto"/>
        <w:tabs>
          <w:tab w:leader="none" w:pos="94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Losses, Etc. In any suit, proceeding or action brought by the Custodian, Paying Agent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debt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spacing w:after="0" w:line="157" w:lineRule="exact"/>
        <w:rPr>
          <w:rFonts w:ascii="Times New Roman" w:cs="Times New Roman" w:eastAsia="Times New Roman" w:hAnsi="Times New Roman"/>
          <w:sz w:val="19"/>
          <w:szCs w:val="19"/>
          <w:color w:val="auto"/>
        </w:rPr>
      </w:pPr>
    </w:p>
    <w:p>
      <w:pPr>
        <w:ind w:left="-80" w:right="60" w:firstLine="746"/>
        <w:spacing w:after="0" w:line="256" w:lineRule="auto"/>
        <w:tabs>
          <w:tab w:leader="none" w:pos="89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Regarding Collateral. The Servicer shall advise the Custodian, the Secured Parties in writing promptly following the earlier of (i) knowledge by the Servicer and (ii) receipt by the Servicer from the Borrower of written notice thereof (which notice the Borrower shall be required to give promptly upon knowledge thereof), in reasonable detail of (A) any Lien (other than Permitted Liens) asserted or claim made against any portion of the Collateral, (B) the occurrence of any material breach by the Servicer of any of its representations and warranties or covenants contained herein, (C) the occurrence of any event of default or material breach by any party of its obligations under, or the termination of, the E-Vault Access Agreement, the Electronic Collateral Control</w:t>
      </w:r>
    </w:p>
    <w:p>
      <w:pPr>
        <w:spacing w:after="0" w:line="1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172" w:name="page173"/>
    <w:bookmarkEnd w:id="172"/>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Agreement or the Title Administrator Agreement, (D) any changes to the E-Vault System, the Originator Vault Partition or the Warehouse Vault Partition made by the E -Vault Provider or the Custodian and (E)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 Promptly following the occurrence of a Custodian Termination Event, the Servicer shall use commercially reasonable efforts to enter into the Title Administration Agreement, in form and substance reasonable acceptable to the Administrative Agent. Promptly upon receipt thereof, the Servicer shall forward to the Administrative Agent and the Borrower copies of all notices (other than routine administrative notices) received under the E-Vault Access Agreement, the Electronic Collateral Control Agreement or the Title Administrator Agreement.</w:t>
      </w:r>
    </w:p>
    <w:p>
      <w:pPr>
        <w:spacing w:after="0" w:line="160" w:lineRule="exact"/>
        <w:rPr>
          <w:sz w:val="20"/>
          <w:szCs w:val="20"/>
          <w:color w:val="auto"/>
        </w:rPr>
      </w:pPr>
    </w:p>
    <w:p>
      <w:pPr>
        <w:ind w:right="20" w:firstLine="746"/>
        <w:spacing w:after="0" w:line="259" w:lineRule="auto"/>
        <w:tabs>
          <w:tab w:leader="none" w:pos="1068"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Realization on Receivables. In the event that the Servicer realizes upon any Receivable, the methods utilized by the Servicer to realize upon such Receivable or otherwise enforce any provisions of such Receivable will not subject the Servicer, the Borrower, any Secured Party or the Custodian to liability under any federal, State or local law, and any such realization or enforcement by the Servicer will be conducted in accordance with the provisions of this Agreement,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Applicable Law.</w:t>
      </w:r>
    </w:p>
    <w:p>
      <w:pPr>
        <w:spacing w:after="0" w:line="153" w:lineRule="exact"/>
        <w:rPr>
          <w:rFonts w:ascii="Times New Roman" w:cs="Times New Roman" w:eastAsia="Times New Roman" w:hAnsi="Times New Roman"/>
          <w:sz w:val="19"/>
          <w:szCs w:val="19"/>
          <w:color w:val="auto"/>
        </w:rPr>
      </w:pPr>
    </w:p>
    <w:p>
      <w:pPr>
        <w:ind w:right="100" w:firstLine="746"/>
        <w:spacing w:after="0" w:line="268" w:lineRule="auto"/>
        <w:tabs>
          <w:tab w:leader="none" w:pos="102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Title. Within 15 days following the end of each calendar quarter, the Custodian shall deliver to the Servicer (if not UACC) and the Administrative Agent a list of all Receivables for which it does not have in its possession or control the related Certificate of Title.</w:t>
      </w:r>
    </w:p>
    <w:p>
      <w:pPr>
        <w:spacing w:after="0" w:line="144" w:lineRule="exact"/>
        <w:rPr>
          <w:rFonts w:ascii="Times New Roman" w:cs="Times New Roman" w:eastAsia="Times New Roman" w:hAnsi="Times New Roman"/>
          <w:sz w:val="19"/>
          <w:szCs w:val="19"/>
          <w:color w:val="auto"/>
        </w:rPr>
      </w:pPr>
    </w:p>
    <w:p>
      <w:pPr>
        <w:ind w:right="80" w:firstLine="746"/>
        <w:spacing w:after="0" w:line="268" w:lineRule="auto"/>
        <w:tabs>
          <w:tab w:leader="none" w:pos="102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Interpayments. To the extent that the Borrower makes an Interpayment pursuant to Section 2.06(e), on the related Payment Date, UACC shall deposit an amount equal to the Monthly Accrued Interest Payment Amount into the Collection Account.</w:t>
      </w:r>
    </w:p>
    <w:p>
      <w:pPr>
        <w:spacing w:after="0" w:line="144" w:lineRule="exact"/>
        <w:rPr>
          <w:rFonts w:ascii="Times New Roman" w:cs="Times New Roman" w:eastAsia="Times New Roman" w:hAnsi="Times New Roman"/>
          <w:sz w:val="19"/>
          <w:szCs w:val="19"/>
          <w:color w:val="auto"/>
        </w:rPr>
      </w:pPr>
    </w:p>
    <w:p>
      <w:pPr>
        <w:ind w:left="1020" w:hanging="274"/>
        <w:spacing w:after="0"/>
        <w:tabs>
          <w:tab w:leader="none" w:pos="102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w:t>
      </w:r>
    </w:p>
    <w:p>
      <w:pPr>
        <w:spacing w:after="0" w:line="201" w:lineRule="exact"/>
        <w:rPr>
          <w:rFonts w:ascii="Times New Roman" w:cs="Times New Roman" w:eastAsia="Times New Roman" w:hAnsi="Times New Roman"/>
          <w:sz w:val="19"/>
          <w:szCs w:val="19"/>
          <w:color w:val="auto"/>
        </w:rPr>
      </w:pPr>
    </w:p>
    <w:p>
      <w:pPr>
        <w:ind w:right="300" w:firstLine="746"/>
        <w:spacing w:after="0" w:line="262" w:lineRule="auto"/>
        <w:tabs>
          <w:tab w:leader="none" w:pos="102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Auditors’ Management Letters. The Servicer will deliver to the Secured Parties, promptly after receipt by the Servicer from its accountants, a copy of any auditors’ management letters which refer in whole or in part to any inadequacy, defect, problem, qualification or other lack of fully satisfactory accounting controls utilized by the Servicer that resulted in a qualified audit opinion.</w:t>
      </w:r>
    </w:p>
    <w:p>
      <w:pPr>
        <w:spacing w:after="0" w:line="150" w:lineRule="exact"/>
        <w:rPr>
          <w:rFonts w:ascii="Times New Roman" w:cs="Times New Roman" w:eastAsia="Times New Roman" w:hAnsi="Times New Roman"/>
          <w:sz w:val="19"/>
          <w:szCs w:val="19"/>
          <w:color w:val="auto"/>
        </w:rPr>
      </w:pPr>
    </w:p>
    <w:p>
      <w:pPr>
        <w:ind w:right="80" w:firstLine="746"/>
        <w:spacing w:after="0" w:line="286" w:lineRule="auto"/>
        <w:tabs>
          <w:tab w:leader="none" w:pos="98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Accounting Policy. The Servicer will promptly notify the Secured Parties of any material change in the Servicer’s accounting policies not otherwise required by GAAP.</w:t>
      </w:r>
    </w:p>
    <w:p>
      <w:pPr>
        <w:spacing w:after="0" w:line="127" w:lineRule="exact"/>
        <w:rPr>
          <w:rFonts w:ascii="Times New Roman" w:cs="Times New Roman" w:eastAsia="Times New Roman" w:hAnsi="Times New Roman"/>
          <w:sz w:val="19"/>
          <w:szCs w:val="19"/>
          <w:color w:val="auto"/>
        </w:rPr>
      </w:pPr>
    </w:p>
    <w:p>
      <w:pPr>
        <w:ind w:right="40" w:firstLine="746"/>
        <w:spacing w:after="0" w:line="268" w:lineRule="auto"/>
        <w:tabs>
          <w:tab w:leader="none" w:pos="996"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Anti-Corruption Laws and Sanctions. The Servicer will maintain in effect and enforce policies and procedures designed to ensure compliance by the Servicer and each of its Subsidiaries and Affiliates and their respective directors, officers, employees and agents with applicable Anti-Corruption Laws and Sanctions.</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173" w:name="page174"/>
    <w:bookmarkEnd w:id="173"/>
    <w:p>
      <w:pPr>
        <w:spacing w:after="0" w:line="2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(t) Benefit Plan. Servicer shall promptly notify the Secured Parties in the event the Servicer becomes a Benefit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w:t>
      </w:r>
    </w:p>
    <w:p>
      <w:pPr>
        <w:spacing w:after="0" w:line="180" w:lineRule="exact"/>
        <w:rPr>
          <w:sz w:val="20"/>
          <w:szCs w:val="20"/>
          <w:color w:val="auto"/>
        </w:rPr>
      </w:pPr>
    </w:p>
    <w:p>
      <w:pPr>
        <w:ind w:firstLine="746"/>
        <w:spacing w:after="0" w:line="268" w:lineRule="auto"/>
        <w:tabs>
          <w:tab w:leader="none" w:pos="102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Information. The Servicer shall promptly respond to reasonable written directions or written requests for information that any other party hereto may reasonably request that the Servicer can obtain without unreasonable expense or effort with respect to the administration and servicing of the Receivables.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F5496"/>
        </w:rPr>
        <w:t xml:space="preserve">Section Six.05.  </w:t>
      </w:r>
      <w:r>
        <w:rPr>
          <w:rFonts w:ascii="Times New Roman" w:cs="Times New Roman" w:eastAsia="Times New Roman" w:hAnsi="Times New Roman"/>
          <w:sz w:val="19"/>
          <w:szCs w:val="19"/>
          <w:b w:val="1"/>
          <w:bCs w:val="1"/>
          <w:color w:val="000000"/>
        </w:rPr>
        <w:t>Negative Covenants of the Servicer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the date hereof until the Facility Termination Date:</w:t>
      </w:r>
    </w:p>
    <w:p>
      <w:pPr>
        <w:spacing w:after="0" w:line="202" w:lineRule="exact"/>
        <w:rPr>
          <w:sz w:val="20"/>
          <w:szCs w:val="20"/>
          <w:color w:val="auto"/>
        </w:rPr>
      </w:pPr>
    </w:p>
    <w:p>
      <w:pPr>
        <w:ind w:right="40" w:firstLine="746"/>
        <w:spacing w:after="0" w:line="255" w:lineRule="auto"/>
        <w:tabs>
          <w:tab w:leader="none" w:pos="1008"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Office Boxes; Lockbox Account. The Servicer shall not create or participate in the creation of, or permit to exist, any Liens with respect to the Collection Account (other than the Account Control Agreement), the Post Office Boxes or the Lockbox Account, except, with reference to the Post Office Boxes or the Lockbox Account as permitted and pursuant to the Intercreditor Agreement and the Intercreditor Party Supplement. The Servicer shall not enter into any “control agreement” (as defined in the relevant UCC) with respect to the Collection Account, the Post Office Boxes or the Lockbox Account other than</w:t>
      </w:r>
    </w:p>
    <w:p>
      <w:pPr>
        <w:spacing w:after="0" w:line="1" w:lineRule="exact"/>
        <w:rPr>
          <w:rFonts w:ascii="Times New Roman" w:cs="Times New Roman" w:eastAsia="Times New Roman" w:hAnsi="Times New Roman"/>
          <w:sz w:val="19"/>
          <w:szCs w:val="19"/>
          <w:color w:val="auto"/>
        </w:rPr>
      </w:pPr>
    </w:p>
    <w:p>
      <w:pPr>
        <w:ind w:right="340" w:firstLine="2"/>
        <w:spacing w:after="0" w:line="262" w:lineRule="auto"/>
        <w:tabs>
          <w:tab w:leader="none" w:pos="229"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reference to the Collection Account, pursuant to the Account Control Agreement, and (ii) with reference to the Post Office Boxes or the Lockbox Account, pursuant to the Intercreditor Agreement.</w:t>
      </w:r>
    </w:p>
    <w:p>
      <w:pPr>
        <w:spacing w:after="0" w:line="149" w:lineRule="exact"/>
        <w:rPr>
          <w:rFonts w:ascii="Times New Roman" w:cs="Times New Roman" w:eastAsia="Times New Roman" w:hAnsi="Times New Roman"/>
          <w:sz w:val="19"/>
          <w:szCs w:val="19"/>
          <w:color w:val="auto"/>
        </w:rPr>
      </w:pPr>
    </w:p>
    <w:p>
      <w:pPr>
        <w:ind w:right="60" w:firstLine="746"/>
        <w:spacing w:after="0" w:line="286" w:lineRule="auto"/>
        <w:tabs>
          <w:tab w:leader="none" w:pos="1020"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Mergers, Acquisition, Sales, etc. The Servicer will not consolidate with or merge into any other Person or convey or transfer its properties and assets substantially as an entirety to any Person, other than contemplated in Section 7.16.</w:t>
      </w:r>
    </w:p>
    <w:p>
      <w:pPr>
        <w:spacing w:after="0" w:line="127" w:lineRule="exact"/>
        <w:rPr>
          <w:rFonts w:ascii="Times New Roman" w:cs="Times New Roman" w:eastAsia="Times New Roman" w:hAnsi="Times New Roman"/>
          <w:sz w:val="19"/>
          <w:szCs w:val="19"/>
          <w:color w:val="auto"/>
        </w:rPr>
      </w:pPr>
    </w:p>
    <w:p>
      <w:pPr>
        <w:ind w:right="40" w:firstLine="746"/>
        <w:spacing w:after="0" w:line="254" w:lineRule="auto"/>
        <w:tabs>
          <w:tab w:leader="none" w:pos="1008"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Name or Location of Servicer Files or Receivable Files. The Servicer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has taken all actions required under the UCC of each relevant jurisdiction in order to continue the first priority perfected security interest of the Administrative Agent, as agent for the Secured Parties, in the Collateral.</w:t>
      </w:r>
    </w:p>
    <w:p>
      <w:pPr>
        <w:spacing w:after="0" w:line="160" w:lineRule="exact"/>
        <w:rPr>
          <w:rFonts w:ascii="Times New Roman" w:cs="Times New Roman" w:eastAsia="Times New Roman" w:hAnsi="Times New Roman"/>
          <w:sz w:val="19"/>
          <w:szCs w:val="19"/>
          <w:color w:val="auto"/>
        </w:rPr>
      </w:pPr>
    </w:p>
    <w:p>
      <w:pPr>
        <w:ind w:right="100" w:firstLine="746"/>
        <w:spacing w:after="0" w:line="262" w:lineRule="auto"/>
        <w:tabs>
          <w:tab w:leader="none" w:pos="1020"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 in Payment Instructions to Obligors. The Servicer will not make any change in its instructions to the Obligors regarding payments to be made to the Borrower or the Servicer, other than in accordance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or payments to be made to the Post Office Boxes or Lockbox Account, other than in accordance with the terms of the Intercreditor Agreement and the Intercreditor Party Supplement and unless the</w:t>
      </w:r>
    </w:p>
    <w:p>
      <w:pPr>
        <w:spacing w:after="0" w:line="1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1360" w:top="1440" w:right="700" w:bottom="1440" w:gutter="0" w:footer="0" w:header="0"/>
        </w:sectPr>
      </w:pPr>
    </w:p>
    <w:bookmarkStart w:id="174" w:name="page175"/>
    <w:bookmarkEnd w:id="174"/>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has received duly executed copies of all documentation related thereto and has consented to such change.</w:t>
      </w:r>
    </w:p>
    <w:p>
      <w:pPr>
        <w:spacing w:after="0" w:line="202" w:lineRule="exact"/>
        <w:rPr>
          <w:sz w:val="20"/>
          <w:szCs w:val="20"/>
          <w:color w:val="auto"/>
        </w:rPr>
      </w:pPr>
    </w:p>
    <w:p>
      <w:pPr>
        <w:ind w:right="100" w:firstLine="746"/>
        <w:spacing w:after="0" w:line="286" w:lineRule="auto"/>
        <w:tabs>
          <w:tab w:leader="none" w:pos="1008"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Extension or Amendment of Contracts. The Servicer will not, except as otherwise permitted in Section 7.03(c)(i), extend, amend or otherwise modify the terms of any Contract.</w:t>
      </w:r>
    </w:p>
    <w:p>
      <w:pPr>
        <w:spacing w:after="0" w:line="127" w:lineRule="exact"/>
        <w:rPr>
          <w:rFonts w:ascii="Times New Roman" w:cs="Times New Roman" w:eastAsia="Times New Roman" w:hAnsi="Times New Roman"/>
          <w:sz w:val="19"/>
          <w:szCs w:val="19"/>
          <w:color w:val="auto"/>
        </w:rPr>
      </w:pPr>
    </w:p>
    <w:p>
      <w:pPr>
        <w:ind w:right="240" w:firstLine="746"/>
        <w:spacing w:after="0" w:line="286" w:lineRule="auto"/>
        <w:tabs>
          <w:tab w:leader="none" w:pos="984"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Instruments. The Servicer shall take no action to cause any Receivable to be evidenced by any Instrument or “electronic chattel paper” (as defined in the UCC).</w:t>
      </w:r>
    </w:p>
    <w:p>
      <w:pPr>
        <w:spacing w:after="0" w:line="127" w:lineRule="exact"/>
        <w:rPr>
          <w:rFonts w:ascii="Times New Roman" w:cs="Times New Roman" w:eastAsia="Times New Roman" w:hAnsi="Times New Roman"/>
          <w:sz w:val="19"/>
          <w:szCs w:val="19"/>
          <w:color w:val="auto"/>
        </w:rPr>
      </w:pPr>
    </w:p>
    <w:p>
      <w:pPr>
        <w:ind w:right="40" w:firstLine="746"/>
        <w:spacing w:after="0" w:line="257" w:lineRule="auto"/>
        <w:tabs>
          <w:tab w:leader="none" w:pos="102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Liens. The Servicer shall not sell, pledge, assign or transfer to any other Person, or grant, create, incur, assume or suffer to exist any Lien (other than any Permitted Lien) on the Collateral or any interest therein, the Servicer will notify the Custodian and the Secured Parties of the existence of any Lien (except Permitted Liens)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spacing w:after="0" w:line="156" w:lineRule="exact"/>
        <w:rPr>
          <w:rFonts w:ascii="Times New Roman" w:cs="Times New Roman" w:eastAsia="Times New Roman" w:hAnsi="Times New Roman"/>
          <w:sz w:val="19"/>
          <w:szCs w:val="19"/>
          <w:color w:val="auto"/>
        </w:rPr>
      </w:pPr>
    </w:p>
    <w:p>
      <w:pPr>
        <w:ind w:firstLine="746"/>
        <w:spacing w:after="0" w:line="251" w:lineRule="auto"/>
        <w:tabs>
          <w:tab w:leader="none" w:pos="102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Release; Additional Covenants.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or Contract except as permitted herein or in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(iv) prior to the payment in full of any Receivable, not sell, pledge, assign, or transfer to any other Person, or grant, create, incur, assume or suffer to exist any Lien (except for Permitted Liens) on such Receivable or any interest therein, (v) immediately notify the Borrower, the Secured Parties, and the Custodian of the existence of any Lien (except for Permitted Liens) on any portion of the Collateral if the Servicer has actual knowledge thereof, (vi) defend the right, title and interest of the Borrower, the Secured Parties, and the Custodian in, to and under the Collateral against all claims of third parties claiming through or under the Servicer, (vii) transfer to the Lockbox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Secured Parties, the Paying Agent, and the Custodian of the occurrence of any Servicer Termination Event or Unmatured Servicer Termination Event and any breach, in any material respect, by the Servicer of any of its covenants or representations and warranties contained herein,</w:t>
      </w:r>
    </w:p>
    <w:p>
      <w:pPr>
        <w:spacing w:after="0" w:line="14" w:lineRule="exact"/>
        <w:rPr>
          <w:rFonts w:ascii="Times New Roman" w:cs="Times New Roman" w:eastAsia="Times New Roman" w:hAnsi="Times New Roman"/>
          <w:sz w:val="19"/>
          <w:szCs w:val="19"/>
          <w:color w:val="auto"/>
        </w:rPr>
      </w:pPr>
    </w:p>
    <w:p>
      <w:pPr>
        <w:ind w:right="520" w:firstLine="2"/>
        <w:spacing w:after="0" w:line="262" w:lineRule="auto"/>
        <w:tabs>
          <w:tab w:leader="none" w:pos="272"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notify the Borrower, the Secured Parties, the Paying Agent and the Custodian of the occurrence of any event which, to the knowledge of the Servicer, would require that the Borrower make or cause to be</w:t>
      </w:r>
    </w:p>
    <w:p>
      <w:pPr>
        <w:spacing w:after="0" w:line="1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75" w:name="page176"/>
    <w:bookmarkEnd w:id="175"/>
    <w:p>
      <w:pPr>
        <w:spacing w:after="0" w:line="2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any Funding Date, as the case may be, the current Schedule of Receivables,</w:t>
      </w:r>
    </w:p>
    <w:p>
      <w:pPr>
        <w:spacing w:after="0" w:line="3" w:lineRule="exact"/>
        <w:rPr>
          <w:sz w:val="20"/>
          <w:szCs w:val="20"/>
          <w:color w:val="auto"/>
        </w:rPr>
      </w:pPr>
    </w:p>
    <w:p>
      <w:pPr>
        <w:ind w:firstLine="2"/>
        <w:spacing w:after="0" w:line="252" w:lineRule="auto"/>
        <w:tabs>
          <w:tab w:leader="none" w:pos="432"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Receivable, deliver or cause to be delivered to the Custodian within one Business Day preceding the date of the Initial Loan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Liens) on the Collateral or any interest therein. Notwithstanding any other provision of this Agreement, the Servicer may release any Financed Vehicle from the security interest created by the related Receivable when the Servicer deposits into either Account an amount equal to the related Release Price or the entire amount of Insurance Proceeds, Recoveries and other Collections it has received or expects to receive with respect to such Receivable and such Financed Vehicle.</w:t>
      </w:r>
    </w:p>
    <w:p>
      <w:pPr>
        <w:spacing w:after="0" w:line="387" w:lineRule="exact"/>
        <w:rPr>
          <w:sz w:val="20"/>
          <w:szCs w:val="20"/>
          <w:color w:val="auto"/>
        </w:rPr>
      </w:pPr>
    </w:p>
    <w:p>
      <w:pPr>
        <w:jc w:val="both"/>
        <w:ind w:right="80" w:firstLine="744"/>
        <w:spacing w:after="0" w:line="268" w:lineRule="auto"/>
        <w:rPr>
          <w:sz w:val="20"/>
          <w:szCs w:val="20"/>
          <w:color w:val="auto"/>
        </w:rPr>
      </w:pPr>
      <w:r>
        <w:rPr>
          <w:rFonts w:ascii="Times New Roman" w:cs="Times New Roman" w:eastAsia="Times New Roman" w:hAnsi="Times New Roman"/>
          <w:sz w:val="19"/>
          <w:szCs w:val="19"/>
          <w:color w:val="auto"/>
        </w:rPr>
        <w:t>The Servicer shall, within two Business Days of its receipt thereof, respond to reasonable written directions or written requests for information that the Borrower, any Secured Party or the Custodian might have with respect to the administration of the Receivables.</w:t>
      </w:r>
    </w:p>
    <w:p>
      <w:pPr>
        <w:spacing w:after="0" w:line="144" w:lineRule="exact"/>
        <w:rPr>
          <w:sz w:val="20"/>
          <w:szCs w:val="20"/>
          <w:color w:val="auto"/>
        </w:rPr>
      </w:pPr>
    </w:p>
    <w:p>
      <w:pPr>
        <w:ind w:right="160" w:firstLine="746"/>
        <w:spacing w:after="0" w:line="255" w:lineRule="auto"/>
        <w:tabs>
          <w:tab w:leader="none" w:pos="972"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Anti-Corruption Laws and Sanctions. The Servicer shall not, nor shall the Servicer’s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spacing w:after="0" w:line="159" w:lineRule="exact"/>
        <w:rPr>
          <w:rFonts w:ascii="Times New Roman" w:cs="Times New Roman" w:eastAsia="Times New Roman" w:hAnsi="Times New Roman"/>
          <w:sz w:val="19"/>
          <w:szCs w:val="19"/>
          <w:color w:val="auto"/>
        </w:rPr>
      </w:pPr>
    </w:p>
    <w:p>
      <w:pPr>
        <w:ind w:right="580" w:firstLine="746"/>
        <w:spacing w:after="0" w:line="286" w:lineRule="auto"/>
        <w:tabs>
          <w:tab w:leader="none" w:pos="972"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ERISA Matters. None of the Servicer or its ERISA Affiliates shall sponsor, adopt, contribute to or have any obligation to contribute to, or have any liability with respect to any Pension Plan or Multiemployer Plan.</w:t>
      </w:r>
    </w:p>
    <w:p>
      <w:pPr>
        <w:spacing w:after="0" w:line="127" w:lineRule="exact"/>
        <w:rPr>
          <w:rFonts w:ascii="Times New Roman" w:cs="Times New Roman" w:eastAsia="Times New Roman" w:hAnsi="Times New Roman"/>
          <w:sz w:val="19"/>
          <w:szCs w:val="19"/>
          <w:color w:val="auto"/>
        </w:rPr>
      </w:pPr>
    </w:p>
    <w:p>
      <w:pPr>
        <w:jc w:val="both"/>
        <w:ind w:right="20" w:firstLine="746"/>
        <w:spacing w:after="0" w:line="268" w:lineRule="auto"/>
        <w:tabs>
          <w:tab w:leader="none" w:pos="102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Distributions. After the delivery of a Servicer Termination Notice, the Servicer shall not declare or pay, directly or indirectly, any dividend or make any distribution (whether in cash or property) with respect to the profits, assets or capital of the Servicer or any Person’s interest therein, which would cause a breach of the Servicer’s</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76" w:name="page177"/>
    <w:bookmarkEnd w:id="176"/>
    <w:p>
      <w:pPr>
        <w:spacing w:after="0" w:line="269"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financial covenants herein and other than cash distributions in respect of Taxes that are then due and payable and normal course of business distributions until the Successor Servicer has succeeded to be the Servicer.</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SEVEN</w:t>
      </w:r>
    </w:p>
    <w:p>
      <w:pPr>
        <w:spacing w:after="0" w:line="23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9"/>
          <w:szCs w:val="19"/>
          <w:b w:val="1"/>
          <w:bCs w:val="1"/>
          <w:color w:val="auto"/>
        </w:rPr>
        <w:t>ADMINISTRATION AND SERVICING OF RECEIVABLES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Seven.01.  </w:t>
      </w:r>
      <w:r>
        <w:rPr>
          <w:rFonts w:ascii="Times New Roman" w:cs="Times New Roman" w:eastAsia="Times New Roman" w:hAnsi="Times New Roman"/>
          <w:sz w:val="19"/>
          <w:szCs w:val="19"/>
          <w:b w:val="1"/>
          <w:bCs w:val="1"/>
          <w:color w:val="000000"/>
        </w:rPr>
        <w:t>Designation of Servicing</w:t>
      </w:r>
    </w:p>
    <w:p>
      <w:pPr>
        <w:spacing w:after="0" w:line="204"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The Administrative Agent and the Borrower, at the direction of and on behalf of the Secured Parties,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Seven.02.  </w:t>
      </w:r>
      <w:r>
        <w:rPr>
          <w:rFonts w:ascii="Times New Roman" w:cs="Times New Roman" w:eastAsia="Times New Roman" w:hAnsi="Times New Roman"/>
          <w:sz w:val="19"/>
          <w:szCs w:val="19"/>
          <w:b w:val="1"/>
          <w:bCs w:val="1"/>
          <w:color w:val="000000"/>
        </w:rPr>
        <w:t>Servicing Compensation</w:t>
      </w:r>
    </w:p>
    <w:p>
      <w:pPr>
        <w:spacing w:after="0" w:line="204"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As compensation for its servicing activities hereunder and reimbursement for its expenses, the Servicer shall be entitled to receive the Servicing Fee to the extent of funds available therefor pursuant to Section 2.08(a)(i). The Servicer shall further be entitled to retain as additional servicing compensation any and all ancillary fees and extension fees from Obligors, including late fees, administrative fees and similar charges allowed by Applicable Law.</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Seven.03.  </w:t>
      </w:r>
      <w:r>
        <w:rPr>
          <w:rFonts w:ascii="Times New Roman" w:cs="Times New Roman" w:eastAsia="Times New Roman" w:hAnsi="Times New Roman"/>
          <w:sz w:val="19"/>
          <w:szCs w:val="19"/>
          <w:b w:val="1"/>
          <w:bCs w:val="1"/>
          <w:color w:val="000000"/>
        </w:rPr>
        <w:t>Duties of the Servicer</w:t>
      </w:r>
    </w:p>
    <w:p>
      <w:pPr>
        <w:spacing w:after="0" w:line="204" w:lineRule="exact"/>
        <w:rPr>
          <w:sz w:val="20"/>
          <w:szCs w:val="20"/>
          <w:color w:val="auto"/>
        </w:rPr>
      </w:pPr>
    </w:p>
    <w:p>
      <w:pPr>
        <w:ind w:right="100" w:firstLine="702"/>
        <w:spacing w:after="0" w:line="262" w:lineRule="auto"/>
        <w:tabs>
          <w:tab w:leader="none" w:pos="96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Standard of Care. The Servicer agrees that its servicing and collection of the Receivables shall be carried out in accordance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w:t>
      </w:r>
    </w:p>
    <w:p>
      <w:pPr>
        <w:spacing w:after="0" w:line="150" w:lineRule="exact"/>
        <w:rPr>
          <w:rFonts w:ascii="Times New Roman" w:cs="Times New Roman" w:eastAsia="Times New Roman" w:hAnsi="Times New Roman"/>
          <w:sz w:val="19"/>
          <w:szCs w:val="19"/>
          <w:color w:val="auto"/>
        </w:rPr>
      </w:pPr>
    </w:p>
    <w:p>
      <w:pPr>
        <w:ind w:right="20" w:firstLine="702"/>
        <w:spacing w:after="0" w:line="260" w:lineRule="auto"/>
        <w:tabs>
          <w:tab w:leader="none" w:pos="972"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Records Held in Trust. The Servicer shall hold in trust for the Borrower and the Secured Parties all Records which evidence or relate to all or any part of the Collateral. In the event that a Successor Servicer is appointed, the outgoing Servicer shall promptly deliver to the Successor Servicer and the Successor Servicer shall hold in trust for the Borrower and the Secured Parties all Records which evidence or relate to all or any part of the Collateral, other than the Receivable Files which shall be delivered to the successor Custodian.</w:t>
      </w:r>
    </w:p>
    <w:p>
      <w:pPr>
        <w:spacing w:after="0" w:line="385"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Collection Practices.</w:t>
      </w:r>
    </w:p>
    <w:p>
      <w:pPr>
        <w:spacing w:after="0" w:line="201" w:lineRule="exact"/>
        <w:rPr>
          <w:rFonts w:ascii="Times New Roman" w:cs="Times New Roman" w:eastAsia="Times New Roman" w:hAnsi="Times New Roman"/>
          <w:sz w:val="19"/>
          <w:szCs w:val="19"/>
          <w:color w:val="auto"/>
        </w:rPr>
      </w:pPr>
    </w:p>
    <w:p>
      <w:pPr>
        <w:ind w:left="700" w:firstLine="890"/>
        <w:spacing w:after="0" w:line="259" w:lineRule="auto"/>
        <w:tabs>
          <w:tab w:leader="none" w:pos="1817" w:val="left"/>
        </w:tabs>
        <w:numPr>
          <w:ilvl w:val="1"/>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Borrower and the Secured Parties, and shall be deemed to be holding such funds in trust on behalf of and as agent for the Secured Parties; provided, however, that the Servicer shall not be empowered to, and shall not, (x) make or attempt to make any change to the Authoritative Copy of any Electronic Contract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7" w:name="page178"/>
    <w:bookmarkEnd w:id="177"/>
    <w:p>
      <w:pPr>
        <w:spacing w:after="0" w:line="26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which constitutes or evidences a Receivable, (y) change or attempt to change the legend or watermark on any Electronic Contract which constitutes or evidences a Receivable or the “Owner of Record” of the Warehouse Vault Partition or (z) except</w:t>
      </w:r>
    </w:p>
    <w:p>
      <w:pPr>
        <w:spacing w:after="0" w:line="1" w:lineRule="exact"/>
        <w:rPr>
          <w:sz w:val="20"/>
          <w:szCs w:val="20"/>
          <w:color w:val="auto"/>
        </w:rPr>
      </w:pPr>
    </w:p>
    <w:p>
      <w:pPr>
        <w:ind w:firstLine="2"/>
        <w:spacing w:after="0" w:line="251" w:lineRule="auto"/>
        <w:tabs>
          <w:tab w:leader="none" w:pos="229"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 Securitization permitted under the terms hereof, (ii) upon payment in full of a Receivable or (iii) as directed by the Borrower with the written consent of the Administrative Agent, cause any Electronic Contract which constitutes or evidences a Receivable to be Exported or otherwise removed from the Warehouse Vault Partition. The Servicer, consistent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 or adjustments on a Contract as permitted by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then in effect, and amend or modify any Contract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The Servicer may in its discretion waive any late payment charge or any other fees, not including interest on the Principal Balance of a Receivable, that may be collected in the ordinary course of servicing a Receivable. The Servicer shall also enforce all rights of the Borrower under the Purchase Agreement including the right to require the Seller to repurchase Receivables for breaches of representations and warranties made by the Seller in the Purchase Agreement. Receivables in respect of which the Servicer has breached the foregoing provisions shall be purchased by the Servicer pursuant to Section 5.04.</w:t>
      </w:r>
    </w:p>
    <w:p>
      <w:pPr>
        <w:spacing w:after="0" w:line="164" w:lineRule="exact"/>
        <w:rPr>
          <w:rFonts w:ascii="Times New Roman" w:cs="Times New Roman" w:eastAsia="Times New Roman" w:hAnsi="Times New Roman"/>
          <w:sz w:val="19"/>
          <w:szCs w:val="19"/>
          <w:color w:val="auto"/>
        </w:rPr>
      </w:pPr>
    </w:p>
    <w:p>
      <w:pPr>
        <w:ind w:right="20" w:firstLine="818"/>
        <w:spacing w:after="0" w:line="256" w:lineRule="auto"/>
        <w:tabs>
          <w:tab w:leader="none" w:pos="1099" w:val="left"/>
        </w:tabs>
        <w:numPr>
          <w:ilvl w:val="2"/>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more of a Scheduled Payment due under a Receivable is not received by the end of the day on its due date, the Servicer will make reasonable and customary efforts to contact the related Obligor. The Servicer shall continue its efforts to obtain payment from such Obligor who has not paid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more of a Scheduled Payment until the related Financed Vehicle has been repossessed and sold or the Servicer has determined that all amounts collectable on the Receivable have been collected. The Servicer shall use its best efforts, consistent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to collect funds on a Defaulted Receivable and by the close of business on the second Business Day following receipt of such Collections, shall deposit such Collections into either Account.</w:t>
      </w:r>
    </w:p>
    <w:p>
      <w:pPr>
        <w:spacing w:after="0" w:line="157" w:lineRule="exact"/>
        <w:rPr>
          <w:rFonts w:ascii="Times New Roman" w:cs="Times New Roman" w:eastAsia="Times New Roman" w:hAnsi="Times New Roman"/>
          <w:sz w:val="19"/>
          <w:szCs w:val="19"/>
          <w:color w:val="auto"/>
        </w:rPr>
      </w:pPr>
    </w:p>
    <w:p>
      <w:pPr>
        <w:ind w:right="60" w:firstLine="746"/>
        <w:spacing w:after="0" w:line="255" w:lineRule="auto"/>
        <w:tabs>
          <w:tab w:leader="none" w:pos="1080"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 Receivable becomes a Defaulted Receivable, the Servicer, itself or through the use of independent contractors or agents shall, consistent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the Recoveries would not be increased.</w:t>
      </w:r>
    </w:p>
    <w:p>
      <w:pPr>
        <w:spacing w:after="0" w:line="1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78" w:name="page179"/>
    <w:bookmarkEnd w:id="178"/>
    <w:p>
      <w:pPr>
        <w:spacing w:after="0" w:line="269" w:lineRule="exact"/>
        <w:rPr>
          <w:sz w:val="20"/>
          <w:szCs w:val="20"/>
          <w:color w:val="auto"/>
        </w:rPr>
      </w:pPr>
    </w:p>
    <w:p>
      <w:pPr>
        <w:ind w:left="700" w:right="220" w:firstLine="758"/>
        <w:spacing w:after="0" w:line="286" w:lineRule="auto"/>
        <w:tabs>
          <w:tab w:leader="none" w:pos="1781"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Servicer shall deposit or cause to be deposited by electronic funds transfer all Collections to the Collection Account as soon as possible but no later than two Business Days after deposit into the Lockbox Account.</w:t>
      </w:r>
    </w:p>
    <w:p>
      <w:pPr>
        <w:spacing w:after="0" w:line="127" w:lineRule="exact"/>
        <w:rPr>
          <w:rFonts w:ascii="Times New Roman" w:cs="Times New Roman" w:eastAsia="Times New Roman" w:hAnsi="Times New Roman"/>
          <w:sz w:val="19"/>
          <w:szCs w:val="19"/>
          <w:color w:val="auto"/>
        </w:rPr>
      </w:pPr>
    </w:p>
    <w:p>
      <w:pPr>
        <w:ind w:firstLine="702"/>
        <w:spacing w:after="0" w:line="255" w:lineRule="auto"/>
        <w:tabs>
          <w:tab w:leader="none" w:pos="972"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Credit and Collection; Recourse; Sales of Financed Vehicles. The Servicer, itself or through the use of independent contractors or agents, shall follow practices consistent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in its servicing of the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maximize the sales proceeds for each repossessed Financed Vehicle. 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spacing w:after="0" w:line="159" w:lineRule="exact"/>
        <w:rPr>
          <w:rFonts w:ascii="Times New Roman" w:cs="Times New Roman" w:eastAsia="Times New Roman" w:hAnsi="Times New Roman"/>
          <w:sz w:val="19"/>
          <w:szCs w:val="19"/>
          <w:color w:val="auto"/>
        </w:rPr>
      </w:pPr>
    </w:p>
    <w:p>
      <w:pPr>
        <w:jc w:val="both"/>
        <w:ind w:firstLine="702"/>
        <w:spacing w:after="0" w:line="262" w:lineRule="auto"/>
        <w:tabs>
          <w:tab w:leader="none" w:pos="96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Subservicers. The Servicer may delegate in the ordinary course of business any or all of its duties and obligations hereunder to one or more Subservicers; provided, however, that the Servicer shall at all times remain responsible for the performance of such duties and obligations. The Servicer will notify the Administrative Agent of any material delegation of duties and obligations (for avoidance of doubt, adding/replacing vendors is not material).</w:t>
      </w:r>
    </w:p>
    <w:p>
      <w:pPr>
        <w:spacing w:after="0" w:line="150"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Insurance. The Servicer shall:</w:t>
      </w:r>
    </w:p>
    <w:p>
      <w:pPr>
        <w:spacing w:after="0" w:line="201" w:lineRule="exact"/>
        <w:rPr>
          <w:rFonts w:ascii="Times New Roman" w:cs="Times New Roman" w:eastAsia="Times New Roman" w:hAnsi="Times New Roman"/>
          <w:sz w:val="19"/>
          <w:szCs w:val="19"/>
          <w:color w:val="auto"/>
        </w:rPr>
      </w:pPr>
    </w:p>
    <w:p>
      <w:pPr>
        <w:ind w:left="700" w:right="60" w:firstLine="890"/>
        <w:spacing w:after="0" w:line="286" w:lineRule="auto"/>
        <w:tabs>
          <w:tab w:leader="none" w:pos="1817" w:val="left"/>
        </w:tabs>
        <w:numPr>
          <w:ilvl w:val="3"/>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behalf of the Borrower, administer and enforce all rights and responsibilities of the Borrower, as owner of the Receivables, provided for in the Insurance Policies relating to the Receivables;</w:t>
      </w:r>
    </w:p>
    <w:p>
      <w:pPr>
        <w:spacing w:after="0" w:line="127" w:lineRule="exact"/>
        <w:rPr>
          <w:rFonts w:ascii="Times New Roman" w:cs="Times New Roman" w:eastAsia="Times New Roman" w:hAnsi="Times New Roman"/>
          <w:sz w:val="19"/>
          <w:szCs w:val="19"/>
          <w:color w:val="auto"/>
        </w:rPr>
      </w:pPr>
    </w:p>
    <w:p>
      <w:pPr>
        <w:ind w:left="700" w:right="20" w:firstLine="818"/>
        <w:spacing w:after="0" w:line="268" w:lineRule="auto"/>
        <w:tabs>
          <w:tab w:leader="none" w:pos="1799" w:val="left"/>
        </w:tabs>
        <w:numPr>
          <w:ilvl w:val="2"/>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accordance with customary servicing procedures and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require that each Obligor shall have obtained physical damage insurance covering the Financed Vehicle in amounts satisfying any Applicable Law as of the date of execution of the related Contract;</w:t>
      </w:r>
    </w:p>
    <w:p>
      <w:pPr>
        <w:spacing w:after="0" w:line="144"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700" w:right="20" w:firstLine="758"/>
        <w:spacing w:after="0" w:line="262" w:lineRule="auto"/>
        <w:tabs>
          <w:tab w:leader="none" w:pos="1781"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administer the filings of claims under the Insurance Policies by filing the appropriate notices related to claims, including initial notices of loss, as well as claims with the respective carriers or their authorized agents all in accordance with the terms of the Insurance Policies; and use reasonable efforts to file such claims on a timely basis after obtaining knowledge of the events giving rise to such claims; and</w:t>
      </w:r>
    </w:p>
    <w:p>
      <w:pPr>
        <w:spacing w:after="0" w:line="150" w:lineRule="exact"/>
        <w:rPr>
          <w:rFonts w:ascii="Times New Roman" w:cs="Times New Roman" w:eastAsia="Times New Roman" w:hAnsi="Times New Roman"/>
          <w:sz w:val="19"/>
          <w:szCs w:val="19"/>
          <w:color w:val="auto"/>
        </w:rPr>
      </w:pPr>
    </w:p>
    <w:p>
      <w:pPr>
        <w:ind w:left="1800" w:hanging="270"/>
        <w:spacing w:after="0"/>
        <w:tabs>
          <w:tab w:leader="none" w:pos="1800" w:val="left"/>
        </w:tabs>
        <w:numPr>
          <w:ilvl w:val="2"/>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utilize such notices, claim forms and claim procedures as are required by the respective insurance carriers.</w:t>
      </w:r>
    </w:p>
    <w:p>
      <w:pPr>
        <w:spacing w:after="0" w:line="202"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In the case of any inconsistency between this Agreement and the terms of any Insurance Policy, the Servicer shall comply with the latter.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79" w:name="page180"/>
    <w:bookmarkEnd w:id="179"/>
    <w:p>
      <w:pPr>
        <w:spacing w:after="0" w:line="269" w:lineRule="exact"/>
        <w:rPr>
          <w:sz w:val="20"/>
          <w:szCs w:val="20"/>
          <w:color w:val="auto"/>
        </w:rPr>
      </w:pPr>
    </w:p>
    <w:p>
      <w:pPr>
        <w:ind w:firstLine="702"/>
        <w:spacing w:after="0" w:line="259" w:lineRule="auto"/>
        <w:tabs>
          <w:tab w:leader="none" w:pos="97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 to Restore. In the event of any physical loss or damage to a Financed Vehicle related to a Receivable from any cause, whether through accidental means or otherwise, the Servicer shall not expend funds for the repair or the repossession of such Financed Vehicle unless the Servicer shall determine in its discretion that such repair or repossession would increase the Recoveries in an amount greater than the cost of repairs. However, the Servicer shall comply with the provisions of any Insurance Policy or policies directly or indirectly related to any physical loss or damage to a Financed Vehicle.</w:t>
      </w:r>
    </w:p>
    <w:p>
      <w:pPr>
        <w:spacing w:after="0" w:line="153" w:lineRule="exact"/>
        <w:rPr>
          <w:rFonts w:ascii="Times New Roman" w:cs="Times New Roman" w:eastAsia="Times New Roman" w:hAnsi="Times New Roman"/>
          <w:sz w:val="19"/>
          <w:szCs w:val="19"/>
          <w:color w:val="auto"/>
        </w:rPr>
      </w:pPr>
    </w:p>
    <w:p>
      <w:pPr>
        <w:ind w:right="140" w:firstLine="702"/>
        <w:spacing w:after="0" w:line="259" w:lineRule="auto"/>
        <w:tabs>
          <w:tab w:leader="none" w:pos="97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Interests. The Borrower hereby directs the Servicer to take or cause to be taken such steps as are necessary, to maintain perfection of the security interest created by each such Receivable in the related Financed Vehicle and the security interests created hereunder and pursuant to the Purchase Agreement. The Servicer shall, at the direction of the Borrower, the Administrative Agent or the Custodian, take any action necessary to preserve and protect the security interests of the Borrower, the Secured Parties and the Custodian in the Receivables, including any action specified in any Opinion of Counsel delivered to the Servicer.</w:t>
      </w:r>
    </w:p>
    <w:p>
      <w:pPr>
        <w:spacing w:after="0" w:line="153" w:lineRule="exact"/>
        <w:rPr>
          <w:rFonts w:ascii="Times New Roman" w:cs="Times New Roman" w:eastAsia="Times New Roman" w:hAnsi="Times New Roman"/>
          <w:sz w:val="19"/>
          <w:szCs w:val="19"/>
          <w:color w:val="auto"/>
        </w:rPr>
      </w:pPr>
    </w:p>
    <w:p>
      <w:pPr>
        <w:ind w:right="400" w:firstLine="702"/>
        <w:spacing w:after="0" w:line="259" w:lineRule="auto"/>
        <w:tabs>
          <w:tab w:leader="none" w:pos="92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Realization on Financed Vehicles.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Secured Parties, the Paying Agent or the Custodian to liability under any federal, State or local law, and that such enforcement by the Servicer will be conducted in accordance with the provisions of this Agreement,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Applicable Law.</w:t>
      </w:r>
    </w:p>
    <w:p>
      <w:pPr>
        <w:spacing w:after="0" w:line="153"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Recordkeeping. The Servicer shall:</w:t>
      </w:r>
    </w:p>
    <w:p>
      <w:pPr>
        <w:spacing w:after="0" w:line="201" w:lineRule="exact"/>
        <w:rPr>
          <w:rFonts w:ascii="Times New Roman" w:cs="Times New Roman" w:eastAsia="Times New Roman" w:hAnsi="Times New Roman"/>
          <w:sz w:val="19"/>
          <w:szCs w:val="19"/>
          <w:color w:val="auto"/>
        </w:rPr>
      </w:pPr>
    </w:p>
    <w:p>
      <w:pPr>
        <w:ind w:left="700" w:right="500" w:firstLine="890"/>
        <w:spacing w:after="0" w:line="286" w:lineRule="auto"/>
        <w:tabs>
          <w:tab w:leader="none" w:pos="1817" w:val="left"/>
        </w:tabs>
        <w:numPr>
          <w:ilvl w:val="2"/>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legible copies (in electronic or hard-copy form, in the discretion of the Servicer) or originals of all documents in its Servicer File with respect to each Receivable and the Financed Vehicle related thereto; and</w:t>
      </w:r>
    </w:p>
    <w:p>
      <w:pPr>
        <w:spacing w:after="0" w:line="127" w:lineRule="exact"/>
        <w:rPr>
          <w:rFonts w:ascii="Times New Roman" w:cs="Times New Roman" w:eastAsia="Times New Roman" w:hAnsi="Times New Roman"/>
          <w:sz w:val="19"/>
          <w:szCs w:val="19"/>
          <w:color w:val="auto"/>
        </w:rPr>
      </w:pPr>
    </w:p>
    <w:p>
      <w:pPr>
        <w:ind w:left="700" w:right="40" w:firstLine="818"/>
        <w:spacing w:after="0" w:line="255" w:lineRule="auto"/>
        <w:tabs>
          <w:tab w:leader="none" w:pos="1799"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Seven.04.  </w:t>
      </w:r>
      <w:r>
        <w:rPr>
          <w:rFonts w:ascii="Times New Roman" w:cs="Times New Roman" w:eastAsia="Times New Roman" w:hAnsi="Times New Roman"/>
          <w:sz w:val="19"/>
          <w:szCs w:val="19"/>
          <w:b w:val="1"/>
          <w:bCs w:val="1"/>
          <w:color w:val="000000"/>
        </w:rPr>
        <w:t>Collection of Payments</w:t>
      </w:r>
    </w:p>
    <w:p>
      <w:pPr>
        <w:spacing w:after="0" w:line="204" w:lineRule="exact"/>
        <w:rPr>
          <w:sz w:val="20"/>
          <w:szCs w:val="20"/>
          <w:color w:val="auto"/>
        </w:rPr>
      </w:pPr>
    </w:p>
    <w:p>
      <w:pPr>
        <w:ind w:right="300" w:firstLine="702"/>
        <w:spacing w:after="0" w:line="268" w:lineRule="auto"/>
        <w:tabs>
          <w:tab w:leader="none" w:pos="96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to the Post Office Boxes.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or Lockbox</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0" w:name="page181"/>
    <w:bookmarkEnd w:id="180"/>
    <w:p>
      <w:pPr>
        <w:spacing w:after="0" w:line="26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Account, and all such payments will be deposited into the Collection Account pursuant to Section 2.11(a) and in no event later than two Business Days of receipt.</w:t>
      </w:r>
    </w:p>
    <w:p>
      <w:pPr>
        <w:spacing w:after="0" w:line="127" w:lineRule="exact"/>
        <w:rPr>
          <w:sz w:val="20"/>
          <w:szCs w:val="20"/>
          <w:color w:val="auto"/>
        </w:rPr>
      </w:pPr>
    </w:p>
    <w:p>
      <w:pPr>
        <w:ind w:firstLine="702"/>
        <w:spacing w:after="0" w:line="255" w:lineRule="auto"/>
        <w:tabs>
          <w:tab w:leader="none" w:pos="972"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Establishment of the Collection Account and the Lockbox Account. The Servicer shall cause the Paying Agent to establish, on or before the Closing Date, and maintain in the name of the Borrower, for the benefit of the Secured Parties, with a Qualified Institution which shall initially be the Account Bank, the Collection Account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Qualified Institution in connection with the maintenance of the Collection Account for its own account and shall not be entitled to any payment therefor. The Servicer shall maintain in its name for the benefit of the Secured Parties the Lockbox Account which shall be under the dominion and control of the Lockbox Bank under, and shall be subject to, the Intercreditor Agreement and the Intercreditor Party Supplement.</w:t>
      </w:r>
    </w:p>
    <w:p>
      <w:pPr>
        <w:spacing w:after="0" w:line="387" w:lineRule="exact"/>
        <w:rPr>
          <w:rFonts w:ascii="Times New Roman" w:cs="Times New Roman" w:eastAsia="Times New Roman" w:hAnsi="Times New Roman"/>
          <w:sz w:val="19"/>
          <w:szCs w:val="19"/>
          <w:color w:val="auto"/>
        </w:rPr>
      </w:pPr>
    </w:p>
    <w:p>
      <w:pPr>
        <w:ind w:right="160" w:firstLine="702"/>
        <w:spacing w:after="0" w:line="257" w:lineRule="auto"/>
        <w:tabs>
          <w:tab w:leader="none" w:pos="96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If the Servicer (i) makes a deposit into the Collection Account in respect of a Collection of a Receivable and such Collection was received by the Servicer that is not honored for any reason, (ii) makes a mistake with respect to the amount of any collection and deposits an amount that is less than or more than the actual amount of such collection or (iii) is entitled to reimbursement of any ancillary fees in accordance with Section 7.02, the Servicer shall appropriately adjust the amount subsequently deposited into the Collection Account to reflect such mistake or reimbursement. Any Collection which is dishonored shall be deemed not to have been paid.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Seven.05.  </w:t>
      </w:r>
      <w:r>
        <w:rPr>
          <w:rFonts w:ascii="Times New Roman" w:cs="Times New Roman" w:eastAsia="Times New Roman" w:hAnsi="Times New Roman"/>
          <w:sz w:val="19"/>
          <w:szCs w:val="19"/>
          <w:b w:val="1"/>
          <w:bCs w:val="1"/>
          <w:color w:val="000000"/>
        </w:rPr>
        <w:t>Payment of Certain Expenses by Servicer</w:t>
      </w:r>
    </w:p>
    <w:p>
      <w:pPr>
        <w:spacing w:after="0" w:line="204"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Except for such amounts and expenses the Servicer is entitled to reimbursement as provided for herein, the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Servicer will be required to pay all reasonable fees and expenses owing to any Qualified Institution in connection with the maintenance of the Collection Account. The Servicer shall be required to pay such expenses for its own account and shall not be entitled to any payment therefor other than the Servicing Fee.</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Seven.06.  </w:t>
      </w:r>
      <w:r>
        <w:rPr>
          <w:rFonts w:ascii="Times New Roman" w:cs="Times New Roman" w:eastAsia="Times New Roman" w:hAnsi="Times New Roman"/>
          <w:sz w:val="19"/>
          <w:szCs w:val="19"/>
          <w:b w:val="1"/>
          <w:bCs w:val="1"/>
          <w:color w:val="000000"/>
        </w:rPr>
        <w:t>Reports</w:t>
      </w:r>
    </w:p>
    <w:p>
      <w:pPr>
        <w:spacing w:after="0" w:line="204" w:lineRule="exact"/>
        <w:rPr>
          <w:sz w:val="20"/>
          <w:szCs w:val="20"/>
          <w:color w:val="auto"/>
        </w:rPr>
      </w:pPr>
    </w:p>
    <w:p>
      <w:pPr>
        <w:ind w:right="300" w:firstLine="702"/>
        <w:spacing w:after="0" w:line="286" w:lineRule="auto"/>
        <w:tabs>
          <w:tab w:leader="none" w:pos="96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Monthly Reports. On each Reporting Date, the Servicer will provide to the Borrower, the Secured Parties and the Paying Agent, a Monthly Report.</w:t>
      </w:r>
    </w:p>
    <w:p>
      <w:pPr>
        <w:spacing w:after="0" w:line="127" w:lineRule="exact"/>
        <w:rPr>
          <w:rFonts w:ascii="Times New Roman" w:cs="Times New Roman" w:eastAsia="Times New Roman" w:hAnsi="Times New Roman"/>
          <w:sz w:val="19"/>
          <w:szCs w:val="19"/>
          <w:color w:val="auto"/>
        </w:rPr>
      </w:pPr>
    </w:p>
    <w:p>
      <w:pPr>
        <w:ind w:right="260" w:firstLine="702"/>
        <w:spacing w:after="0" w:line="268" w:lineRule="auto"/>
        <w:tabs>
          <w:tab w:leader="none" w:pos="972"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 Data. The Servicer will provide the Receivable Data to the Secured Parties, within ten Business Days of receiving a request from the Administrative Agent for such report, which request may be made semi-annually, but not more frequently unless required by regulators or to comply with Applicable Law (including Basel II and Basel III).</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1" w:name="page182"/>
    <w:bookmarkEnd w:id="181"/>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Seven.07.  </w:t>
      </w:r>
      <w:r>
        <w:rPr>
          <w:rFonts w:ascii="Times New Roman" w:cs="Times New Roman" w:eastAsia="Times New Roman" w:hAnsi="Times New Roman"/>
          <w:sz w:val="19"/>
          <w:szCs w:val="19"/>
          <w:b w:val="1"/>
          <w:bCs w:val="1"/>
          <w:color w:val="000000"/>
        </w:rPr>
        <w:t>Due Diligence</w:t>
      </w:r>
    </w:p>
    <w:p>
      <w:pPr>
        <w:spacing w:after="0" w:line="204" w:lineRule="exact"/>
        <w:rPr>
          <w:sz w:val="20"/>
          <w:szCs w:val="20"/>
          <w:color w:val="auto"/>
        </w:rPr>
      </w:pPr>
    </w:p>
    <w:p>
      <w:pPr>
        <w:ind w:firstLine="696"/>
        <w:spacing w:after="0" w:line="251" w:lineRule="auto"/>
        <w:rPr>
          <w:sz w:val="20"/>
          <w:szCs w:val="20"/>
          <w:color w:val="auto"/>
        </w:rPr>
      </w:pPr>
      <w:r>
        <w:rPr>
          <w:rFonts w:ascii="Times New Roman" w:cs="Times New Roman" w:eastAsia="Times New Roman" w:hAnsi="Times New Roman"/>
          <w:sz w:val="19"/>
          <w:szCs w:val="19"/>
          <w:color w:val="auto"/>
        </w:rPr>
        <w:t>Up to one (1) time each calendar year, at such times during normal business hours as are reasonably convenient to the Borrower, the Servicer or the Custodian, as the case may be, at the sole cost and expense of the Servicer (provided that such costs and expenses shall be limited to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per annum unless an Early Amortization Event, a Termination Event, Unmatured Termination Event, Unmatured Servicer Termination Event or Servicer Termination Event shall have occurred) and upon reasonable request of the Secured Parties and prior written notice to the Borrower, the Servicer or the Custodian, as the case may be, the Borrower, the Servicer or the Custodian, as the case may be, shall permit such Person or Persons as the Secured Parties may designate to conduct, on behalf of all of them, audits or to visit and inspect any of the properties of the Borrower, the Servicer (including any Subservicer) or the Custodian where the Receivable Files are located, as the case may be, to examine the Receivable Files, internal controls and procedures maintained by the Borrower, the Servicer or the Custodian, as the case may be, and take copies and extracts therefrom, and to discuss the affairs of the Borrower, the Servicer (including any Subservicer) or the Custodian with their respective officers and employees (which employees, except after the occurrence of an Early Amortization Event, a Termination Event, Unmatured Termination Event, Unmatured Servicer Termination Event or Servicer Termination Event, shall be designated by the Borrower, the Servicer or the Custodian, as the case may be) and, upon written notice to the Borrower, the Servicer or the Custodian, as the case may be, independent accountants; provided, further, that after the occurrence of a Termination Event, Unmatured Termination Event, Unmatured Servicer Termination Event or Servicer Termination Event, the Secured Parties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Secured Parties and its representatives shall make reasonable efforts to coordinate, and provide 30 days’ prior written notice of, such audits, visits and inspections. The Borrower, the Servicer or the Custodian, as the case may be, hereby authorizes such officers, employees and independent accountants (and the Servicer shall cause each Subservicer to authorize such officers, employees and independent accountants) to discuss with the Secured Parties and its representatives, the affairs of the Borrower, the Servicer or the Custodian, as the case may be. The Servicer shall reimburse the Secured Parties for all reasonable fees, costs and expenses incurred by or on behalf of the Secured Parties in connection with the foregoing actions promptly upon receipt of a written invoice therefor. Any audit provided for herein shall be conducted in accordance with the rules of the Borrower, Servicer and Custodian respecting safety and security on its premises and without materially disrupting operations. Nothing in this subsection shall affect the obligation of the Servicer or Custodian to observe any Applicable Law prohibiting the disclosure of information regarding the Obligors, and the failure of the Servicer or Custodian to provide access to information as a result of such obligation shall not constitute a breach of this subsection.</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Seven.08.  </w:t>
      </w:r>
      <w:r>
        <w:rPr>
          <w:rFonts w:ascii="Times New Roman" w:cs="Times New Roman" w:eastAsia="Times New Roman" w:hAnsi="Times New Roman"/>
          <w:sz w:val="19"/>
          <w:szCs w:val="19"/>
          <w:b w:val="1"/>
          <w:bCs w:val="1"/>
          <w:color w:val="000000"/>
        </w:rPr>
        <w:t>Annual Statement as to Compliance</w:t>
      </w:r>
    </w:p>
    <w:p>
      <w:pPr>
        <w:spacing w:after="0" w:line="204" w:lineRule="exact"/>
        <w:rPr>
          <w:sz w:val="20"/>
          <w:szCs w:val="20"/>
          <w:color w:val="auto"/>
        </w:rPr>
      </w:pPr>
    </w:p>
    <w:p>
      <w:pPr>
        <w:ind w:right="300" w:firstLine="696"/>
        <w:spacing w:after="0" w:line="207" w:lineRule="auto"/>
        <w:rPr>
          <w:sz w:val="20"/>
          <w:szCs w:val="20"/>
          <w:color w:val="auto"/>
        </w:rPr>
      </w:pPr>
      <w:r>
        <w:rPr>
          <w:rFonts w:ascii="Times New Roman" w:cs="Times New Roman" w:eastAsia="Times New Roman" w:hAnsi="Times New Roman"/>
          <w:sz w:val="19"/>
          <w:szCs w:val="19"/>
          <w:color w:val="auto"/>
        </w:rPr>
        <w:t xml:space="preserve">The Servicer shall deliver to the Secured Parties, on or before April 30 </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of each year, beginning in 2024, an Officer’s Certificate, dated as of the preceding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9"/>
          <w:szCs w:val="19"/>
          <w:color w:val="auto"/>
        </w:rPr>
        <w:t>, stating that (i) a review of the activities of the Servicer during the preceding 12-month period (or since the Closing Date in the case of the first such Officer’s Certificate) and of its performance under this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82" w:name="page183"/>
    <w:bookmarkEnd w:id="182"/>
    <w:p>
      <w:pPr>
        <w:spacing w:after="0" w:line="26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Seven.09.  </w:t>
      </w:r>
      <w:r>
        <w:rPr>
          <w:rFonts w:ascii="Times New Roman" w:cs="Times New Roman" w:eastAsia="Times New Roman" w:hAnsi="Times New Roman"/>
          <w:sz w:val="19"/>
          <w:szCs w:val="19"/>
          <w:b w:val="1"/>
          <w:bCs w:val="1"/>
          <w:color w:val="000000"/>
        </w:rPr>
        <w:t>Annual Independent Public Accountant’s Reports</w:t>
      </w:r>
    </w:p>
    <w:p>
      <w:pPr>
        <w:spacing w:after="0" w:line="204" w:lineRule="exact"/>
        <w:rPr>
          <w:sz w:val="20"/>
          <w:szCs w:val="20"/>
          <w:color w:val="auto"/>
        </w:rPr>
      </w:pPr>
    </w:p>
    <w:p>
      <w:pPr>
        <w:ind w:firstLine="696"/>
        <w:spacing w:after="0" w:line="247" w:lineRule="auto"/>
        <w:rPr>
          <w:sz w:val="20"/>
          <w:szCs w:val="20"/>
          <w:color w:val="auto"/>
        </w:rPr>
      </w:pPr>
      <w:r>
        <w:rPr>
          <w:rFonts w:ascii="Times New Roman" w:cs="Times New Roman" w:eastAsia="Times New Roman" w:hAnsi="Times New Roman"/>
          <w:sz w:val="19"/>
          <w:szCs w:val="19"/>
          <w:color w:val="auto"/>
        </w:rPr>
        <w:t>To the extent prepared on behalf of the Servicer in connection with the public or private offering of securities backed by or relating to automobile receivables, the Servicer will deliver to the Administrative Agent and the Lenders, on or before April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of each year beginning in 2024, a copy of a report prepared by a firm of independent certified public accountants, who may also render other services to the Servicer or any of its Affiliates, addressed to the Board of Directors of the Servicer or any of its Affiliates, the Secured Parties and dated during the current year, to the effect that such firm has examined the Servicer’s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shorter period in the case of the first such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or private offerings of automobile receivable-backed securities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Secured Parties shall be deemed to satisfy the provisions of this Section.</w:t>
      </w:r>
    </w:p>
    <w:p>
      <w:pPr>
        <w:spacing w:after="0" w:line="170"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In the event such independent certified public accountants require the Custodian or the Paying Agent to agree to the procedures to be performed by such firm in any of the reports required to be prepared pursuant to this Section, the Servicer shall direct the Custodian or the Paying Agent in writing to so agree; it being understood and agreed that the Custodian or the Paying Agent will deliver such letter of agreement in conclusive reliance upon the direction of the Servicer, and the Custodian and the Paying Agent have not made any independent inquiry or investigation as to, and</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3" w:name="page184"/>
    <w:bookmarkEnd w:id="183"/>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have no obligation or liability in respect of, the sufficiency, validity or correctness of such procedures.</w:t>
      </w:r>
    </w:p>
    <w:p>
      <w:pPr>
        <w:spacing w:after="0" w:line="202"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Such report shall also indicate that the firm is “Independent” of the Servicer and its Affiliates within the meaning of the Code of Professional Ethics of the American Institute of Certified Public Accountants.</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Seven.10.  </w:t>
      </w:r>
      <w:r>
        <w:rPr>
          <w:rFonts w:ascii="Times New Roman" w:cs="Times New Roman" w:eastAsia="Times New Roman" w:hAnsi="Times New Roman"/>
          <w:sz w:val="19"/>
          <w:szCs w:val="19"/>
          <w:b w:val="1"/>
          <w:bCs w:val="1"/>
          <w:color w:val="000000"/>
        </w:rPr>
        <w:t>[Reserved]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Seven.11.  </w:t>
      </w:r>
      <w:r>
        <w:rPr>
          <w:rFonts w:ascii="Times New Roman" w:cs="Times New Roman" w:eastAsia="Times New Roman" w:hAnsi="Times New Roman"/>
          <w:sz w:val="19"/>
          <w:szCs w:val="19"/>
          <w:b w:val="1"/>
          <w:bCs w:val="1"/>
          <w:color w:val="000000"/>
        </w:rPr>
        <w:t>Rights After Designation of Successor Servicer; Liability</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At any time following the designation of a Successor Servicer pursuant to Section 7.15 as a result of the occurrence of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Servicer Termination Event:</w:t>
      </w:r>
    </w:p>
    <w:p>
      <w:pPr>
        <w:spacing w:after="0" w:line="180" w:lineRule="exact"/>
        <w:rPr>
          <w:sz w:val="20"/>
          <w:szCs w:val="20"/>
          <w:color w:val="auto"/>
        </w:rPr>
      </w:pPr>
    </w:p>
    <w:p>
      <w:pPr>
        <w:ind w:left="700" w:right="100" w:firstLine="746"/>
        <w:spacing w:after="0" w:line="256" w:lineRule="auto"/>
        <w:tabs>
          <w:tab w:leader="none" w:pos="1705"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outgoing Servicer, on behalf of the Borrower, shall, at the Administrative Agent’s request, (i) assemble all of the Records relating to the Collateral, including all Receivable Files, and shall make the same available to the Administrative Agent, the Successor Servicer at a place selected by the Administrative Agent or, with the Administrative Agent’s prior written consent, by the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spacing w:after="0" w:line="157" w:lineRule="exact"/>
        <w:rPr>
          <w:rFonts w:ascii="Times New Roman" w:cs="Times New Roman" w:eastAsia="Times New Roman" w:hAnsi="Times New Roman"/>
          <w:sz w:val="19"/>
          <w:szCs w:val="19"/>
          <w:color w:val="auto"/>
        </w:rPr>
      </w:pPr>
    </w:p>
    <w:p>
      <w:pPr>
        <w:ind w:left="700" w:right="340" w:firstLine="746"/>
        <w:spacing w:after="0" w:line="262" w:lineRule="auto"/>
        <w:tabs>
          <w:tab w:leader="none" w:pos="1716"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Seven.12.  </w:t>
      </w:r>
      <w:r>
        <w:rPr>
          <w:rFonts w:ascii="Times New Roman" w:cs="Times New Roman" w:eastAsia="Times New Roman" w:hAnsi="Times New Roman"/>
          <w:sz w:val="19"/>
          <w:szCs w:val="19"/>
          <w:b w:val="1"/>
          <w:bCs w:val="1"/>
          <w:color w:val="000000"/>
        </w:rPr>
        <w:t>Limitation on Liability of the Servicer and Others</w:t>
      </w:r>
    </w:p>
    <w:p>
      <w:pPr>
        <w:spacing w:after="0" w:line="204"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misconduct, bad faith or negligence in the performance of duties.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Seven.13.  </w:t>
      </w:r>
      <w:r>
        <w:rPr>
          <w:rFonts w:ascii="Times New Roman" w:cs="Times New Roman" w:eastAsia="Times New Roman" w:hAnsi="Times New Roman"/>
          <w:sz w:val="19"/>
          <w:szCs w:val="19"/>
          <w:b w:val="1"/>
          <w:bCs w:val="1"/>
          <w:color w:val="000000"/>
        </w:rPr>
        <w:t>The Servicer Not to Resign</w:t>
      </w:r>
    </w:p>
    <w:p>
      <w:pPr>
        <w:spacing w:after="0" w:line="204" w:lineRule="exact"/>
        <w:rPr>
          <w:sz w:val="20"/>
          <w:szCs w:val="20"/>
          <w:color w:val="auto"/>
        </w:rPr>
      </w:pPr>
    </w:p>
    <w:p>
      <w:pPr>
        <w:ind w:right="100" w:firstLine="696"/>
        <w:spacing w:after="0" w:line="259" w:lineRule="auto"/>
        <w:rPr>
          <w:sz w:val="20"/>
          <w:szCs w:val="20"/>
          <w:color w:val="auto"/>
        </w:rPr>
      </w:pPr>
      <w:r>
        <w:rPr>
          <w:rFonts w:ascii="Times New Roman" w:cs="Times New Roman" w:eastAsia="Times New Roman" w:hAnsi="Times New Roman"/>
          <w:sz w:val="19"/>
          <w:szCs w:val="19"/>
          <w:color w:val="auto"/>
        </w:rPr>
        <w:t>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(except as modified in the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4" w:name="page185"/>
    <w:bookmarkEnd w:id="184"/>
    <w:p>
      <w:pPr>
        <w:spacing w:after="0" w:line="26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Servicing Agreement between the Borrower, the successor Servicer and the Administrative Agent) and the Receivable Files shall have been delivered to a successor Custodian.</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Seven.14.  </w:t>
      </w:r>
      <w:r>
        <w:rPr>
          <w:rFonts w:ascii="Times New Roman" w:cs="Times New Roman" w:eastAsia="Times New Roman" w:hAnsi="Times New Roman"/>
          <w:sz w:val="19"/>
          <w:szCs w:val="19"/>
          <w:b w:val="1"/>
          <w:bCs w:val="1"/>
          <w:color w:val="000000"/>
        </w:rPr>
        <w:t>Servicer Termination Events</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occurrence and continuance of any one of the following events shall constitute a “Servicer Termination Event” hereunder: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22222"/>
        </w:rPr>
        <w:t>[***].</w:t>
      </w:r>
    </w:p>
    <w:p>
      <w:pPr>
        <w:spacing w:after="0" w:line="202"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Upon the occurrence of any of the foregoing events,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the Custodian) (each, a “Servicer Termination Notice”), may (i) terminate all of the rights and obligations of the Servicer as Servicer under this Agreement and (ii) direct the Servicer to cause Collections to be deposited into an account other than the Lockbox Account, the Post Office Boxes and the Collection Account; provided, that such other account must be established by the Successor Servicer or the Paying Agent at the Account Bank or another Qualified Institution and (iii) direct the Servicer to delegate any or all of its duties and obligations hereunder to one or more Subservicers and (iv) direct the Servicer to deliver, or cause to be delivered, the Receivable Files and the related accounts and records maintained by the Servicer to the Administrative Agent, or its agent or designee, at such place as the Administrative Agent may reasonably designate with written notice to the Lenders.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Seven.15.  </w:t>
      </w:r>
      <w:r>
        <w:rPr>
          <w:rFonts w:ascii="Times New Roman" w:cs="Times New Roman" w:eastAsia="Times New Roman" w:hAnsi="Times New Roman"/>
          <w:sz w:val="19"/>
          <w:szCs w:val="19"/>
          <w:b w:val="1"/>
          <w:bCs w:val="1"/>
          <w:color w:val="000000"/>
        </w:rPr>
        <w:t>Appointment of Successor Servicer or Subservicer</w:t>
      </w:r>
    </w:p>
    <w:p>
      <w:pPr>
        <w:spacing w:after="0" w:line="204" w:lineRule="exact"/>
        <w:rPr>
          <w:sz w:val="20"/>
          <w:szCs w:val="20"/>
          <w:color w:val="auto"/>
        </w:rPr>
      </w:pPr>
    </w:p>
    <w:p>
      <w:pPr>
        <w:ind w:right="100" w:firstLine="702"/>
        <w:spacing w:after="0" w:line="253" w:lineRule="auto"/>
        <w:tabs>
          <w:tab w:leader="none" w:pos="957"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resignation of the Servicer pursuant to Section 7.08 or on and after the receipt by the Servicer of a Servicer Termination Notice, the outgoing Servicer shall continue to perform all servicing functions under this Agreement until the later of (A)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and the Administrative Agent and (B) the date on which the Successor Servicer has accepted its appointment as Servicer hereunder; provided that, if no Successor Servicer shall have been so appointed and have accepted appointment within 60 calendar days after the giving of such notice of resignation or receipt of such Servicer Termination Notice, the resigning Servicer may petition any court of competent jurisdiction for the appointment of a successor Servicer. The Administrative Agent may, in its discretion, at the time described in the immediately preceding sentence, appoint a successor servicer (the “Successor Servicer”), and such Successor Servicer shall accept its appointment by a written assumption in a form acceptable to the Administrative Agent. In the event that a Successor Servicer has not accepted its appointment at the time when the Servicer ceases to act as Servicer, the Administrative Agent shall petition a court of competent jurisdiction to appoint any established financial institution and whose regular business includes the servicing of automobile receivables as the Successor Servicer hereunder.</w:t>
      </w:r>
    </w:p>
    <w:p>
      <w:pPr>
        <w:spacing w:after="0" w:line="162" w:lineRule="exact"/>
        <w:rPr>
          <w:rFonts w:ascii="Times New Roman" w:cs="Times New Roman" w:eastAsia="Times New Roman" w:hAnsi="Times New Roman"/>
          <w:sz w:val="19"/>
          <w:szCs w:val="19"/>
          <w:color w:val="auto"/>
        </w:rPr>
      </w:pPr>
    </w:p>
    <w:p>
      <w:pPr>
        <w:ind w:right="20" w:firstLine="702"/>
        <w:spacing w:after="0" w:line="286" w:lineRule="auto"/>
        <w:tabs>
          <w:tab w:leader="none" w:pos="968"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resignation or termination and removal of the Servicer, the predecessor Servicer shall cooperate with the Successor Servicer in effecting the termination of the rights and</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5" w:name="page186"/>
    <w:bookmarkEnd w:id="185"/>
    <w:p>
      <w:pPr>
        <w:spacing w:after="0" w:line="2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responsibilities of the predecessor Servicer under this Agreement, including the transfer to the Successor Servicer for administration by it of all cash amounts that shall at the time be held by the predecessor Servicer for deposit, or shall thereafter be received, with respect to a Receivable, and the related accounts and records maintained by the Servicer. In the case that the Successor Servicer or Subservicer shall not agree to perform any duties or obligations of the Servicer hereunder, such duties or obligations may be performed or delegated by the Administrative Agent. The Servicer, if other than UACC, shall as soon as practicable upon demand, deliver to the Borrower all records in its possession which evidence or relate to debt of an Obligor which is not a Receivable.</w:t>
      </w:r>
    </w:p>
    <w:p>
      <w:pPr>
        <w:spacing w:after="0" w:line="157" w:lineRule="exact"/>
        <w:rPr>
          <w:sz w:val="20"/>
          <w:szCs w:val="20"/>
          <w:color w:val="auto"/>
        </w:rPr>
      </w:pPr>
    </w:p>
    <w:p>
      <w:pPr>
        <w:ind w:right="80" w:firstLine="702"/>
        <w:spacing w:after="0" w:line="268" w:lineRule="auto"/>
        <w:tabs>
          <w:tab w:leader="none" w:pos="957"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the same rights of removal and termination as contracted with respect to the Successor Servicer as with respect to UACC as the Servicer or as specified in the successor Servicing Agreement between the successor Servicer, the Borrower and the Administrative Agent.</w:t>
      </w:r>
    </w:p>
    <w:p>
      <w:pPr>
        <w:spacing w:after="0" w:line="144" w:lineRule="exact"/>
        <w:rPr>
          <w:rFonts w:ascii="Times New Roman" w:cs="Times New Roman" w:eastAsia="Times New Roman" w:hAnsi="Times New Roman"/>
          <w:sz w:val="19"/>
          <w:szCs w:val="19"/>
          <w:color w:val="auto"/>
        </w:rPr>
      </w:pPr>
    </w:p>
    <w:p>
      <w:pPr>
        <w:ind w:right="80" w:firstLine="702"/>
        <w:spacing w:after="0" w:line="256" w:lineRule="auto"/>
        <w:tabs>
          <w:tab w:leader="none" w:pos="968"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reasonable out-of-pocket costs and expenses (including attorneys’ fees and disbursements) incurred in connection with the transferring of Receivables from the Servicer to the Successor Servicer, converting the Servicer’s data to the computer system of the Successor Servicer, and amending this Agreement to reflect such succession as Servicer pursuant to this Section shall be paid by the predecessor Servicer upon presentation of reasonable transition expenses not exceeding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(the “Transition Expenses”); provided,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if the Servicer breaches the obligations of Sections 7.03(a) or 7.15(b) hereof Transition Expenses shall be limited to any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pocket expenses of the Lenders allocated to the servicing transition. If the predecessor Servicer fails to pay the Transition Expenses, the Transition Expenses shall be payable pursuant to Section 2.08.</w:t>
      </w:r>
    </w:p>
    <w:p>
      <w:pPr>
        <w:spacing w:after="0" w:line="157" w:lineRule="exact"/>
        <w:rPr>
          <w:rFonts w:ascii="Times New Roman" w:cs="Times New Roman" w:eastAsia="Times New Roman" w:hAnsi="Times New Roman"/>
          <w:sz w:val="19"/>
          <w:szCs w:val="19"/>
          <w:color w:val="auto"/>
        </w:rPr>
      </w:pPr>
    </w:p>
    <w:p>
      <w:pPr>
        <w:ind w:right="20" w:firstLine="702"/>
        <w:spacing w:after="0" w:line="254" w:lineRule="auto"/>
        <w:tabs>
          <w:tab w:leader="none" w:pos="957"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its appointment and acceptance, the Successor Servicer shall, except as otherwise set forth in this Agreement,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Successor Servicer (unless the Successor Servicer, with the consent of the Administrative Agent, enters into a separate agreement with respect to the servicing duties hereunder, in which case the terms and provisions of such successor servicing agreement shall prevail); provided, however, that any Successor Servicer shall have (i) no liability with respect to any obligation which was required to be performed by the predecessor Servicer prior to the date that the successor becomes the Successor Servicer or any claim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to this Agreement and (v) no liability or obligation with respect to any Servicer indemnification obligations of any prior Servicer, including UACC.</w:t>
      </w:r>
    </w:p>
    <w:p>
      <w:pPr>
        <w:spacing w:after="0" w:line="157" w:lineRule="exact"/>
        <w:rPr>
          <w:rFonts w:ascii="Times New Roman" w:cs="Times New Roman" w:eastAsia="Times New Roman" w:hAnsi="Times New Roman"/>
          <w:sz w:val="19"/>
          <w:szCs w:val="19"/>
          <w:color w:val="auto"/>
        </w:rPr>
      </w:pPr>
    </w:p>
    <w:p>
      <w:pPr>
        <w:ind w:right="100" w:firstLine="702"/>
        <w:spacing w:after="0" w:line="259" w:lineRule="auto"/>
        <w:tabs>
          <w:tab w:leader="none" w:pos="936"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6" w:name="page187"/>
    <w:bookmarkEnd w:id="186"/>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 in effecting the termination of the responsibilities and rights of the Servicer to conduct servicing of the Receivables.</w:t>
      </w:r>
    </w:p>
    <w:p>
      <w:pPr>
        <w:spacing w:after="0" w:line="202" w:lineRule="exact"/>
        <w:rPr>
          <w:sz w:val="20"/>
          <w:szCs w:val="20"/>
          <w:color w:val="auto"/>
        </w:rPr>
      </w:pPr>
    </w:p>
    <w:p>
      <w:pPr>
        <w:ind w:right="80" w:firstLine="702"/>
        <w:spacing w:after="0" w:line="268" w:lineRule="auto"/>
        <w:tabs>
          <w:tab w:leader="none" w:pos="968"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Servicer shall act as Servicer hereunder and shall, subject to the availability of sufficient funds in the Collection Account pursuant to Section 2.08(a)(i) (up to the Servicing Fee), receive as compensation therefor the Servicing Fee pursuant to Section 2.12(b).</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Seven.16.  </w:t>
      </w:r>
      <w:r>
        <w:rPr>
          <w:rFonts w:ascii="Times New Roman" w:cs="Times New Roman" w:eastAsia="Times New Roman" w:hAnsi="Times New Roman"/>
          <w:sz w:val="19"/>
          <w:szCs w:val="19"/>
          <w:b w:val="1"/>
          <w:bCs w:val="1"/>
          <w:color w:val="000000"/>
        </w:rPr>
        <w:t>Merger or Consolidation, Assumption of Obligations or Resignation of the Servicer</w:t>
      </w:r>
    </w:p>
    <w:p>
      <w:pPr>
        <w:spacing w:after="0" w:line="204"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color w:val="auto"/>
        </w:rPr>
        <w:t xml:space="preserve">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acceptable to the Administrative Agent to perform every obligation of the Servicer hereunder, shall, with the prior written consent of the Administrative Agent (which consent shall not be unreasonably withheld), be the successor to the Servicer under this Agreement without further act on the part of any of the parties to this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w:t>
      </w:r>
    </w:p>
    <w:p>
      <w:pPr>
        <w:spacing w:after="0" w:line="157" w:lineRule="exact"/>
        <w:rPr>
          <w:sz w:val="20"/>
          <w:szCs w:val="20"/>
          <w:color w:val="auto"/>
        </w:rPr>
      </w:pPr>
    </w:p>
    <w:p>
      <w:pPr>
        <w:ind w:left="700" w:right="120" w:firstLine="890"/>
        <w:spacing w:after="0" w:line="286" w:lineRule="auto"/>
        <w:tabs>
          <w:tab w:leader="none" w:pos="1817" w:val="left"/>
        </w:tabs>
        <w:numPr>
          <w:ilvl w:val="2"/>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written notice of such consolidation, merger, succession or resignation shall be delivered by the Servicer to the Secured Parties and the Custodian;</w:t>
      </w:r>
    </w:p>
    <w:p>
      <w:pPr>
        <w:spacing w:after="0" w:line="127" w:lineRule="exact"/>
        <w:rPr>
          <w:rFonts w:ascii="Times New Roman" w:cs="Times New Roman" w:eastAsia="Times New Roman" w:hAnsi="Times New Roman"/>
          <w:sz w:val="19"/>
          <w:szCs w:val="19"/>
          <w:color w:val="auto"/>
        </w:rPr>
      </w:pPr>
    </w:p>
    <w:p>
      <w:pPr>
        <w:ind w:left="700" w:right="80" w:firstLine="818"/>
        <w:spacing w:after="0" w:line="286" w:lineRule="auto"/>
        <w:tabs>
          <w:tab w:leader="none" w:pos="1799"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consolidation, merger, succession or resignation, no Servicer Termination Event or Unmatured Servicer Termination Event shall have occurred and be continuing;</w:t>
      </w:r>
    </w:p>
    <w:p>
      <w:pPr>
        <w:spacing w:after="0" w:line="127" w:lineRule="exact"/>
        <w:rPr>
          <w:rFonts w:ascii="Times New Roman" w:cs="Times New Roman" w:eastAsia="Times New Roman" w:hAnsi="Times New Roman"/>
          <w:sz w:val="19"/>
          <w:szCs w:val="19"/>
          <w:color w:val="auto"/>
        </w:rPr>
      </w:pPr>
    </w:p>
    <w:p>
      <w:pPr>
        <w:ind w:left="700" w:right="440" w:firstLine="746"/>
        <w:spacing w:after="0" w:line="286" w:lineRule="auto"/>
        <w:tabs>
          <w:tab w:leader="none" w:pos="178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Termination Event or Unmatured Termination Event would occur as result of such consolidation, merger, succession or resignation;</w:t>
      </w:r>
    </w:p>
    <w:p>
      <w:pPr>
        <w:spacing w:after="0" w:line="127" w:lineRule="exact"/>
        <w:rPr>
          <w:rFonts w:ascii="Times New Roman" w:cs="Times New Roman" w:eastAsia="Times New Roman" w:hAnsi="Times New Roman"/>
          <w:sz w:val="19"/>
          <w:szCs w:val="19"/>
          <w:color w:val="auto"/>
        </w:rPr>
      </w:pPr>
    </w:p>
    <w:p>
      <w:pPr>
        <w:ind w:left="700" w:right="80" w:firstLine="758"/>
        <w:spacing w:after="0" w:line="262" w:lineRule="auto"/>
        <w:tabs>
          <w:tab w:leader="none" w:pos="1781"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UACC is the Servicer, the Servicer shall have delivered to the Secured Parties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spacing w:after="0" w:line="150" w:lineRule="exact"/>
        <w:rPr>
          <w:rFonts w:ascii="Times New Roman" w:cs="Times New Roman" w:eastAsia="Times New Roman" w:hAnsi="Times New Roman"/>
          <w:sz w:val="19"/>
          <w:szCs w:val="19"/>
          <w:color w:val="auto"/>
        </w:rPr>
      </w:pPr>
    </w:p>
    <w:p>
      <w:pPr>
        <w:ind w:left="700" w:firstLine="830"/>
        <w:spacing w:after="0" w:line="259" w:lineRule="auto"/>
        <w:tabs>
          <w:tab w:leader="none" w:pos="180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UACC is the Servicer, the Servicer shall have delivered to the Borrower, the Secured Parties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7" w:name="page188"/>
    <w:bookmarkEnd w:id="187"/>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Seven.17.  </w:t>
      </w:r>
      <w:r>
        <w:rPr>
          <w:rFonts w:ascii="Times New Roman" w:cs="Times New Roman" w:eastAsia="Times New Roman" w:hAnsi="Times New Roman"/>
          <w:sz w:val="19"/>
          <w:szCs w:val="19"/>
          <w:b w:val="1"/>
          <w:bCs w:val="1"/>
          <w:color w:val="000000"/>
        </w:rPr>
        <w:t>Responsibilities of the Borrower</w:t>
      </w:r>
    </w:p>
    <w:p>
      <w:pPr>
        <w:spacing w:after="0" w:line="204"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2.08(a)(x), any Taxes, including any sales Taxes payable in connection with the Receivables and their creation and satisfaction. No Secured Party shall have any obligation or liability with respect to any Receivable, nor shall any of them be obligated to perform any of the obligations of the Borrower thereunder.</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Seven.18.  </w:t>
      </w:r>
      <w:r>
        <w:rPr>
          <w:rFonts w:ascii="Times New Roman" w:cs="Times New Roman" w:eastAsia="Times New Roman" w:hAnsi="Times New Roman"/>
          <w:sz w:val="19"/>
          <w:szCs w:val="19"/>
          <w:b w:val="1"/>
          <w:bCs w:val="1"/>
          <w:color w:val="000000"/>
        </w:rPr>
        <w:t>Custody of Receivable Files</w:t>
      </w:r>
    </w:p>
    <w:p>
      <w:pPr>
        <w:spacing w:after="0" w:line="204" w:lineRule="exact"/>
        <w:rPr>
          <w:sz w:val="20"/>
          <w:szCs w:val="20"/>
          <w:color w:val="auto"/>
        </w:rPr>
      </w:pPr>
    </w:p>
    <w:p>
      <w:pPr>
        <w:ind w:firstLine="702"/>
        <w:spacing w:after="0" w:line="253" w:lineRule="auto"/>
        <w:tabs>
          <w:tab w:leader="none" w:pos="957"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assure uniform quality in servicing the Receivables and to reduce administrative costs, the Administrative Agent, on behalf of the Secured Parties, hereby revocably appoints UACC as its agent, and UACC hereby accepts such appointment, to act as Custodian, on behalf of the Secured Parties, of the Receivables and the Receivable Files. The Custodian shall hold and maintain physical possession of all Tangible Contracts and other items of Receivable Files (other than Electronic Contracts) delivered to the Custodian and “control” (within the meaning of Section 9-105 of the UCC) of all Electronic Contracts relating to the Receivables included in the Collateral pursuant to this Agreement or the Basic Documents for the benefit of the Administrative Agent under the terms of this Agreement, as agent for the Secured Parties for purposes of perfecting and maintaining the priority of the Administrative Agent’s security interest in the Receivables. Except for actions expressly authorized by this Agreement, the Custodian shall take no action which would or would be likely to impair the security interests of any Person created or existing in, to or under any Receivable or Financed Vehicle or to impair the value of any Receivable or Financed Vehicle. The Custodian hereby agrees not to assert (in its individual capacity or otherwise) any Liens or claims of any kind with respect to the Receivable Files held or controlled by it or the related Receivables or any other Collateral and hereby releases and waives any such Liens and claims.</w:t>
      </w:r>
    </w:p>
    <w:p>
      <w:pPr>
        <w:spacing w:after="0" w:line="165" w:lineRule="exact"/>
        <w:rPr>
          <w:rFonts w:ascii="Times New Roman" w:cs="Times New Roman" w:eastAsia="Times New Roman" w:hAnsi="Times New Roman"/>
          <w:sz w:val="19"/>
          <w:szCs w:val="19"/>
          <w:color w:val="auto"/>
        </w:rPr>
      </w:pPr>
    </w:p>
    <w:p>
      <w:pPr>
        <w:ind w:right="240" w:firstLine="702"/>
        <w:spacing w:after="0" w:line="262" w:lineRule="auto"/>
        <w:tabs>
          <w:tab w:leader="none" w:pos="96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Seven.19.  </w:t>
      </w:r>
      <w:r>
        <w:rPr>
          <w:rFonts w:ascii="Times New Roman" w:cs="Times New Roman" w:eastAsia="Times New Roman" w:hAnsi="Times New Roman"/>
          <w:sz w:val="19"/>
          <w:szCs w:val="19"/>
          <w:b w:val="1"/>
          <w:bCs w:val="1"/>
          <w:color w:val="000000"/>
        </w:rPr>
        <w:t>Duties of Custodian</w:t>
      </w:r>
    </w:p>
    <w:p>
      <w:pPr>
        <w:spacing w:after="0" w:line="204" w:lineRule="exact"/>
        <w:rPr>
          <w:sz w:val="20"/>
          <w:szCs w:val="20"/>
          <w:color w:val="auto"/>
        </w:rPr>
      </w:pPr>
    </w:p>
    <w:p>
      <w:pPr>
        <w:ind w:right="60" w:firstLine="702"/>
        <w:spacing w:after="0" w:line="256" w:lineRule="auto"/>
        <w:tabs>
          <w:tab w:leader="none" w:pos="96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Safekeeping. The Custodian shall hold the Receivable Files for the exclusive use and benefit of the Secured Parties and shall act as agent and bailee (as used in Section 9-312 of the UCC) of the Secured Parties, make dispositions thereof only in accordance with the terms of this Agreement or with the written instructions furnished by the Administrative Agent and maintain such accurate and complete accounts, Records and computer systems pertaining to each Receivable File;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UACC may convert a Receivable that is “tangible chattel paper” to “electronic chattel paper.” The Custodian shall maintain continuous custody of the Receivables Files and such other documents received by it in secure, fire resistant facilities. In performing its duties, the Custodian shall act with reasonable care, using that degree of skill and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8" w:name="page189"/>
    <w:bookmarkEnd w:id="188"/>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Custodian’s custody of the Receivables Files.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Custodian hereunder.</w:t>
      </w:r>
    </w:p>
    <w:p>
      <w:pPr>
        <w:spacing w:after="0" w:line="155" w:lineRule="exact"/>
        <w:rPr>
          <w:sz w:val="20"/>
          <w:szCs w:val="20"/>
          <w:color w:val="auto"/>
        </w:rPr>
      </w:pPr>
    </w:p>
    <w:p>
      <w:pPr>
        <w:ind w:right="40" w:firstLine="702"/>
        <w:spacing w:after="0" w:line="255" w:lineRule="auto"/>
        <w:tabs>
          <w:tab w:leader="none" w:pos="972"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Maintenance of and Access to Records.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allow the Servicer to conduct collection and other servicing activities in accordance with its customary practices and procedures. The Custodian shall in accordance with Section 7.07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Servicer Termination Event, Unmatured Servicer Termination Event, Termination Event or Unmatured Termination Event shall have occurred and is continuing, the Custodian shall make such information available at any time as requested by any Secured Party.</w:t>
      </w:r>
    </w:p>
    <w:p>
      <w:pPr>
        <w:spacing w:after="0" w:line="155" w:lineRule="exact"/>
        <w:rPr>
          <w:rFonts w:ascii="Times New Roman" w:cs="Times New Roman" w:eastAsia="Times New Roman" w:hAnsi="Times New Roman"/>
          <w:sz w:val="19"/>
          <w:szCs w:val="19"/>
          <w:color w:val="auto"/>
        </w:rPr>
      </w:pPr>
    </w:p>
    <w:p>
      <w:pPr>
        <w:ind w:right="60" w:firstLine="702"/>
        <w:spacing w:after="0" w:line="253" w:lineRule="auto"/>
        <w:tabs>
          <w:tab w:leader="none" w:pos="960"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Maintenance of Electronic Contracts. The parties agree that an Electronic Contract shall be “communicated” to the Custodian upon the transfer of the Authoritative Copy of such Electronic Contract from the Originator Vault Partition to the Warehouse Vault Partition, acceptance by the Custodian of such Authoritative Copy into the Warehouse Vault Partition and confirmation of such transfer by the Originator, and the Custodian shall thereafter maintain such Electronic Contract in the Warehouse Vault Partition on behalf of the Administrative Agent for the purpose of establishing control within the meaning of Section 9-105(3) of the UCC over the Contracts which are Electronic Contracts pursuant to the terms of this Agreement. Pursuant to the Electronic Collateral Control Agreement, watermarks and legends shall be applied to the Electronic Contracts by the E-Vault Provider upon transfer to the Warehouse Vault Partition, such that (i) a watermark on any perceivable rendering of the Authoritative Copy thereof shall read “Copy of Original,”</w:t>
      </w:r>
    </w:p>
    <w:p>
      <w:pPr>
        <w:spacing w:after="0" w:line="4" w:lineRule="exact"/>
        <w:rPr>
          <w:rFonts w:ascii="Times New Roman" w:cs="Times New Roman" w:eastAsia="Times New Roman" w:hAnsi="Times New Roman"/>
          <w:sz w:val="19"/>
          <w:szCs w:val="19"/>
          <w:color w:val="auto"/>
        </w:rPr>
      </w:pPr>
    </w:p>
    <w:p>
      <w:pPr>
        <w:ind w:firstLine="6"/>
        <w:spacing w:after="0" w:line="252" w:lineRule="auto"/>
        <w:tabs>
          <w:tab w:leader="none" w:pos="28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watermark on any copy of such Electronic Contract that is not a copy of the Authoritative Copy thereof shall read “Retention Copy”, “Review Copy” or “Copy Retention of Copy Original,” and (iii) the Required Legend is placed on each perceivable rendering thereof. The Custodian shall maintain each Electronic Contract constituting or evidencing a Receivable in the Warehouse Vault Partition to reflect the name of the Borrower. The Custodian shall not Transfer or Export any Electronic Contract that constitutes or evidences a Receivable except in accordance with the terms hereof and the Electronic Collateral Control Agreement and shall not destroy any Electronic Contract that constitutes or evidences a Receivable.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9" w:name="page190"/>
    <w:bookmarkEnd w:id="189"/>
    <w:p>
      <w:pPr>
        <w:spacing w:after="0" w:line="269" w:lineRule="exact"/>
        <w:rPr>
          <w:sz w:val="20"/>
          <w:szCs w:val="20"/>
          <w:color w:val="auto"/>
        </w:rPr>
      </w:pPr>
    </w:p>
    <w:p>
      <w:pPr>
        <w:ind w:right="280" w:firstLine="702"/>
        <w:spacing w:after="0" w:line="257" w:lineRule="auto"/>
        <w:tabs>
          <w:tab w:leader="none" w:pos="972"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Maintenance of Possession and Control of Contracts. The Custodian shall carry out such policies and procedures in accordance with its customary actions with respect to the handling, custody and “control” (within the meaning of Section 9-105 of the UCC) of the Contracts so that the integrity and, in the case of the Tangible Contracts, physical possession of such Tangible Contracts, will be maintained;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this shall not apply to a Receivable that has been converted from “tangible chattel paper” to “electronic chattel paper.” The Custodian shall maintain the Tangible Contracts segregated on its inventory system and shall not commingle the Tangible Contracts with any other files of any other customer of the Custodian.</w:t>
      </w:r>
    </w:p>
    <w:p>
      <w:pPr>
        <w:spacing w:after="0" w:line="156" w:lineRule="exact"/>
        <w:rPr>
          <w:rFonts w:ascii="Times New Roman" w:cs="Times New Roman" w:eastAsia="Times New Roman" w:hAnsi="Times New Roman"/>
          <w:sz w:val="19"/>
          <w:szCs w:val="19"/>
          <w:color w:val="auto"/>
        </w:rPr>
      </w:pPr>
    </w:p>
    <w:p>
      <w:pPr>
        <w:ind w:firstLine="702"/>
        <w:spacing w:after="0" w:line="252" w:lineRule="auto"/>
        <w:tabs>
          <w:tab w:leader="none" w:pos="9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Standard of Care; Indemnification for Losses. Each Receivable shall be identified on the books and records of the Custodian in a manner that (i) is consistent with the practices of a comparable custodian with respect to similar receivables, and (ii) indicates that the Receivables that are the subject of such records are owned by the Borrower and pledged to the Administrative Agent for the benefit of the Secured Parties. The Custodian hereby waives any and all rights of offset with respect to any and all Contracts in the Custodian’s possession or “control” (within the meaning of Section 9-105 of the UCC), whether such right of offset arises by contract, operation of law or otherwise. The Custodian shall hold the Receivable Files (other than Contracts which are Electronic Contracts) in its secure and fire resistant facilities under its exclusive custody and control in accordance with customary standards for such custody. If any of the Secured Parties suffers or incurs costs, expenses, losses or damages as a result of the destruction or loss of any of the Receivable Files while in the possession of the Custodian, the Custodian shall, (i) at the request of the Administrative Agent, make any appropriate claim under any bond or insurance, and (ii) to the extent of such Secured Party’s costs, expenses, losses or damages, promptly pay the proceeds thereof to such Secured Party unless the Custodian has replaced the lost or destroyed items or has otherwise reimbursed such Secured Party for such losses or damages. The Custodian shall indemnify the Administrative Agent and its officers, directors, employees and agents from and against, any and all loss, liability or expense incurred (including the reasonable fees and expenses of counsel) as a result of the gross negligence, bad faith, or willful misconduct of the Custodian in the performance of its duties hereunder; provided, however, that the Custodian shall not be liable for any portion of any such loss, liability or expense due to the willful misconduct, bad faith or gross negligence of the Administrative Agent or its officers, directors, employees or agents.</w:t>
      </w:r>
    </w:p>
    <w:p>
      <w:pPr>
        <w:spacing w:after="0" w:line="170" w:lineRule="exact"/>
        <w:rPr>
          <w:rFonts w:ascii="Times New Roman" w:cs="Times New Roman" w:eastAsia="Times New Roman" w:hAnsi="Times New Roman"/>
          <w:sz w:val="19"/>
          <w:szCs w:val="19"/>
          <w:color w:val="auto"/>
        </w:rPr>
      </w:pPr>
    </w:p>
    <w:p>
      <w:pPr>
        <w:ind w:right="100" w:firstLine="702"/>
        <w:spacing w:after="0" w:line="262" w:lineRule="auto"/>
        <w:tabs>
          <w:tab w:leader="none" w:pos="936"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of Documents.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spacing w:after="0" w:line="150" w:lineRule="exact"/>
        <w:rPr>
          <w:rFonts w:ascii="Times New Roman" w:cs="Times New Roman" w:eastAsia="Times New Roman" w:hAnsi="Times New Roman"/>
          <w:sz w:val="19"/>
          <w:szCs w:val="19"/>
          <w:color w:val="auto"/>
        </w:rPr>
      </w:pPr>
    </w:p>
    <w:p>
      <w:pPr>
        <w:ind w:right="80" w:firstLine="702"/>
        <w:spacing w:after="0" w:line="262" w:lineRule="auto"/>
        <w:tabs>
          <w:tab w:leader="none" w:pos="972"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Title to Receivables.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0" w:name="page191"/>
    <w:bookmarkEnd w:id="190"/>
    <w:p>
      <w:pPr>
        <w:spacing w:after="0" w:line="269" w:lineRule="exact"/>
        <w:rPr>
          <w:sz w:val="20"/>
          <w:szCs w:val="20"/>
          <w:color w:val="auto"/>
        </w:rPr>
      </w:pPr>
    </w:p>
    <w:p>
      <w:pPr>
        <w:ind w:left="-6" w:right="480" w:firstLine="702"/>
        <w:spacing w:after="0" w:line="286" w:lineRule="auto"/>
        <w:tabs>
          <w:tab w:leader="none" w:pos="966"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Instructions; Authority to Act. The Custodian shall be deemed to have received proper instructions with respect to the Receivable Files upon its receipt of written instructions signed by a Responsible Officer of the Administrative Agent.</w:t>
      </w:r>
    </w:p>
    <w:p>
      <w:pPr>
        <w:spacing w:after="0" w:line="127" w:lineRule="exact"/>
        <w:rPr>
          <w:rFonts w:ascii="Times New Roman" w:cs="Times New Roman" w:eastAsia="Times New Roman" w:hAnsi="Times New Roman"/>
          <w:sz w:val="19"/>
          <w:szCs w:val="19"/>
          <w:color w:val="auto"/>
        </w:rPr>
      </w:pPr>
    </w:p>
    <w:p>
      <w:pPr>
        <w:ind w:left="-6" w:firstLine="702"/>
        <w:spacing w:after="0" w:line="257" w:lineRule="auto"/>
        <w:tabs>
          <w:tab w:leader="none" w:pos="918"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Indemnification by Custodian. The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Custodian; provided, however, that the Custodian shall not be liable for any portion of any such loss, liability or expense resulting from the willful misconduct, bad faith or gross negligence of any Secured Party.</w:t>
      </w:r>
    </w:p>
    <w:p>
      <w:pPr>
        <w:spacing w:after="0" w:line="156" w:lineRule="exact"/>
        <w:rPr>
          <w:rFonts w:ascii="Times New Roman" w:cs="Times New Roman" w:eastAsia="Times New Roman" w:hAnsi="Times New Roman"/>
          <w:sz w:val="19"/>
          <w:szCs w:val="19"/>
          <w:color w:val="auto"/>
        </w:rPr>
      </w:pPr>
    </w:p>
    <w:p>
      <w:pPr>
        <w:ind w:left="-6" w:right="40" w:firstLine="702"/>
        <w:spacing w:after="0" w:line="253" w:lineRule="auto"/>
        <w:tabs>
          <w:tab w:leader="none" w:pos="918"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Period and Termination. UACC’s appointment as Custodian shall become effective as of the Closing Date and shall continue in full force and effect until the occurrence of a Custodian Termination Event. If a Custodian Termination Event occurs, the appointment of the Custodian hereunder may be terminated by the Administrative Agent. As soon as practicable after any such Custodian Termination Event, the Administrative Agent shall appoint an entity selected by the Administrative Agent as successor Custodian (which for such purpose will enter into the Custodial Agreement, in form and substance satisfactory to the Administrative Agent) and the Custodian shall (i) at its sole cost and expense, deliver, or cause to be delivered, possession and/or “control” (within the meaning of Section 9-105 of the UCC) of the Receivable Files and the related accounts and Records maintained by the Custodian to the successor Custodian, or its agent or designee, as the case may be, at such place as the successor Custodian may reasonably designate and</w:t>
      </w:r>
    </w:p>
    <w:p>
      <w:pPr>
        <w:spacing w:after="0" w:line="4" w:lineRule="exact"/>
        <w:rPr>
          <w:rFonts w:ascii="Times New Roman" w:cs="Times New Roman" w:eastAsia="Times New Roman" w:hAnsi="Times New Roman"/>
          <w:sz w:val="19"/>
          <w:szCs w:val="19"/>
          <w:color w:val="auto"/>
        </w:rPr>
      </w:pPr>
    </w:p>
    <w:p>
      <w:pPr>
        <w:ind w:left="-6" w:right="360" w:firstLine="6"/>
        <w:spacing w:after="0" w:line="262" w:lineRule="auto"/>
        <w:tabs>
          <w:tab w:leader="none" w:pos="27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cooperate with the successor Custodian in effecting the termination of the rights and responsibilities of the predecessor Custodian under this Agreement.</w:t>
      </w:r>
    </w:p>
    <w:p>
      <w:pPr>
        <w:spacing w:after="0" w:line="149" w:lineRule="exact"/>
        <w:rPr>
          <w:rFonts w:ascii="Times New Roman" w:cs="Times New Roman" w:eastAsia="Times New Roman" w:hAnsi="Times New Roman"/>
          <w:sz w:val="19"/>
          <w:szCs w:val="19"/>
          <w:color w:val="auto"/>
        </w:rPr>
      </w:pPr>
    </w:p>
    <w:p>
      <w:pPr>
        <w:ind w:left="-6" w:right="20" w:firstLine="702"/>
        <w:spacing w:after="0" w:line="268" w:lineRule="auto"/>
        <w:tabs>
          <w:tab w:leader="none" w:pos="966" w:val="left"/>
        </w:tabs>
        <w:numPr>
          <w:ilvl w:val="1"/>
          <w:numId w:val="1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Inspection. The Custodian shall permit the Secured Parties, and their respective representatives and agents, upon reasonable prior notice, in the context of the audits, visits and inspections conducted pursuant to Section 7.07 and subject to the expense provisions and other restrictions contained therein, to conduct an audit of the Receivables and Receivable Files.</w:t>
      </w:r>
    </w:p>
    <w:p>
      <w:pPr>
        <w:spacing w:after="0" w:line="142" w:lineRule="exact"/>
        <w:rPr>
          <w:sz w:val="20"/>
          <w:szCs w:val="20"/>
          <w:color w:val="auto"/>
        </w:rPr>
      </w:pPr>
    </w:p>
    <w:p>
      <w:pPr>
        <w:ind w:left="694"/>
        <w:spacing w:after="0"/>
        <w:rPr>
          <w:sz w:val="20"/>
          <w:szCs w:val="20"/>
          <w:color w:val="auto"/>
        </w:rPr>
      </w:pPr>
      <w:r>
        <w:rPr>
          <w:rFonts w:ascii="Times New Roman" w:cs="Times New Roman" w:eastAsia="Times New Roman" w:hAnsi="Times New Roman"/>
          <w:sz w:val="19"/>
          <w:szCs w:val="19"/>
          <w:b w:val="1"/>
          <w:bCs w:val="1"/>
          <w:color w:val="2F5496"/>
        </w:rPr>
        <w:t xml:space="preserve">Section Seven.20.  </w:t>
      </w:r>
      <w:r>
        <w:rPr>
          <w:rFonts w:ascii="Times New Roman" w:cs="Times New Roman" w:eastAsia="Times New Roman" w:hAnsi="Times New Roman"/>
          <w:sz w:val="19"/>
          <w:szCs w:val="19"/>
          <w:b w:val="1"/>
          <w:bCs w:val="1"/>
          <w:color w:val="000000"/>
        </w:rPr>
        <w:t>Certain Duties for Electronic Contracts</w:t>
      </w:r>
    </w:p>
    <w:p>
      <w:pPr>
        <w:spacing w:after="0" w:line="204" w:lineRule="exact"/>
        <w:rPr>
          <w:sz w:val="20"/>
          <w:szCs w:val="20"/>
          <w:color w:val="auto"/>
        </w:rPr>
      </w:pPr>
    </w:p>
    <w:p>
      <w:pPr>
        <w:ind w:left="-6" w:right="20" w:firstLine="702"/>
        <w:spacing w:after="0" w:line="255" w:lineRule="auto"/>
        <w:tabs>
          <w:tab w:leader="none" w:pos="954" w:val="left"/>
        </w:tabs>
        <w:numPr>
          <w:ilvl w:val="0"/>
          <w:numId w:val="17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Custodian shall notify the Secured Parties and the Borrower in writing as soon as reasonably practicable and in any event within two (2) Business Days after any Responsible Officer of the Custodian receives notice or obtains actual knowledge of: (i) the intent or threat (expressed in writing) of the E-Vault Provider to terminate, or the termination of, an E-Vault Access Agreement, (ii) receipt of written notice from the E-Vault Provider of any actual or suspected theft of, accidental disclosure of, loss of, or inability to account for, any nonpublic or confidential information (including, but not limited to, the access codes of the Custodian) of the Custodian which is maintained in the Warehouse Vault Partition or the Originator Vault Partition and/or any unauthorized intrusions into the E-Vault Provider’s or any of its subcontractor’s facilities or secure systems on or in which any nonpublic or confidential information of the Custodian is maintained, (iii) receipt of written notification from the E-Vault Provider of any changes to the System Description, (iv) any Integrity Check failure with respect to or any other</w:t>
      </w:r>
    </w:p>
    <w:p>
      <w:pPr>
        <w:spacing w:after="0" w:line="15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649605</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1440" w:right="680" w:bottom="1440" w:gutter="0" w:footer="0" w:header="0"/>
        </w:sectPr>
      </w:pPr>
    </w:p>
    <w:bookmarkStart w:id="191" w:name="page192"/>
    <w:bookmarkEnd w:id="191"/>
    <w:p>
      <w:pPr>
        <w:spacing w:after="0" w:line="26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color w:val="auto"/>
        </w:rPr>
        <w:t>attempted unauthorized access to an Electronic Contract which constitutes or evidences a Receivable, (v) any claim in writing of any Person (other than the Administrative Agent) of an interest in an Electronic Contract which constitutes or evidences a Receivable, and</w:t>
      </w:r>
    </w:p>
    <w:p>
      <w:pPr>
        <w:spacing w:after="0" w:line="1" w:lineRule="exact"/>
        <w:rPr>
          <w:sz w:val="20"/>
          <w:szCs w:val="20"/>
          <w:color w:val="auto"/>
        </w:rPr>
      </w:pPr>
    </w:p>
    <w:p>
      <w:pPr>
        <w:ind w:right="40" w:firstLine="6"/>
        <w:spacing w:after="0" w:line="254" w:lineRule="auto"/>
        <w:tabs>
          <w:tab w:leader="none" w:pos="325"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receipt of written notice of the commencement or the threat in writing of any actions, suits, investigations or proceedings against the E-Vault Provider or the Custodian or otherwise expressly relating to or affecting the Warehouse Vault Partition or the Originator Vault Partition or any Electronic Contract which constitutes or evidences a Receivable, in any court, or before any arbitrator of any kind, or before or by any Governmental Authority.</w:t>
      </w:r>
    </w:p>
    <w:p>
      <w:pPr>
        <w:spacing w:after="0" w:line="157" w:lineRule="exact"/>
        <w:rPr>
          <w:rFonts w:ascii="Times New Roman" w:cs="Times New Roman" w:eastAsia="Times New Roman" w:hAnsi="Times New Roman"/>
          <w:sz w:val="19"/>
          <w:szCs w:val="19"/>
          <w:color w:val="auto"/>
        </w:rPr>
      </w:pPr>
    </w:p>
    <w:p>
      <w:pPr>
        <w:ind w:right="240" w:firstLine="702"/>
        <w:spacing w:after="0" w:line="259" w:lineRule="auto"/>
        <w:tabs>
          <w:tab w:leader="none" w:pos="972" w:val="left"/>
        </w:tabs>
        <w:numPr>
          <w:ilvl w:val="1"/>
          <w:numId w:val="1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the Custodian ceases to have access to the E-Vault System, the Warehouse Vault Partition or any of the Electronic Contracts maintained therein (other than during routine maintenance or upgrades by the E-Vault Provider) for a period of more than one (1) Business Day, the Custodian shall promptly notify the Secured Parties and the Borrower of such event if such event prevents the Custodian from performing its duties hereunder and use commercially reasonable efforts to reestablish access, including contacting the E-Vault Provider for trouble-shooting.</w:t>
      </w:r>
    </w:p>
    <w:p>
      <w:pPr>
        <w:spacing w:after="0" w:line="153" w:lineRule="exact"/>
        <w:rPr>
          <w:rFonts w:ascii="Times New Roman" w:cs="Times New Roman" w:eastAsia="Times New Roman" w:hAnsi="Times New Roman"/>
          <w:sz w:val="19"/>
          <w:szCs w:val="19"/>
          <w:color w:val="1F3763"/>
        </w:rPr>
      </w:pPr>
    </w:p>
    <w:p>
      <w:pPr>
        <w:ind w:right="60" w:firstLine="702"/>
        <w:spacing w:after="0" w:line="253" w:lineRule="auto"/>
        <w:tabs>
          <w:tab w:leader="none" w:pos="960" w:val="left"/>
        </w:tabs>
        <w:numPr>
          <w:ilvl w:val="1"/>
          <w:numId w:val="1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Custodian shall appoint only its own personnel (or personnel of its subcontractors) as “Command Center Workspace Users” in respect of the Warehouse Vault Partition and the Electronic Contracts contained therein and shall not otherwise permit any Person to have access to thereto (other than (x) in connection with audits under clause (d) of this Section 7.20 or similar audits provided for under agreements with other parties to an Electronic Collateral Control Agreement and (y) from and after the delivery of a Notice of Exclusive Control under (and as defined in) an Electronic Collateral Control Agreement, the Administrative Agent and any Person appointed by the Administrative Agent as a “Command Center Workspace User”). Except as contemplated in an Electronic Collateral Control Agreement or herein, the Custodian shall not provide any other Person (including any Lender having an interest in Electronic Contracts maintained by it as custodian) any right to control the actions of the Custodian with respect to the Electronic Contracts maintained in the Warehouse Vault Partition or permit any Person to direct the Custodian (in any capacity) to take or refrain from taking any action in respect to the Electronic Contracts which constitute or evidence any Receivables. The parties hereto acknowledge that the Custodian has no liability under an E-Vault Access Agreement and has only the duties and obligations of the Custodian specified hereunder or expressly set forth in the Electronic Collateral Control Agreement.</w:t>
      </w:r>
    </w:p>
    <w:p>
      <w:pPr>
        <w:spacing w:after="0" w:line="165" w:lineRule="exact"/>
        <w:rPr>
          <w:rFonts w:ascii="Times New Roman" w:cs="Times New Roman" w:eastAsia="Times New Roman" w:hAnsi="Times New Roman"/>
          <w:sz w:val="19"/>
          <w:szCs w:val="19"/>
          <w:color w:val="1F3763"/>
        </w:rPr>
      </w:pPr>
    </w:p>
    <w:p>
      <w:pPr>
        <w:ind w:firstLine="702"/>
        <w:spacing w:after="0" w:line="255" w:lineRule="auto"/>
        <w:tabs>
          <w:tab w:leader="none" w:pos="972" w:val="left"/>
        </w:tabs>
        <w:numPr>
          <w:ilvl w:val="1"/>
          <w:numId w:val="1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accordance with 7.07, the Custodian shall permit the Administrative Agent and each Lender and their respective agents or representatives: (i) to conduct periodic reviews of the Electronic Contracts which constitute or evidence Receivables and the related Records of the Custodian, which shall consist of setting all such Electronic Contracts to “audit” status and providing the Administrative Agent and agents or representatives with credentials to view such Electronic Contracts; (ii) to examine and obtain copies of and prepare summaries and reports relating to the Records in its possession or control relating to the Electronic Contracts which constitute or evidence Receivables; (iii) to visit the offices and properties of the Custodian for the purpose of examining the materials described in clause (ii) above; and (iv) to discuss matters relating to the Electronic Contracts which constitute or evidence Receivables or the Custodian’s performance hereunder with any of the officers or employees of the Custodian having knowledge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2" w:name="page193"/>
    <w:bookmarkEnd w:id="192"/>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of such matters. The cost of any such examination shall be reimbursed by the Servicer or the Borrower in accordance with Section 2.08 of this Agreement.</w:t>
      </w:r>
    </w:p>
    <w:p>
      <w:pPr>
        <w:spacing w:after="0" w:line="127" w:lineRule="exact"/>
        <w:rPr>
          <w:sz w:val="20"/>
          <w:szCs w:val="20"/>
          <w:color w:val="auto"/>
        </w:rPr>
      </w:pPr>
    </w:p>
    <w:p>
      <w:pPr>
        <w:ind w:firstLine="702"/>
        <w:spacing w:after="0" w:line="253" w:lineRule="auto"/>
        <w:tabs>
          <w:tab w:leader="none" w:pos="960" w:val="left"/>
        </w:tabs>
        <w:numPr>
          <w:ilvl w:val="0"/>
          <w:numId w:val="1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(w) the occurrence of a Termination Event or a Servicer Termination Event, (x) a breach by the Custodian of its obligations hereunder or a breach by any Person of its obligations under the E-Vault Access Agreement or the Electronic Collateral Control Agreement, (y) the termination of the E-Vault Access Agreement or the Electronic Collateral Control Agreement or the delivery of any notice of termination thereunder or (z) a determination by the Administrative Agent, in its reasonable discretion, that the functionality, security, integrity or reliability of the E-Vault System, the Originator Vault Partition or the Warehouse Vault Partition is impaired or the Receivables are otherwise adversely affected by any event (including any change in configuration, technology or law) or circumstance with respect to the E-Vault Provider, the Custodian, the E-Vault System, the Warehouse Vault Partition, the Originator Vault Partition, the Electronic Collateral Control Agreement or Electronic Contracts generally, including, without limitation, adverse claims being asserted therein by the E-Vault Provider or other lenders, (a) the Custodian shall, notwithstanding any contrary instruction received from the Borrower, promptly take such action with respect to the Electronic Contracts which constitute or evidence the Receivables and with respect to the Warehouse Vault Partition, as the Administrative Agent may direct in writing, including Exporting the Electronic Contracts maintained within the E-Vault System which constitute or evidence the Receivables and (b) the Administrative Agent, as “Secured Party” under the Electronic Collateral Control Agreement in respect of the Warehouse Vault Partition, may deliver a Notice of Exclusive Control under (and as defined in) an Electronic Collateral Control Agreement.</w:t>
      </w:r>
    </w:p>
    <w:p>
      <w:pPr>
        <w:spacing w:after="0" w:line="160" w:lineRule="exact"/>
        <w:rPr>
          <w:rFonts w:ascii="Times New Roman" w:cs="Times New Roman" w:eastAsia="Times New Roman" w:hAnsi="Times New Roman"/>
          <w:sz w:val="19"/>
          <w:szCs w:val="19"/>
          <w:color w:val="1F3763"/>
        </w:rPr>
      </w:pPr>
    </w:p>
    <w:p>
      <w:pPr>
        <w:ind w:right="20" w:firstLine="702"/>
        <w:spacing w:after="0" w:line="262" w:lineRule="auto"/>
        <w:tabs>
          <w:tab w:leader="none" w:pos="936" w:val="left"/>
        </w:tabs>
        <w:numPr>
          <w:ilvl w:val="0"/>
          <w:numId w:val="1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connection with the exercise of any foreclosure or similar rights and remedies by the Administrative Agent in respect of the Electronic Contracts which constitute or evidence Receivables, the Custodian shall, as directed by the Administrative Agent in writing, (i) direct the E-Vault Provider to update the Required Legend to read as directed in writing by the Administrative Agent and (ii) otherwise take such reasonable action in respect thereof as the Administrative Agent shall reasonably request.</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F5496"/>
        </w:rPr>
        <w:t>ARTICLE EIGHT</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[RESERVED]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F5496"/>
        </w:rPr>
        <w:t>ARTICLE NINE</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TERMINATION EVENTS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Nine.01.  </w:t>
      </w:r>
      <w:r>
        <w:rPr>
          <w:rFonts w:ascii="Times New Roman" w:cs="Times New Roman" w:eastAsia="Times New Roman" w:hAnsi="Times New Roman"/>
          <w:sz w:val="19"/>
          <w:szCs w:val="19"/>
          <w:b w:val="1"/>
          <w:bCs w:val="1"/>
          <w:color w:val="000000"/>
        </w:rPr>
        <w:t>Termination Events</w:t>
      </w:r>
    </w:p>
    <w:p>
      <w:pPr>
        <w:spacing w:after="0" w:line="204" w:lineRule="exact"/>
        <w:rPr>
          <w:sz w:val="20"/>
          <w:szCs w:val="20"/>
          <w:color w:val="auto"/>
        </w:rPr>
      </w:pPr>
    </w:p>
    <w:p>
      <w:pPr>
        <w:ind w:left="1540" w:right="4280" w:hanging="838"/>
        <w:spacing w:after="0" w:line="461" w:lineRule="auto"/>
        <w:tabs>
          <w:tab w:leader="none" w:pos="961"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following events shall constitute a “Termination Event”: </w:t>
      </w:r>
      <w:r>
        <w:rPr>
          <w:rFonts w:ascii="Times New Roman" w:cs="Times New Roman" w:eastAsia="Times New Roman" w:hAnsi="Times New Roman"/>
          <w:sz w:val="19"/>
          <w:szCs w:val="19"/>
          <w:color w:val="222222"/>
        </w:rPr>
        <w:t>[***]</w:t>
      </w:r>
    </w:p>
    <w:p>
      <w:pPr>
        <w:ind w:right="160" w:firstLine="702"/>
        <w:spacing w:after="0" w:line="268" w:lineRule="auto"/>
        <w:tabs>
          <w:tab w:leader="none" w:pos="968"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demand, protest or any notice of any kind, all of which are hereby expressly waived by the Borrower, (i) in the event that a Termination Event described in Section 9.01(a)(vi), or (xvii) has occurred, the Termination Date shall automatically occur and (ii) upon</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93" w:name="page194"/>
    <w:bookmarkEnd w:id="193"/>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occurrence of any other Termination Event, the Administrative Agent shall, at the written request, or may with the written consent, of the Required Lenders, by notice to the Borrower, declare the Termination Date to have occurred and all Loans Outstanding and all other amounts owing by the Borrower under this Agreement shall be accelerated and become immediately due and payable.</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Nine.02.  </w:t>
      </w:r>
      <w:r>
        <w:rPr>
          <w:rFonts w:ascii="Times New Roman" w:cs="Times New Roman" w:eastAsia="Times New Roman" w:hAnsi="Times New Roman"/>
          <w:sz w:val="19"/>
          <w:szCs w:val="19"/>
          <w:b w:val="1"/>
          <w:bCs w:val="1"/>
          <w:color w:val="000000"/>
        </w:rPr>
        <w:t>Actions Upon Occurrence of the Termination Date</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 Upon the automatic occurrence, or the declaration of the occurrence, of the Termination Date in accordance with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9.01(b), the following shall immediately occur without further action: (i) the Revolving Period shall terminate and no further Loans will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made and (ii) all Available Funds after item (iv) of Section 2.08(a) will be used to reduce the Loans Outstanding and (iii) Interest 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Loans Outstanding shall increase to the Default Rate.</w:t>
      </w:r>
    </w:p>
    <w:p>
      <w:pPr>
        <w:spacing w:after="0" w:line="180" w:lineRule="exact"/>
        <w:rPr>
          <w:sz w:val="20"/>
          <w:szCs w:val="20"/>
          <w:color w:val="auto"/>
        </w:rPr>
      </w:pPr>
    </w:p>
    <w:p>
      <w:pPr>
        <w:ind w:right="80" w:firstLine="702"/>
        <w:spacing w:after="0" w:line="259" w:lineRule="auto"/>
        <w:tabs>
          <w:tab w:leader="none" w:pos="968"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automatic occurrence of, or the declaration of the occurrence of, the Termination Date arising from a Termination Event, the Administrative Agent may, or at the direction of the Required Lenders,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the following remedial actions:</w:t>
      </w:r>
    </w:p>
    <w:p>
      <w:pPr>
        <w:spacing w:after="0" w:line="153" w:lineRule="exact"/>
        <w:rPr>
          <w:rFonts w:ascii="Times New Roman" w:cs="Times New Roman" w:eastAsia="Times New Roman" w:hAnsi="Times New Roman"/>
          <w:sz w:val="19"/>
          <w:szCs w:val="19"/>
          <w:color w:val="auto"/>
        </w:rPr>
      </w:pPr>
    </w:p>
    <w:p>
      <w:pPr>
        <w:ind w:left="700" w:right="80" w:firstLine="890"/>
        <w:spacing w:after="0" w:line="262" w:lineRule="auto"/>
        <w:tabs>
          <w:tab w:leader="none" w:pos="1817" w:val="left"/>
        </w:tabs>
        <w:numPr>
          <w:ilvl w:val="3"/>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Collection Account or any part of such accounts in accordance with the priorities required by Section 2.08.</w:t>
      </w:r>
    </w:p>
    <w:p>
      <w:pPr>
        <w:spacing w:after="0" w:line="150" w:lineRule="exact"/>
        <w:rPr>
          <w:rFonts w:ascii="Times New Roman" w:cs="Times New Roman" w:eastAsia="Times New Roman" w:hAnsi="Times New Roman"/>
          <w:sz w:val="19"/>
          <w:szCs w:val="19"/>
          <w:color w:val="auto"/>
        </w:rPr>
      </w:pPr>
    </w:p>
    <w:p>
      <w:pPr>
        <w:ind w:left="700" w:right="220" w:firstLine="818"/>
        <w:spacing w:after="0" w:line="286" w:lineRule="auto"/>
        <w:tabs>
          <w:tab w:leader="none" w:pos="1799" w:val="left"/>
        </w:tabs>
        <w:numPr>
          <w:ilvl w:val="2"/>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take any action permitted under the Basic Documents, including exercising any rights available to it under the Intercreditor Agreement.</w:t>
      </w:r>
    </w:p>
    <w:p>
      <w:pPr>
        <w:spacing w:after="0" w:line="127" w:lineRule="exact"/>
        <w:rPr>
          <w:rFonts w:ascii="Times New Roman" w:cs="Times New Roman" w:eastAsia="Times New Roman" w:hAnsi="Times New Roman"/>
          <w:sz w:val="19"/>
          <w:szCs w:val="19"/>
          <w:color w:val="auto"/>
        </w:rPr>
      </w:pPr>
    </w:p>
    <w:p>
      <w:pPr>
        <w:ind w:left="700" w:right="40" w:firstLine="746"/>
        <w:spacing w:after="0" w:line="259" w:lineRule="auto"/>
        <w:tabs>
          <w:tab w:leader="none" w:pos="1780"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(x) direct the Custodian in writing to exercise any rights and remedies available to it under the E-Vault Access Agreement in respect of the Warehouse Vault Partition and the Electronic Contracts therein which constitute or evidence the Receivables, including directing the transfer of such Electronic Contracts to another provider of e-vaulting services or causing such Electronic Contracts to be Exported, and (y) exercise any rights or remedies of the Administrative Agent under the Electronic Collateral Control Agreement.</w:t>
      </w:r>
    </w:p>
    <w:p>
      <w:pPr>
        <w:spacing w:after="0" w:line="153" w:lineRule="exact"/>
        <w:rPr>
          <w:rFonts w:ascii="Times New Roman" w:cs="Times New Roman" w:eastAsia="Times New Roman" w:hAnsi="Times New Roman"/>
          <w:sz w:val="19"/>
          <w:szCs w:val="19"/>
          <w:color w:val="auto"/>
        </w:rPr>
      </w:pPr>
    </w:p>
    <w:p>
      <w:pPr>
        <w:ind w:left="700" w:right="100" w:firstLine="758"/>
        <w:spacing w:after="0" w:line="259" w:lineRule="auto"/>
        <w:tabs>
          <w:tab w:leader="none" w:pos="1781"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Consistent with the rights and remedies of a secured party under the UCC (and except as otherwise required by the UCC), the Administrative Agent may, on behalf of the Secured Parties and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4" w:name="page195"/>
    <w:bookmarkEnd w:id="194"/>
    <w:p>
      <w:pPr>
        <w:spacing w:after="0" w:line="269" w:lineRule="exact"/>
        <w:rPr>
          <w:sz w:val="20"/>
          <w:szCs w:val="20"/>
          <w:color w:val="auto"/>
        </w:rPr>
      </w:pPr>
    </w:p>
    <w:p>
      <w:pPr>
        <w:ind w:left="700"/>
        <w:spacing w:after="0" w:line="255" w:lineRule="auto"/>
        <w:rPr>
          <w:sz w:val="20"/>
          <w:szCs w:val="20"/>
          <w:color w:val="auto"/>
        </w:rPr>
      </w:pPr>
      <w:r>
        <w:rPr>
          <w:rFonts w:ascii="Times New Roman" w:cs="Times New Roman" w:eastAsia="Times New Roman" w:hAnsi="Times New Roman"/>
          <w:sz w:val="19"/>
          <w:szCs w:val="19"/>
          <w:color w:val="auto"/>
        </w:rPr>
        <w:t>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spacing w:after="0" w:line="160" w:lineRule="exact"/>
        <w:rPr>
          <w:sz w:val="20"/>
          <w:szCs w:val="20"/>
          <w:color w:val="auto"/>
        </w:rPr>
      </w:pPr>
    </w:p>
    <w:p>
      <w:pPr>
        <w:ind w:left="700" w:right="80" w:firstLine="830"/>
        <w:spacing w:after="0" w:line="257" w:lineRule="auto"/>
        <w:tabs>
          <w:tab w:leader="none" w:pos="1800"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completion of any sale under Section 9.02(b)(iv),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spacing w:after="0" w:line="156" w:lineRule="exact"/>
        <w:rPr>
          <w:rFonts w:ascii="Times New Roman" w:cs="Times New Roman" w:eastAsia="Times New Roman" w:hAnsi="Times New Roman"/>
          <w:sz w:val="19"/>
          <w:szCs w:val="19"/>
          <w:color w:val="auto"/>
        </w:rPr>
      </w:pPr>
    </w:p>
    <w:p>
      <w:pPr>
        <w:ind w:left="700" w:right="60" w:firstLine="758"/>
        <w:spacing w:after="0" w:line="262" w:lineRule="auto"/>
        <w:tabs>
          <w:tab w:leader="none" w:pos="1781"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sale under Section 9.02(b)(iv), UACC or any Secured Party may bid for and purchase the property offered for sale and, upon compliance with the terms of sale, may hold, retain and dispose of such property without further accountability therefor. Any Secured Party purchasing property at a sale under Section 9.02(b)(iv) may set off the purchase price of such property against amounts owing to such Secured Party in full payment of such purchase price.</w:t>
      </w:r>
    </w:p>
    <w:p>
      <w:pPr>
        <w:spacing w:after="0" w:line="150" w:lineRule="exact"/>
        <w:rPr>
          <w:rFonts w:ascii="Times New Roman" w:cs="Times New Roman" w:eastAsia="Times New Roman" w:hAnsi="Times New Roman"/>
          <w:sz w:val="19"/>
          <w:szCs w:val="19"/>
          <w:color w:val="auto"/>
        </w:rPr>
      </w:pPr>
    </w:p>
    <w:p>
      <w:pPr>
        <w:ind w:left="700" w:right="80" w:firstLine="698"/>
        <w:spacing w:after="0" w:line="268" w:lineRule="auto"/>
        <w:tabs>
          <w:tab w:leader="none" w:pos="1775"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Nine.03.  </w:t>
      </w:r>
      <w:r>
        <w:rPr>
          <w:rFonts w:ascii="Times New Roman" w:cs="Times New Roman" w:eastAsia="Times New Roman" w:hAnsi="Times New Roman"/>
          <w:sz w:val="19"/>
          <w:szCs w:val="19"/>
          <w:b w:val="1"/>
          <w:bCs w:val="1"/>
          <w:color w:val="000000"/>
        </w:rPr>
        <w:t>Exercise of Remedies</w:t>
      </w:r>
    </w:p>
    <w:p>
      <w:pPr>
        <w:spacing w:after="0" w:line="204"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No failure or delay on the part of the Administrative Agent to exercise any right, power or privilege under this Agreement and no course of dealing between the Borrower or the Secured Parties, on the one hand, and the Administrative Agent,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5" w:name="page196"/>
    <w:bookmarkEnd w:id="195"/>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Nine.04.  </w:t>
      </w:r>
      <w:r>
        <w:rPr>
          <w:rFonts w:ascii="Times New Roman" w:cs="Times New Roman" w:eastAsia="Times New Roman" w:hAnsi="Times New Roman"/>
          <w:sz w:val="19"/>
          <w:szCs w:val="19"/>
          <w:b w:val="1"/>
          <w:bCs w:val="1"/>
          <w:color w:val="000000"/>
        </w:rPr>
        <w:t>Waiver of Certain Laws</w:t>
      </w:r>
    </w:p>
    <w:p>
      <w:pPr>
        <w:spacing w:after="0" w:line="204"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auto"/>
        </w:rPr>
        <w:t>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Nine.05.  </w:t>
      </w:r>
      <w:r>
        <w:rPr>
          <w:rFonts w:ascii="Times New Roman" w:cs="Times New Roman" w:eastAsia="Times New Roman" w:hAnsi="Times New Roman"/>
          <w:sz w:val="19"/>
          <w:szCs w:val="19"/>
          <w:b w:val="1"/>
          <w:bCs w:val="1"/>
          <w:color w:val="000000"/>
        </w:rPr>
        <w:t>Power of Attorney</w:t>
      </w:r>
    </w:p>
    <w:p>
      <w:pPr>
        <w:spacing w:after="0" w:line="204"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auto"/>
        </w:rPr>
        <w:t>The Borrower hereby irrevocably appoints the Administrative Agent its true and lawful attorney (with full power of substitution) in its name, place and stead and at its expense, in connection with the enforcement of the rights and remedies provided for in this Article, including: (i) exercise all rights and privileges of the Borrower under the Purchase Agreement (including each Transfer Agreement); (ii) pay or discharge any Taxes, Liens or other encumbrances levied or placed on or threatened against the Borrower or the Borrower’s property; (iii) defend any suit, action or proceeding brought against the Borrower if the Borrower does not defend such suit, action or proceeding or if the Administrative Agent believes that it is not pursuing such defense in a manner that will maximize the recovery to the Administrative Agent, and settle, compromise or adjust any suit, action or proceeding described above and, in connection therewith, give such discharges or releases as the Administrative Agent may deem appropriate; (iv) file or prosecute any claim, litigation, suit or proceeding in any court of competent jurisdiction or before any arbitrator, or take any other action otherwise deemed appropriate by the Administrative Agent for the purpose of collecting any and all such moneys due to the Borrower whenever payable and to enforce any other right in respect of the Borrower’s property; (v) sell, transfer, pledge, make any agreement with respect to or otherwise deal with, any of the Borrower’s property, and execute, in connection with such sale or action, any endorsements, assignments or other instruments of conveyance or transfer in connection therewith; and (vi) cause the certified public accountants then engaged by the Borrower to prepare and deliver to the Administrative Agent at any time and from time to time, promptly upon the Administrative Agent’s request, any reports required to be prepared by or on behalf of the Borrower under this Agreement or any other Basic Document, all as though the Administrative Agent were the absolute owner of its property for all purposes, and to do, at the Administrative Agent’s option and the Borrower’s expense, at any time or from time to time, all acts and other things that the Administrative Agent reasonably deems necessary to perfect, preserve, or realize upon its property or assets and the Liens of the Administrative Agent, as agent for the Secured Parties thereon, all as fully and effectively as it might do.</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6" w:name="page197"/>
    <w:bookmarkEnd w:id="196"/>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TEN</w:t>
      </w:r>
    </w:p>
    <w:p>
      <w:pPr>
        <w:spacing w:after="0" w:line="2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INDEMNIFICATION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Ten.01.  </w:t>
      </w:r>
      <w:r>
        <w:rPr>
          <w:rFonts w:ascii="Times New Roman" w:cs="Times New Roman" w:eastAsia="Times New Roman" w:hAnsi="Times New Roman"/>
          <w:sz w:val="19"/>
          <w:szCs w:val="19"/>
          <w:b w:val="1"/>
          <w:bCs w:val="1"/>
          <w:color w:val="000000"/>
        </w:rPr>
        <w:t>Indemnities by the Borrower and Servicer</w:t>
      </w:r>
    </w:p>
    <w:p>
      <w:pPr>
        <w:spacing w:after="0" w:line="204" w:lineRule="exact"/>
        <w:rPr>
          <w:sz w:val="20"/>
          <w:szCs w:val="20"/>
          <w:color w:val="auto"/>
        </w:rPr>
      </w:pPr>
    </w:p>
    <w:p>
      <w:pPr>
        <w:ind w:left="960" w:hanging="258"/>
        <w:spacing w:after="0"/>
        <w:tabs>
          <w:tab w:leader="none" w:pos="96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w:t>
      </w:r>
    </w:p>
    <w:p>
      <w:pPr>
        <w:spacing w:after="0" w:line="202" w:lineRule="exact"/>
        <w:rPr>
          <w:sz w:val="20"/>
          <w:szCs w:val="20"/>
          <w:color w:val="auto"/>
        </w:rPr>
      </w:pPr>
    </w:p>
    <w:p>
      <w:pPr>
        <w:ind w:right="160" w:firstLine="696"/>
        <w:spacing w:after="0" w:line="268" w:lineRule="auto"/>
        <w:rPr>
          <w:sz w:val="20"/>
          <w:szCs w:val="20"/>
          <w:color w:val="auto"/>
        </w:rPr>
      </w:pPr>
      <w:r>
        <w:rPr>
          <w:rFonts w:ascii="Times New Roman" w:cs="Times New Roman" w:eastAsia="Times New Roman" w:hAnsi="Times New Roman"/>
          <w:sz w:val="19"/>
          <w:szCs w:val="19"/>
          <w:color w:val="auto"/>
        </w:rPr>
        <w:t>Any amounts subject to the indemnification provisions of this Section and payable by (1) the Borrower shall be paid by the Borrower solely pursuant to the provisions of Section 2.08 in the order and priority set forth therein or (2) UACC, shall be paid directly by UACC.</w:t>
      </w:r>
    </w:p>
    <w:p>
      <w:pPr>
        <w:spacing w:after="0" w:line="144" w:lineRule="exact"/>
        <w:rPr>
          <w:sz w:val="20"/>
          <w:szCs w:val="20"/>
          <w:color w:val="auto"/>
        </w:rPr>
      </w:pPr>
    </w:p>
    <w:p>
      <w:pPr>
        <w:jc w:val="both"/>
        <w:ind w:right="120" w:firstLine="702"/>
        <w:spacing w:after="0" w:line="268" w:lineRule="auto"/>
        <w:tabs>
          <w:tab w:leader="none" w:pos="968"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indemnity obligations in this Section 10.01 shall be cumulative and in addition to any obligation that the Borrower and UACC may otherwise have and shall survive the resignation or removal of any Indemnified Party and the termination or assignment of this Agreement.</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ELEVEN</w:t>
      </w:r>
    </w:p>
    <w:p>
      <w:pPr>
        <w:spacing w:after="0" w:line="23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b w:val="1"/>
          <w:bCs w:val="1"/>
          <w:color w:val="auto"/>
        </w:rPr>
        <w:t>THE ADMINISTRATIVE AGENT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Eleven.01.  </w:t>
      </w:r>
      <w:r>
        <w:rPr>
          <w:rFonts w:ascii="Times New Roman" w:cs="Times New Roman" w:eastAsia="Times New Roman" w:hAnsi="Times New Roman"/>
          <w:sz w:val="19"/>
          <w:szCs w:val="19"/>
          <w:b w:val="1"/>
          <w:bCs w:val="1"/>
          <w:color w:val="000000"/>
        </w:rPr>
        <w:t>Authorization and Action</w:t>
      </w:r>
    </w:p>
    <w:p>
      <w:pPr>
        <w:spacing w:after="0" w:line="204" w:lineRule="exact"/>
        <w:rPr>
          <w:sz w:val="20"/>
          <w:szCs w:val="20"/>
          <w:color w:val="auto"/>
        </w:rPr>
      </w:pPr>
    </w:p>
    <w:p>
      <w:pPr>
        <w:ind w:right="80" w:firstLine="702"/>
        <w:spacing w:after="0" w:line="255" w:lineRule="auto"/>
        <w:tabs>
          <w:tab w:leader="none" w:pos="957"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Secured Party hereby designates and appoints Fifth Third Bank, National Association (and Fifth Third Bank, National Association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Facility Termination Date.</w:t>
      </w:r>
    </w:p>
    <w:p>
      <w:pPr>
        <w:spacing w:after="0" w:line="159" w:lineRule="exact"/>
        <w:rPr>
          <w:rFonts w:ascii="Times New Roman" w:cs="Times New Roman" w:eastAsia="Times New Roman" w:hAnsi="Times New Roman"/>
          <w:sz w:val="19"/>
          <w:szCs w:val="19"/>
          <w:color w:val="auto"/>
        </w:rPr>
      </w:pPr>
    </w:p>
    <w:p>
      <w:pPr>
        <w:ind w:right="20" w:firstLine="702"/>
        <w:spacing w:after="0" w:line="262" w:lineRule="auto"/>
        <w:tabs>
          <w:tab w:leader="none" w:pos="968"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to the contrary elsewhere in this Agreement, the Administrative Agent shall not have any duties or responsibilities, except those expressly set forth herein, or any fiduciary relationship with any other Secured Party, and no implied covenants, functions, responsibilities, duties, obligations or liabilities shall be read into this Agreement or otherwise exist against the Administrative Agent.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Eleven.02.  </w:t>
      </w:r>
      <w:r>
        <w:rPr>
          <w:rFonts w:ascii="Times New Roman" w:cs="Times New Roman" w:eastAsia="Times New Roman" w:hAnsi="Times New Roman"/>
          <w:sz w:val="19"/>
          <w:szCs w:val="19"/>
          <w:b w:val="1"/>
          <w:bCs w:val="1"/>
          <w:color w:val="000000"/>
        </w:rPr>
        <w:t>Delegation of Duties</w:t>
      </w:r>
    </w:p>
    <w:p>
      <w:pPr>
        <w:spacing w:after="0" w:line="204"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The Administrative Agent may execute any of its duties under any of the Basic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7" w:name="page198"/>
    <w:bookmarkEnd w:id="197"/>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Eleven.03.  </w:t>
      </w:r>
      <w:r>
        <w:rPr>
          <w:rFonts w:ascii="Times New Roman" w:cs="Times New Roman" w:eastAsia="Times New Roman" w:hAnsi="Times New Roman"/>
          <w:sz w:val="19"/>
          <w:szCs w:val="19"/>
          <w:b w:val="1"/>
          <w:bCs w:val="1"/>
          <w:color w:val="000000"/>
        </w:rPr>
        <w:t>Exculpatory Provisions</w:t>
      </w:r>
    </w:p>
    <w:p>
      <w:pPr>
        <w:spacing w:after="0" w:line="204"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Neither the Administrative Agent nor any of its directors, officers, agents or employees shall be (i) liable for any action lawfully taken or omitted to be taken by it or them under or in connection with this Agreement (except for its, their or such Person’s own bad faith, gross negligence or willful misconduct or, in the case of the Administrative Agent, the breach of its obligations expressly set forth in this Agreement) or (ii) responsible in any manner to any other Secured Parties for any recitals, statements, representations or warranties made by the Borrower, the Servicer, the Seller, the Paying Agent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The Administrative Agent shall not be under any obligation to any other Secured Party to ascertain or to inquire as to the observance or performance of any of the agreements or covenants contained in, or conditions of, this Agreement, or to inspect the properties, books or records of the Borrower.</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Eleven.04.  </w:t>
      </w:r>
      <w:r>
        <w:rPr>
          <w:rFonts w:ascii="Times New Roman" w:cs="Times New Roman" w:eastAsia="Times New Roman" w:hAnsi="Times New Roman"/>
          <w:sz w:val="19"/>
          <w:szCs w:val="19"/>
          <w:b w:val="1"/>
          <w:bCs w:val="1"/>
          <w:color w:val="000000"/>
        </w:rPr>
        <w:t>Reliance</w:t>
      </w:r>
    </w:p>
    <w:p>
      <w:pPr>
        <w:spacing w:after="0" w:line="204" w:lineRule="exact"/>
        <w:rPr>
          <w:sz w:val="20"/>
          <w:szCs w:val="20"/>
          <w:color w:val="auto"/>
        </w:rPr>
      </w:pPr>
    </w:p>
    <w:p>
      <w:pPr>
        <w:ind w:right="20" w:firstLine="702"/>
        <w:spacing w:after="0" w:line="259" w:lineRule="auto"/>
        <w:tabs>
          <w:tab w:leader="none" w:pos="957"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Administrative Agent), independent accountants and other experts selected by the Administrative Agent.</w:t>
      </w:r>
    </w:p>
    <w:p>
      <w:pPr>
        <w:spacing w:after="0" w:line="153" w:lineRule="exact"/>
        <w:rPr>
          <w:rFonts w:ascii="Times New Roman" w:cs="Times New Roman" w:eastAsia="Times New Roman" w:hAnsi="Times New Roman"/>
          <w:sz w:val="19"/>
          <w:szCs w:val="19"/>
          <w:color w:val="auto"/>
        </w:rPr>
      </w:pPr>
    </w:p>
    <w:p>
      <w:pPr>
        <w:jc w:val="both"/>
        <w:ind w:right="100" w:firstLine="702"/>
        <w:spacing w:after="0" w:line="262" w:lineRule="auto"/>
        <w:tabs>
          <w:tab w:leader="none" w:pos="968"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be fully justified in failing or refusing to take any action under any of the Basic Documents unless it shall first receive such advice or concurrence of the Required Lenders as it deems appropriate or it shall first be indemnified to its satisfaction by, the other Secured Parties, against any and all liability and expense which may be incurred by it by reason of taking or continuing to take any such action.</w:t>
      </w:r>
    </w:p>
    <w:p>
      <w:pPr>
        <w:spacing w:after="0" w:line="150" w:lineRule="exact"/>
        <w:rPr>
          <w:rFonts w:ascii="Times New Roman" w:cs="Times New Roman" w:eastAsia="Times New Roman" w:hAnsi="Times New Roman"/>
          <w:sz w:val="19"/>
          <w:szCs w:val="19"/>
          <w:color w:val="auto"/>
        </w:rPr>
      </w:pPr>
    </w:p>
    <w:p>
      <w:pPr>
        <w:ind w:right="20" w:firstLine="702"/>
        <w:spacing w:after="0" w:line="268" w:lineRule="auto"/>
        <w:tabs>
          <w:tab w:leader="none" w:pos="957"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in all cases be fully protected in acting, or in refraining from acting, under any of the Basic Documents in accordance with a request of the Required Lenders, and such request and any action taken or failure to act pursuant thereto shall be binding upon all present and future Lenders.</w:t>
      </w:r>
    </w:p>
    <w:p>
      <w:pPr>
        <w:spacing w:after="0" w:line="144" w:lineRule="exact"/>
        <w:rPr>
          <w:rFonts w:ascii="Times New Roman" w:cs="Times New Roman" w:eastAsia="Times New Roman" w:hAnsi="Times New Roman"/>
          <w:sz w:val="19"/>
          <w:szCs w:val="19"/>
          <w:color w:val="auto"/>
        </w:rPr>
      </w:pPr>
    </w:p>
    <w:p>
      <w:pPr>
        <w:ind w:right="40" w:firstLine="702"/>
        <w:spacing w:after="0" w:line="257" w:lineRule="auto"/>
        <w:tabs>
          <w:tab w:leader="none" w:pos="968"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deemed to have knowledge or notice of the occurrence of any breach of this Agreement or the occurrence of any Early Amortization Event, Unmatured Termination Event, Termination Event, Servicer Termination Event or Unmatured Servicer Termination Event unless it has received notice from the Borrower, the Servicer, or other Secured Party, referring to this Agreement and describing such event. The Administrative Agent shall take such action with respect to such event as shall be reasonably directed by the Required Lenders; provided that unless and until the Administrative Agent shall have received such directions, the Administrative Agent may (but shall not be obligated to) take such action, or refrain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8" w:name="page199"/>
    <w:bookmarkEnd w:id="198"/>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taking such action, with respect to such event as it shall deem advisable in the best interests of the other Secured Parties.</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Eleven.05.  </w:t>
      </w:r>
      <w:r>
        <w:rPr>
          <w:rFonts w:ascii="Times New Roman" w:cs="Times New Roman" w:eastAsia="Times New Roman" w:hAnsi="Times New Roman"/>
          <w:sz w:val="19"/>
          <w:szCs w:val="19"/>
          <w:b w:val="1"/>
          <w:bCs w:val="1"/>
          <w:color w:val="000000"/>
        </w:rPr>
        <w:t>Non-Reliance on Administrative Agent and Other Lenders</w:t>
      </w:r>
    </w:p>
    <w:p>
      <w:pPr>
        <w:spacing w:after="0" w:line="204"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auto"/>
        </w:rPr>
        <w:t>Each other Secured Party expressly acknowledges that neither the Administrative Agent nor any of its officers, directors, employees, agents, attorneys-in- fact or Affiliates has made any representations or warranties to it and that no act by the Administrative Agent hereafter taken, including any review of the affairs of the Borrower, the Performance Guarantor, the Seller, the Servicer, the Paying Agent and the Custodian shall be deemed to constitute any representation or warranty by the Administrative Agent to any other Secured Party. Each other Secured Party represents to the Administrative Agent that it has, independently and without reliance upon the Administrative Agent or any other Secured Party, and based on such documents and information as it has deemed appropriate, made its own appraisal of and investigation into the business, operations, property, financial and other condition and creditworthiness of the Borrower, the Performance Guarantor, the Servicer, the Seller, the Paying Agent or the Custodian and the Receivables and made its own decision to purchase its interest in the Notes hereunder and enter into this Agreement. Each other Secured Party also represents that it will, independently and without reliance upon the Administrative Agent or any other Secured Party,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Performance Guarantor, the Servicer, the Seller, the Paying Agent or the Custodian and the Receivables. The Administrative Agent shall have no duty or responsibility to provide any other Secured Party with any credit or other information concerning the business, operations, property, condition (financial or otherwise), prospects or creditworthiness of the Borrower, the Performance Guarantor, the Servicer, the Seller, the Paying Agent or the Custodian or the Receivables which may come into the possession of the Administrative Agent or any of its officers, directors, employees, agents, attorneys-in-fact or Affiliates.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Eleven.06.  </w:t>
      </w:r>
      <w:r>
        <w:rPr>
          <w:rFonts w:ascii="Times New Roman" w:cs="Times New Roman" w:eastAsia="Times New Roman" w:hAnsi="Times New Roman"/>
          <w:sz w:val="19"/>
          <w:szCs w:val="19"/>
          <w:b w:val="1"/>
          <w:bCs w:val="1"/>
          <w:color w:val="000000"/>
        </w:rPr>
        <w:t>Indemnification</w:t>
      </w:r>
    </w:p>
    <w:p>
      <w:pPr>
        <w:spacing w:after="0" w:line="204"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color w:val="auto"/>
        </w:rPr>
        <w:t>The Lenders agree to indemnify the Administrative Agent in its capacity as such (without limiting the obligation (if any) of the Borrower or the Servicer to reimburse the Administrative Agent for any such amounts), ratably according to their Lenders’ Percentages from and against any and all liabilities, obligations, losses, damages, penalties, actions, judgments, suits, costs, expenses or disbursements of any kind whatsoever which may at any time (including at any time following the Facility Termination Date)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The provisions of this Section shall survive the payment of the Obligations under this Agreement, including the Loans Outstanding, the termination of this Agreement, and any resignation or removal of the Administrative Agent.</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99" w:name="page200"/>
    <w:bookmarkEnd w:id="199"/>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Eleven.07.  </w:t>
      </w:r>
      <w:r>
        <w:rPr>
          <w:rFonts w:ascii="Times New Roman" w:cs="Times New Roman" w:eastAsia="Times New Roman" w:hAnsi="Times New Roman"/>
          <w:sz w:val="19"/>
          <w:szCs w:val="19"/>
          <w:b w:val="1"/>
          <w:bCs w:val="1"/>
          <w:color w:val="000000"/>
        </w:rPr>
        <w:t>Administrative Agent in its Individual Capacity</w:t>
      </w:r>
    </w:p>
    <w:p>
      <w:pPr>
        <w:spacing w:after="0" w:line="204"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color w:val="auto"/>
        </w:rPr>
        <w:t>The Administrative Agent and its Affiliates may offer Bank Products and generally engage in any kind of business with the Borrower and any other party to a Basic Document as though it were not the Administrative Agent hereunder. Any such Person shall not, by virtue of its acting in any such other capacities, be deemed to have duties or responsibilities hereunder or be held to a standard of care in connection with the performance of its duties as Administrative Agent other than as expressly provided in this Agreement.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Eleven.08.  </w:t>
      </w:r>
      <w:r>
        <w:rPr>
          <w:rFonts w:ascii="Times New Roman" w:cs="Times New Roman" w:eastAsia="Times New Roman" w:hAnsi="Times New Roman"/>
          <w:sz w:val="19"/>
          <w:szCs w:val="19"/>
          <w:b w:val="1"/>
          <w:bCs w:val="1"/>
          <w:color w:val="000000"/>
        </w:rPr>
        <w:t>Successor Agents</w:t>
      </w:r>
    </w:p>
    <w:p>
      <w:pPr>
        <w:spacing w:after="0" w:line="204"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auto"/>
        </w:rPr>
        <w:t>The Administrative Agent may freely assign its rights and obligations hereunder upon ten days’ notice to the other Secured Parties and the Borrower. The Administrative Agent may resign as Administrative Agent upon ten days’ notice to the other Secured Parties and the Borrower with such resignation becoming effective upon a successor agent succeeding to the rights, powers and duties of the Administrative Agent pursuant to this Section. If the Administrative Agent shall resign as Administrative Agent under this Agreement, then the Required Lenders shall appoint a successor administrative agent. Any successor administrative agent shall succeed to the rights, powers and duties of resigning Administrative Agent under this Agreement and the Basic Documents, and the term “Administrative Agent” shall mean such successor administrative agent effective upon its appointment, and the former Administrative Agent’s rights, powers and duties as Administrative Agent shall be terminated, without any other or further act or deed on the part of such former Administrative Agent or any of the parties to this Agreement. After the retiring Administrative Agent’s resignation as Administrative Agent, the provisions of this Article shall inure to its benefit as to any actions taken or omitted to be taken by it while it was Administrative Agent under this Agreement.</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Eleven.09.  </w:t>
      </w:r>
      <w:r>
        <w:rPr>
          <w:rFonts w:ascii="Times New Roman" w:cs="Times New Roman" w:eastAsia="Times New Roman" w:hAnsi="Times New Roman"/>
          <w:sz w:val="19"/>
          <w:szCs w:val="19"/>
          <w:b w:val="1"/>
          <w:bCs w:val="1"/>
          <w:color w:val="000000"/>
        </w:rPr>
        <w:t>Acknowledgments Regarding Erroneous Payments</w:t>
      </w:r>
    </w:p>
    <w:p>
      <w:pPr>
        <w:spacing w:after="0" w:line="204" w:lineRule="exact"/>
        <w:rPr>
          <w:sz w:val="20"/>
          <w:szCs w:val="20"/>
          <w:color w:val="auto"/>
        </w:rPr>
      </w:pPr>
    </w:p>
    <w:p>
      <w:pPr>
        <w:ind w:firstLine="702"/>
        <w:spacing w:after="0" w:line="254" w:lineRule="auto"/>
        <w:tabs>
          <w:tab w:leader="none" w:pos="960" w:val="left"/>
        </w:tabs>
        <w:numPr>
          <w:ilvl w:val="0"/>
          <w:numId w:val="18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Lender hereby agrees that (x) if Administrative Agent notifies such Lender that the Administrative Agent has determined in its sole discretion that any funds received by such Lender from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Administrative Agent the amount of any such Payment (or portion thereof) as to which such a demand was made in same day funds (in the currency so received), together with interest thereon in respect of each day from and including the date such Payment (or portion thereof) was received by such Lender to the date such amount is repaid to Administrative Agent at the greater of the Federal Funds Rate and a rate determined by Administrative Agent in accordance with banking industry rules on interbank compensation from time to time in effect, and (y) to the extent permitted by Applicable Law, such Lender shall not assert, and hereby waives, as to Administrative Agent, any claim, counterclaim, defense or right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0" w:name="page201"/>
    <w:bookmarkEnd w:id="200"/>
    <w:p>
      <w:pPr>
        <w:spacing w:after="0" w:line="26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9"/>
          <w:szCs w:val="19"/>
          <w:color w:val="auto"/>
        </w:rPr>
        <w:t>of set-off or recoupment with respect to any demand, claim or counterclaim by Administrative Agent for the return of any Payments received, including without limitation any defense based on “discharge for value” or any similar doctrine. A notice of Administrative Agent to any Lender under this Section 11.09 shall be conclusive, absent manifest error.</w:t>
      </w:r>
    </w:p>
    <w:p>
      <w:pPr>
        <w:spacing w:after="0" w:line="144" w:lineRule="exact"/>
        <w:rPr>
          <w:sz w:val="20"/>
          <w:szCs w:val="20"/>
          <w:color w:val="auto"/>
        </w:rPr>
      </w:pPr>
    </w:p>
    <w:p>
      <w:pPr>
        <w:ind w:firstLine="702"/>
        <w:spacing w:after="0" w:line="254" w:lineRule="auto"/>
        <w:tabs>
          <w:tab w:leader="none" w:pos="972" w:val="left"/>
        </w:tabs>
        <w:numPr>
          <w:ilvl w:val="0"/>
          <w:numId w:val="18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Lender hereby further agrees that if it receives a Payment from Administrative Agent or any of its Affiliates (x) that is in a different amount than, or on a different date from, that specified in a notice of payment sent by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Administrative Agent of such occurrence and, upon demand from Administrative Agent, it shall promptly, but in no event later than one Business Day thereafter, return to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Administrative Agent at the greater of the Federal Funds Rate and a rate determined by Administrative Agent in accordance with banking industry rules on interbank compensation from time to time in effect.</w:t>
      </w:r>
    </w:p>
    <w:p>
      <w:pPr>
        <w:spacing w:after="0" w:line="388" w:lineRule="exact"/>
        <w:rPr>
          <w:rFonts w:ascii="Times New Roman" w:cs="Times New Roman" w:eastAsia="Times New Roman" w:hAnsi="Times New Roman"/>
          <w:sz w:val="19"/>
          <w:szCs w:val="19"/>
          <w:color w:val="1F3763"/>
        </w:rPr>
      </w:pPr>
    </w:p>
    <w:p>
      <w:pPr>
        <w:ind w:right="260" w:firstLine="702"/>
        <w:spacing w:after="0" w:line="259" w:lineRule="auto"/>
        <w:tabs>
          <w:tab w:leader="none" w:pos="960" w:val="left"/>
        </w:tabs>
        <w:numPr>
          <w:ilvl w:val="0"/>
          <w:numId w:val="18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Borrower hereby agrees that (x) in the event an erroneous Payment (or portion thereof) is not recovered from any Lender that has received such Payment (or portion thereof) for any reason, Administrative Agent shall be subrogated to all the rights of such Lender with respect to such amount and (y) an erroneous Payment shall not pay, prepay, repay, discharge or otherwise satisfy any Obligations owed by the Borrower. For the avoidance of doubt, any such payment made by the Borrower to the Administrative Agent pursuant to this Section 11.09(c) shall not constitute an Unmatured Termination Event or Termination Event.</w:t>
      </w:r>
    </w:p>
    <w:p>
      <w:pPr>
        <w:spacing w:after="0" w:line="153" w:lineRule="exact"/>
        <w:rPr>
          <w:rFonts w:ascii="Times New Roman" w:cs="Times New Roman" w:eastAsia="Times New Roman" w:hAnsi="Times New Roman"/>
          <w:sz w:val="19"/>
          <w:szCs w:val="19"/>
          <w:color w:val="1F3763"/>
        </w:rPr>
      </w:pPr>
    </w:p>
    <w:p>
      <w:pPr>
        <w:ind w:right="300" w:firstLine="702"/>
        <w:spacing w:after="0" w:line="268" w:lineRule="auto"/>
        <w:tabs>
          <w:tab w:leader="none" w:pos="972" w:val="left"/>
        </w:tabs>
        <w:numPr>
          <w:ilvl w:val="0"/>
          <w:numId w:val="18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party’s obligations under this Section 11.09 shall survive the resignation or replacement of Administrative Agent or any transfer of rights or obligations by, or the replacement of, a Lender, the termination of the Commitments or the repayment, satisfaction or discharge of all Obligations under any Basic Document.</w:t>
      </w:r>
    </w:p>
    <w:p>
      <w:pPr>
        <w:spacing w:after="0" w:line="1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2F5496"/>
        </w:rPr>
        <w:t>ARTICLE TWELVE</w:t>
      </w:r>
    </w:p>
    <w:p>
      <w:pPr>
        <w:spacing w:after="0" w:line="23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ASSIGNMENTS; PARTICIPATIONS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Twelve.01.  </w:t>
      </w:r>
      <w:r>
        <w:rPr>
          <w:rFonts w:ascii="Times New Roman" w:cs="Times New Roman" w:eastAsia="Times New Roman" w:hAnsi="Times New Roman"/>
          <w:sz w:val="19"/>
          <w:szCs w:val="19"/>
          <w:b w:val="1"/>
          <w:bCs w:val="1"/>
          <w:color w:val="000000"/>
        </w:rPr>
        <w:t>Assignments and Participations</w:t>
      </w:r>
    </w:p>
    <w:p>
      <w:pPr>
        <w:spacing w:after="0" w:line="204" w:lineRule="exact"/>
        <w:rPr>
          <w:sz w:val="20"/>
          <w:szCs w:val="20"/>
          <w:color w:val="auto"/>
        </w:rPr>
      </w:pPr>
    </w:p>
    <w:p>
      <w:pPr>
        <w:ind w:firstLine="702"/>
        <w:spacing w:after="0" w:line="257" w:lineRule="auto"/>
        <w:tabs>
          <w:tab w:leader="none" w:pos="957"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agrees that the Loans (and the related Notes) or interest therein owned by such Lender pursuant to this Agreement will be acquired for investment only and not with a view to any public distribution thereof, and that such Lender will not offer to sell or otherwise dispose of the Loans (and the related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Loans (and the related Notes), such Lender has not engaged and will not engage in a general solicitation or general advertising.</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1" w:name="page202"/>
    <w:bookmarkEnd w:id="201"/>
    <w:p>
      <w:pPr>
        <w:spacing w:after="0" w:line="269" w:lineRule="exact"/>
        <w:rPr>
          <w:sz w:val="20"/>
          <w:szCs w:val="20"/>
          <w:color w:val="auto"/>
        </w:rPr>
      </w:pPr>
    </w:p>
    <w:p>
      <w:pPr>
        <w:ind w:firstLine="702"/>
        <w:spacing w:after="0" w:line="252" w:lineRule="auto"/>
        <w:tabs>
          <w:tab w:leader="none" w:pos="96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may upon at least 30 days’ notice to the Borrower and the Administrative Agent, assign to one or more banks or other entities all or a portion of its rights and obligations under this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an integral multiple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such lesser amount as shall be approved by the Administrative Agent, (v) the parties to each such assignment shall have agreed to reimburse the Administrative Agent for all reasonable fees, costs and expenses (including the reasonable fees and out-of-pocket expenses of counsel for the Administrative Agent) 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Agent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63" w:lineRule="exact"/>
        <w:rPr>
          <w:rFonts w:ascii="Times New Roman" w:cs="Times New Roman" w:eastAsia="Times New Roman" w:hAnsi="Times New Roman"/>
          <w:sz w:val="19"/>
          <w:szCs w:val="19"/>
          <w:color w:val="auto"/>
        </w:rPr>
      </w:pPr>
    </w:p>
    <w:p>
      <w:pPr>
        <w:ind w:right="20" w:firstLine="702"/>
        <w:spacing w:after="0" w:line="252" w:lineRule="auto"/>
        <w:tabs>
          <w:tab w:leader="none" w:pos="957"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such assigning Lender or any other Secured Party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w:t>
      </w:r>
    </w:p>
    <w:p>
      <w:pPr>
        <w:spacing w:after="0" w:line="5" w:lineRule="exact"/>
        <w:rPr>
          <w:rFonts w:ascii="Times New Roman" w:cs="Times New Roman" w:eastAsia="Times New Roman" w:hAnsi="Times New Roman"/>
          <w:sz w:val="19"/>
          <w:szCs w:val="19"/>
          <w:color w:val="auto"/>
        </w:rPr>
      </w:pPr>
    </w:p>
    <w:p>
      <w:pPr>
        <w:ind w:left="340" w:hanging="334"/>
        <w:spacing w:after="0"/>
        <w:tabs>
          <w:tab w:leader="none" w:pos="3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assignee agrees that it will perform</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2" w:name="page203"/>
    <w:bookmarkEnd w:id="202"/>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accordance with their terms all of the obligations which by the terms of this Agreement are required to be performed by it as a Lender.</w:t>
      </w:r>
    </w:p>
    <w:p>
      <w:pPr>
        <w:spacing w:after="0" w:line="202" w:lineRule="exact"/>
        <w:rPr>
          <w:sz w:val="20"/>
          <w:szCs w:val="20"/>
          <w:color w:val="auto"/>
        </w:rPr>
      </w:pPr>
    </w:p>
    <w:p>
      <w:pPr>
        <w:ind w:right="20" w:firstLine="702"/>
        <w:spacing w:after="0" w:line="256" w:lineRule="auto"/>
        <w:tabs>
          <w:tab w:leader="none" w:pos="968"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acting solely for this purpose as a non-fiduciary agent of the Borrower, shall maintain at its address referred to herein a copy of each Assignment and Acceptance delivered to and accepted by it and a register for the recordation of the names, addresses and Commitment of each Lender and the Principal Amount and stated interest of each Loan made by each Lender from time to time (the “Lender Register”). The entries in the Lender Register shall be conclusive and binding for all purposes, absent manifest error, and the Borrower and the Lenders shall treat each Person whose name is recorded in the Lender Register as a Lender hereunder for all purposes of this Agreement. The Lender Register shall be available for inspection by the Administrative Agent and any Lender at any reasonable time and from time to time upon reasonable prior notice.</w:t>
      </w:r>
    </w:p>
    <w:p>
      <w:pPr>
        <w:spacing w:after="0" w:line="157" w:lineRule="exact"/>
        <w:rPr>
          <w:rFonts w:ascii="Times New Roman" w:cs="Times New Roman" w:eastAsia="Times New Roman" w:hAnsi="Times New Roman"/>
          <w:sz w:val="19"/>
          <w:szCs w:val="19"/>
          <w:color w:val="auto"/>
        </w:rPr>
      </w:pPr>
    </w:p>
    <w:p>
      <w:pPr>
        <w:ind w:right="140" w:firstLine="702"/>
        <w:spacing w:after="0" w:line="262" w:lineRule="auto"/>
        <w:tabs>
          <w:tab w:leader="none" w:pos="957"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Sections 12.01(a) and 12.01(b),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spacing w:after="0" w:line="150" w:lineRule="exact"/>
        <w:rPr>
          <w:rFonts w:ascii="Times New Roman" w:cs="Times New Roman" w:eastAsia="Times New Roman" w:hAnsi="Times New Roman"/>
          <w:sz w:val="19"/>
          <w:szCs w:val="19"/>
          <w:color w:val="auto"/>
        </w:rPr>
      </w:pPr>
    </w:p>
    <w:p>
      <w:pPr>
        <w:ind w:firstLine="702"/>
        <w:spacing w:after="0" w:line="252" w:lineRule="auto"/>
        <w:tabs>
          <w:tab w:leader="none" w:pos="936"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may sell participations to one or more banks or other entities in or to all or a portion of its rights and obligations under this Agreement (including all or a portion of its Commitment and each Loan owned by it);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such Lender’s obligations under this Agreement (including its Commitment hereunder) shall remain unchanged, (ii) such Lender shall remain solely responsible to the other parties hereto for the performance of such obligations and (iii) the other Secured Parties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Sections 2.13 and 2.14;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Section 12.01.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 or other obligations under the Basic Documents (the “Participant Register”); provided that no Lender shall have any obligation to disclose all or any portion of the Participant Register (including the identity of any participant or any information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3" w:name="page204"/>
    <w:bookmarkEnd w:id="203"/>
    <w:p>
      <w:pPr>
        <w:spacing w:after="0" w:line="2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relating to a participant’s interest in any commitments, loans, letters of credit or its other obligations under any Basic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spacing w:after="0" w:line="157" w:lineRule="exact"/>
        <w:rPr>
          <w:sz w:val="20"/>
          <w:szCs w:val="20"/>
          <w:color w:val="auto"/>
        </w:rPr>
      </w:pPr>
    </w:p>
    <w:p>
      <w:pPr>
        <w:ind w:right="220" w:firstLine="702"/>
        <w:spacing w:after="0" w:line="268" w:lineRule="auto"/>
        <w:tabs>
          <w:tab w:leader="none" w:pos="96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spacing w:after="0" w:line="144" w:lineRule="exact"/>
        <w:rPr>
          <w:rFonts w:ascii="Times New Roman" w:cs="Times New Roman" w:eastAsia="Times New Roman" w:hAnsi="Times New Roman"/>
          <w:sz w:val="19"/>
          <w:szCs w:val="19"/>
          <w:color w:val="auto"/>
        </w:rPr>
      </w:pPr>
    </w:p>
    <w:p>
      <w:pPr>
        <w:ind w:right="380" w:firstLine="702"/>
        <w:spacing w:after="0" w:line="256" w:lineRule="auto"/>
        <w:tabs>
          <w:tab w:leader="none" w:pos="96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herein shall prohibit any Lender from at any time pledging or assigning as collateral any of its rights under this Agreement to (A) any Federal Reserve Bank or any other Governmental Authority in accordance with Applicable Law or (B) other Secured Party or any of their respective Affiliates, or any other bank or other entity in connection with any financing or repurchase agreement entered into by such Lender. Each such pledge or collateral assignment may be made without compliance with Section</w:t>
      </w:r>
    </w:p>
    <w:p>
      <w:pPr>
        <w:spacing w:after="0" w:line="2" w:lineRule="exact"/>
        <w:rPr>
          <w:rFonts w:ascii="Times New Roman" w:cs="Times New Roman" w:eastAsia="Times New Roman" w:hAnsi="Times New Roman"/>
          <w:sz w:val="19"/>
          <w:szCs w:val="19"/>
          <w:color w:val="auto"/>
        </w:rPr>
      </w:pPr>
    </w:p>
    <w:p>
      <w:pPr>
        <w:jc w:val="both"/>
        <w:ind w:right="8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12.01(a) or 12.01(b), other than clause (vii) of Section 12.01(b), and without notice to or consent of the Borrower, Servicer or any other Lender; provided, that no such pledge or collateral assignment shall release a Lender from any of its obligations hereunder, or substitute any such pledgee or grantee for such Lender as a party hereto.</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THIRTEEN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MUTUAL COVENANTS REGARDING CONFIDENTIALITY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Thirteen.01.  </w:t>
      </w:r>
      <w:r>
        <w:rPr>
          <w:rFonts w:ascii="Times New Roman" w:cs="Times New Roman" w:eastAsia="Times New Roman" w:hAnsi="Times New Roman"/>
          <w:sz w:val="19"/>
          <w:szCs w:val="19"/>
          <w:b w:val="1"/>
          <w:bCs w:val="1"/>
          <w:color w:val="000000"/>
        </w:rPr>
        <w:t>Covenants of the Borrower, the Servicer, the Paying Agent and the Custodian</w:t>
      </w:r>
    </w:p>
    <w:p>
      <w:pPr>
        <w:spacing w:after="0" w:line="204"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Each of the Borrower, the Servicer, the Paying Agent and the Custodian severally and with respect to itself only, covenants and agrees to hold in confidence, and not disclose to any Person, the terms of this Agreement (including any fees payable in connection with this Agreement or the identity of any Secured Party under this Agreement), except as any Secured Party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Paying Agent or the Custodian, (iii) to any Secured Party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Paying Agent and the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4" w:name="page205"/>
    <w:bookmarkEnd w:id="204"/>
    <w:p>
      <w:pPr>
        <w:spacing w:after="0" w:line="26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Custodian, as applicable, will use all reasonable efforts to maintain confidentiality and will (unless otherwise prohibited by Applicable Law) notify the Lender of its intention to make any such disclosure prior to making such disclosure.</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Thirteen.02.  </w:t>
      </w:r>
      <w:r>
        <w:rPr>
          <w:rFonts w:ascii="Times New Roman" w:cs="Times New Roman" w:eastAsia="Times New Roman" w:hAnsi="Times New Roman"/>
          <w:sz w:val="19"/>
          <w:szCs w:val="19"/>
          <w:b w:val="1"/>
          <w:bCs w:val="1"/>
          <w:color w:val="000000"/>
        </w:rPr>
        <w:t>Covenants of the Administrative Agent and the Lenders</w:t>
      </w:r>
    </w:p>
    <w:p>
      <w:pPr>
        <w:spacing w:after="0" w:line="204" w:lineRule="exact"/>
        <w:rPr>
          <w:sz w:val="20"/>
          <w:szCs w:val="20"/>
          <w:color w:val="auto"/>
        </w:rPr>
      </w:pPr>
    </w:p>
    <w:p>
      <w:pPr>
        <w:ind w:right="60" w:firstLine="702"/>
        <w:spacing w:after="0" w:line="255" w:lineRule="auto"/>
        <w:tabs>
          <w:tab w:leader="none" w:pos="957"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Secured Party covenants and agrees that it will not disclose any of the Confidential Information now or hereafter received or obtained by it without the Borrower’s prior written consent; provided, however, that it may disclose any such Confidential Information (i) in connection with participations and assignments pursuant to Section 12.01(b) (upon the prior written consent of the Borrower), (ii) to those of its employees or Affiliates directly involved in the transactions contemplated by the Basic Documents, (iii) to the Rating Agencies pursuant to Section 2.13(g), and (iv) to its Advisors who need to know such information for the purpose of assisting it in connection with the transactions contemplated by the Basic Documents. Each Secured Party agrees to be responsible for any breach of this Agreement by its Affiliates and Advisors, and it agrees that its Affiliates and Advisors will be advised by it of the confidential nature of such information and that it shall cause its Affiliates and Advisors to be bound by this Agreement.</w:t>
      </w:r>
    </w:p>
    <w:p>
      <w:pPr>
        <w:spacing w:after="0" w:line="159" w:lineRule="exact"/>
        <w:rPr>
          <w:rFonts w:ascii="Times New Roman" w:cs="Times New Roman" w:eastAsia="Times New Roman" w:hAnsi="Times New Roman"/>
          <w:sz w:val="19"/>
          <w:szCs w:val="19"/>
          <w:color w:val="auto"/>
        </w:rPr>
      </w:pPr>
    </w:p>
    <w:p>
      <w:pPr>
        <w:ind w:right="200" w:firstLine="702"/>
        <w:spacing w:after="0" w:line="262" w:lineRule="auto"/>
        <w:tabs>
          <w:tab w:leader="none" w:pos="968"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Secured Parties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spacing w:after="0" w:line="150" w:lineRule="exact"/>
        <w:rPr>
          <w:rFonts w:ascii="Times New Roman" w:cs="Times New Roman" w:eastAsia="Times New Roman" w:hAnsi="Times New Roman"/>
          <w:sz w:val="19"/>
          <w:szCs w:val="19"/>
          <w:color w:val="auto"/>
        </w:rPr>
      </w:pPr>
    </w:p>
    <w:p>
      <w:pPr>
        <w:ind w:right="20" w:firstLine="702"/>
        <w:spacing w:after="0" w:line="255" w:lineRule="auto"/>
        <w:tabs>
          <w:tab w:leader="none" w:pos="957"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Secured Party acknowledges and agrees that any Confidential Information provided to it, in whatever form, is the sole property of the Borrower or the Servicer. Neither such Person nor its Affiliates or Advisors shall use any of the Confidential Information now or hereafter received or obtained from or through the Borrower, the Servicer or any of their respective Affiliates for any purpose other than for purposes of engaging in, or as otherwise contemplated by, the transactions contemplated by the Basic Documents. Each Secured Party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spacing w:after="0" w:line="159" w:lineRule="exact"/>
        <w:rPr>
          <w:rFonts w:ascii="Times New Roman" w:cs="Times New Roman" w:eastAsia="Times New Roman" w:hAnsi="Times New Roman"/>
          <w:sz w:val="19"/>
          <w:szCs w:val="19"/>
          <w:color w:val="auto"/>
        </w:rPr>
      </w:pPr>
    </w:p>
    <w:p>
      <w:pPr>
        <w:ind w:firstLine="702"/>
        <w:spacing w:after="0" w:line="256" w:lineRule="auto"/>
        <w:tabs>
          <w:tab w:leader="none" w:pos="968"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Secured Parties acknowledges that all Confidential Information is considered to be proprietary and of competitive value, and in many instances trade secrets. Each of the Secured Parties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Secured Parties acknowledges and agrees that the Borrower, UACC and their respective Affiliates shall be entitled, without the requirement of posting a bond or other security, to equitable relief, including injunctive relief and specific performance, as a</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5" w:name="page206"/>
    <w:bookmarkEnd w:id="205"/>
    <w:p>
      <w:pPr>
        <w:spacing w:after="0" w:line="26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9"/>
          <w:szCs w:val="19"/>
          <w:color w:val="auto"/>
        </w:rPr>
        <w:t>remedy for any such breach. Such relief shall be in addition to, and not in lieu of, all other remedies available to the Borrower, UACC and their respective Affiliates whether at law or in equity.</w:t>
      </w:r>
    </w:p>
    <w:p>
      <w:pPr>
        <w:spacing w:after="0" w:line="127" w:lineRule="exact"/>
        <w:rPr>
          <w:sz w:val="20"/>
          <w:szCs w:val="20"/>
          <w:color w:val="auto"/>
        </w:rPr>
      </w:pPr>
    </w:p>
    <w:p>
      <w:pPr>
        <w:ind w:right="160" w:firstLine="702"/>
        <w:spacing w:after="0" w:line="253" w:lineRule="auto"/>
        <w:tabs>
          <w:tab w:leader="none" w:pos="957"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Secured Party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the Servicer in writing (unless it has been advised by an Opinion of Counsel that such notification is prohibited by Applicable Law or regulation) of such requirement so that the Borrower and/or the Servicer, at their sole cost and expense, may seek a protective order or other appropriate remedy and/or waive compliance with the provisions hereof. Each Secured Party agrees to use its reasonable efforts, upon the written request of the Borrower or the Servicer,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 that it is legally compelled to disclose; provided that it agrees to use reasonable efforts to obtain assurance that confidential treatment will be afforded such Confidential Information by the person or persons to whom it was disclosed.</w:t>
      </w:r>
    </w:p>
    <w:p>
      <w:pPr>
        <w:spacing w:after="0" w:line="165" w:lineRule="exact"/>
        <w:rPr>
          <w:rFonts w:ascii="Times New Roman" w:cs="Times New Roman" w:eastAsia="Times New Roman" w:hAnsi="Times New Roman"/>
          <w:sz w:val="19"/>
          <w:szCs w:val="19"/>
          <w:color w:val="auto"/>
        </w:rPr>
      </w:pPr>
    </w:p>
    <w:p>
      <w:pPr>
        <w:ind w:firstLine="702"/>
        <w:spacing w:after="0" w:line="256" w:lineRule="auto"/>
        <w:tabs>
          <w:tab w:leader="none" w:pos="936"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it is understood that any Secured Party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any Secured Party. Under such circumstances, the related entity agrees to provide notice to the Borrower and the Servicer, to the extent that it is not otherwise prohibited from doing so, as soon as practicable in connection with (and, if possible, before) releasing the Confidential Information to the bank examiner or other regulatory authority pursuant to such request or examination.</w:t>
      </w:r>
    </w:p>
    <w:p>
      <w:pPr>
        <w:spacing w:after="0" w:line="157" w:lineRule="exact"/>
        <w:rPr>
          <w:rFonts w:ascii="Times New Roman" w:cs="Times New Roman" w:eastAsia="Times New Roman" w:hAnsi="Times New Roman"/>
          <w:sz w:val="19"/>
          <w:szCs w:val="19"/>
          <w:color w:val="auto"/>
        </w:rPr>
      </w:pPr>
    </w:p>
    <w:p>
      <w:pPr>
        <w:ind w:right="220" w:firstLine="702"/>
        <w:spacing w:after="0" w:line="268" w:lineRule="auto"/>
        <w:tabs>
          <w:tab w:leader="none" w:pos="968"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understood and agreed that no failure or delay by the Borrower, the Servicer, the Paying Agent, the Custodian, or any Secured Party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Thirteen.03.  </w:t>
      </w:r>
      <w:r>
        <w:rPr>
          <w:rFonts w:ascii="Times New Roman" w:cs="Times New Roman" w:eastAsia="Times New Roman" w:hAnsi="Times New Roman"/>
          <w:sz w:val="19"/>
          <w:szCs w:val="19"/>
          <w:b w:val="1"/>
          <w:bCs w:val="1"/>
          <w:color w:val="000000"/>
        </w:rPr>
        <w:t>Non-Confidentiality of Tax Treatment and Tax Structure</w:t>
      </w:r>
    </w:p>
    <w:p>
      <w:pPr>
        <w:spacing w:after="0" w:line="204"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color w:val="auto"/>
        </w:rPr>
        <w:t>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the Tax structure and Tax treatment of the transactions, and all materials of any kind (including opinions or other Tax analyses) that are provided to each such party related to such Tax structure and Tax treatment. In this regard, each party hereto acknowledges and agrees that this disclosure of the Tax structure or Tax treatment of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6" w:name="page207"/>
    <w:bookmarkEnd w:id="206"/>
    <w:p>
      <w:pPr>
        <w:spacing w:after="0" w:line="26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9"/>
          <w:szCs w:val="19"/>
          <w:color w:val="auto"/>
        </w:rPr>
        <w:t>transactions is not limited in any way by an express or implied understanding or agreement, oral or written (whether or not such understanding or agreement is legally binding).</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2F5496"/>
        </w:rPr>
        <w:t>ARTICLE FOURTEEN</w:t>
      </w:r>
    </w:p>
    <w:p>
      <w:pPr>
        <w:spacing w:after="0" w:line="2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Fourteen.01.  </w:t>
      </w:r>
      <w:r>
        <w:rPr>
          <w:rFonts w:ascii="Times New Roman" w:cs="Times New Roman" w:eastAsia="Times New Roman" w:hAnsi="Times New Roman"/>
          <w:sz w:val="19"/>
          <w:szCs w:val="19"/>
          <w:b w:val="1"/>
          <w:bCs w:val="1"/>
          <w:color w:val="000000"/>
        </w:rPr>
        <w:t>Amendments and Waivers</w:t>
      </w:r>
    </w:p>
    <w:p>
      <w:pPr>
        <w:spacing w:after="0" w:line="204" w:lineRule="exact"/>
        <w:rPr>
          <w:sz w:val="20"/>
          <w:szCs w:val="20"/>
          <w:color w:val="auto"/>
        </w:rPr>
      </w:pPr>
    </w:p>
    <w:p>
      <w:pPr>
        <w:ind w:right="20" w:firstLine="702"/>
        <w:spacing w:after="0" w:line="254" w:lineRule="auto"/>
        <w:tabs>
          <w:tab w:leader="none" w:pos="960" w:val="left"/>
        </w:tabs>
        <w:numPr>
          <w:ilvl w:val="0"/>
          <w:numId w:val="19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failure or delay by any Secured Party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any Secured Party hereunder are cumulative and are not exclusive of any rights or remedies that they would otherwise have. No waiver of any provision of this Agreement or consent to any departure by the Borrower therefrom shall in any event be effective unless the same shall be permitted by Section 14.01(c), and then such waiver or consent shall be effective only in the specific instance and for the purpose for which given. Without limiting the generality of the foregoing, the making of a Loan shall not be construed as a waiver of any Early Amortization Event, Servicer Termination Event, Unmatured Servicer Termination Event, Termination Event or Unmatured Termination Event, regardless of whether any Secured Party may have had notice or knowledge of such Early Amortization Event, Termination Event or Unmatured Termination Event, Servicer Termination Event, Unmatured Servicer Termination Event at the time.</w:t>
      </w:r>
    </w:p>
    <w:p>
      <w:pPr>
        <w:spacing w:after="0" w:line="160" w:lineRule="exact"/>
        <w:rPr>
          <w:rFonts w:ascii="Times New Roman" w:cs="Times New Roman" w:eastAsia="Times New Roman" w:hAnsi="Times New Roman"/>
          <w:sz w:val="19"/>
          <w:szCs w:val="19"/>
          <w:color w:val="1F3763"/>
        </w:rPr>
      </w:pPr>
    </w:p>
    <w:p>
      <w:pPr>
        <w:ind w:right="280" w:firstLine="702"/>
        <w:spacing w:after="0" w:line="268" w:lineRule="auto"/>
        <w:tabs>
          <w:tab w:leader="none" w:pos="968"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this Agreement nor any provision hereof may be amended or modified except pursuant to an agreement or agreements in writing entered into by the Borrower and the Administrative Agent; provided, that no such agreement shall, without the written consent of:</w:t>
      </w:r>
    </w:p>
    <w:p>
      <w:pPr>
        <w:spacing w:after="0" w:line="144" w:lineRule="exact"/>
        <w:rPr>
          <w:rFonts w:ascii="Times New Roman" w:cs="Times New Roman" w:eastAsia="Times New Roman" w:hAnsi="Times New Roman"/>
          <w:sz w:val="19"/>
          <w:szCs w:val="19"/>
          <w:color w:val="auto"/>
        </w:rPr>
      </w:pPr>
    </w:p>
    <w:p>
      <w:pPr>
        <w:ind w:left="700" w:right="240" w:firstLine="890"/>
        <w:spacing w:after="0" w:line="268" w:lineRule="auto"/>
        <w:tabs>
          <w:tab w:leader="none" w:pos="1817" w:val="left"/>
        </w:tabs>
        <w:numPr>
          <w:ilvl w:val="2"/>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Required Lenders, (1) amend any provision of Section 2.08, (2) amend any provision of Schedule B or (3) reduce the principal or the rate of Interest on any Loans Outstanding or any fees or other amounts payable hereunder or under any other Basic Documents, and</w:t>
      </w:r>
    </w:p>
    <w:p>
      <w:pPr>
        <w:spacing w:after="0" w:line="144" w:lineRule="exact"/>
        <w:rPr>
          <w:rFonts w:ascii="Times New Roman" w:cs="Times New Roman" w:eastAsia="Times New Roman" w:hAnsi="Times New Roman"/>
          <w:sz w:val="19"/>
          <w:szCs w:val="19"/>
          <w:color w:val="auto"/>
        </w:rPr>
      </w:pPr>
    </w:p>
    <w:p>
      <w:pPr>
        <w:ind w:left="700" w:firstLine="818"/>
        <w:spacing w:after="0" w:line="255" w:lineRule="auto"/>
        <w:tabs>
          <w:tab w:leader="none" w:pos="1799"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Lenders, (1) change any provision of this Section or the definition of “Commitment Termination Date”, “Early Amortization Event”, “Required Lenders”, “Termination Event” or “Servicer Termination Event” or any other provision hereof specifying the number or percentage of Lenders required to amend, waive, or otherwise modify any rights hereunder or make any determination or grant any consent hereunder, or (2) amend or change the definition of “Advance Rate”, “Advance Rate Reduction Events”, “Annualized Default Ratio”, “Annualized Net Loss Ratio”, “Borrowing Base”, “Commitment”, “Excess Spread Percentage”, “Default Rate”, “Borrowing Base Deficiency”, “Concentration Limits”, “Delinquency Ratio”, “Extension Ratio”, “Interest”, “Base Line Excess Spread Percentage”, “Monthly Principal Payment Amount”, “Final Maturity Date”, or any provision of this Agreement that uses any of the foregoing terms;</w:t>
      </w:r>
    </w:p>
    <w:p>
      <w:pPr>
        <w:spacing w:after="0" w:line="16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auto"/>
        </w:rPr>
        <w:t>provided, further, that no such agreement shall amend, modify or otherwise affect the rights, protections or duties of the Servicer, the Custodian, the Owner Trustee or the Paying Agent</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7" w:name="page208"/>
    <w:bookmarkEnd w:id="207"/>
    <w:p>
      <w:pPr>
        <w:spacing w:after="0" w:line="26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auto"/>
        </w:rPr>
        <w:t>hereunder without the prior written consent of the Servicer, the Custodian, the Owner Trustee or the Paying Agent, as the case may be. Notwithstanding the foregoing, if the Administrative Agent determines that it is necessary to establish an alternate rate of interest pursuant to and in accordance with Section 2.18, the Secured Parties and the Borrower, to the extent necessary, shall enter into an amendment to this Agreement to reflect such alternate rate of interest and such other related changes to this Agreement as may be applicable, and the Administrative Agent may make Conforming Changes in accordance with Section 2.18(b).</w:t>
      </w:r>
    </w:p>
    <w:p>
      <w:pPr>
        <w:spacing w:after="0" w:line="154" w:lineRule="exact"/>
        <w:rPr>
          <w:sz w:val="20"/>
          <w:szCs w:val="20"/>
          <w:color w:val="auto"/>
        </w:rPr>
      </w:pPr>
    </w:p>
    <w:p>
      <w:pPr>
        <w:ind w:right="180" w:firstLine="702"/>
        <w:spacing w:after="0" w:line="259" w:lineRule="auto"/>
        <w:tabs>
          <w:tab w:leader="none" w:pos="957"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this Agreement nor any provision hereof may be waived except pursuant to an agreement or agreements in writing entered into by the Administrative Agent; provided, that no such agreement shall, without the written consent of (i) the Required Lenders, waive any condition set forth in Section 4.02, or any Early Amortization Event, Servicer Termination Event or Termination Event, or (ii) the Servicer, the Custodian, the Owner Trustee or the Paying Agent, waive its respective rights, protections or duties hereunder.</w:t>
      </w:r>
    </w:p>
    <w:p>
      <w:pPr>
        <w:spacing w:after="0" w:line="153" w:lineRule="exact"/>
        <w:rPr>
          <w:rFonts w:ascii="Times New Roman" w:cs="Times New Roman" w:eastAsia="Times New Roman" w:hAnsi="Times New Roman"/>
          <w:sz w:val="19"/>
          <w:szCs w:val="19"/>
          <w:color w:val="auto"/>
        </w:rPr>
      </w:pPr>
    </w:p>
    <w:p>
      <w:pPr>
        <w:ind w:right="140" w:firstLine="702"/>
        <w:spacing w:after="0" w:line="259" w:lineRule="auto"/>
        <w:tabs>
          <w:tab w:leader="none" w:pos="968"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execution of any amendment, modification or waiver to this Agreement or any other Basic Document, the Borrower shall deliver an Opinion of Counsel or an Officer’s Certificate to the Administrative Agent stating that such amendment, modification or waiver without the prior written consent of the Servicer, the Custodian or the Paying Agent will not affect the rights, protections or duties of each such party. The Borrower shall provide a copy of each executed amendment, waiver or other modification to the Servicer, the Custodian and the Paying Agent.</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Fourteen.02.  </w:t>
      </w:r>
      <w:r>
        <w:rPr>
          <w:rFonts w:ascii="Times New Roman" w:cs="Times New Roman" w:eastAsia="Times New Roman" w:hAnsi="Times New Roman"/>
          <w:sz w:val="19"/>
          <w:szCs w:val="19"/>
          <w:b w:val="1"/>
          <w:bCs w:val="1"/>
          <w:color w:val="000000"/>
        </w:rPr>
        <w:t>Notices, Etc.</w:t>
      </w:r>
    </w:p>
    <w:p>
      <w:pPr>
        <w:spacing w:after="0" w:line="204"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All notices and other communications provided for hereunder shall, unless otherwise stated herein, be in writing (including e - mail communication and communication by facsimile copy) and e-mailed, mailed, transmitted or delivered, as to each party hereto, at its address set forth in Schedule E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facsimile copy, when verbal communication of receipt is obtained or (iii) e-mail, when receipt is confirmed by telephone or by reply e-mail from the recipient, except that notices and communications pursuant to Article Two shall not be effective until received with respect to any notice sent by mail.</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Fourteen.03.  </w:t>
      </w:r>
      <w:r>
        <w:rPr>
          <w:rFonts w:ascii="Times New Roman" w:cs="Times New Roman" w:eastAsia="Times New Roman" w:hAnsi="Times New Roman"/>
          <w:sz w:val="19"/>
          <w:szCs w:val="19"/>
          <w:b w:val="1"/>
          <w:bCs w:val="1"/>
          <w:color w:val="000000"/>
        </w:rPr>
        <w:t>No Waiver, Rights and Remedies</w:t>
      </w:r>
    </w:p>
    <w:p>
      <w:pPr>
        <w:spacing w:after="0" w:line="204"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9"/>
          <w:szCs w:val="19"/>
          <w:color w:val="auto"/>
        </w:rPr>
        <w:t>No failure on the part of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8" w:name="page209"/>
    <w:bookmarkEnd w:id="208"/>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Fourteen.04.  </w:t>
      </w:r>
      <w:r>
        <w:rPr>
          <w:rFonts w:ascii="Times New Roman" w:cs="Times New Roman" w:eastAsia="Times New Roman" w:hAnsi="Times New Roman"/>
          <w:sz w:val="19"/>
          <w:szCs w:val="19"/>
          <w:b w:val="1"/>
          <w:bCs w:val="1"/>
          <w:color w:val="000000"/>
        </w:rPr>
        <w:t>Binding Effect</w:t>
      </w:r>
    </w:p>
    <w:p>
      <w:pPr>
        <w:spacing w:after="0" w:line="204" w:lineRule="exact"/>
        <w:rPr>
          <w:sz w:val="20"/>
          <w:szCs w:val="20"/>
          <w:color w:val="auto"/>
        </w:rPr>
      </w:pPr>
    </w:p>
    <w:p>
      <w:pPr>
        <w:ind w:right="400" w:firstLine="696"/>
        <w:spacing w:after="0" w:line="286" w:lineRule="auto"/>
        <w:rPr>
          <w:sz w:val="20"/>
          <w:szCs w:val="20"/>
          <w:color w:val="auto"/>
        </w:rPr>
      </w:pPr>
      <w:r>
        <w:rPr>
          <w:rFonts w:ascii="Times New Roman" w:cs="Times New Roman" w:eastAsia="Times New Roman" w:hAnsi="Times New Roman"/>
          <w:sz w:val="19"/>
          <w:szCs w:val="19"/>
          <w:color w:val="auto"/>
        </w:rPr>
        <w:t>This Agreement shall be binding upon and inure to the benefit of the Borrower, the Servicer, the Owner Trustee, the Paying Agent, the Custodian, the Secured Parties and their respective successors and permitted assigns.</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Fourteen.05.  </w:t>
      </w:r>
      <w:r>
        <w:rPr>
          <w:rFonts w:ascii="Times New Roman" w:cs="Times New Roman" w:eastAsia="Times New Roman" w:hAnsi="Times New Roman"/>
          <w:sz w:val="19"/>
          <w:szCs w:val="19"/>
          <w:b w:val="1"/>
          <w:bCs w:val="1"/>
          <w:color w:val="000000"/>
        </w:rPr>
        <w:t>Term of this Agreement</w:t>
      </w:r>
    </w:p>
    <w:p>
      <w:pPr>
        <w:spacing w:after="0" w:line="204"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Fourteen.06.  </w:t>
      </w:r>
      <w:r>
        <w:rPr>
          <w:rFonts w:ascii="Times New Roman" w:cs="Times New Roman" w:eastAsia="Times New Roman" w:hAnsi="Times New Roman"/>
          <w:sz w:val="19"/>
          <w:szCs w:val="19"/>
          <w:b w:val="1"/>
          <w:bCs w:val="1"/>
          <w:color w:val="000000"/>
        </w:rPr>
        <w:t>GOVERNING LAW; CONSENT TO JURISDICTION; WAIVER OF OBJECTION TO VENUE</w:t>
      </w:r>
    </w:p>
    <w:p>
      <w:pPr>
        <w:spacing w:after="0" w:line="202" w:lineRule="exact"/>
        <w:rPr>
          <w:sz w:val="20"/>
          <w:szCs w:val="20"/>
          <w:color w:val="auto"/>
        </w:rPr>
      </w:pPr>
    </w:p>
    <w:p>
      <w:pPr>
        <w:ind w:right="120" w:firstLine="696"/>
        <w:spacing w:after="0" w:line="231" w:lineRule="exact"/>
        <w:rPr>
          <w:sz w:val="20"/>
          <w:szCs w:val="20"/>
          <w:color w:val="auto"/>
        </w:rPr>
      </w:pPr>
      <w:r>
        <w:rPr>
          <w:rFonts w:ascii="Times New Roman" w:cs="Times New Roman" w:eastAsia="Times New Roman" w:hAnsi="Times New Roman"/>
          <w:sz w:val="19"/>
          <w:szCs w:val="19"/>
          <w:b w:val="1"/>
          <w:bCs w:val="1"/>
          <w:color w:val="auto"/>
        </w:rPr>
        <w:t>THIS AGREEMENT SHALL BE GOVERNED BY, AND CONSTRUED IN ACCORDANCE WITH, THE LAWS OF THE STATE OF NEW YORK WITHOUT REFERENCE TO ITS CONFLICTS OF LAW PROVISIONS (OTHER THAN § 5</w:t>
      </w:r>
      <w:r>
        <w:rPr>
          <w:rFonts w:ascii="MS PGothic" w:cs="MS PGothic" w:eastAsia="MS PGothic" w:hAnsi="MS PGothic"/>
          <w:sz w:val="19"/>
          <w:szCs w:val="19"/>
          <w:b w:val="1"/>
          <w:bCs w:val="1"/>
          <w:color w:val="auto"/>
        </w:rPr>
        <w:t>‑</w:t>
      </w:r>
      <w:r>
        <w:rPr>
          <w:rFonts w:ascii="Times New Roman" w:cs="Times New Roman" w:eastAsia="Times New Roman" w:hAnsi="Times New Roman"/>
          <w:sz w:val="19"/>
          <w:szCs w:val="19"/>
          <w:b w:val="1"/>
          <w:bCs w:val="1"/>
          <w:color w:val="auto"/>
        </w:rPr>
        <w:t>1401 AND § 5</w:t>
      </w:r>
      <w:r>
        <w:rPr>
          <w:rFonts w:ascii="MS PGothic" w:cs="MS PGothic" w:eastAsia="MS PGothic" w:hAnsi="MS PGothic"/>
          <w:sz w:val="19"/>
          <w:szCs w:val="19"/>
          <w:b w:val="1"/>
          <w:bCs w:val="1"/>
          <w:color w:val="auto"/>
        </w:rPr>
        <w:t>‑</w:t>
      </w:r>
      <w:r>
        <w:rPr>
          <w:rFonts w:ascii="Times New Roman" w:cs="Times New Roman" w:eastAsia="Times New Roman" w:hAnsi="Times New Roman"/>
          <w:sz w:val="19"/>
          <w:szCs w:val="19"/>
          <w:b w:val="1"/>
          <w:bCs w:val="1"/>
          <w:color w:val="auto"/>
        </w:rPr>
        <w:t>1402 OF THE NEW YORK GENERAL OBLIGATIONS LAW). EACH OF THE PARTIES HERETO HEREBY AGREES TO THE NON-EXCLUSIVE JURISDICTION OF ANY FEDERAL COURT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Fourteen.07.  </w:t>
      </w:r>
      <w:r>
        <w:rPr>
          <w:rFonts w:ascii="Times New Roman" w:cs="Times New Roman" w:eastAsia="Times New Roman" w:hAnsi="Times New Roman"/>
          <w:sz w:val="19"/>
          <w:szCs w:val="19"/>
          <w:b w:val="1"/>
          <w:bCs w:val="1"/>
          <w:color w:val="000000"/>
        </w:rPr>
        <w:t>WAIVER OF JURY TRIAL</w:t>
      </w:r>
    </w:p>
    <w:p>
      <w:pPr>
        <w:spacing w:after="0" w:line="202" w:lineRule="exact"/>
        <w:rPr>
          <w:sz w:val="20"/>
          <w:szCs w:val="20"/>
          <w:color w:val="auto"/>
        </w:rPr>
      </w:pPr>
    </w:p>
    <w:p>
      <w:pPr>
        <w:ind w:right="80" w:firstLine="696"/>
        <w:spacing w:after="0" w:line="258" w:lineRule="auto"/>
        <w:rPr>
          <w:sz w:val="20"/>
          <w:szCs w:val="20"/>
          <w:color w:val="auto"/>
        </w:rPr>
      </w:pPr>
      <w:r>
        <w:rPr>
          <w:rFonts w:ascii="Times New Roman" w:cs="Times New Roman" w:eastAsia="Times New Roman" w:hAnsi="Times New Roman"/>
          <w:sz w:val="19"/>
          <w:szCs w:val="19"/>
          <w:b w:val="1"/>
          <w:bCs w:val="1"/>
          <w:color w:val="auto"/>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Fourteen.08.  </w:t>
      </w:r>
      <w:r>
        <w:rPr>
          <w:rFonts w:ascii="Times New Roman" w:cs="Times New Roman" w:eastAsia="Times New Roman" w:hAnsi="Times New Roman"/>
          <w:sz w:val="19"/>
          <w:szCs w:val="19"/>
          <w:b w:val="1"/>
          <w:bCs w:val="1"/>
          <w:color w:val="000000"/>
        </w:rPr>
        <w:t>Costs and Expenses</w:t>
      </w:r>
    </w:p>
    <w:p>
      <w:pPr>
        <w:spacing w:after="0" w:line="204" w:lineRule="exact"/>
        <w:rPr>
          <w:sz w:val="20"/>
          <w:szCs w:val="20"/>
          <w:color w:val="auto"/>
        </w:rPr>
      </w:pPr>
    </w:p>
    <w:p>
      <w:pPr>
        <w:ind w:right="340" w:firstLine="702"/>
        <w:spacing w:after="0" w:line="262" w:lineRule="auto"/>
        <w:tabs>
          <w:tab w:leader="none" w:pos="957"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rights of indemnification granted to the Paying Agent, the Secured Parties and its or their Affiliates and officers, directors, employees and agents thereof under Article Ten, the Borrower agrees to pay on demand all reasonable costs and expenses of the Paying Agent and the Secured Parties incurred in connection with the administration (including periodic auditing), amendment or modification of, or any waiver or consent issued in connection with, this</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9" w:name="page210"/>
    <w:bookmarkEnd w:id="209"/>
    <w:p>
      <w:pPr>
        <w:spacing w:after="0" w:line="2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Agreement and the other documents to be delivered hereunder or in connection herewith, including, subject to any agreed upon cap between the Borrower and the Administrative Agent, the reasonable fees and out-of-pocket expenses of counsel for the Paying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 This Section 14.08 shall not apply with respect to Taxes other than any Taxes that represent losses, claims, damages, etc., arising from any non-Tax claim.</w:t>
      </w:r>
    </w:p>
    <w:p>
      <w:pPr>
        <w:spacing w:after="0" w:line="157" w:lineRule="exact"/>
        <w:rPr>
          <w:sz w:val="20"/>
          <w:szCs w:val="20"/>
          <w:color w:val="auto"/>
        </w:rPr>
      </w:pPr>
    </w:p>
    <w:p>
      <w:pPr>
        <w:ind w:firstLine="702"/>
        <w:spacing w:after="0" w:line="262" w:lineRule="auto"/>
        <w:tabs>
          <w:tab w:leader="none" w:pos="972" w:val="left"/>
        </w:tabs>
        <w:numPr>
          <w:ilvl w:val="0"/>
          <w:numId w:val="19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Borrower shall pay promptly on demand any stamp, sales, excise and other Taxes and fees payable or determined to be payable in connection with the execution, delivery, filing and recording of this Agreement, the other documents to be delivered hereunder or herewith and any agreement or other document providing liquidity support, credit enhancement or other similar support to a Secured Party in connection with this Agreement or the funding or maintenance of Loans hereunder.</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Fourteen.09.  </w:t>
      </w:r>
      <w:r>
        <w:rPr>
          <w:rFonts w:ascii="Times New Roman" w:cs="Times New Roman" w:eastAsia="Times New Roman" w:hAnsi="Times New Roman"/>
          <w:sz w:val="19"/>
          <w:szCs w:val="19"/>
          <w:b w:val="1"/>
          <w:bCs w:val="1"/>
          <w:color w:val="000000"/>
        </w:rPr>
        <w:t>No Insolvency Proceedings</w:t>
      </w:r>
    </w:p>
    <w:p>
      <w:pPr>
        <w:spacing w:after="0" w:line="204"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Notwithstanding any prior termination of this Agreement, no party to this Agreement shall, prior to the date which is one year and one day after the Facility Termination Date,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Fourteen.10.  </w:t>
      </w:r>
      <w:r>
        <w:rPr>
          <w:rFonts w:ascii="Times New Roman" w:cs="Times New Roman" w:eastAsia="Times New Roman" w:hAnsi="Times New Roman"/>
          <w:sz w:val="19"/>
          <w:szCs w:val="19"/>
          <w:b w:val="1"/>
          <w:bCs w:val="1"/>
          <w:color w:val="000000"/>
        </w:rPr>
        <w:t>Recourse Against Certain Parties</w:t>
      </w:r>
    </w:p>
    <w:p>
      <w:pPr>
        <w:spacing w:after="0" w:line="204" w:lineRule="exact"/>
        <w:rPr>
          <w:sz w:val="20"/>
          <w:szCs w:val="20"/>
          <w:color w:val="auto"/>
        </w:rPr>
      </w:pPr>
    </w:p>
    <w:p>
      <w:pPr>
        <w:ind w:right="60" w:firstLine="702"/>
        <w:spacing w:after="0" w:line="253" w:lineRule="auto"/>
        <w:tabs>
          <w:tab w:leader="none" w:pos="957"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recourse under or with respect to any obligation, covenant or agreement (including the payment of any fees or any other obligations) of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0" w:name="page211"/>
    <w:bookmarkEnd w:id="210"/>
    <w:p>
      <w:pPr>
        <w:spacing w:after="0" w:line="26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color w:val="auto"/>
        </w:rPr>
        <w:t>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 The provisions of this Section shall survive the termination of this Agreement.</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Fourteen.11.  </w:t>
      </w:r>
      <w:r>
        <w:rPr>
          <w:rFonts w:ascii="Times New Roman" w:cs="Times New Roman" w:eastAsia="Times New Roman" w:hAnsi="Times New Roman"/>
          <w:sz w:val="19"/>
          <w:szCs w:val="19"/>
          <w:b w:val="1"/>
          <w:bCs w:val="1"/>
          <w:color w:val="000000"/>
        </w:rPr>
        <w:t>Limitations on Consequential, Indirect and Certain Other Damages</w:t>
      </w:r>
    </w:p>
    <w:p>
      <w:pPr>
        <w:spacing w:after="0" w:line="204"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No claim can be made by the Borrower, the Servicer or any of their respective Affiliates against any Secured Party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the Servicer, to the extent permitted by Applicable Law, hereby waives, releases and agrees not to bring any such claim for any such damages, whether or not accrued and whether or not known or suspected to exist in its favor.</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Fourteen.12.  </w:t>
      </w:r>
      <w:r>
        <w:rPr>
          <w:rFonts w:ascii="Times New Roman" w:cs="Times New Roman" w:eastAsia="Times New Roman" w:hAnsi="Times New Roman"/>
          <w:sz w:val="19"/>
          <w:szCs w:val="19"/>
          <w:b w:val="1"/>
          <w:bCs w:val="1"/>
          <w:color w:val="000000"/>
        </w:rPr>
        <w:t>Patriot Act Compliance</w:t>
      </w:r>
    </w:p>
    <w:p>
      <w:pPr>
        <w:spacing w:after="0" w:line="204"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Each of the Administrative Agent and the Paying Agent hereby notifies the Borrower that pursuant to the requirements of the Patriot Act, it, and each other Secured Party, may be required to obtain, verify and record information that identifies each person or legal entity that establishes a relationship or opens an account with a Secured Party or the Paying Agent (including the Borrower), which information includes the name and address of such Person, organizational documentation, director and shareholder information, and other information that will allow the Paying Agent and each Secured Party to identify such Person in accordance with the Patriot Act. This notice is given in accordance with the requirements of the Patriot Act and is effective for each Secured Party and the Paying Agent.</w:t>
      </w:r>
    </w:p>
    <w:p>
      <w:pPr>
        <w:spacing w:after="0" w:line="157"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auto"/>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“AML Law”), the Paying Agent is required to obtain, verify, and record information relating to individuals and entities that establish a business relationship or open an account with the Paying Agent. Each party hereby agrees that it shall provide the Paying Agent with such identifying information and documentation as the Paying Agent may request from time to time in order to enable the Paying Agent to comply with all applicable requirements of AML Law.</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2F5496"/>
        </w:rPr>
        <w:t xml:space="preserve">Section Fourteen.13.  </w:t>
      </w:r>
      <w:r>
        <w:rPr>
          <w:rFonts w:ascii="Times New Roman" w:cs="Times New Roman" w:eastAsia="Times New Roman" w:hAnsi="Times New Roman"/>
          <w:sz w:val="19"/>
          <w:szCs w:val="19"/>
          <w:b w:val="1"/>
          <w:bCs w:val="1"/>
          <w:color w:val="000000"/>
        </w:rPr>
        <w:t>Execution in Counterparts; Severability; Integration</w:t>
      </w:r>
    </w:p>
    <w:p>
      <w:pPr>
        <w:spacing w:after="0" w:line="204"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auto"/>
        </w:rPr>
        <w:t>This Agreement may be executed in any number of counterparts and by different parties hereto in separate counterparts, each of which when so executed shall be deemed to be an original and all of which when taken together shall constitute one and the same agreement. This Agreement shall be valid, binding, and enforceable against a party only when executed and delivered by an authorized individual on behalf of the party by means of (i) any electronic signature permitted by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1" w:name="page212"/>
    <w:bookmarkEnd w:id="211"/>
    <w:p>
      <w:pPr>
        <w:spacing w:after="0" w:line="2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securities when required under any Signature Law due to the character or intended character of the writings.</w:t>
      </w:r>
    </w:p>
    <w:p>
      <w:pPr>
        <w:spacing w:after="0" w:line="158" w:lineRule="exact"/>
        <w:rPr>
          <w:sz w:val="20"/>
          <w:szCs w:val="20"/>
          <w:color w:val="auto"/>
        </w:rPr>
      </w:pPr>
    </w:p>
    <w:p>
      <w:pPr>
        <w:ind w:right="240" w:firstLine="696"/>
        <w:spacing w:after="0" w:line="263" w:lineRule="auto"/>
        <w:rPr>
          <w:sz w:val="20"/>
          <w:szCs w:val="20"/>
          <w:color w:val="auto"/>
        </w:rPr>
      </w:pPr>
      <w:r>
        <w:rPr>
          <w:rFonts w:ascii="Times New Roman" w:cs="Times New Roman" w:eastAsia="Times New Roman" w:hAnsi="Times New Roman"/>
          <w:sz w:val="19"/>
          <w:szCs w:val="19"/>
          <w:b w:val="1"/>
          <w:bCs w:val="1"/>
          <w:color w:val="2F5496"/>
        </w:rPr>
        <w:t xml:space="preserve">Section Fourteen.14. </w:t>
      </w:r>
      <w:r>
        <w:rPr>
          <w:rFonts w:ascii="Times New Roman" w:cs="Times New Roman" w:eastAsia="Times New Roman" w:hAnsi="Times New Roman"/>
          <w:sz w:val="19"/>
          <w:szCs w:val="19"/>
          <w:b w:val="1"/>
          <w:bCs w:val="1"/>
          <w:color w:val="000000"/>
        </w:rPr>
        <w:t>Limitation of Liability of Owner Trustee It is expressly understood and agreed by the parties</w:t>
      </w:r>
      <w:r>
        <w:rPr>
          <w:rFonts w:ascii="Times New Roman" w:cs="Times New Roman" w:eastAsia="Times New Roman" w:hAnsi="Times New Roman"/>
          <w:sz w:val="19"/>
          <w:szCs w:val="19"/>
          <w:b w:val="1"/>
          <w:bCs w:val="1"/>
          <w:color w:val="2F5496"/>
        </w:rPr>
        <w:t xml:space="preserve"> </w:t>
      </w:r>
      <w:r>
        <w:rPr>
          <w:rFonts w:ascii="Times New Roman" w:cs="Times New Roman" w:eastAsia="Times New Roman" w:hAnsi="Times New Roman"/>
          <w:sz w:val="19"/>
          <w:szCs w:val="19"/>
          <w:b w:val="1"/>
          <w:bCs w:val="1"/>
          <w:color w:val="000000"/>
        </w:rPr>
        <w:t xml:space="preserve">hereto that (i) this Agreement is executed and delivered by </w:t>
      </w:r>
      <w:r>
        <w:rPr>
          <w:rFonts w:ascii="Times New Roman" w:cs="Times New Roman" w:eastAsia="Times New Roman" w:hAnsi="Times New Roman"/>
          <w:sz w:val="19"/>
          <w:szCs w:val="19"/>
          <w:b w:val="1"/>
          <w:bCs w:val="1"/>
          <w:color w:val="222222"/>
        </w:rPr>
        <w:t>[***]</w:t>
      </w:r>
      <w:r>
        <w:rPr>
          <w:rFonts w:ascii="Times New Roman" w:cs="Times New Roman" w:eastAsia="Times New Roman" w:hAnsi="Times New Roman"/>
          <w:sz w:val="19"/>
          <w:szCs w:val="19"/>
          <w:b w:val="1"/>
          <w:bCs w:val="1"/>
          <w:color w:val="000000"/>
        </w:rPr>
        <w:t>,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w:t>
      </w:r>
    </w:p>
    <w:p>
      <w:pPr>
        <w:spacing w:after="0" w:line="3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covenants, undertakings and agreements by </w:t>
      </w:r>
      <w:r>
        <w:rPr>
          <w:rFonts w:ascii="Times New Roman" w:cs="Times New Roman" w:eastAsia="Times New Roman" w:hAnsi="Times New Roman"/>
          <w:sz w:val="19"/>
          <w:szCs w:val="19"/>
          <w:b w:val="1"/>
          <w:bCs w:val="1"/>
          <w:color w:val="222222"/>
        </w:rPr>
        <w:t>[***],</w:t>
      </w:r>
      <w:r>
        <w:rPr>
          <w:rFonts w:ascii="Times New Roman" w:cs="Times New Roman" w:eastAsia="Times New Roman" w:hAnsi="Times New Roman"/>
          <w:sz w:val="19"/>
          <w:szCs w:val="19"/>
          <w:b w:val="1"/>
          <w:bCs w:val="1"/>
          <w:color w:val="auto"/>
        </w:rPr>
        <w:t xml:space="preserve"> but is made and intended for the purpose for binding only the Borrower, (iii) nothing herein contained shall be construed as creating any liability on </w:t>
      </w:r>
      <w:r>
        <w:rPr>
          <w:rFonts w:ascii="Times New Roman" w:cs="Times New Roman" w:eastAsia="Times New Roman" w:hAnsi="Times New Roman"/>
          <w:sz w:val="19"/>
          <w:szCs w:val="19"/>
          <w:b w:val="1"/>
          <w:bCs w:val="1"/>
          <w:color w:val="222222"/>
        </w:rPr>
        <w:t>[***]</w:t>
      </w:r>
      <w:r>
        <w:rPr>
          <w:rFonts w:ascii="Times New Roman" w:cs="Times New Roman" w:eastAsia="Times New Roman" w:hAnsi="Times New Roman"/>
          <w:sz w:val="19"/>
          <w:szCs w:val="19"/>
          <w:b w:val="1"/>
          <w:bCs w:val="1"/>
          <w:color w:val="auto"/>
        </w:rPr>
        <w:t xml:space="preserve">, individually or personally, to perform any covenant either expressed or implied contained herein, all such liability, if any, being expressly waived by the parties hereto and by any Person claiming by, through or under the parties hereto, (iv) </w:t>
      </w:r>
      <w:r>
        <w:rPr>
          <w:rFonts w:ascii="Times New Roman" w:cs="Times New Roman" w:eastAsia="Times New Roman" w:hAnsi="Times New Roman"/>
          <w:sz w:val="19"/>
          <w:szCs w:val="19"/>
          <w:b w:val="1"/>
          <w:bCs w:val="1"/>
          <w:color w:val="222222"/>
        </w:rPr>
        <w:t>[***]</w:t>
      </w:r>
      <w:r>
        <w:rPr>
          <w:rFonts w:ascii="Times New Roman" w:cs="Times New Roman" w:eastAsia="Times New Roman" w:hAnsi="Times New Roman"/>
          <w:sz w:val="19"/>
          <w:szCs w:val="19"/>
          <w:b w:val="1"/>
          <w:bCs w:val="1"/>
          <w:color w:val="auto"/>
        </w:rPr>
        <w:t xml:space="preserve">, has made no investigation as to the accuracy or completeness of any representations and warranties made by the Borrower in this Agreement, and (v) under no circumstances shall </w:t>
      </w:r>
      <w:r>
        <w:rPr>
          <w:rFonts w:ascii="Times New Roman" w:cs="Times New Roman" w:eastAsia="Times New Roman" w:hAnsi="Times New Roman"/>
          <w:sz w:val="19"/>
          <w:szCs w:val="19"/>
          <w:b w:val="1"/>
          <w:bCs w:val="1"/>
          <w:color w:val="222222"/>
        </w:rPr>
        <w:t>[***]</w:t>
      </w:r>
      <w:r>
        <w:rPr>
          <w:rFonts w:ascii="Times New Roman" w:cs="Times New Roman" w:eastAsia="Times New Roman" w:hAnsi="Times New Roman"/>
          <w:sz w:val="19"/>
          <w:szCs w:val="19"/>
          <w:b w:val="1"/>
          <w:bCs w:val="1"/>
          <w:color w:val="auto"/>
        </w:rPr>
        <w:t>, be personally liable for the payment of any indebtedness or expenses of the Borrower or be liable for the breach or failure of any obligation, duty (including fiduciary duty, if any), representation, warranty or covenant made or undertaken by the Borrower under this Agreement or any other Basic Document.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2" w:name="page213"/>
    <w:bookmarkEnd w:id="212"/>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have caused this Agreement to be executed by their respective officers thereunto duly authorized, as of the date first above written.</w:t>
      </w: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4580" w:val="left"/>
        </w:tabs>
        <w:rPr>
          <w:sz w:val="20"/>
          <w:szCs w:val="20"/>
          <w:color w:val="auto"/>
        </w:rPr>
      </w:pPr>
      <w:r>
        <w:rPr>
          <w:rFonts w:ascii="Times New Roman" w:cs="Times New Roman" w:eastAsia="Times New Roman" w:hAnsi="Times New Roman"/>
          <w:sz w:val="19"/>
          <w:szCs w:val="19"/>
          <w:color w:val="auto"/>
        </w:rPr>
        <w:t>THE BORROWER:</w:t>
      </w:r>
      <w:r>
        <w:rPr>
          <w:sz w:val="20"/>
          <w:szCs w:val="20"/>
          <w:color w:val="auto"/>
        </w:rPr>
        <w:tab/>
      </w:r>
      <w:r>
        <w:rPr>
          <w:rFonts w:ascii="Times New Roman" w:cs="Times New Roman" w:eastAsia="Times New Roman" w:hAnsi="Times New Roman"/>
          <w:sz w:val="19"/>
          <w:szCs w:val="19"/>
          <w:color w:val="auto"/>
        </w:rPr>
        <w:t>VFS NEAR PRIME TRUST I</w:t>
      </w:r>
    </w:p>
    <w:p>
      <w:pPr>
        <w:spacing w:after="0" w:line="20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not in its individual capacity but solely as Owner Trustee</w:t>
      </w:r>
    </w:p>
    <w:p>
      <w:pPr>
        <w:spacing w:after="0" w:line="39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color w:val="222222"/>
        </w:rPr>
        <w:t>[***]</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 xml:space="preserve">Title: </w:t>
      </w:r>
      <w:r>
        <w:rPr>
          <w:rFonts w:ascii="Times New Roman" w:cs="Times New Roman" w:eastAsia="Times New Roman" w:hAnsi="Times New Roman"/>
          <w:sz w:val="19"/>
          <w:szCs w:val="19"/>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2205990</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0"/>
          </w:cols>
          <w:pgMar w:left="660" w:top="1440" w:right="960" w:bottom="1440" w:gutter="0" w:footer="0" w:header="0"/>
        </w:sectPr>
      </w:pPr>
    </w:p>
    <w:bookmarkStart w:id="213" w:name="page214"/>
    <w:bookmarkEnd w:id="213"/>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SERVICER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CUSTODIAN:</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2640"/>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450" w:lineRule="exact"/>
        <w:rPr>
          <w:sz w:val="20"/>
          <w:szCs w:val="20"/>
          <w:color w:val="auto"/>
        </w:rPr>
      </w:pPr>
    </w:p>
    <w:p>
      <w:pPr>
        <w:sectPr>
          <w:pgSz w:w="11900" w:h="16840" w:orient="portrait"/>
          <w:cols w:equalWidth="0" w:num="2">
            <w:col w:w="3660" w:space="720"/>
            <w:col w:w="6080"/>
          </w:cols>
          <w:pgMar w:left="760" w:top="1440" w:right="680" w:bottom="1440" w:gutter="0" w:footer="0" w:header="0"/>
        </w:sectPr>
      </w:pPr>
    </w:p>
    <w:p>
      <w:pPr>
        <w:spacing w:after="0" w:line="1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Name: Jonathan Sandison</w:t>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Title:  Chief Financial Officer</w:t>
      </w:r>
    </w:p>
    <w:p>
      <w:pPr>
        <w:sectPr>
          <w:pgSz w:w="11900" w:h="16840" w:orient="portrait"/>
          <w:cols w:equalWidth="0" w:num="1">
            <w:col w:w="10460"/>
          </w:cols>
          <w:pgMar w:left="760" w:top="1440" w:right="6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687070</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60" w:top="1440" w:right="680" w:bottom="1440" w:gutter="0" w:footer="0" w:header="0"/>
          <w:type w:val="continuous"/>
        </w:sectPr>
      </w:pPr>
    </w:p>
    <w:bookmarkStart w:id="214" w:name="page215"/>
    <w:bookmarkEnd w:id="214"/>
    <w:p>
      <w:pPr>
        <w:spacing w:after="0" w:line="293"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9"/>
          <w:szCs w:val="19"/>
          <w:color w:val="auto"/>
        </w:rPr>
        <w:t>THE PAYING AGENT:</w:t>
      </w:r>
      <w:r>
        <w:rPr>
          <w:sz w:val="20"/>
          <w:szCs w:val="20"/>
          <w:color w:val="auto"/>
        </w:rPr>
        <w:tab/>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000000"/>
        </w:rPr>
        <w:t>, as Paying Agent</w:t>
      </w:r>
    </w:p>
    <w:p>
      <w:pPr>
        <w:spacing w:after="0" w:line="200" w:lineRule="exact"/>
        <w:rPr>
          <w:sz w:val="20"/>
          <w:szCs w:val="20"/>
          <w:color w:val="auto"/>
        </w:rPr>
      </w:pPr>
    </w:p>
    <w:p>
      <w:pPr>
        <w:spacing w:after="0" w:line="3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color w:val="222222"/>
        </w:rPr>
        <w:t>[***]</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 xml:space="preserve">Title: </w:t>
      </w: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672465</wp:posOffset>
            </wp:positionV>
            <wp:extent cx="67329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60" w:top="1440" w:right="680" w:bottom="1440" w:gutter="0" w:footer="0" w:header="0"/>
        </w:sectPr>
      </w:pPr>
    </w:p>
    <w:bookmarkStart w:id="215" w:name="page216"/>
    <w:bookmarkEnd w:id="215"/>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ADMINISTRATIVE AGENT: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9"/>
          <w:szCs w:val="19"/>
          <w:color w:val="auto"/>
        </w:rPr>
        <w:t>FIFTH THIRD BANK, NATIONAL ASSOCIATION, as Administrative Agent</w:t>
      </w:r>
    </w:p>
    <w:p>
      <w:pPr>
        <w:spacing w:after="0" w:line="200" w:lineRule="exact"/>
        <w:rPr>
          <w:sz w:val="20"/>
          <w:szCs w:val="20"/>
          <w:color w:val="auto"/>
        </w:rPr>
      </w:pPr>
    </w:p>
    <w:p>
      <w:pPr>
        <w:sectPr>
          <w:pgSz w:w="11900" w:h="16840" w:orient="portrait"/>
          <w:cols w:equalWidth="0" w:num="2">
            <w:col w:w="3660" w:space="720"/>
            <w:col w:w="6080"/>
          </w:cols>
          <w:pgMar w:left="760" w:top="1440" w:right="680" w:bottom="1440" w:gutter="0" w:footer="0" w:header="0"/>
        </w:sectPr>
      </w:pPr>
    </w:p>
    <w:p>
      <w:pPr>
        <w:spacing w:after="0" w:line="3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Name: Steven J. Ellis</w:t>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Title: Managing Director</w:t>
      </w:r>
    </w:p>
    <w:p>
      <w:pPr>
        <w:sectPr>
          <w:pgSz w:w="11900" w:h="16840" w:orient="portrait"/>
          <w:cols w:equalWidth="0" w:num="1">
            <w:col w:w="10460"/>
          </w:cols>
          <w:pgMar w:left="760" w:top="1440" w:right="6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687070</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60" w:top="1440" w:right="680" w:bottom="1440" w:gutter="0" w:footer="0" w:header="0"/>
          <w:type w:val="continuous"/>
        </w:sectPr>
      </w:pPr>
    </w:p>
    <w:bookmarkStart w:id="216" w:name="page217"/>
    <w:bookmarkEnd w:id="216"/>
    <w:p>
      <w:pPr>
        <w:spacing w:after="0" w:line="293"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9"/>
          <w:szCs w:val="19"/>
          <w:color w:val="auto"/>
        </w:rPr>
        <w:t>LENDERS:</w:t>
      </w:r>
      <w:r>
        <w:rPr>
          <w:sz w:val="20"/>
          <w:szCs w:val="20"/>
          <w:color w:val="auto"/>
        </w:rPr>
        <w:tab/>
      </w: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3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color w:val="222222"/>
        </w:rPr>
        <w:t>[***]</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 xml:space="preserve">Title: </w:t>
      </w:r>
      <w:r>
        <w:rPr>
          <w:rFonts w:ascii="Times New Roman" w:cs="Times New Roman" w:eastAsia="Times New Roman" w:hAnsi="Times New Roman"/>
          <w:sz w:val="19"/>
          <w:szCs w:val="19"/>
          <w:color w:val="222222"/>
        </w:rPr>
        <w:t>[***]</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Commitment: $200,000,000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672465</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60" w:top="1440" w:right="680" w:bottom="1440" w:gutter="0" w:footer="0" w:header="0"/>
        </w:sectPr>
      </w:pPr>
    </w:p>
    <w:bookmarkStart w:id="217" w:name="page218"/>
    <w:bookmarkEnd w:id="217"/>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SCHEDULE A</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REPRESENTATIONS AND WARRANTIES REGARDING SECURITY INTEREST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Borrower represents and warrants, as of the Closing Date and as of each Funding Date:</w:t>
      </w:r>
    </w:p>
    <w:p>
      <w:pPr>
        <w:spacing w:after="0" w:line="202" w:lineRule="exact"/>
        <w:rPr>
          <w:sz w:val="20"/>
          <w:szCs w:val="20"/>
          <w:color w:val="auto"/>
        </w:rPr>
      </w:pPr>
    </w:p>
    <w:p>
      <w:pPr>
        <w:ind w:right="300" w:firstLine="746"/>
        <w:spacing w:after="0" w:line="268" w:lineRule="auto"/>
        <w:tabs>
          <w:tab w:leader="none" w:pos="973"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creates a valid and continuing security interest (as defined in the applicable UCC) in all Receivables in favor of the Administrative Agent, which security interest is prior to all other Liens (except Permitted Liens), and is enforceable as such against creditors of and purchasers from the Borrower;</w:t>
      </w:r>
    </w:p>
    <w:p>
      <w:pPr>
        <w:spacing w:after="0" w:line="144" w:lineRule="exact"/>
        <w:rPr>
          <w:rFonts w:ascii="Times New Roman" w:cs="Times New Roman" w:eastAsia="Times New Roman" w:hAnsi="Times New Roman"/>
          <w:sz w:val="19"/>
          <w:szCs w:val="19"/>
          <w:color w:val="auto"/>
        </w:rPr>
      </w:pPr>
    </w:p>
    <w:p>
      <w:pPr>
        <w:ind w:right="540" w:firstLine="746"/>
        <w:spacing w:after="0" w:line="286" w:lineRule="auto"/>
        <w:tabs>
          <w:tab w:leader="none" w:pos="1027"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taken all steps necessary to perfect its security interest against the Obligor in the property securing the Receivables;</w:t>
      </w:r>
    </w:p>
    <w:p>
      <w:pPr>
        <w:spacing w:after="0" w:line="127" w:lineRule="exact"/>
        <w:rPr>
          <w:rFonts w:ascii="Times New Roman" w:cs="Times New Roman" w:eastAsia="Times New Roman" w:hAnsi="Times New Roman"/>
          <w:sz w:val="19"/>
          <w:szCs w:val="19"/>
          <w:color w:val="auto"/>
        </w:rPr>
      </w:pPr>
    </w:p>
    <w:p>
      <w:pPr>
        <w:ind w:right="600" w:firstLine="746"/>
        <w:spacing w:after="0" w:line="286" w:lineRule="auto"/>
        <w:tabs>
          <w:tab w:leader="none" w:pos="10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Receivables constitute “tangible chattel paper” or “electronic chattel paper” within the meaning of the applicable UCC;</w:t>
      </w:r>
    </w:p>
    <w:p>
      <w:pPr>
        <w:spacing w:after="0" w:line="127" w:lineRule="exact"/>
        <w:rPr>
          <w:rFonts w:ascii="Times New Roman" w:cs="Times New Roman" w:eastAsia="Times New Roman" w:hAnsi="Times New Roman"/>
          <w:sz w:val="19"/>
          <w:szCs w:val="19"/>
          <w:color w:val="auto"/>
        </w:rPr>
      </w:pPr>
    </w:p>
    <w:p>
      <w:pPr>
        <w:ind w:right="260" w:firstLine="746"/>
        <w:spacing w:after="0" w:line="286" w:lineRule="auto"/>
        <w:tabs>
          <w:tab w:leader="none" w:pos="1069"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owns and has good and marketable title to the Receivables free and clear of any Lien (other than Permitted Liens), claim, or encumbrance of any Person;</w:t>
      </w:r>
    </w:p>
    <w:p>
      <w:pPr>
        <w:spacing w:after="0" w:line="127" w:lineRule="exact"/>
        <w:rPr>
          <w:rFonts w:ascii="Times New Roman" w:cs="Times New Roman" w:eastAsia="Times New Roman" w:hAnsi="Times New Roman"/>
          <w:sz w:val="19"/>
          <w:szCs w:val="19"/>
          <w:color w:val="auto"/>
        </w:rPr>
      </w:pPr>
    </w:p>
    <w:p>
      <w:pPr>
        <w:ind w:right="180" w:firstLine="746"/>
        <w:spacing w:after="0" w:line="268" w:lineRule="auto"/>
        <w:tabs>
          <w:tab w:leader="none" w:pos="1016"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caused or will have caused, within ten days after the Closing Date, the filing of all appropriate financing statements in the proper filing office in the appropriate jurisdictions under Applicable Law in order to perfect the security interest in the Collateral granted to the Administrative Agent hereunder;</w:t>
      </w:r>
    </w:p>
    <w:p>
      <w:pPr>
        <w:spacing w:after="0" w:line="144" w:lineRule="exact"/>
        <w:rPr>
          <w:rFonts w:ascii="Times New Roman" w:cs="Times New Roman" w:eastAsia="Times New Roman" w:hAnsi="Times New Roman"/>
          <w:sz w:val="19"/>
          <w:szCs w:val="19"/>
          <w:color w:val="auto"/>
        </w:rPr>
      </w:pPr>
    </w:p>
    <w:p>
      <w:pPr>
        <w:ind w:right="20" w:firstLine="746"/>
        <w:spacing w:after="0" w:line="258" w:lineRule="auto"/>
        <w:tabs>
          <w:tab w:leader="none" w:pos="1069"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the security interest granted to the Administrative Agent pursuant to this Agreement, the Borrower has not pledged, assigned, sold, granted a security interest in, or otherwise conveyed any of the Receivables. The Borrower has not authorized the filing of and is not aware of any financing statements against the Borrower that include a description of collateral covering the Receivables other than any financing statement relating to the security interest granted to the Administrative Agent hereunder or that has been terminated. The Borrower is not aware of any judgment or Tax Lien filings against the Borrower; and</w:t>
      </w:r>
    </w:p>
    <w:p>
      <w:pPr>
        <w:spacing w:after="0" w:line="386" w:lineRule="exact"/>
        <w:rPr>
          <w:rFonts w:ascii="Times New Roman" w:cs="Times New Roman" w:eastAsia="Times New Roman" w:hAnsi="Times New Roman"/>
          <w:sz w:val="19"/>
          <w:szCs w:val="19"/>
          <w:color w:val="auto"/>
        </w:rPr>
      </w:pPr>
    </w:p>
    <w:p>
      <w:pPr>
        <w:ind w:firstLine="746"/>
        <w:spacing w:after="0" w:line="255" w:lineRule="auto"/>
        <w:tabs>
          <w:tab w:leader="none" w:pos="1123"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has (x) in the case of Tangible Contract, in its possession or (y) in the case of an Electronic Contract, under its “control” for the benefit of the Administrative Agent (within the meaning of Section 9-105 of the UCC) all of the Contracts that constitute or evidence the Receivables. The Borrower has not communicated an Authoritative Copy of any Electronic Contract that constitutes or evidences any Receivable to any Person other than the Custodian on behalf of the Administrative Agent. The Tangible Contracts that constitute or evidence the Receivables do not have any marks or notations indicating that they have been pledged, assigned, or otherwise conveyed to any Person. The Electronic Contracts which constitute or evidence the Receivables contain the Required Legend. All financing statements filed or to be filed against the Borrower in favor of the Administrative Agent in connection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889635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18" w:name="page219"/>
    <w:bookmarkEnd w:id="218"/>
    <w:p>
      <w:pPr>
        <w:spacing w:after="0" w:line="2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describing the Receivables will contain a statement to the following effect: “A purchase of or security interest in any collateral described in this financing statement will violate the rights of the Administrative Agent.”</w:t>
      </w:r>
    </w:p>
    <w:p>
      <w:pPr>
        <w:spacing w:after="0" w:line="30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SA-136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20"/>
          </w:cols>
          <w:pgMar w:left="1360" w:top="1440" w:right="820" w:bottom="1440" w:gutter="0" w:footer="0" w:header="0"/>
        </w:sectPr>
      </w:pPr>
    </w:p>
    <w:bookmarkStart w:id="219" w:name="page220"/>
    <w:bookmarkEnd w:id="219"/>
    <w:p>
      <w:pPr>
        <w:spacing w:after="0" w:line="26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SCHEDULE B</w:t>
      </w:r>
    </w:p>
    <w:p>
      <w:pPr>
        <w:spacing w:after="0" w:line="3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ELIGIBLE RECEIVABLE CRITERIA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 “Eligible Receivable” means a Receivable as to which all of the following conditions are satisfied:</w:t>
      </w:r>
    </w:p>
    <w:p>
      <w:pPr>
        <w:spacing w:after="0" w:line="202" w:lineRule="exact"/>
        <w:rPr>
          <w:sz w:val="20"/>
          <w:szCs w:val="20"/>
          <w:color w:val="auto"/>
        </w:rPr>
      </w:pPr>
    </w:p>
    <w:p>
      <w:pPr>
        <w:ind w:right="340" w:firstLine="746"/>
        <w:spacing w:after="0" w:line="286" w:lineRule="auto"/>
        <w:tabs>
          <w:tab w:leader="none" w:pos="973"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payable in Dollars in the United States and with respect to which, at the time of origination, the related Obligor provided as its most recent billing address an address located in the United States or one of its territories;</w:t>
      </w:r>
    </w:p>
    <w:p>
      <w:pPr>
        <w:spacing w:after="0" w:line="127" w:lineRule="exact"/>
        <w:rPr>
          <w:rFonts w:ascii="Times New Roman" w:cs="Times New Roman" w:eastAsia="Times New Roman" w:hAnsi="Times New Roman"/>
          <w:sz w:val="19"/>
          <w:szCs w:val="19"/>
          <w:color w:val="auto"/>
        </w:rPr>
      </w:pPr>
    </w:p>
    <w:p>
      <w:pPr>
        <w:ind w:right="140" w:firstLine="746"/>
        <w:spacing w:after="0" w:line="286" w:lineRule="auto"/>
        <w:tabs>
          <w:tab w:leader="none" w:pos="1027"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related Obligor is not an Affiliate of the Originator, the U.S. government or any State or any agency, department or instrumentality of the U.S. government or any State or other Governmental Authority;</w:t>
      </w:r>
    </w:p>
    <w:p>
      <w:pPr>
        <w:spacing w:after="0" w:line="127" w:lineRule="exact"/>
        <w:rPr>
          <w:rFonts w:ascii="Times New Roman" w:cs="Times New Roman" w:eastAsia="Times New Roman" w:hAnsi="Times New Roman"/>
          <w:sz w:val="19"/>
          <w:szCs w:val="19"/>
          <w:color w:val="auto"/>
        </w:rPr>
      </w:pPr>
    </w:p>
    <w:p>
      <w:pPr>
        <w:ind w:left="1080" w:hanging="334"/>
        <w:spacing w:after="0"/>
        <w:tabs>
          <w:tab w:leader="none" w:pos="108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either a Near-Prime Receivable or a Non-Prime Receivable;</w:t>
      </w:r>
    </w:p>
    <w:p>
      <w:pPr>
        <w:spacing w:after="0" w:line="201" w:lineRule="exact"/>
        <w:rPr>
          <w:rFonts w:ascii="Times New Roman" w:cs="Times New Roman" w:eastAsia="Times New Roman" w:hAnsi="Times New Roman"/>
          <w:sz w:val="19"/>
          <w:szCs w:val="19"/>
          <w:color w:val="auto"/>
        </w:rPr>
      </w:pPr>
    </w:p>
    <w:p>
      <w:pPr>
        <w:ind w:right="440" w:firstLine="746"/>
        <w:spacing w:after="0" w:line="286" w:lineRule="auto"/>
        <w:tabs>
          <w:tab w:leader="none" w:pos="1069"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which the related Obligor is required to make payments to the Post Office Boxes or the Lockbox Account under the control of the Servicer and subject to the Intercreditor Agreement;</w:t>
      </w:r>
    </w:p>
    <w:p>
      <w:pPr>
        <w:spacing w:after="0" w:line="127" w:lineRule="exact"/>
        <w:rPr>
          <w:rFonts w:ascii="Times New Roman" w:cs="Times New Roman" w:eastAsia="Times New Roman" w:hAnsi="Times New Roman"/>
          <w:sz w:val="19"/>
          <w:szCs w:val="19"/>
          <w:color w:val="auto"/>
        </w:rPr>
      </w:pPr>
    </w:p>
    <w:p>
      <w:pPr>
        <w:ind w:right="80" w:firstLine="746"/>
        <w:spacing w:after="0" w:line="262" w:lineRule="auto"/>
        <w:tabs>
          <w:tab w:leader="none" w:pos="1016"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which had a first Scheduled Payment due no more than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spacing w:after="0" w:line="150" w:lineRule="exact"/>
        <w:rPr>
          <w:rFonts w:ascii="Times New Roman" w:cs="Times New Roman" w:eastAsia="Times New Roman" w:hAnsi="Times New Roman"/>
          <w:sz w:val="19"/>
          <w:szCs w:val="19"/>
          <w:color w:val="auto"/>
        </w:rPr>
      </w:pPr>
    </w:p>
    <w:p>
      <w:pPr>
        <w:ind w:left="1080" w:hanging="334"/>
        <w:spacing w:after="0"/>
        <w:tabs>
          <w:tab w:leader="none" w:pos="108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not a Defaulted Receivable as of its related Cutoff Date;</w:t>
      </w:r>
    </w:p>
    <w:p>
      <w:pPr>
        <w:spacing w:after="0" w:line="201" w:lineRule="exact"/>
        <w:rPr>
          <w:rFonts w:ascii="Times New Roman" w:cs="Times New Roman" w:eastAsia="Times New Roman" w:hAnsi="Times New Roman"/>
          <w:sz w:val="19"/>
          <w:szCs w:val="19"/>
          <w:color w:val="auto"/>
        </w:rPr>
      </w:pPr>
    </w:p>
    <w:p>
      <w:pPr>
        <w:ind w:left="1120" w:hanging="374"/>
        <w:spacing w:after="0"/>
        <w:tabs>
          <w:tab w:leader="none" w:pos="112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not a Delinquent Receivable as of its related Cutoff Date;</w:t>
      </w:r>
    </w:p>
    <w:p>
      <w:pPr>
        <w:spacing w:after="0" w:line="201" w:lineRule="exact"/>
        <w:rPr>
          <w:rFonts w:ascii="Times New Roman" w:cs="Times New Roman" w:eastAsia="Times New Roman" w:hAnsi="Times New Roman"/>
          <w:sz w:val="19"/>
          <w:szCs w:val="19"/>
          <w:color w:val="auto"/>
        </w:rPr>
      </w:pPr>
    </w:p>
    <w:p>
      <w:pPr>
        <w:ind w:right="60" w:firstLine="746"/>
        <w:spacing w:after="0" w:line="259" w:lineRule="auto"/>
        <w:tabs>
          <w:tab w:leader="none" w:pos="1176"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was originated in the United States by the Originator or a Dealer pursuant to a Dealer Agreement and then sold to the Originator in the ordinary course of the Originator’s business pursuant to a transaction constituting a bona fide sale, which was created as a result of an advance by such Dealer or Originator, as applicable, in the ordinary course of its business, directly to or for the benefit of an Obligor for the purchase of the Financed Vehicle and which, to the best of the Borrower’s knowledge, was originated without fraud or misrepresentation;</w:t>
      </w:r>
    </w:p>
    <w:p>
      <w:pPr>
        <w:spacing w:after="0" w:line="153" w:lineRule="exact"/>
        <w:rPr>
          <w:rFonts w:ascii="Times New Roman" w:cs="Times New Roman" w:eastAsia="Times New Roman" w:hAnsi="Times New Roman"/>
          <w:sz w:val="19"/>
          <w:szCs w:val="19"/>
          <w:color w:val="auto"/>
        </w:rPr>
      </w:pPr>
    </w:p>
    <w:p>
      <w:pPr>
        <w:ind w:firstLine="746"/>
        <w:spacing w:after="0" w:line="262" w:lineRule="auto"/>
        <w:tabs>
          <w:tab w:leader="none" w:pos="1069"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which the related Contract satisfies in all material respects the requirements of the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in effect as of the related Cutoff Date and as of the related Funding Date, was underwritten by the Originator in accordance with the</w:t>
      </w:r>
    </w:p>
    <w:p>
      <w:pPr>
        <w:spacing w:after="0" w:line="1" w:lineRule="exact"/>
        <w:rPr>
          <w:rFonts w:ascii="Times New Roman" w:cs="Times New Roman" w:eastAsia="Times New Roman" w:hAnsi="Times New Roman"/>
          <w:sz w:val="19"/>
          <w:szCs w:val="19"/>
          <w:color w:val="auto"/>
        </w:rPr>
      </w:pPr>
    </w:p>
    <w:p>
      <w:pPr>
        <w:ind w:right="260" w:firstLine="2"/>
        <w:spacing w:after="0" w:line="262" w:lineRule="auto"/>
        <w:tabs>
          <w:tab w:leader="none" w:pos="468" w:val="left"/>
        </w:tabs>
        <w:numPr>
          <w:ilvl w:val="0"/>
          <w:numId w:val="198"/>
        </w:numPr>
        <w:rPr>
          <w:rFonts w:ascii="Times New Roman" w:cs="Times New Roman" w:eastAsia="Times New Roman" w:hAnsi="Times New Roman"/>
          <w:sz w:val="19"/>
          <w:szCs w:val="19"/>
          <w:color w:val="222222"/>
        </w:rPr>
      </w:pPr>
      <w:r>
        <w:rPr>
          <w:rFonts w:ascii="Times New Roman" w:cs="Times New Roman" w:eastAsia="Times New Roman" w:hAnsi="Times New Roman"/>
          <w:sz w:val="19"/>
          <w:szCs w:val="19"/>
          <w:color w:val="auto"/>
        </w:rPr>
        <w:t>which shall have complied with, at the time of its origination, and shall remain in compliance with, all Requirements of Law, including all consumer protection laws;</w:t>
      </w:r>
    </w:p>
    <w:p>
      <w:pPr>
        <w:spacing w:after="0" w:line="149" w:lineRule="exact"/>
        <w:rPr>
          <w:rFonts w:ascii="Times New Roman" w:cs="Times New Roman" w:eastAsia="Times New Roman" w:hAnsi="Times New Roman"/>
          <w:sz w:val="19"/>
          <w:szCs w:val="19"/>
          <w:color w:val="222222"/>
        </w:rPr>
      </w:pPr>
    </w:p>
    <w:p>
      <w:pPr>
        <w:ind w:right="680" w:firstLine="746"/>
        <w:spacing w:after="0" w:line="286" w:lineRule="auto"/>
        <w:tabs>
          <w:tab w:leader="none" w:pos="1016"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which the Borrower has good and marketable title thereto and as to which there is no Lien (other than Permitted Liens) against the related Financed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869315</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220" w:name="page221"/>
    <w:bookmarkEnd w:id="220"/>
    <w:p>
      <w:pPr>
        <w:spacing w:after="0" w:line="26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color w:val="auto"/>
        </w:rPr>
        <w:t>and as to which at any time, the Administrative Agent, for the benefit of the Secured Parties, shall have a valid and perfected first priority security interest, free and clear of all Liens (other than Permitted Liens) and rights of others;</w:t>
      </w:r>
    </w:p>
    <w:p>
      <w:pPr>
        <w:spacing w:after="0" w:line="127" w:lineRule="exact"/>
        <w:rPr>
          <w:sz w:val="20"/>
          <w:szCs w:val="20"/>
          <w:color w:val="auto"/>
        </w:rPr>
      </w:pPr>
    </w:p>
    <w:p>
      <w:pPr>
        <w:ind w:right="360" w:firstLine="746"/>
        <w:spacing w:after="0" w:line="268" w:lineRule="auto"/>
        <w:tabs>
          <w:tab w:leader="none" w:pos="1069"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w:t>
      </w:r>
    </w:p>
    <w:p>
      <w:pPr>
        <w:spacing w:after="0" w:line="144" w:lineRule="exact"/>
        <w:rPr>
          <w:rFonts w:ascii="Times New Roman" w:cs="Times New Roman" w:eastAsia="Times New Roman" w:hAnsi="Times New Roman"/>
          <w:sz w:val="19"/>
          <w:szCs w:val="19"/>
          <w:color w:val="auto"/>
        </w:rPr>
      </w:pPr>
    </w:p>
    <w:p>
      <w:pPr>
        <w:ind w:right="120" w:firstLine="746"/>
        <w:spacing w:after="0" w:line="286" w:lineRule="auto"/>
        <w:tabs>
          <w:tab w:leader="none" w:pos="1123"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provides for, in the event that such Receivable is prepaid by the Obligor, a prepayment that fully pays the Principal Balance of such Receivable and any interest accrued at the related APR through the date of prepayment;</w:t>
      </w:r>
    </w:p>
    <w:p>
      <w:pPr>
        <w:spacing w:after="0" w:line="127" w:lineRule="exact"/>
        <w:rPr>
          <w:rFonts w:ascii="Times New Roman" w:cs="Times New Roman" w:eastAsia="Times New Roman" w:hAnsi="Times New Roman"/>
          <w:sz w:val="19"/>
          <w:szCs w:val="19"/>
          <w:color w:val="auto"/>
        </w:rPr>
      </w:pPr>
    </w:p>
    <w:p>
      <w:pPr>
        <w:ind w:right="180" w:firstLine="746"/>
        <w:spacing w:after="0" w:line="256" w:lineRule="auto"/>
        <w:tabs>
          <w:tab w:leader="none" w:pos="1176"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has either (A) it has been originated by a Dealer approved by the Originator in the United States in the ordinary course of such Dealer’s business to finance the retail sale by such Dealer of the related Finance Vehicle and has been purchased by the Originator in the ordinary course of its respective business pursuant to a Dealer Agreement or (B) has been originated in the United States by the Originator in accordance with its customary practices, and sold to the Borrower by the Originator pursuant to the Purchase Agreement; provided that, in the case of (A) and (B) at the time of such origination the Dealer or the Originator, as applicable, had all necessary licenses and permits to originate such Receivable in the State where such Dealer or the Originator, as the case may be, was located;</w:t>
      </w:r>
    </w:p>
    <w:p>
      <w:pPr>
        <w:spacing w:after="0" w:line="157" w:lineRule="exact"/>
        <w:rPr>
          <w:rFonts w:ascii="Times New Roman" w:cs="Times New Roman" w:eastAsia="Times New Roman" w:hAnsi="Times New Roman"/>
          <w:sz w:val="19"/>
          <w:szCs w:val="19"/>
          <w:color w:val="auto"/>
        </w:rPr>
      </w:pPr>
    </w:p>
    <w:p>
      <w:pPr>
        <w:ind w:right="140" w:firstLine="746"/>
        <w:spacing w:after="0" w:line="262" w:lineRule="auto"/>
        <w:tabs>
          <w:tab w:leader="none" w:pos="1165"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a commercial vehicle weighing over two tons, designated for racing, modified for use as a public delivery vehicle or any other commercial use.</w:t>
      </w:r>
    </w:p>
    <w:p>
      <w:pPr>
        <w:spacing w:after="0" w:line="150" w:lineRule="exact"/>
        <w:rPr>
          <w:rFonts w:ascii="Times New Roman" w:cs="Times New Roman" w:eastAsia="Times New Roman" w:hAnsi="Times New Roman"/>
          <w:sz w:val="19"/>
          <w:szCs w:val="19"/>
          <w:color w:val="auto"/>
        </w:rPr>
      </w:pPr>
    </w:p>
    <w:p>
      <w:pPr>
        <w:ind w:firstLine="746"/>
        <w:spacing w:after="0" w:line="268" w:lineRule="auto"/>
        <w:tabs>
          <w:tab w:leader="none" w:pos="1112"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spacing w:after="0" w:line="144" w:lineRule="exact"/>
        <w:rPr>
          <w:rFonts w:ascii="Times New Roman" w:cs="Times New Roman" w:eastAsia="Times New Roman" w:hAnsi="Times New Roman"/>
          <w:sz w:val="19"/>
          <w:szCs w:val="19"/>
          <w:color w:val="auto"/>
        </w:rPr>
      </w:pPr>
    </w:p>
    <w:p>
      <w:pPr>
        <w:ind w:right="20" w:firstLine="746"/>
        <w:spacing w:after="0" w:line="268" w:lineRule="auto"/>
        <w:tabs>
          <w:tab w:leader="none" w:pos="1165"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spacing w:after="0" w:line="144" w:lineRule="exact"/>
        <w:rPr>
          <w:rFonts w:ascii="Times New Roman" w:cs="Times New Roman" w:eastAsia="Times New Roman" w:hAnsi="Times New Roman"/>
          <w:sz w:val="19"/>
          <w:szCs w:val="19"/>
          <w:color w:val="auto"/>
        </w:rPr>
      </w:pPr>
    </w:p>
    <w:p>
      <w:pPr>
        <w:ind w:right="40" w:firstLine="746"/>
        <w:spacing w:after="0" w:line="262" w:lineRule="auto"/>
        <w:tabs>
          <w:tab w:leader="none" w:pos="1219"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w:t>
      </w:r>
    </w:p>
    <w:p>
      <w:pPr>
        <w:spacing w:after="0" w:line="1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SB-138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21" w:name="page222"/>
    <w:bookmarkEnd w:id="22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Originator or the Borrower had done anything to impair the rights of the Secured Parties therein;</w:t>
      </w:r>
    </w:p>
    <w:p>
      <w:pPr>
        <w:spacing w:after="0" w:line="202" w:lineRule="exact"/>
        <w:rPr>
          <w:sz w:val="20"/>
          <w:szCs w:val="20"/>
          <w:color w:val="auto"/>
        </w:rPr>
      </w:pPr>
    </w:p>
    <w:p>
      <w:pPr>
        <w:ind w:right="80" w:firstLine="746"/>
        <w:spacing w:after="0" w:line="259" w:lineRule="auto"/>
        <w:tabs>
          <w:tab w:leader="none" w:pos="1272"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spacing w:after="0" w:line="153" w:lineRule="exact"/>
        <w:rPr>
          <w:rFonts w:ascii="Times New Roman" w:cs="Times New Roman" w:eastAsia="Times New Roman" w:hAnsi="Times New Roman"/>
          <w:sz w:val="19"/>
          <w:szCs w:val="19"/>
          <w:color w:val="auto"/>
        </w:rPr>
      </w:pPr>
    </w:p>
    <w:p>
      <w:pPr>
        <w:ind w:firstLine="746"/>
        <w:spacing w:after="0" w:line="262" w:lineRule="auto"/>
        <w:tabs>
          <w:tab w:leader="none" w:pos="1165"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spacing w:after="0" w:line="150" w:lineRule="exact"/>
        <w:rPr>
          <w:rFonts w:ascii="Times New Roman" w:cs="Times New Roman" w:eastAsia="Times New Roman" w:hAnsi="Times New Roman"/>
          <w:sz w:val="19"/>
          <w:szCs w:val="19"/>
          <w:color w:val="auto"/>
        </w:rPr>
      </w:pPr>
    </w:p>
    <w:p>
      <w:pPr>
        <w:ind w:right="40" w:firstLine="746"/>
        <w:spacing w:after="0" w:line="257" w:lineRule="auto"/>
        <w:tabs>
          <w:tab w:leader="none" w:pos="1112"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which, subject to criteria (xxiv) below,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right="80" w:firstLine="746"/>
        <w:spacing w:after="0" w:line="257" w:lineRule="auto"/>
        <w:tabs>
          <w:tab w:leader="none" w:pos="1165"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related Financed Vehicle is required by the terms of the related Contract to be covered by an individual physical damage insurance policy in at least the minimum amount required by applicable State law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spacing w:after="0" w:line="156" w:lineRule="exact"/>
        <w:rPr>
          <w:rFonts w:ascii="Times New Roman" w:cs="Times New Roman" w:eastAsia="Times New Roman" w:hAnsi="Times New Roman"/>
          <w:sz w:val="19"/>
          <w:szCs w:val="19"/>
          <w:color w:val="auto"/>
        </w:rPr>
      </w:pPr>
    </w:p>
    <w:p>
      <w:pPr>
        <w:ind w:right="160" w:firstLine="746"/>
        <w:spacing w:after="0" w:line="286" w:lineRule="auto"/>
        <w:tabs>
          <w:tab w:leader="none" w:pos="1219"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constitutes “tangible chattel paper” or “electronic chattel paper” under and as defined in Article 9 of the UCC as then in effect in the UCC;</w:t>
      </w:r>
    </w:p>
    <w:p>
      <w:pPr>
        <w:spacing w:after="0" w:line="127" w:lineRule="exact"/>
        <w:rPr>
          <w:rFonts w:ascii="Times New Roman" w:cs="Times New Roman" w:eastAsia="Times New Roman" w:hAnsi="Times New Roman"/>
          <w:sz w:val="19"/>
          <w:szCs w:val="19"/>
          <w:color w:val="auto"/>
        </w:rPr>
      </w:pPr>
    </w:p>
    <w:p>
      <w:pPr>
        <w:ind w:right="60" w:firstLine="746"/>
        <w:spacing w:after="0" w:line="268" w:lineRule="auto"/>
        <w:tabs>
          <w:tab w:leader="none" w:pos="1272"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which (x) in the case of a Tangible Contract, there is only one original executed copy, and (y) in the case of an Electronic Contract, there is only one Authoritative Copy and any perceivable rendering of such Authoritative Copy bears the Required Legend;</w:t>
      </w:r>
    </w:p>
    <w:p>
      <w:pPr>
        <w:spacing w:after="0" w:line="144" w:lineRule="exact"/>
        <w:rPr>
          <w:rFonts w:ascii="Times New Roman" w:cs="Times New Roman" w:eastAsia="Times New Roman" w:hAnsi="Times New Roman"/>
          <w:sz w:val="19"/>
          <w:szCs w:val="19"/>
          <w:color w:val="auto"/>
        </w:rPr>
      </w:pPr>
    </w:p>
    <w:p>
      <w:pPr>
        <w:jc w:val="both"/>
        <w:ind w:right="20" w:firstLine="746"/>
        <w:spacing w:after="0" w:line="262" w:lineRule="auto"/>
        <w:tabs>
          <w:tab w:leader="none" w:pos="1261"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which (x) in the case of a Tangible Contract, has been manually or electronically signed by the Obligor in the appropriate spaces, (y) in the case of an Electronic Contract, has been electronically signed through the DocuSign System or</w:t>
      </w:r>
    </w:p>
    <w:p>
      <w:pPr>
        <w:spacing w:after="0" w:line="1" w:lineRule="exact"/>
        <w:rPr>
          <w:rFonts w:ascii="Times New Roman" w:cs="Times New Roman" w:eastAsia="Times New Roman" w:hAnsi="Times New Roman"/>
          <w:sz w:val="19"/>
          <w:szCs w:val="19"/>
          <w:color w:val="auto"/>
        </w:rPr>
      </w:pPr>
    </w:p>
    <w:p>
      <w:pPr>
        <w:ind w:right="980" w:firstLine="2"/>
        <w:spacing w:after="0" w:line="262" w:lineRule="auto"/>
        <w:tabs>
          <w:tab w:leader="none" w:pos="468" w:val="left"/>
        </w:tabs>
        <w:numPr>
          <w:ilvl w:val="0"/>
          <w:numId w:val="201"/>
        </w:numPr>
        <w:rPr>
          <w:rFonts w:ascii="Times New Roman" w:cs="Times New Roman" w:eastAsia="Times New Roman" w:hAnsi="Times New Roman"/>
          <w:sz w:val="19"/>
          <w:szCs w:val="19"/>
          <w:color w:val="222222"/>
        </w:rPr>
      </w:pPr>
      <w:r>
        <w:rPr>
          <w:rFonts w:ascii="Times New Roman" w:cs="Times New Roman" w:eastAsia="Times New Roman" w:hAnsi="Times New Roman"/>
          <w:sz w:val="19"/>
          <w:szCs w:val="19"/>
          <w:color w:val="auto"/>
        </w:rPr>
        <w:t>by the Obligor in the appropriate spaces and (z) in the case of a Contract which has been Exported, contains a representation of the electronic signature of the Obligor in the</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SB-139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22" w:name="page223"/>
    <w:bookmarkEnd w:id="222"/>
    <w:p>
      <w:pPr>
        <w:spacing w:after="0" w:line="26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9"/>
          <w:szCs w:val="19"/>
          <w:color w:val="auto"/>
        </w:rPr>
        <w:t>appropriate spaces and the document history includes the date and time such signatures were obtained; and, in each case, all blanks that are required to be filled in have been properly filled in;</w:t>
      </w:r>
    </w:p>
    <w:p>
      <w:pPr>
        <w:spacing w:after="0" w:line="127" w:lineRule="exact"/>
        <w:rPr>
          <w:sz w:val="20"/>
          <w:szCs w:val="20"/>
          <w:color w:val="auto"/>
        </w:rPr>
      </w:pPr>
    </w:p>
    <w:p>
      <w:pPr>
        <w:ind w:right="20" w:firstLine="746"/>
        <w:spacing w:after="0" w:line="258" w:lineRule="auto"/>
        <w:tabs>
          <w:tab w:leader="none" w:pos="1208"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to which the Custodian or the Title Administrator within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days following the date of origination of the Contract has possession of, for the benefit of the Secured Parties, the original Certificate of Title, evidence of the electronic Certificate of Title or the application for a Certificate of Title (which the Custodian or the Title Administrator will obtain within</w:t>
      </w:r>
    </w:p>
    <w:p>
      <w:pPr>
        <w:spacing w:after="0" w:line="1" w:lineRule="exact"/>
        <w:rPr>
          <w:rFonts w:ascii="Times New Roman" w:cs="Times New Roman" w:eastAsia="Times New Roman" w:hAnsi="Times New Roman"/>
          <w:sz w:val="19"/>
          <w:szCs w:val="19"/>
          <w:color w:val="auto"/>
        </w:rPr>
      </w:pPr>
    </w:p>
    <w:p>
      <w:pPr>
        <w:ind w:left="480" w:hanging="478"/>
        <w:spacing w:after="0"/>
        <w:tabs>
          <w:tab w:leader="none" w:pos="480" w:val="left"/>
        </w:tabs>
        <w:numPr>
          <w:ilvl w:val="0"/>
          <w:numId w:val="202"/>
        </w:numPr>
        <w:rPr>
          <w:rFonts w:ascii="Times New Roman" w:cs="Times New Roman" w:eastAsia="Times New Roman" w:hAnsi="Times New Roman"/>
          <w:sz w:val="19"/>
          <w:szCs w:val="19"/>
          <w:color w:val="222222"/>
        </w:rPr>
      </w:pPr>
      <w:r>
        <w:rPr>
          <w:rFonts w:ascii="Times New Roman" w:cs="Times New Roman" w:eastAsia="Times New Roman" w:hAnsi="Times New Roman"/>
          <w:sz w:val="19"/>
          <w:szCs w:val="19"/>
          <w:color w:val="auto"/>
        </w:rPr>
        <w:t>days of the related Cutoff Date);</w:t>
      </w:r>
    </w:p>
    <w:p>
      <w:pPr>
        <w:spacing w:after="0" w:line="179" w:lineRule="exact"/>
        <w:rPr>
          <w:rFonts w:ascii="Times New Roman" w:cs="Times New Roman" w:eastAsia="Times New Roman" w:hAnsi="Times New Roman"/>
          <w:sz w:val="19"/>
          <w:szCs w:val="19"/>
          <w:color w:val="222222"/>
        </w:rPr>
      </w:pPr>
    </w:p>
    <w:p>
      <w:pPr>
        <w:ind w:right="140" w:firstLine="746"/>
        <w:spacing w:after="0" w:line="268" w:lineRule="auto"/>
        <w:tabs>
          <w:tab w:leader="none" w:pos="1261"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Contract evidencing such Receivable, including the description of the motor vehicle and/or services contained therein, is in all respects complete, accurate and represents the entire agreement between the Originator and the Obligor;</w:t>
      </w:r>
    </w:p>
    <w:p>
      <w:pPr>
        <w:spacing w:after="0" w:line="144" w:lineRule="exact"/>
        <w:rPr>
          <w:rFonts w:ascii="Times New Roman" w:cs="Times New Roman" w:eastAsia="Times New Roman" w:hAnsi="Times New Roman"/>
          <w:sz w:val="19"/>
          <w:szCs w:val="19"/>
          <w:color w:val="auto"/>
        </w:rPr>
      </w:pPr>
    </w:p>
    <w:p>
      <w:pPr>
        <w:ind w:right="100" w:firstLine="746"/>
        <w:spacing w:after="0" w:line="262" w:lineRule="auto"/>
        <w:tabs>
          <w:tab w:leader="none" w:pos="1315"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related Receivable File is in the possession or “control” (within the meaning of Section 9-105 of the UCC) of the Custodian, and the Custodian has issued a Receivable Receipt to the Administrative Agent acknowledging that such Receivable File is in the Custodian’s possession or “control” (within the meaning of Section 9-105 of the UCC); and</w:t>
      </w:r>
    </w:p>
    <w:p>
      <w:pPr>
        <w:spacing w:after="0" w:line="150" w:lineRule="exact"/>
        <w:rPr>
          <w:rFonts w:ascii="Times New Roman" w:cs="Times New Roman" w:eastAsia="Times New Roman" w:hAnsi="Times New Roman"/>
          <w:sz w:val="19"/>
          <w:szCs w:val="19"/>
          <w:color w:val="auto"/>
        </w:rPr>
      </w:pPr>
    </w:p>
    <w:p>
      <w:pPr>
        <w:ind w:firstLine="746"/>
        <w:spacing w:after="0" w:line="252" w:lineRule="auto"/>
        <w:tabs>
          <w:tab w:leader="none" w:pos="1368"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with respect to each Electronic Contract other than a Paper-In Contract, (a) such Contract was originally originated as an Electronic Contract and has not at any time been a Tangible Contract, (b) the E-Vault System (including the back-up system) is fully operational and is being maintained in accordance with the System Description, and the Custodian has access to the Warehouse Vault Partition (other than during routine maintenance or upgrades by the E-Vault Provider), (c) such Contract was created within the DocuSign System or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by the Originator and, at all times after creation and prior to the transfer thereof to the Borrower, was maintained within the E-Vault System, (d) such Contract was transferred from the Originator Vault Partition to the Warehouse Vault Partition and such transfer has been accepted by the Custodian and confirmed by the Originator within the E-Vault System, (e) during the period from and after the origination thereof to the transfer thereof to the Borrower, the E-Vault Access Agreement was in full force and effect and there was no event of default or material breach by any party thereunder, (f) each of the E-Vault Access Agreement and the Electronic Collateral Control Agreement is in full force and effect and is no event of default or material breach by any party thereunder and (g) in respect of which all onboarding fees that are due and payable have been paid to DocuSign,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and the E-Vault Provider and no fees will be payable to DocuSign,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or the E-Vault Provider in respect thereof under the E-Vault Access Agreement or the Electronic Collateral Control Agreement (other than in respect of Exporting) or any other applicable agreement and (B) with respect to each Paper-In Contract, (a) prior to the conversion of such Paper-In Contract from a Tangible Contract to an Electronic Contract, UACC or its agents had sole possession of such Tangible Contract; (b) upon conversion or within 30 days after such conversion, each such Tangible Contract was destroyed; (c) the destruction of such Tangible Contract was conducted by UACC or a third party on behalf of UACC; (d) the destruction of such Tangible Contract is evidenced in a manner that is satisfactory to the Administrative Agent, whether by visual recording</w:t>
      </w:r>
    </w:p>
    <w:p>
      <w:pPr>
        <w:spacing w:after="0" w:line="16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SB-140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1360" w:top="1440" w:right="700" w:bottom="1440" w:gutter="0" w:footer="0" w:header="0"/>
        </w:sectPr>
      </w:pPr>
    </w:p>
    <w:bookmarkStart w:id="223" w:name="page224"/>
    <w:bookmarkEnd w:id="223"/>
    <w:p>
      <w:pPr>
        <w:spacing w:after="0" w:line="269"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9"/>
          <w:szCs w:val="19"/>
          <w:color w:val="auto"/>
        </w:rPr>
        <w:t>or certification of such third party or by any other means, and that such evidence is delivered to or made available to the Administrative Agent; and (e) at the time of or before such destruction of the Tangible Contract, the applicable electronic chattel paper satisfied all of the requirements of paragraph (xxviii) above;</w:t>
      </w:r>
    </w:p>
    <w:p>
      <w:pPr>
        <w:spacing w:after="0" w:line="144" w:lineRule="exact"/>
        <w:rPr>
          <w:sz w:val="20"/>
          <w:szCs w:val="20"/>
          <w:color w:val="auto"/>
        </w:rPr>
      </w:pPr>
    </w:p>
    <w:p>
      <w:pPr>
        <w:ind w:left="1260" w:hanging="514"/>
        <w:spacing w:after="0"/>
        <w:tabs>
          <w:tab w:leader="none" w:pos="126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is an “eligible asset” as defined in Rule 3a-7 under the Investment Company Act;</w:t>
      </w:r>
    </w:p>
    <w:p>
      <w:pPr>
        <w:spacing w:after="0" w:line="201" w:lineRule="exact"/>
        <w:rPr>
          <w:rFonts w:ascii="Times New Roman" w:cs="Times New Roman" w:eastAsia="Times New Roman" w:hAnsi="Times New Roman"/>
          <w:sz w:val="19"/>
          <w:szCs w:val="19"/>
          <w:color w:val="auto"/>
        </w:rPr>
      </w:pPr>
    </w:p>
    <w:p>
      <w:pPr>
        <w:ind w:right="40" w:firstLine="746"/>
        <w:spacing w:after="0" w:line="286" w:lineRule="auto"/>
        <w:tabs>
          <w:tab w:leader="none" w:pos="120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which any compromise, extension, rebate, adjustment, amendment or modification (including by the extension of time for payment or the granting of any discounts, allowances or credits) was made as permitted by </w:t>
      </w:r>
      <w:r>
        <w:rPr>
          <w:rFonts w:ascii="Times New Roman" w:cs="Times New Roman" w:eastAsia="Times New Roman" w:hAnsi="Times New Roman"/>
          <w:sz w:val="19"/>
          <w:szCs w:val="19"/>
          <w:color w:val="222222"/>
        </w:rPr>
        <w:t>[***];</w:t>
      </w:r>
    </w:p>
    <w:p>
      <w:pPr>
        <w:spacing w:after="0" w:line="127" w:lineRule="exact"/>
        <w:rPr>
          <w:rFonts w:ascii="Times New Roman" w:cs="Times New Roman" w:eastAsia="Times New Roman" w:hAnsi="Times New Roman"/>
          <w:sz w:val="19"/>
          <w:szCs w:val="19"/>
          <w:color w:val="auto"/>
        </w:rPr>
      </w:pPr>
    </w:p>
    <w:p>
      <w:pPr>
        <w:ind w:right="80" w:firstLine="746"/>
        <w:spacing w:after="0" w:line="259" w:lineRule="auto"/>
        <w:tabs>
          <w:tab w:leader="none" w:pos="1261"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spacing w:after="0" w:line="153" w:lineRule="exact"/>
        <w:rPr>
          <w:rFonts w:ascii="Times New Roman" w:cs="Times New Roman" w:eastAsia="Times New Roman" w:hAnsi="Times New Roman"/>
          <w:sz w:val="19"/>
          <w:szCs w:val="19"/>
          <w:color w:val="auto"/>
        </w:rPr>
      </w:pPr>
    </w:p>
    <w:p>
      <w:pPr>
        <w:ind w:right="60" w:firstLine="746"/>
        <w:spacing w:after="0" w:line="286" w:lineRule="auto"/>
        <w:tabs>
          <w:tab w:leader="none" w:pos="1315"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related Financed Vehicle has not been repossessed or assigned for repossession from the Obligor at the time such Receivable first became part of the Collateral;</w:t>
      </w:r>
    </w:p>
    <w:p>
      <w:pPr>
        <w:spacing w:after="0" w:line="127" w:lineRule="exact"/>
        <w:rPr>
          <w:rFonts w:ascii="Times New Roman" w:cs="Times New Roman" w:eastAsia="Times New Roman" w:hAnsi="Times New Roman"/>
          <w:sz w:val="19"/>
          <w:szCs w:val="19"/>
          <w:color w:val="auto"/>
        </w:rPr>
      </w:pPr>
    </w:p>
    <w:p>
      <w:pPr>
        <w:jc w:val="both"/>
        <w:ind w:right="140" w:firstLine="746"/>
        <w:spacing w:after="0" w:line="268" w:lineRule="auto"/>
        <w:tabs>
          <w:tab w:leader="none" w:pos="136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spacing w:after="0" w:line="144" w:lineRule="exact"/>
        <w:rPr>
          <w:rFonts w:ascii="Times New Roman" w:cs="Times New Roman" w:eastAsia="Times New Roman" w:hAnsi="Times New Roman"/>
          <w:sz w:val="19"/>
          <w:szCs w:val="19"/>
          <w:color w:val="auto"/>
        </w:rPr>
      </w:pPr>
    </w:p>
    <w:p>
      <w:pPr>
        <w:ind w:right="100" w:firstLine="746"/>
        <w:spacing w:after="0" w:line="268" w:lineRule="auto"/>
        <w:tabs>
          <w:tab w:leader="none" w:pos="135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at the time of origination, all proceeds on the related Contract were fully disbursed and there is no requirement for future advances thereunder and all fees and expenses in connection with the origination of the Receivable have been paid;</w:t>
      </w:r>
    </w:p>
    <w:p>
      <w:pPr>
        <w:spacing w:after="0" w:line="144" w:lineRule="exact"/>
        <w:rPr>
          <w:rFonts w:ascii="Times New Roman" w:cs="Times New Roman" w:eastAsia="Times New Roman" w:hAnsi="Times New Roman"/>
          <w:sz w:val="19"/>
          <w:szCs w:val="19"/>
          <w:color w:val="auto"/>
        </w:rPr>
      </w:pPr>
    </w:p>
    <w:p>
      <w:pPr>
        <w:ind w:right="120" w:firstLine="746"/>
        <w:spacing w:after="0" w:line="268" w:lineRule="auto"/>
        <w:tabs>
          <w:tab w:leader="none" w:pos="1304"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does not provide for the substitution, exchange or addition of any Financed Vehicle to such Receivable and with respect to which the related Financed Vehicle was properly delivered to the related Obligor in good repair, without defects and in satisfactory order;</w:t>
      </w:r>
    </w:p>
    <w:p>
      <w:pPr>
        <w:spacing w:after="0" w:line="144" w:lineRule="exact"/>
        <w:rPr>
          <w:rFonts w:ascii="Times New Roman" w:cs="Times New Roman" w:eastAsia="Times New Roman" w:hAnsi="Times New Roman"/>
          <w:sz w:val="19"/>
          <w:szCs w:val="19"/>
          <w:color w:val="auto"/>
        </w:rPr>
      </w:pPr>
    </w:p>
    <w:p>
      <w:pPr>
        <w:ind w:firstLine="746"/>
        <w:spacing w:after="0" w:line="262" w:lineRule="auto"/>
        <w:tabs>
          <w:tab w:leader="none" w:pos="135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which, the related Dealer (a) was selected by the Originator based on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spacing w:after="0" w:line="150" w:lineRule="exact"/>
        <w:rPr>
          <w:rFonts w:ascii="Times New Roman" w:cs="Times New Roman" w:eastAsia="Times New Roman" w:hAnsi="Times New Roman"/>
          <w:sz w:val="19"/>
          <w:szCs w:val="19"/>
          <w:color w:val="auto"/>
        </w:rPr>
      </w:pPr>
    </w:p>
    <w:p>
      <w:pPr>
        <w:ind w:right="320" w:firstLine="746"/>
        <w:spacing w:after="0" w:line="268" w:lineRule="auto"/>
        <w:tabs>
          <w:tab w:leader="none" w:pos="1411"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at the time of origination of the related Contract, (a) the related Dealer that sold the related Contract to the Originator has entered into a Dealer Agreement and such Dealer Agreement constitutes the entire agreement</w:t>
      </w:r>
    </w:p>
    <w:p>
      <w:pPr>
        <w:spacing w:after="0" w:line="1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SB-141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24" w:name="page225"/>
    <w:bookmarkEnd w:id="224"/>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spacing w:after="0" w:line="160" w:lineRule="exact"/>
        <w:rPr>
          <w:sz w:val="20"/>
          <w:szCs w:val="20"/>
          <w:color w:val="auto"/>
        </w:rPr>
      </w:pPr>
    </w:p>
    <w:p>
      <w:pPr>
        <w:ind w:right="480" w:firstLine="746"/>
        <w:spacing w:after="0" w:line="286" w:lineRule="auto"/>
        <w:tabs>
          <w:tab w:leader="none" w:pos="146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if the related Financed Vehicle is titled in the State of Texas, such Financed Vehicle is a “motor vehicle” as defined in Section 501.002 of the Texas Transportation Code;</w:t>
      </w:r>
    </w:p>
    <w:p>
      <w:pPr>
        <w:spacing w:after="0" w:line="127" w:lineRule="exact"/>
        <w:rPr>
          <w:rFonts w:ascii="Times New Roman" w:cs="Times New Roman" w:eastAsia="Times New Roman" w:hAnsi="Times New Roman"/>
          <w:sz w:val="19"/>
          <w:szCs w:val="19"/>
          <w:color w:val="auto"/>
        </w:rPr>
      </w:pPr>
    </w:p>
    <w:p>
      <w:pPr>
        <w:ind w:right="180" w:firstLine="746"/>
        <w:spacing w:after="0" w:line="286" w:lineRule="auto"/>
        <w:tabs>
          <w:tab w:leader="none" w:pos="135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which the related Contract has not been stamped or otherwise marked to show any interest of any other Person or any such stamp or other mark has been cancelled;</w:t>
      </w:r>
    </w:p>
    <w:p>
      <w:pPr>
        <w:spacing w:after="0" w:line="127" w:lineRule="exact"/>
        <w:rPr>
          <w:sz w:val="20"/>
          <w:szCs w:val="20"/>
          <w:color w:val="auto"/>
        </w:rPr>
      </w:pPr>
    </w:p>
    <w:p>
      <w:pPr>
        <w:ind w:firstLine="744"/>
        <w:spacing w:after="0" w:line="258" w:lineRule="auto"/>
        <w:rPr>
          <w:sz w:val="20"/>
          <w:szCs w:val="20"/>
          <w:color w:val="auto"/>
        </w:rPr>
      </w:pPr>
      <w:r>
        <w:rPr>
          <w:rFonts w:ascii="Times New Roman" w:cs="Times New Roman" w:eastAsia="Times New Roman" w:hAnsi="Times New Roman"/>
          <w:sz w:val="19"/>
          <w:szCs w:val="19"/>
          <w:color w:val="auto"/>
        </w:rPr>
        <w:t>(xl) with respect to which, until such time as the Borrower has provided the Administrative Agent with copies of all required licenses under (a) the Maryland Vehicle Sales Finance Act, Maryland Code Annotated, Financial Institutions Sections 11 -401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p>
    <w:p>
      <w:pPr>
        <w:spacing w:after="0" w:line="3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(xli) [Reserved];</w:t>
      </w:r>
    </w:p>
    <w:p>
      <w:pPr>
        <w:spacing w:after="0" w:line="202" w:lineRule="exact"/>
        <w:rPr>
          <w:sz w:val="20"/>
          <w:szCs w:val="20"/>
          <w:color w:val="auto"/>
        </w:rPr>
      </w:pPr>
    </w:p>
    <w:p>
      <w:pPr>
        <w:ind w:right="40" w:firstLine="744"/>
        <w:spacing w:after="0" w:line="254" w:lineRule="auto"/>
        <w:rPr>
          <w:sz w:val="20"/>
          <w:szCs w:val="20"/>
          <w:color w:val="auto"/>
        </w:rPr>
      </w:pPr>
      <w:r>
        <w:rPr>
          <w:rFonts w:ascii="Times New Roman" w:cs="Times New Roman" w:eastAsia="Times New Roman" w:hAnsi="Times New Roman"/>
          <w:sz w:val="19"/>
          <w:szCs w:val="19"/>
          <w:color w:val="auto"/>
        </w:rPr>
        <w:t>(xlii) all requirements of applicable federal, state and local laws, and regulations thereunder (including, without limitation, usury laws, the Federal Truth-in-Lending Act, the Equal Credit Opportunity Act, the Fair Credit Billing Act, the Fair Credit Reporting Act, the Fair Debt Collection Practices Act, the Federal Trade Commission Act, the Moss- Magnuson Warranty Act, the Federal Reserve Board’s Regulations “B” and “Z” (including amendments to the Federal Reserve’s Official Staff Commentary to Regulation Z, effective October 1, 1998, concerning negative equity loans), the Servicemembers Civil Relief Act, the Electronic Signatures in Global and National Commerce Act (E-SIGN), the Uniform Electronic Transactions Act and other state adaptations thereof, each applicable state Motor Vehicle Retail Installment Sales Act, and state adaptations of the National Consumer Act and of the Uniform Consumer Credit Code and other consumer credit laws and equal credit opportunity and disclosure laws) in respect of such Receivable and the Financed Vehicles, have been complied with in all material respects, and such Receivable and the sale of the</w:t>
      </w:r>
    </w:p>
    <w:p>
      <w:pPr>
        <w:spacing w:after="0" w:line="16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SB-142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25" w:name="page226"/>
    <w:bookmarkEnd w:id="225"/>
    <w:p>
      <w:pPr>
        <w:spacing w:after="0" w:line="26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9"/>
          <w:szCs w:val="19"/>
          <w:color w:val="auto"/>
        </w:rPr>
        <w:t>Financed Vehicle evidenced by such Receivable complied at the time it was originated or made and now complies in all material respects with all applicable legal requirements;</w:t>
      </w:r>
    </w:p>
    <w:p>
      <w:pPr>
        <w:spacing w:after="0" w:line="127" w:lineRule="exact"/>
        <w:rPr>
          <w:sz w:val="20"/>
          <w:szCs w:val="20"/>
          <w:color w:val="auto"/>
        </w:rPr>
      </w:pPr>
    </w:p>
    <w:p>
      <w:pPr>
        <w:ind w:right="300" w:firstLine="744"/>
        <w:spacing w:after="0" w:line="286" w:lineRule="auto"/>
        <w:rPr>
          <w:sz w:val="20"/>
          <w:szCs w:val="20"/>
          <w:color w:val="auto"/>
        </w:rPr>
      </w:pPr>
      <w:r>
        <w:rPr>
          <w:rFonts w:ascii="Times New Roman" w:cs="Times New Roman" w:eastAsia="Times New Roman" w:hAnsi="Times New Roman"/>
          <w:sz w:val="19"/>
          <w:szCs w:val="19"/>
          <w:color w:val="auto"/>
        </w:rPr>
        <w:t>(xliii) as to which, on the applicable Funding Date, the related Obligor has not been identified on the records of the Servicer as being the subject of a current bankruptcy proceeding;</w:t>
      </w:r>
    </w:p>
    <w:p>
      <w:pPr>
        <w:spacing w:after="0" w:line="127" w:lineRule="exact"/>
        <w:rPr>
          <w:sz w:val="20"/>
          <w:szCs w:val="20"/>
          <w:color w:val="auto"/>
        </w:rPr>
      </w:pPr>
    </w:p>
    <w:p>
      <w:pPr>
        <w:ind w:right="180" w:firstLine="744"/>
        <w:spacing w:after="0" w:line="268" w:lineRule="auto"/>
        <w:rPr>
          <w:sz w:val="20"/>
          <w:szCs w:val="20"/>
          <w:color w:val="auto"/>
        </w:rPr>
      </w:pPr>
      <w:r>
        <w:rPr>
          <w:rFonts w:ascii="Times New Roman" w:cs="Times New Roman" w:eastAsia="Times New Roman" w:hAnsi="Times New Roman"/>
          <w:sz w:val="19"/>
          <w:szCs w:val="19"/>
          <w:color w:val="auto"/>
        </w:rPr>
        <w:t>(xliv) which is (a) assignable without the consent of the related Obligor and (b) has not been originated in, or is subject to the laws of, any jurisdiction under which the sale, transfer and assignment of such Receivable under this Agreement or pursuant to a transfer of the Contract shall be unlawful or void;</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(xlv) [Reserved];</w:t>
      </w:r>
    </w:p>
    <w:p>
      <w:pPr>
        <w:spacing w:after="0" w:line="202" w:lineRule="exact"/>
        <w:rPr>
          <w:sz w:val="20"/>
          <w:szCs w:val="20"/>
          <w:color w:val="auto"/>
        </w:rPr>
      </w:pPr>
    </w:p>
    <w:p>
      <w:pPr>
        <w:ind w:firstLine="744"/>
        <w:spacing w:after="0" w:line="286" w:lineRule="auto"/>
        <w:rPr>
          <w:sz w:val="20"/>
          <w:szCs w:val="20"/>
          <w:color w:val="auto"/>
        </w:rPr>
      </w:pPr>
      <w:r>
        <w:rPr>
          <w:rFonts w:ascii="Times New Roman" w:cs="Times New Roman" w:eastAsia="Times New Roman" w:hAnsi="Times New Roman"/>
          <w:sz w:val="19"/>
          <w:szCs w:val="19"/>
          <w:color w:val="auto"/>
        </w:rPr>
        <w:t>(xlvi) which has not been satisfied, subordinated or rescinded, nor has the related Financed Vehicle been released from the Lien granted by the related Receivable in whole or in part;</w:t>
      </w:r>
    </w:p>
    <w:p>
      <w:pPr>
        <w:spacing w:after="0" w:line="127" w:lineRule="exact"/>
        <w:rPr>
          <w:sz w:val="20"/>
          <w:szCs w:val="20"/>
          <w:color w:val="auto"/>
        </w:rPr>
      </w:pPr>
    </w:p>
    <w:p>
      <w:pPr>
        <w:ind w:right="640" w:firstLine="744"/>
        <w:spacing w:after="0" w:line="286" w:lineRule="auto"/>
        <w:rPr>
          <w:sz w:val="20"/>
          <w:szCs w:val="20"/>
          <w:color w:val="auto"/>
        </w:rPr>
      </w:pPr>
      <w:r>
        <w:rPr>
          <w:rFonts w:ascii="Times New Roman" w:cs="Times New Roman" w:eastAsia="Times New Roman" w:hAnsi="Times New Roman"/>
          <w:sz w:val="19"/>
          <w:szCs w:val="19"/>
          <w:color w:val="auto"/>
        </w:rPr>
        <w:t>(xlvii) which prohibits the sale or transfer of the related Financed Vehicle without the consent of UACC or the Borrower; and</w:t>
      </w:r>
    </w:p>
    <w:p>
      <w:pPr>
        <w:spacing w:after="0" w:line="127" w:lineRule="exact"/>
        <w:rPr>
          <w:sz w:val="20"/>
          <w:szCs w:val="20"/>
          <w:color w:val="auto"/>
        </w:rPr>
      </w:pPr>
    </w:p>
    <w:p>
      <w:pPr>
        <w:ind w:right="260" w:firstLine="744"/>
        <w:spacing w:after="0" w:line="268" w:lineRule="auto"/>
        <w:rPr>
          <w:sz w:val="20"/>
          <w:szCs w:val="20"/>
          <w:color w:val="auto"/>
        </w:rPr>
      </w:pPr>
      <w:r>
        <w:rPr>
          <w:rFonts w:ascii="Times New Roman" w:cs="Times New Roman" w:eastAsia="Times New Roman" w:hAnsi="Times New Roman"/>
          <w:sz w:val="19"/>
          <w:szCs w:val="19"/>
          <w:color w:val="auto"/>
        </w:rPr>
        <w:t xml:space="preserve">(xlviii) which, </w:t>
      </w:r>
      <w:r>
        <w:rPr>
          <w:rFonts w:ascii="Times New Roman" w:cs="Times New Roman" w:eastAsia="Times New Roman" w:hAnsi="Times New Roman"/>
          <w:sz w:val="19"/>
          <w:szCs w:val="19"/>
          <w:color w:val="010101"/>
        </w:rPr>
        <w:t>if</w:t>
      </w:r>
      <w:r>
        <w:rPr>
          <w:rFonts w:ascii="Times New Roman" w:cs="Times New Roman" w:eastAsia="Times New Roman" w:hAnsi="Times New Roman"/>
          <w:sz w:val="19"/>
          <w:szCs w:val="19"/>
          <w:color w:val="auto"/>
        </w:rPr>
        <w:t xml:space="preserve"> such Receivable is a Portfolio Purchase Receivable, meets all Eligible Receivable requirements except clause (ix) above, notwithstanding, with regards to such Receivable, UACC has no knowledge of, and no Person has asserted and continues to assert, any failure to comply with all Requirements of Law, including all consumer protection laws.</w:t>
      </w:r>
    </w:p>
    <w:p>
      <w:pPr>
        <w:spacing w:after="0" w:line="3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SB-143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26" w:name="page227"/>
    <w:bookmarkEnd w:id="226"/>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SCHEDULE C</w:t>
      </w:r>
    </w:p>
    <w:p>
      <w:pPr>
        <w:spacing w:after="0" w:line="39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SCHEDULE OF RECEIVABLES</w:t>
      </w:r>
    </w:p>
    <w:p>
      <w:pPr>
        <w:spacing w:after="0" w:line="29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(Original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1030605</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227" w:name="page228"/>
    <w:bookmarkEnd w:id="227"/>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SCHEDULE C-1</w:t>
      </w:r>
    </w:p>
    <w:p>
      <w:pPr>
        <w:spacing w:after="0" w:line="39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9"/>
          <w:szCs w:val="19"/>
          <w:color w:val="auto"/>
        </w:rPr>
        <w:t>SCHEDULE OF SCHEDULE C-1 RECEIVABLES</w:t>
      </w:r>
    </w:p>
    <w:p>
      <w:pPr>
        <w:spacing w:after="0" w:line="29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1358265</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228" w:name="page229"/>
    <w:bookmarkEnd w:id="228"/>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SCHEDULE 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LOCATION OF RECEIVABLE FILES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1071 Camelback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Newport Beach, California 92660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780415</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9" w:name="page230"/>
    <w:bookmarkEnd w:id="229"/>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SCHEDULE 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NOTICE ADDRESSES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Borrower: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VFS NEAR PRIME TRUST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With a copy to: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United Auto Credit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1071 Camelback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Newport Beach, CA 92660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Attention: Jon Sandison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Email: </w:t>
      </w:r>
      <w:r>
        <w:rPr>
          <w:rFonts w:ascii="Times New Roman" w:cs="Times New Roman" w:eastAsia="Times New Roman" w:hAnsi="Times New Roman"/>
          <w:sz w:val="19"/>
          <w:szCs w:val="19"/>
          <w:color w:val="222222"/>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Servicer and Originator</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UNITED AUTO CREDIT CORPORATION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 Camelback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Newport Beach, California 92660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Attention: </w:t>
      </w:r>
      <w:r>
        <w:rPr>
          <w:rFonts w:ascii="Times New Roman" w:cs="Times New Roman" w:eastAsia="Times New Roman" w:hAnsi="Times New Roman"/>
          <w:sz w:val="19"/>
          <w:szCs w:val="19"/>
          <w:color w:val="212121"/>
        </w:rPr>
        <w:t>Jon Sandison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Email: </w:t>
      </w:r>
      <w:r>
        <w:rPr>
          <w:rFonts w:ascii="Times New Roman" w:cs="Times New Roman" w:eastAsia="Times New Roman" w:hAnsi="Times New Roman"/>
          <w:sz w:val="19"/>
          <w:szCs w:val="19"/>
          <w:color w:val="222222"/>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FIFTH THIRD BANK, NATIONAL ASSOCIATION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38 Fountain Square Plaza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MD 1090TC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Cincinnati, OH 45202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Attention: Joy Rutan; Steven Ellis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E-mail: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Telephone No.: </w:t>
      </w:r>
      <w:r>
        <w:rPr>
          <w:rFonts w:ascii="Times New Roman" w:cs="Times New Roman" w:eastAsia="Times New Roman" w:hAnsi="Times New Roman"/>
          <w:sz w:val="19"/>
          <w:szCs w:val="19"/>
          <w:color w:val="222222"/>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939165</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0" w:name="page231"/>
    <w:bookmarkEnd w:id="230"/>
    <w:p>
      <w:pPr>
        <w:spacing w:after="0" w:line="26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EXHIBIT A</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FUNDING REQUEST</w:t>
      </w:r>
    </w:p>
    <w:p>
      <w:pPr>
        <w:spacing w:after="0" w:line="29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____________, 202_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38 Fountain Square Plaza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MD 1090TC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Cincinnati, OH 45202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Attention: Joy Rutan; Steven Ellis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E-mail: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Telephone No.: </w:t>
      </w: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 VFS Near Prime Trust I [Address]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 VFS Near Prime Trust I Warehouse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02"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auto"/>
        </w:rPr>
        <w:t xml:space="preserve">The undersigned is a Responsible Officer of VFS Near Prime Trust I (the “Borrower”) and is authorized to execute and deliver this Funding Request on behalf of the Borrower pursuant to the Warehouse Agreement, dated as of November 18, 2022 (as amended, restated, supplemented or otherwise modified from time to time, the “Warehouse Agreement”), among the Borrower, United Auto Credit Corporation, as servicer and as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Paying Agent, the Lenders from time to time party thereto, and Fifth Third Bank, National Association, as administrative agent. Capitalized terms not otherwise defined herein have the meanings ascribed thereto in the Warehouse Agreement.</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Borrower hereby requests that a Loan be made under the Warehouse Agreement on __________, ____ in the amount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 connection with the foregoing, the undersigned hereby certifies, on behalf of the Borrower, as follows:</w:t>
      </w:r>
    </w:p>
    <w:p>
      <w:pPr>
        <w:spacing w:after="0" w:line="202" w:lineRule="exact"/>
        <w:rPr>
          <w:sz w:val="20"/>
          <w:szCs w:val="20"/>
          <w:color w:val="auto"/>
        </w:rPr>
      </w:pPr>
    </w:p>
    <w:p>
      <w:pPr>
        <w:ind w:left="880" w:right="100" w:firstLine="770"/>
        <w:spacing w:after="0" w:line="262" w:lineRule="auto"/>
        <w:tabs>
          <w:tab w:leader="none" w:pos="1920"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the Borrowing Base (calculated as of the previous Determination Date or, with respect to Receivables added to the Collateral following such Determination Date, but prior to or on such date of determination, the related Cutoff Date) is __________. Attached to this Funding Request is a true, complete and correct calculation of the Borrowing Base and all components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1" w:name="page232"/>
    <w:bookmarkEnd w:id="231"/>
    <w:p>
      <w:pPr>
        <w:spacing w:after="0" w:line="269" w:lineRule="exact"/>
        <w:rPr>
          <w:sz w:val="20"/>
          <w:szCs w:val="20"/>
          <w:color w:val="auto"/>
        </w:rPr>
      </w:pPr>
    </w:p>
    <w:p>
      <w:pPr>
        <w:ind w:left="100" w:right="440" w:firstLine="770"/>
        <w:spacing w:after="0" w:line="286" w:lineRule="auto"/>
        <w:tabs>
          <w:tab w:leader="none" w:pos="114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conditions precedent to the requested Loans as set forth in the Warehouse Agreement have been satisfied as of the date hereof and will remain satisfied to the date of such Loan, including:</w:t>
      </w:r>
    </w:p>
    <w:p>
      <w:pPr>
        <w:spacing w:after="0" w:line="127" w:lineRule="exact"/>
        <w:rPr>
          <w:rFonts w:ascii="Times New Roman" w:cs="Times New Roman" w:eastAsia="Times New Roman" w:hAnsi="Times New Roman"/>
          <w:sz w:val="19"/>
          <w:szCs w:val="19"/>
          <w:color w:val="auto"/>
        </w:rPr>
      </w:pPr>
    </w:p>
    <w:p>
      <w:pPr>
        <w:ind w:left="460" w:right="260" w:firstLine="783"/>
        <w:spacing w:after="0" w:line="268" w:lineRule="auto"/>
        <w:tabs>
          <w:tab w:leader="none" w:pos="1513"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requirements, conditions and limitations imposed in Section 2.01 of the Warehouse Agreement in connection with the Borrower’s request for, and the Lenders’ funding of, such Loan have been satisfied and complied with as of the date hereof;</w:t>
      </w:r>
    </w:p>
    <w:p>
      <w:pPr>
        <w:spacing w:after="0" w:line="144" w:lineRule="exact"/>
        <w:rPr>
          <w:rFonts w:ascii="Times New Roman" w:cs="Times New Roman" w:eastAsia="Times New Roman" w:hAnsi="Times New Roman"/>
          <w:sz w:val="19"/>
          <w:szCs w:val="19"/>
          <w:color w:val="auto"/>
        </w:rPr>
      </w:pPr>
    </w:p>
    <w:p>
      <w:pPr>
        <w:jc w:val="both"/>
        <w:ind w:left="460" w:firstLine="783"/>
        <w:spacing w:after="0" w:line="268" w:lineRule="auto"/>
        <w:tabs>
          <w:tab w:leader="none" w:pos="1524"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contained in Sections 5.01 and 5.02 of the Warehouse Agreement and in the other Basic Documents are true and correct on and as of such day as though made on and as of such day and shall be deemed to have been made on such day;</w:t>
      </w:r>
    </w:p>
    <w:p>
      <w:pPr>
        <w:spacing w:after="0" w:line="144" w:lineRule="exact"/>
        <w:rPr>
          <w:rFonts w:ascii="Times New Roman" w:cs="Times New Roman" w:eastAsia="Times New Roman" w:hAnsi="Times New Roman"/>
          <w:sz w:val="19"/>
          <w:szCs w:val="19"/>
          <w:color w:val="auto"/>
        </w:rPr>
      </w:pPr>
    </w:p>
    <w:p>
      <w:pPr>
        <w:ind w:left="460" w:right="160" w:firstLine="783"/>
        <w:spacing w:after="0" w:line="268" w:lineRule="auto"/>
        <w:tabs>
          <w:tab w:leader="none" w:pos="1513"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has occurred, or would result from such Loan or from the application of the proceeds therefrom, which constitutes an Early Amortization Event, a Borrowing Base Deficiency, a Termination Event or Unmatured Termination Event;</w:t>
      </w:r>
    </w:p>
    <w:p>
      <w:pPr>
        <w:spacing w:after="0" w:line="144" w:lineRule="exact"/>
        <w:rPr>
          <w:rFonts w:ascii="Times New Roman" w:cs="Times New Roman" w:eastAsia="Times New Roman" w:hAnsi="Times New Roman"/>
          <w:sz w:val="19"/>
          <w:szCs w:val="19"/>
          <w:color w:val="auto"/>
        </w:rPr>
      </w:pPr>
    </w:p>
    <w:p>
      <w:pPr>
        <w:ind w:left="1520" w:hanging="277"/>
        <w:spacing w:after="0"/>
        <w:tabs>
          <w:tab w:leader="none" w:pos="1520"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is in material compliance with each of its covenants set forth in the Warehouse Agreement;</w:t>
      </w:r>
    </w:p>
    <w:p>
      <w:pPr>
        <w:spacing w:after="0" w:line="3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w:t>
      </w:r>
    </w:p>
    <w:p>
      <w:pPr>
        <w:spacing w:after="0" w:line="179" w:lineRule="exact"/>
        <w:rPr>
          <w:rFonts w:ascii="Times New Roman" w:cs="Times New Roman" w:eastAsia="Times New Roman" w:hAnsi="Times New Roman"/>
          <w:sz w:val="19"/>
          <w:szCs w:val="19"/>
          <w:color w:val="auto"/>
        </w:rPr>
      </w:pPr>
    </w:p>
    <w:p>
      <w:pPr>
        <w:ind w:left="460" w:right="160" w:firstLine="783"/>
        <w:spacing w:after="0" w:line="286" w:lineRule="auto"/>
        <w:tabs>
          <w:tab w:leader="none" w:pos="1513"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best of the Borrower’s knowledge, no event has occurred which constitutes a Servicer Termination Event or Unmatured Servicer Termination Event.</w:t>
      </w:r>
    </w:p>
    <w:p>
      <w:pPr>
        <w:spacing w:after="0" w:line="127" w:lineRule="exact"/>
        <w:rPr>
          <w:rFonts w:ascii="Times New Roman" w:cs="Times New Roman" w:eastAsia="Times New Roman" w:hAnsi="Times New Roman"/>
          <w:sz w:val="19"/>
          <w:szCs w:val="19"/>
          <w:color w:val="auto"/>
        </w:rPr>
      </w:pPr>
    </w:p>
    <w:p>
      <w:pPr>
        <w:ind w:left="100" w:right="180" w:firstLine="770"/>
        <w:spacing w:after="0" w:line="286" w:lineRule="auto"/>
        <w:tabs>
          <w:tab w:leader="none" w:pos="114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requested Loan will not, on the Funding Date, (i) exceed the Available Amount or (ii) cause a Borrowing Base Deficiency.</w:t>
      </w:r>
    </w:p>
    <w:p>
      <w:pPr>
        <w:spacing w:after="0" w:line="127" w:lineRule="exact"/>
        <w:rPr>
          <w:rFonts w:ascii="Times New Roman" w:cs="Times New Roman" w:eastAsia="Times New Roman" w:hAnsi="Times New Roman"/>
          <w:sz w:val="19"/>
          <w:szCs w:val="19"/>
          <w:color w:val="auto"/>
        </w:rPr>
      </w:pPr>
    </w:p>
    <w:p>
      <w:pPr>
        <w:ind w:left="100" w:right="540" w:firstLine="770"/>
        <w:spacing w:after="0" w:line="268" w:lineRule="auto"/>
        <w:tabs>
          <w:tab w:leader="none" w:pos="114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hereto is a true, correct and complete Schedule A to the Purchase Agreement, reflecting all Receivables which will become part of the Collateral on the Funding Date, each Receivable reflected thereon being an Eligible Receivable.</w:t>
      </w:r>
    </w:p>
    <w:p>
      <w:pPr>
        <w:spacing w:after="0" w:line="144" w:lineRule="exact"/>
        <w:rPr>
          <w:rFonts w:ascii="Times New Roman" w:cs="Times New Roman" w:eastAsia="Times New Roman" w:hAnsi="Times New Roman"/>
          <w:sz w:val="19"/>
          <w:szCs w:val="19"/>
          <w:color w:val="auto"/>
        </w:rPr>
      </w:pPr>
    </w:p>
    <w:p>
      <w:pPr>
        <w:ind w:left="1140" w:hanging="270"/>
        <w:spacing w:after="0"/>
        <w:tabs>
          <w:tab w:leader="none" w:pos="114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Cutoff Date with respect to the Receivables is __________, 20___.</w:t>
      </w:r>
    </w:p>
    <w:p>
      <w:pPr>
        <w:spacing w:after="0" w:line="20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1440" w:top="1440" w:right="720" w:bottom="1440" w:gutter="0" w:footer="0" w:header="0"/>
        </w:sectPr>
      </w:pPr>
    </w:p>
    <w:bookmarkStart w:id="232" w:name="page233"/>
    <w:bookmarkEnd w:id="232"/>
    <w:p>
      <w:pPr>
        <w:spacing w:after="0" w:line="269" w:lineRule="exact"/>
        <w:rPr>
          <w:sz w:val="20"/>
          <w:szCs w:val="20"/>
          <w:color w:val="auto"/>
        </w:rPr>
      </w:pPr>
    </w:p>
    <w:p>
      <w:pPr>
        <w:ind w:left="1140" w:hanging="270"/>
        <w:spacing w:after="0"/>
        <w:tabs>
          <w:tab w:leader="none" w:pos="114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and after giving effect to the requested Loan, the Borrower is Solvent.</w:t>
      </w:r>
    </w:p>
    <w:p>
      <w:pPr>
        <w:spacing w:after="0" w:line="201" w:lineRule="exact"/>
        <w:rPr>
          <w:rFonts w:ascii="Times New Roman" w:cs="Times New Roman" w:eastAsia="Times New Roman" w:hAnsi="Times New Roman"/>
          <w:sz w:val="19"/>
          <w:szCs w:val="19"/>
          <w:color w:val="auto"/>
        </w:rPr>
      </w:pPr>
    </w:p>
    <w:p>
      <w:pPr>
        <w:ind w:left="3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VFS NEAR PRIME TRUST I</w:t>
      </w:r>
    </w:p>
    <w:p>
      <w:pPr>
        <w:spacing w:after="0" w:line="237" w:lineRule="exact"/>
        <w:rPr>
          <w:rFonts w:ascii="Times New Roman" w:cs="Times New Roman" w:eastAsia="Times New Roman" w:hAnsi="Times New Roman"/>
          <w:sz w:val="19"/>
          <w:szCs w:val="19"/>
          <w:color w:val="auto"/>
        </w:rPr>
      </w:pPr>
    </w:p>
    <w:p>
      <w:pPr>
        <w:ind w:left="3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3" w:name="page234"/>
    <w:bookmarkEnd w:id="233"/>
    <w:p>
      <w:pPr>
        <w:spacing w:after="0" w:line="26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9"/>
          <w:szCs w:val="19"/>
          <w:color w:val="auto"/>
        </w:rPr>
        <w:t>EXHIBIT B</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NOTE</w:t>
      </w:r>
    </w:p>
    <w:p>
      <w:pPr>
        <w:spacing w:after="0" w:line="298"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9"/>
          <w:szCs w:val="19"/>
          <w:color w:val="auto"/>
        </w:rPr>
        <w:t>[_], 2022</w:t>
      </w:r>
    </w:p>
    <w:p>
      <w:pPr>
        <w:spacing w:after="0" w:line="202"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9"/>
          <w:szCs w:val="19"/>
          <w:color w:val="auto"/>
        </w:rPr>
        <w:t xml:space="preserve">FOR VALUE RECEIVED, the undersigned, VFS Near Prime Trust I, a Delaware statutory trust (the “Borrower”), promises to pay to [_], as Lender (the “Lender”), at the office of the Lender set forth in the Warehouse Agreement, dated as of November 18, 2022 (as amended, restated, supplemented or otherwise modified from time to time, the “Warehouse Agreement”) among the Borrower, United Auto Credit Corporation, as servicer and as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paying agent, the Lenders named therein, and the Administrative Agent, on the Termination Date, in lawful money of the United States of America and in immediately available funds, the principal amount of [_] Dollars ($[_ ]),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spacing w:after="0" w:line="160"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auto"/>
        </w:rPr>
        <w:t>The Lender is authorized to record, on the schedules annexed hereto and made a part hereof or on other appropriate records, the date and the amount such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Lender to make any such recordation (or any error in such recordation) shall not affect the obligations of the Borrower hereunder or under the Warehouse Agreement in respect of the Loans or such Lender’s Invested Percentage thereof.</w:t>
      </w:r>
    </w:p>
    <w:p>
      <w:pPr>
        <w:spacing w:after="0" w:line="157" w:lineRule="exact"/>
        <w:rPr>
          <w:sz w:val="20"/>
          <w:szCs w:val="20"/>
          <w:color w:val="auto"/>
        </w:rPr>
      </w:pPr>
    </w:p>
    <w:p>
      <w:pPr>
        <w:jc w:val="both"/>
        <w:ind w:right="40" w:firstLine="696"/>
        <w:spacing w:after="0" w:line="268" w:lineRule="auto"/>
        <w:rPr>
          <w:sz w:val="20"/>
          <w:szCs w:val="20"/>
          <w:color w:val="auto"/>
        </w:rPr>
      </w:pPr>
      <w:r>
        <w:rPr>
          <w:rFonts w:ascii="Times New Roman" w:cs="Times New Roman" w:eastAsia="Times New Roman" w:hAnsi="Times New Roman"/>
          <w:sz w:val="19"/>
          <w:szCs w:val="19"/>
          <w:color w:val="auto"/>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spacing w:after="0" w:line="144"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Upon the occurrence of a Termination Event, the Administrative Agent, on behalf of the Secured Parties, shall have all of the remedies specified in the Warehouse Agreement. The Borrower hereby waives presentment, demand, protest and all notices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4" w:name="page235"/>
    <w:bookmarkEnd w:id="234"/>
    <w:p>
      <w:pPr>
        <w:spacing w:after="0" w:line="267"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b w:val="1"/>
          <w:bCs w:val="1"/>
          <w:color w:val="auto"/>
        </w:rPr>
        <w:t>THIS NOTE SHALL BE GOVERNED BY, AND CONSTRUED AND INTERPRETED IN ACCORDANCE WITH, THE LAWS OF THE STATE OF NEW YORK WITHOUT REGARD TO PRINCIPLES OF CONFLICTS OF LAW (OTHER THAN SECTIONS 5-1401 AND 5-1402 OF THE NEW YORK GENERAL OBLIGATIONS LAW).</w:t>
      </w:r>
    </w:p>
    <w:p>
      <w:pPr>
        <w:spacing w:after="0" w:line="1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VFS NEAR PRIME TRUST I</w:t>
      </w:r>
    </w:p>
    <w:p>
      <w:pPr>
        <w:spacing w:after="0" w:line="23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3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B-152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235" w:name="page236"/>
    <w:bookmarkEnd w:id="235"/>
    <w:p>
      <w:pPr>
        <w:spacing w:after="0" w:line="2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color w:val="auto"/>
        </w:rPr>
        <w:t>Schedule 1 to</w:t>
      </w:r>
    </w:p>
    <w:p>
      <w:pPr>
        <w:spacing w:after="0" w:line="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color w:val="auto"/>
        </w:rPr>
        <w:t>Note</w:t>
      </w:r>
    </w:p>
    <w:p>
      <w:pPr>
        <w:spacing w:after="0" w:line="204" w:lineRule="exact"/>
        <w:rPr>
          <w:sz w:val="20"/>
          <w:szCs w:val="20"/>
          <w:color w:val="auto"/>
        </w:rPr>
      </w:pPr>
    </w:p>
    <w:p>
      <w:pPr>
        <w:spacing w:after="0"/>
        <w:tabs>
          <w:tab w:leader="none" w:pos="3100" w:val="left"/>
          <w:tab w:leader="none" w:pos="5640" w:val="left"/>
          <w:tab w:leader="none" w:pos="8380" w:val="left"/>
        </w:tabs>
        <w:rPr>
          <w:sz w:val="20"/>
          <w:szCs w:val="20"/>
          <w:color w:val="auto"/>
        </w:rPr>
      </w:pPr>
      <w:r>
        <w:rPr>
          <w:rFonts w:ascii="Times New Roman" w:cs="Times New Roman" w:eastAsia="Times New Roman" w:hAnsi="Times New Roman"/>
          <w:sz w:val="19"/>
          <w:szCs w:val="19"/>
          <w:color w:val="auto"/>
        </w:rPr>
        <w:t>Invested Percentage of Loans</w:t>
      </w:r>
      <w:r>
        <w:rPr>
          <w:sz w:val="20"/>
          <w:szCs w:val="20"/>
          <w:color w:val="auto"/>
        </w:rPr>
        <w:tab/>
      </w:r>
      <w:r>
        <w:rPr>
          <w:rFonts w:ascii="Times New Roman" w:cs="Times New Roman" w:eastAsia="Times New Roman" w:hAnsi="Times New Roman"/>
          <w:sz w:val="19"/>
          <w:szCs w:val="19"/>
          <w:color w:val="auto"/>
        </w:rPr>
        <w:t>Interest on Loans</w:t>
      </w:r>
      <w:r>
        <w:rPr>
          <w:sz w:val="20"/>
          <w:szCs w:val="20"/>
          <w:color w:val="auto"/>
        </w:rPr>
        <w:tab/>
      </w:r>
      <w:r>
        <w:rPr>
          <w:rFonts w:ascii="Times New Roman" w:cs="Times New Roman" w:eastAsia="Times New Roman" w:hAnsi="Times New Roman"/>
          <w:sz w:val="19"/>
          <w:szCs w:val="19"/>
          <w:color w:val="auto"/>
        </w:rPr>
        <w:t>Payments on Loans</w:t>
      </w:r>
      <w:r>
        <w:rPr>
          <w:sz w:val="20"/>
          <w:szCs w:val="20"/>
          <w:color w:val="auto"/>
        </w:rPr>
        <w:tab/>
      </w:r>
      <w:r>
        <w:rPr>
          <w:rFonts w:ascii="Times New Roman" w:cs="Times New Roman" w:eastAsia="Times New Roman" w:hAnsi="Times New Roman"/>
          <w:sz w:val="19"/>
          <w:szCs w:val="19"/>
          <w:color w:val="auto"/>
        </w:rPr>
        <w:t>Notation by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color w:val="auto"/>
        </w:rPr>
        <w:t>B-153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649605</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20"/>
          </w:cols>
          <w:pgMar w:left="860" w:top="1440" w:right="1320" w:bottom="1440" w:gutter="0" w:footer="0" w:header="0"/>
        </w:sectPr>
      </w:pPr>
    </w:p>
    <w:bookmarkStart w:id="236" w:name="page237"/>
    <w:bookmarkEnd w:id="236"/>
    <w:p>
      <w:pPr>
        <w:spacing w:after="0" w:line="26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9"/>
          <w:szCs w:val="19"/>
          <w:color w:val="auto"/>
        </w:rPr>
        <w:t>EXHIBIT C</w:t>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FORM OF ASSIGNMENT AND ACCEPTANCE</w:t>
      </w:r>
    </w:p>
    <w:p>
      <w:pPr>
        <w:spacing w:after="0" w:line="2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Dated __________, 202</w:t>
      </w:r>
    </w:p>
    <w:p>
      <w:pPr>
        <w:spacing w:after="0" w:line="202" w:lineRule="exact"/>
        <w:rPr>
          <w:sz w:val="20"/>
          <w:szCs w:val="20"/>
          <w:color w:val="auto"/>
        </w:rPr>
      </w:pPr>
    </w:p>
    <w:p>
      <w:pPr>
        <w:ind w:right="240" w:firstLine="696"/>
        <w:spacing w:after="0" w:line="259" w:lineRule="auto"/>
        <w:rPr>
          <w:sz w:val="20"/>
          <w:szCs w:val="20"/>
          <w:color w:val="auto"/>
        </w:rPr>
      </w:pPr>
      <w:r>
        <w:rPr>
          <w:rFonts w:ascii="Times New Roman" w:cs="Times New Roman" w:eastAsia="Times New Roman" w:hAnsi="Times New Roman"/>
          <w:sz w:val="19"/>
          <w:szCs w:val="19"/>
          <w:color w:val="auto"/>
        </w:rPr>
        <w:t xml:space="preserve">Reference is made to the Warehouse Agreement, dated as of November 18, 2022 (as amended, restated, supplemented or otherwise modified from time to time, the “Warehouse Agreement”), among VFS Near Prime Trust I, as borrower, United Auto Credit Corporation, as servicer and as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paying agent, the lenders from time to time parties thereto and Fifth Third Bank, National Association, as administrative agent (the “Administrative Agent”). Capitalized terms used but not otherwise defined herein shall have the meaning given to them in the Warehouse Agreement.</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__________________ (the “Assignor”) and ___________________ (the “Assignee”) agree as follows:</w:t>
      </w:r>
    </w:p>
    <w:p>
      <w:pPr>
        <w:spacing w:after="0" w:line="202" w:lineRule="exact"/>
        <w:rPr>
          <w:sz w:val="20"/>
          <w:szCs w:val="20"/>
          <w:color w:val="auto"/>
        </w:rPr>
      </w:pPr>
    </w:p>
    <w:p>
      <w:pPr>
        <w:ind w:right="120" w:firstLine="702"/>
        <w:spacing w:after="0" w:line="257" w:lineRule="auto"/>
        <w:tabs>
          <w:tab w:leader="none" w:pos="888"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Assignor hereby sells and assigns to the Assignee, and the Assignee hereby purchases and assumes from the Assignor, that interest in and to all of the Assignor’s rights and obligations under the Warehouse Agreement as of the date hereof which represents the Invested Percentage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spacing w:after="0" w:line="156" w:lineRule="exact"/>
        <w:rPr>
          <w:rFonts w:ascii="Times New Roman" w:cs="Times New Roman" w:eastAsia="Times New Roman" w:hAnsi="Times New Roman"/>
          <w:sz w:val="19"/>
          <w:szCs w:val="19"/>
          <w:color w:val="auto"/>
        </w:rPr>
      </w:pPr>
    </w:p>
    <w:p>
      <w:pPr>
        <w:ind w:right="280" w:firstLine="702"/>
        <w:spacing w:after="0" w:line="286" w:lineRule="auto"/>
        <w:tabs>
          <w:tab w:leader="none" w:pos="888"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Assignor represents and warrants that it is the legal and beneficial owner of the interest being assigned by it hereunder and that such interest is free and clear of any Lien.</w:t>
      </w:r>
    </w:p>
    <w:p>
      <w:pPr>
        <w:spacing w:after="0" w:line="127" w:lineRule="exact"/>
        <w:rPr>
          <w:rFonts w:ascii="Times New Roman" w:cs="Times New Roman" w:eastAsia="Times New Roman" w:hAnsi="Times New Roman"/>
          <w:sz w:val="19"/>
          <w:szCs w:val="19"/>
          <w:color w:val="auto"/>
        </w:rPr>
      </w:pPr>
    </w:p>
    <w:p>
      <w:pPr>
        <w:ind w:firstLine="702"/>
        <w:spacing w:after="0" w:line="253" w:lineRule="auto"/>
        <w:tabs>
          <w:tab w:leader="none" w:pos="888"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 Assignee agrees that it will perform in accordance with their terms all of the obligations which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891540</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7" w:name="page238"/>
    <w:bookmarkEnd w:id="237"/>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spacing w:after="0" w:line="144" w:lineRule="exact"/>
        <w:rPr>
          <w:sz w:val="20"/>
          <w:szCs w:val="20"/>
          <w:color w:val="auto"/>
        </w:rPr>
      </w:pPr>
    </w:p>
    <w:p>
      <w:pPr>
        <w:ind w:right="120" w:firstLine="702"/>
        <w:spacing w:after="0" w:line="268" w:lineRule="auto"/>
        <w:tabs>
          <w:tab w:leader="none" w:pos="888"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execution of this Assignment and Acceptance by the Assignor and the Assignee, it will be delivered to the Administrative Agent for acceptance. The effective date of this Assignment and Acceptance (the “Assignment Date”) shall be the date of acceptance thereof by the Administrative Agent, unless a later date is specified in Section 3 of Schedule 1.</w:t>
      </w:r>
    </w:p>
    <w:p>
      <w:pPr>
        <w:spacing w:after="0" w:line="144" w:lineRule="exact"/>
        <w:rPr>
          <w:rFonts w:ascii="Times New Roman" w:cs="Times New Roman" w:eastAsia="Times New Roman" w:hAnsi="Times New Roman"/>
          <w:sz w:val="19"/>
          <w:szCs w:val="19"/>
          <w:color w:val="auto"/>
        </w:rPr>
      </w:pPr>
    </w:p>
    <w:p>
      <w:pPr>
        <w:ind w:right="20" w:firstLine="702"/>
        <w:spacing w:after="0" w:line="268" w:lineRule="auto"/>
        <w:tabs>
          <w:tab w:leader="none" w:pos="888"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spacing w:after="0" w:line="144" w:lineRule="exact"/>
        <w:rPr>
          <w:rFonts w:ascii="Times New Roman" w:cs="Times New Roman" w:eastAsia="Times New Roman" w:hAnsi="Times New Roman"/>
          <w:sz w:val="19"/>
          <w:szCs w:val="19"/>
          <w:color w:val="auto"/>
        </w:rPr>
      </w:pPr>
    </w:p>
    <w:p>
      <w:pPr>
        <w:ind w:right="80" w:firstLine="702"/>
        <w:spacing w:after="0" w:line="257" w:lineRule="auto"/>
        <w:tabs>
          <w:tab w:leader="none" w:pos="888"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covering all or the remaining portion of an assigning Assignor’s rights and obligations under the Warehouse Agreement, Assignor shall cease to be a party thereto).</w:t>
      </w:r>
    </w:p>
    <w:p>
      <w:pPr>
        <w:spacing w:after="0" w:line="156" w:lineRule="exact"/>
        <w:rPr>
          <w:rFonts w:ascii="Times New Roman" w:cs="Times New Roman" w:eastAsia="Times New Roman" w:hAnsi="Times New Roman"/>
          <w:sz w:val="19"/>
          <w:szCs w:val="19"/>
          <w:color w:val="auto"/>
        </w:rPr>
      </w:pPr>
    </w:p>
    <w:p>
      <w:pPr>
        <w:ind w:right="120" w:firstLine="702"/>
        <w:spacing w:after="0" w:line="259" w:lineRule="auto"/>
        <w:tabs>
          <w:tab w:leader="none" w:pos="888"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spacing w:after="0" w:line="151" w:lineRule="exact"/>
        <w:rPr>
          <w:rFonts w:ascii="Times New Roman" w:cs="Times New Roman" w:eastAsia="Times New Roman" w:hAnsi="Times New Roman"/>
          <w:sz w:val="19"/>
          <w:szCs w:val="19"/>
          <w:color w:val="auto"/>
        </w:rPr>
      </w:pPr>
    </w:p>
    <w:p>
      <w:pPr>
        <w:ind w:right="20" w:firstLine="702"/>
        <w:spacing w:after="0" w:line="269" w:lineRule="auto"/>
        <w:tabs>
          <w:tab w:leader="none" w:pos="888"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THIS ASSIGNMENT AND ACCEPTANCE SHALL BE GOVERNED BY, AND CONSTRUED IN ACCORDANCE WITH, THE LAWS OF THE STATE OF NEW YORK WITHOUT REGARD TO PRINCIPLES OF CONFLICTS OF LAW PROVISIONS (OTHER THAN SECTIONS 5-1401 AND 5-1402 OF THE NEW YORK GENERAL OBLIGATIONS LAW).</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C-155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38" w:name="page239"/>
    <w:bookmarkEnd w:id="238"/>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Assignor and the Assignee have executed this Acceptance and Assignment as of the day and year first written above.</w:t>
      </w:r>
    </w:p>
    <w:p>
      <w:pPr>
        <w:spacing w:after="0" w:line="1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_______________, as Assignor</w:t>
      </w:r>
    </w:p>
    <w:p>
      <w:pPr>
        <w:spacing w:after="0" w:line="200" w:lineRule="exact"/>
        <w:rPr>
          <w:sz w:val="20"/>
          <w:szCs w:val="20"/>
          <w:color w:val="auto"/>
        </w:rPr>
      </w:pPr>
    </w:p>
    <w:p>
      <w:pPr>
        <w:spacing w:after="0" w:line="3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_______________, as Assignee</w:t>
      </w:r>
    </w:p>
    <w:p>
      <w:pPr>
        <w:spacing w:after="0" w:line="200" w:lineRule="exact"/>
        <w:rPr>
          <w:sz w:val="20"/>
          <w:szCs w:val="20"/>
          <w:color w:val="auto"/>
        </w:rPr>
      </w:pPr>
    </w:p>
    <w:p>
      <w:pPr>
        <w:spacing w:after="0" w:line="3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VFS Near Prime Trust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With a copy to: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United Auto Credit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1071 Camelback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Newport Beach, CA 92660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Attention: Jon Sandison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Email: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color w:val="auto"/>
        </w:rPr>
        <w:t>C-156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660" w:top="1440" w:right="1000" w:bottom="1440" w:gutter="0" w:footer="0" w:header="0"/>
        </w:sectPr>
      </w:pPr>
    </w:p>
    <w:bookmarkStart w:id="239" w:name="page240"/>
    <w:bookmarkEnd w:id="239"/>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1</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to</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Assignment and Acceptance</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Dated _________, 20_</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80" w:type="dxa"/>
            <w:vAlign w:val="bottom"/>
          </w:tcPr>
          <w:p>
            <w:pPr>
              <w:ind w:left="1620"/>
              <w:spacing w:after="0"/>
              <w:rPr>
                <w:sz w:val="20"/>
                <w:szCs w:val="20"/>
                <w:color w:val="auto"/>
              </w:rPr>
            </w:pPr>
            <w:r>
              <w:rPr>
                <w:rFonts w:ascii="Times New Roman" w:cs="Times New Roman" w:eastAsia="Times New Roman" w:hAnsi="Times New Roman"/>
                <w:sz w:val="19"/>
                <w:szCs w:val="19"/>
                <w:color w:val="auto"/>
              </w:rPr>
              <w:t>Section 1.</w:t>
            </w:r>
          </w:p>
        </w:tc>
        <w:tc>
          <w:tcPr>
            <w:tcW w:w="4180" w:type="dxa"/>
            <w:vAlign w:val="bottom"/>
          </w:tcPr>
          <w:p>
            <w:pPr>
              <w:spacing w:after="0"/>
              <w:rPr>
                <w:sz w:val="21"/>
                <w:szCs w:val="21"/>
                <w:color w:val="auto"/>
              </w:rPr>
            </w:pPr>
          </w:p>
        </w:tc>
      </w:tr>
      <w:tr>
        <w:trPr>
          <w:trHeight w:val="420"/>
        </w:trPr>
        <w:tc>
          <w:tcPr>
            <w:tcW w:w="638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Invested Percentage:</w:t>
            </w:r>
          </w:p>
        </w:tc>
        <w:tc>
          <w:tcPr>
            <w:tcW w:w="4180" w:type="dxa"/>
            <w:vAlign w:val="bottom"/>
          </w:tcPr>
          <w:p>
            <w:pPr>
              <w:ind w:left="560"/>
              <w:spacing w:after="0"/>
              <w:rPr>
                <w:sz w:val="20"/>
                <w:szCs w:val="20"/>
                <w:color w:val="auto"/>
              </w:rPr>
            </w:pPr>
            <w:r>
              <w:rPr>
                <w:rFonts w:ascii="Times New Roman" w:cs="Times New Roman" w:eastAsia="Times New Roman" w:hAnsi="Times New Roman"/>
                <w:sz w:val="19"/>
                <w:szCs w:val="19"/>
                <w:color w:val="auto"/>
              </w:rPr>
              <w:t>________%</w:t>
            </w:r>
          </w:p>
        </w:tc>
      </w:tr>
      <w:tr>
        <w:trPr>
          <w:trHeight w:val="516"/>
        </w:trPr>
        <w:tc>
          <w:tcPr>
            <w:tcW w:w="6380" w:type="dxa"/>
            <w:vAlign w:val="bottom"/>
          </w:tcPr>
          <w:p>
            <w:pPr>
              <w:ind w:left="1620"/>
              <w:spacing w:after="0"/>
              <w:rPr>
                <w:sz w:val="20"/>
                <w:szCs w:val="20"/>
                <w:color w:val="auto"/>
              </w:rPr>
            </w:pPr>
            <w:r>
              <w:rPr>
                <w:rFonts w:ascii="Times New Roman" w:cs="Times New Roman" w:eastAsia="Times New Roman" w:hAnsi="Times New Roman"/>
                <w:sz w:val="19"/>
                <w:szCs w:val="19"/>
                <w:color w:val="auto"/>
              </w:rPr>
              <w:t>Section 2.</w:t>
            </w:r>
          </w:p>
        </w:tc>
        <w:tc>
          <w:tcPr>
            <w:tcW w:w="4180" w:type="dxa"/>
            <w:vAlign w:val="bottom"/>
          </w:tcPr>
          <w:p>
            <w:pPr>
              <w:spacing w:after="0"/>
              <w:rPr>
                <w:sz w:val="24"/>
                <w:szCs w:val="24"/>
                <w:color w:val="auto"/>
              </w:rPr>
            </w:pPr>
          </w:p>
        </w:tc>
      </w:tr>
      <w:tr>
        <w:trPr>
          <w:trHeight w:val="420"/>
        </w:trPr>
        <w:tc>
          <w:tcPr>
            <w:tcW w:w="638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Assignee’s Commitment:</w:t>
            </w:r>
          </w:p>
        </w:tc>
        <w:tc>
          <w:tcPr>
            <w:tcW w:w="4180" w:type="dxa"/>
            <w:vAlign w:val="bottom"/>
          </w:tcPr>
          <w:p>
            <w:pPr>
              <w:ind w:left="560"/>
              <w:spacing w:after="0"/>
              <w:rPr>
                <w:sz w:val="20"/>
                <w:szCs w:val="20"/>
                <w:color w:val="auto"/>
              </w:rPr>
            </w:pPr>
            <w:r>
              <w:rPr>
                <w:rFonts w:ascii="Times New Roman" w:cs="Times New Roman" w:eastAsia="Times New Roman" w:hAnsi="Times New Roman"/>
                <w:sz w:val="19"/>
                <w:szCs w:val="19"/>
                <w:color w:val="auto"/>
              </w:rPr>
              <w:t>$_____________</w:t>
            </w:r>
          </w:p>
        </w:tc>
      </w:tr>
      <w:tr>
        <w:trPr>
          <w:trHeight w:val="420"/>
        </w:trPr>
        <w:tc>
          <w:tcPr>
            <w:tcW w:w="638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Aggregate Lender Advances Owing to the Assignee:</w:t>
            </w:r>
          </w:p>
        </w:tc>
        <w:tc>
          <w:tcPr>
            <w:tcW w:w="4180" w:type="dxa"/>
            <w:vAlign w:val="bottom"/>
          </w:tcPr>
          <w:p>
            <w:pPr>
              <w:ind w:left="560"/>
              <w:spacing w:after="0"/>
              <w:rPr>
                <w:sz w:val="20"/>
                <w:szCs w:val="20"/>
                <w:color w:val="auto"/>
              </w:rPr>
            </w:pPr>
            <w:r>
              <w:rPr>
                <w:rFonts w:ascii="Times New Roman" w:cs="Times New Roman" w:eastAsia="Times New Roman" w:hAnsi="Times New Roman"/>
                <w:sz w:val="19"/>
                <w:szCs w:val="19"/>
                <w:color w:val="auto"/>
              </w:rPr>
              <w:t>$_____________</w:t>
            </w:r>
          </w:p>
        </w:tc>
      </w:tr>
      <w:tr>
        <w:trPr>
          <w:trHeight w:val="516"/>
        </w:trPr>
        <w:tc>
          <w:tcPr>
            <w:tcW w:w="6380" w:type="dxa"/>
            <w:vAlign w:val="bottom"/>
          </w:tcPr>
          <w:p>
            <w:pPr>
              <w:ind w:left="1620"/>
              <w:spacing w:after="0"/>
              <w:rPr>
                <w:sz w:val="20"/>
                <w:szCs w:val="20"/>
                <w:color w:val="auto"/>
              </w:rPr>
            </w:pPr>
            <w:r>
              <w:rPr>
                <w:rFonts w:ascii="Times New Roman" w:cs="Times New Roman" w:eastAsia="Times New Roman" w:hAnsi="Times New Roman"/>
                <w:sz w:val="19"/>
                <w:szCs w:val="19"/>
                <w:color w:val="auto"/>
              </w:rPr>
              <w:t>Section 3.</w:t>
            </w:r>
          </w:p>
        </w:tc>
        <w:tc>
          <w:tcPr>
            <w:tcW w:w="4180" w:type="dxa"/>
            <w:vAlign w:val="bottom"/>
          </w:tcPr>
          <w:p>
            <w:pPr>
              <w:spacing w:after="0"/>
              <w:rPr>
                <w:sz w:val="24"/>
                <w:szCs w:val="24"/>
                <w:color w:val="auto"/>
              </w:rPr>
            </w:pPr>
          </w:p>
        </w:tc>
      </w:tr>
      <w:tr>
        <w:trPr>
          <w:trHeight w:val="420"/>
        </w:trPr>
        <w:tc>
          <w:tcPr>
            <w:tcW w:w="638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Assignment Date: _____________, 20_</w:t>
            </w:r>
          </w:p>
        </w:tc>
        <w:tc>
          <w:tcPr>
            <w:tcW w:w="4180" w:type="dxa"/>
            <w:vAlign w:val="bottom"/>
          </w:tcPr>
          <w:p>
            <w:pPr>
              <w:spacing w:after="0"/>
              <w:rPr>
                <w:sz w:val="24"/>
                <w:szCs w:val="24"/>
                <w:color w:val="auto"/>
              </w:rPr>
            </w:pPr>
          </w:p>
        </w:tc>
      </w:tr>
      <w:tr>
        <w:trPr>
          <w:trHeight w:val="408"/>
        </w:trPr>
        <w:tc>
          <w:tcPr>
            <w:tcW w:w="6380" w:type="dxa"/>
            <w:vAlign w:val="bottom"/>
          </w:tcPr>
          <w:p>
            <w:pPr>
              <w:ind w:left="5040"/>
              <w:spacing w:after="0"/>
              <w:rPr>
                <w:sz w:val="20"/>
                <w:szCs w:val="20"/>
                <w:color w:val="auto"/>
              </w:rPr>
            </w:pPr>
            <w:r>
              <w:rPr>
                <w:rFonts w:ascii="Times New Roman" w:cs="Times New Roman" w:eastAsia="Times New Roman" w:hAnsi="Times New Roman"/>
                <w:sz w:val="19"/>
                <w:szCs w:val="19"/>
                <w:color w:val="auto"/>
              </w:rPr>
              <w:t>C-157</w:t>
            </w:r>
          </w:p>
        </w:tc>
        <w:tc>
          <w:tcPr>
            <w:tcW w:w="4180" w:type="dxa"/>
            <w:vAlign w:val="bottom"/>
          </w:tcPr>
          <w:p>
            <w:pPr>
              <w:spacing w:after="0"/>
              <w:rPr>
                <w:sz w:val="24"/>
                <w:szCs w:val="24"/>
                <w:color w:val="auto"/>
              </w:rPr>
            </w:pPr>
          </w:p>
        </w:tc>
      </w:tr>
      <w:tr>
        <w:trPr>
          <w:trHeight w:val="1022"/>
        </w:trPr>
        <w:tc>
          <w:tcPr>
            <w:tcW w:w="6380" w:type="dxa"/>
            <w:vAlign w:val="bottom"/>
            <w:tcBorders>
              <w:bottom w:val="single" w:sz="8" w:color="EEEEEE"/>
            </w:tcBorders>
          </w:tcPr>
          <w:p>
            <w:pPr>
              <w:spacing w:after="0"/>
              <w:rPr>
                <w:sz w:val="24"/>
                <w:szCs w:val="24"/>
                <w:color w:val="auto"/>
              </w:rPr>
            </w:pPr>
          </w:p>
        </w:tc>
        <w:tc>
          <w:tcPr>
            <w:tcW w:w="4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0" w:name="page241"/>
    <w:bookmarkEnd w:id="240"/>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D</w:t>
      </w:r>
    </w:p>
    <w:p>
      <w:pPr>
        <w:spacing w:after="0" w:line="39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222222"/>
        </w:rPr>
        <w:t>[***]</w:t>
      </w:r>
    </w:p>
    <w:p>
      <w:pPr>
        <w:spacing w:after="0" w:line="29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[Provided In Electronic Form to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1091565</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241" w:name="page242"/>
    <w:bookmarkEnd w:id="241"/>
    <w:p>
      <w:pPr>
        <w:spacing w:after="0" w:line="26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9"/>
          <w:szCs w:val="19"/>
          <w:color w:val="auto"/>
        </w:rPr>
        <w:t>EXHIBIT 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POWER OF ATTORNEY</w:t>
      </w:r>
    </w:p>
    <w:p>
      <w:pPr>
        <w:spacing w:after="0" w:line="298"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auto"/>
        </w:rPr>
        <w:t xml:space="preserve">This Power of Attorney (this “Power of Attorney”) is executed and delivered by VFS Near Prime Trust I (“Grantor”) to Fifth Third Bank, National Association, as Administrative Agent (“Attorney”), pursuant to the Warehouse Agreement, dated as of November 18, 2022 (as amended, restated, supplemented or otherwise modified from time to time, the “Warehouse Agreement”), among VFS Near Prime Trust I, as borrower (the “Borrower”), United Auto Credit Corporation, as servicer and as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paying agent, the lenders from time to time parties thereto, and Fifth Third Bank, National Association, as administrative agent. Capitalized terms used herein that are not otherwise defined shall have the meanings ascribed thereto in the Warehouse Agreement.</w:t>
      </w:r>
    </w:p>
    <w:p>
      <w:pPr>
        <w:spacing w:after="0" w:line="157"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 or Attorney has provided its written consent thereto.</w:t>
      </w:r>
    </w:p>
    <w:p>
      <w:pPr>
        <w:spacing w:after="0" w:line="157"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889000</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2" w:name="page243"/>
    <w:bookmarkEnd w:id="242"/>
    <w:p>
      <w:pPr>
        <w:spacing w:after="0" w:line="2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instruments of 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All actions taken by Attorney pursuant to this Power of Attorney may be taken directly by the Administrative Agent.</w:t>
      </w:r>
    </w:p>
    <w:p>
      <w:pPr>
        <w:spacing w:after="0" w:line="157"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Grantor hereby ratifies, to the extent permitted by Applicable Law, all that said attorneys shall lawfully do or cause to be done by virtue hereof.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 WITNESS WHEREOF, this Power of Attorney is executed by Grantor as of this __ day of [_____________] 2022.</w:t>
      </w:r>
    </w:p>
    <w:p>
      <w:pPr>
        <w:spacing w:after="0" w:line="20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VFS NEAR PRIME TRUST I</w:t>
      </w:r>
    </w:p>
    <w:p>
      <w:pPr>
        <w:spacing w:after="0" w:line="23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3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Sworn to and subscribed before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 this __ day of [_________]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Notary Public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[NOTARY SEAL]</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E-160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43" w:name="page244"/>
    <w:bookmarkEnd w:id="243"/>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F</w:t>
      </w:r>
    </w:p>
    <w:p>
      <w:pPr>
        <w:spacing w:after="0" w:line="39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auto"/>
        </w:rPr>
        <w:t>FORM OF MONTHLY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1091565</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244" w:name="page245"/>
    <w:bookmarkEnd w:id="244"/>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G</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RECEIVABLE RECEIPT</w:t>
      </w:r>
    </w:p>
    <w:p>
      <w:pPr>
        <w:spacing w:after="0" w:line="2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auto"/>
        </w:rPr>
        <w:t>__________, 202</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38 Fountain Square Plaza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MD 1090TC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Cincinnati, OH 45202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Attention: Joy Rutan; Steven Ellis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E-mail: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Telephone No.: </w:t>
      </w:r>
      <w:r>
        <w:rPr>
          <w:rFonts w:ascii="Times New Roman" w:cs="Times New Roman" w:eastAsia="Times New Roman" w:hAnsi="Times New Roman"/>
          <w:sz w:val="19"/>
          <w:szCs w:val="19"/>
          <w:color w:val="222222"/>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 VFS Near Prime Trust 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[___________]</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Re: VFS Near Prime Trust I Warehouse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02"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auto"/>
        </w:rPr>
        <w:t xml:space="preserve">Reference is made to the Warehouse Agreement, dated as of November 18, 2022 (as amended, restated, supplemented or otherwise modified from time to time, the “Warehouse Agreement”), among VFS Near Prime Trust I, as borrower, United Auto Credit Corporation (“UACC”), as servicer and as custodian (in such capacity, the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paying agent, the lenders from time to time parties thereto, and Fifth Third Bank, National Association, as administrative agent (the “Administrative Agent”).</w:t>
      </w:r>
    </w:p>
    <w:p>
      <w:pPr>
        <w:spacing w:after="0" w:line="150" w:lineRule="exact"/>
        <w:rPr>
          <w:sz w:val="20"/>
          <w:szCs w:val="20"/>
          <w:color w:val="auto"/>
        </w:rPr>
      </w:pPr>
    </w:p>
    <w:p>
      <w:pPr>
        <w:ind w:right="140" w:firstLine="696"/>
        <w:spacing w:after="0" w:line="256" w:lineRule="auto"/>
        <w:rPr>
          <w:sz w:val="20"/>
          <w:szCs w:val="20"/>
          <w:color w:val="auto"/>
        </w:rPr>
      </w:pPr>
      <w:r>
        <w:rPr>
          <w:rFonts w:ascii="Times New Roman" w:cs="Times New Roman" w:eastAsia="Times New Roman" w:hAnsi="Times New Roman"/>
          <w:sz w:val="19"/>
          <w:szCs w:val="19"/>
          <w:color w:val="auto"/>
        </w:rPr>
        <w:t>The undersigned, on behalf of UACC, in its capacity as Custodian under the Warehouse Agreement, hereby (i) confirms (x) in the case of Tangible Contracts, that it is in possession of the executed original counterpart of the Contracts set forth on Schedule 1 hereto, evidencing the related Receivables along with the Receivable Files related thereto, or (y) in the case of an Electronic Contract, that the Custodian has “control” for the benefit of the Administrative Agent (within the meaning of Section 9-105 of the UCC) of the Electronic Contracts set forth on Schedule 1 hereto, and (ii) acknowledges that the executed original counterparts or the Authoritative Copies, as applicable, of the Contracts set forth on Schedule 2 hereto have not been delivered to the Custodian or are mutilated or damaged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5" w:name="page246"/>
    <w:bookmarkEnd w:id="245"/>
    <w:p>
      <w:pPr>
        <w:spacing w:after="0" w:line="269"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Capitalized terms used herein that are not otherwise defined shall have the meaning ascribed thereto in the Warehouse Agreement.</w:t>
      </w:r>
    </w:p>
    <w:p>
      <w:pPr>
        <w:spacing w:after="0" w:line="1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as Custodian</w:t>
      </w:r>
    </w:p>
    <w:p>
      <w:pPr>
        <w:spacing w:after="0" w:line="200" w:lineRule="exact"/>
        <w:rPr>
          <w:sz w:val="20"/>
          <w:szCs w:val="20"/>
          <w:color w:val="auto"/>
        </w:rPr>
      </w:pPr>
    </w:p>
    <w:p>
      <w:pPr>
        <w:spacing w:after="0" w:line="36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color w:val="auto"/>
        </w:rPr>
        <w:t>G-163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246" w:name="page247"/>
    <w:bookmarkEnd w:id="246"/>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G-164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7" w:name="page248"/>
    <w:bookmarkEnd w:id="247"/>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G-165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8" w:name="page249"/>
    <w:bookmarkEnd w:id="248"/>
    <w:p>
      <w:pPr>
        <w:spacing w:after="0" w:line="26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EXHIBIT 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SECURITIZATION RELEASE</w:t>
      </w:r>
    </w:p>
    <w:p>
      <w:pPr>
        <w:spacing w:after="0" w:line="298"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 xml:space="preserve">Reference is hereby made to the Warehouse Agreement, Warehouse Agreement, dated as of November 18, 2022 (as amended, restated, supplemented or otherwise modified from time to time, the “Warehouse Agreement”), among the Borrower, United Auto Credit Corporation, as servicer and as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paying agent, the Lenders from time to time party thereto, and Fifth Third Bank, National Association, as administrative agent. Capitalized terms not otherwise defined herein have the meanings ascribed thereto in the Warehouse Agreement.</w:t>
      </w:r>
    </w:p>
    <w:p>
      <w:pPr>
        <w:spacing w:after="0" w:line="154"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auto"/>
        </w:rPr>
        <w:t>The Borrower hereby represents and warrants that each condition in the Warehouse Agreement and each other Basic Document, to the consummation of the Securitization to which this Securitization Release relates, has been satisfied, including but not limited to delivery of (i) the executed Securitization Date Certificate, in substantially the form attached hereto as Annex 1 and (i) the executed notice, in substantially the form attached hereto as Annex 2.</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Upon deposit in the Collection Account of $___________ in accordance with Section 2.15(a)(iv) in immediately available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funds, the Administrative Agent hereby releases all of its right, title and interest, including its Lien, in and to the following:</w:t>
      </w:r>
    </w:p>
    <w:p>
      <w:pPr>
        <w:spacing w:after="0" w:line="180" w:lineRule="exact"/>
        <w:rPr>
          <w:sz w:val="20"/>
          <w:szCs w:val="20"/>
          <w:color w:val="auto"/>
        </w:rPr>
      </w:pPr>
    </w:p>
    <w:p>
      <w:pPr>
        <w:ind w:left="700" w:right="200" w:firstLine="746"/>
        <w:spacing w:after="0" w:line="257" w:lineRule="auto"/>
        <w:tabs>
          <w:tab w:leader="none" w:pos="1705"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Receivables to be transferred by the Borrower in the related Securitization and described in Schedule I hereto (the “Securitized Assets” and such Schedule, the “Schedule of Securitized Assets”), together with the related Contracts (including the agreement to service the Receivables), whether now existing or hereafter acquired, and any accounts or obligations evidenced thereby, any guarantee thereof, all Collections related thereto, and all monies due (including any payments made under any guarantee or similar credit enhancement with respect to any such Securitized Assets) or to become due or received by any Person in payment of any of the foregoing on or after the related Securitization Date;</w:t>
      </w:r>
    </w:p>
    <w:p>
      <w:pPr>
        <w:spacing w:after="0" w:line="156" w:lineRule="exact"/>
        <w:rPr>
          <w:rFonts w:ascii="Times New Roman" w:cs="Times New Roman" w:eastAsia="Times New Roman" w:hAnsi="Times New Roman"/>
          <w:sz w:val="19"/>
          <w:szCs w:val="19"/>
          <w:color w:val="auto"/>
        </w:rPr>
      </w:pPr>
    </w:p>
    <w:p>
      <w:pPr>
        <w:ind w:left="700" w:right="40" w:firstLine="746"/>
        <w:spacing w:after="0" w:line="262" w:lineRule="auto"/>
        <w:tabs>
          <w:tab w:leader="none" w:pos="171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Borrower’s interest in the Financed Vehicles relating to the Securitized Assets (including repossessed vehicles) or in any document or writing evidencing any security interest in any such Financed Vehicle and each security interest in each such Financed Vehicle, whether now existing or hereafter acquired, including all proceeds from any sale or other disposition of such Financed Vehicles;</w:t>
      </w:r>
    </w:p>
    <w:p>
      <w:pPr>
        <w:spacing w:after="0" w:line="150" w:lineRule="exact"/>
        <w:rPr>
          <w:rFonts w:ascii="Times New Roman" w:cs="Times New Roman" w:eastAsia="Times New Roman" w:hAnsi="Times New Roman"/>
          <w:sz w:val="19"/>
          <w:szCs w:val="19"/>
          <w:color w:val="auto"/>
        </w:rPr>
      </w:pPr>
    </w:p>
    <w:p>
      <w:pPr>
        <w:ind w:left="700" w:right="80" w:firstLine="746"/>
        <w:spacing w:after="0" w:line="262" w:lineRule="auto"/>
        <w:tabs>
          <w:tab w:leader="none" w:pos="1705"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Receivable Files, Servicer Files and the Schedule of Securitized Assets, relating to the Securitized Assets, whether now existing or hereafter acquired, and all right, title and interest of the Borrower in and to the documents, agreements and instruments included in the Receivable Files, including rights of recourse of the Borrower against the Originator and/or any Dealer;</w:t>
      </w:r>
    </w:p>
    <w:p>
      <w:pPr>
        <w:spacing w:after="0" w:line="150" w:lineRule="exact"/>
        <w:rPr>
          <w:rFonts w:ascii="Times New Roman" w:cs="Times New Roman" w:eastAsia="Times New Roman" w:hAnsi="Times New Roman"/>
          <w:sz w:val="19"/>
          <w:szCs w:val="19"/>
          <w:color w:val="auto"/>
        </w:rPr>
      </w:pPr>
    </w:p>
    <w:p>
      <w:pPr>
        <w:ind w:left="700" w:firstLine="746"/>
        <w:spacing w:after="0" w:line="286" w:lineRule="auto"/>
        <w:tabs>
          <w:tab w:leader="none" w:pos="171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Borrower’s interest in all Records, documents and writings evidencing or related to the Securitized Assets or the related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9" w:name="page250"/>
    <w:bookmarkEnd w:id="249"/>
    <w:p>
      <w:pPr>
        <w:spacing w:after="0" w:line="269" w:lineRule="exact"/>
        <w:rPr>
          <w:sz w:val="20"/>
          <w:szCs w:val="20"/>
          <w:color w:val="auto"/>
        </w:rPr>
      </w:pPr>
    </w:p>
    <w:p>
      <w:pPr>
        <w:ind w:left="-80" w:right="120" w:firstLine="746"/>
        <w:spacing w:after="0" w:line="262" w:lineRule="auto"/>
        <w:tabs>
          <w:tab w:leader="none" w:pos="925"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Borrower’s interest in all rights to payment under all Insurance Policies with respect to a Financed Vehicle related to a Securitized Asset, including any monies collected from whatever source in connection with any default of an Obligor with respect to such Financed Vehicle and any proceeds from claims or refunds of premiums on any such Insurance Policy, whether now existing or hereafter acquired, and all proceeds thereof;</w:t>
      </w:r>
    </w:p>
    <w:p>
      <w:pPr>
        <w:spacing w:after="0" w:line="150" w:lineRule="exact"/>
        <w:rPr>
          <w:rFonts w:ascii="Times New Roman" w:cs="Times New Roman" w:eastAsia="Times New Roman" w:hAnsi="Times New Roman"/>
          <w:sz w:val="19"/>
          <w:szCs w:val="19"/>
          <w:color w:val="auto"/>
        </w:rPr>
      </w:pPr>
    </w:p>
    <w:p>
      <w:pPr>
        <w:ind w:left="-80" w:firstLine="746"/>
        <w:spacing w:after="0" w:line="268" w:lineRule="auto"/>
        <w:tabs>
          <w:tab w:leader="none" w:pos="904"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Borrower’s interest in all guaranties, indemnities, warranties, insurance (and proceeds and premium refunds thereof) payments and other agreements or arrangements of whatever character from time to time supporting or securing payment of the Securitized Assets, whether pursuant to the related Contracts or otherwise;</w:t>
      </w:r>
    </w:p>
    <w:p>
      <w:pPr>
        <w:spacing w:after="0" w:line="144" w:lineRule="exact"/>
        <w:rPr>
          <w:rFonts w:ascii="Times New Roman" w:cs="Times New Roman" w:eastAsia="Times New Roman" w:hAnsi="Times New Roman"/>
          <w:sz w:val="19"/>
          <w:szCs w:val="19"/>
          <w:color w:val="auto"/>
        </w:rPr>
      </w:pPr>
    </w:p>
    <w:p>
      <w:pPr>
        <w:ind w:left="-80" w:firstLine="746"/>
        <w:spacing w:after="0" w:line="268" w:lineRule="auto"/>
        <w:tabs>
          <w:tab w:leader="none" w:pos="936"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Borrower’s interest in all rights to payment under all service contracts and other contracts and agreements associated with the Securitized Assets and all of the Borrower’s interest in all recourse rights against the related Dealer (excluding any rights in any dealer reserve and rights under the related Dealer Agreement);</w:t>
      </w:r>
    </w:p>
    <w:p>
      <w:pPr>
        <w:spacing w:after="0" w:line="144" w:lineRule="exact"/>
        <w:rPr>
          <w:rFonts w:ascii="Times New Roman" w:cs="Times New Roman" w:eastAsia="Times New Roman" w:hAnsi="Times New Roman"/>
          <w:sz w:val="19"/>
          <w:szCs w:val="19"/>
          <w:color w:val="auto"/>
        </w:rPr>
      </w:pPr>
    </w:p>
    <w:p>
      <w:pPr>
        <w:ind w:left="-80" w:right="540" w:firstLine="746"/>
        <w:spacing w:after="0" w:line="268" w:lineRule="auto"/>
        <w:tabs>
          <w:tab w:leader="none" w:pos="936"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security interests, Liens, guaranties and other encumbrances in favor of or assigned or transferred to the Borrower in and to the Securitized Assets, whether now existing or hereafter acquired, and the related Financed Vehicles, whether now existing or hereafter acquired;</w:t>
      </w:r>
    </w:p>
    <w:p>
      <w:pPr>
        <w:spacing w:after="0" w:line="144" w:lineRule="exact"/>
        <w:rPr>
          <w:rFonts w:ascii="Times New Roman" w:cs="Times New Roman" w:eastAsia="Times New Roman" w:hAnsi="Times New Roman"/>
          <w:sz w:val="19"/>
          <w:szCs w:val="19"/>
          <w:color w:val="auto"/>
        </w:rPr>
      </w:pPr>
    </w:p>
    <w:p>
      <w:pPr>
        <w:ind w:left="-80" w:right="300" w:firstLine="746"/>
        <w:spacing w:after="0" w:line="268" w:lineRule="auto"/>
        <w:tabs>
          <w:tab w:leader="none" w:pos="893"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deposit accounts, monies, deposits, funds, accounts and instruments relating to the foregoing (subject, with respect to the Account Collateral relating to the Lockbox Account, to the Intercreditor Agreement and the Intercreditor Party Supplement);</w:t>
      </w:r>
    </w:p>
    <w:p>
      <w:pPr>
        <w:spacing w:after="0" w:line="144" w:lineRule="exact"/>
        <w:rPr>
          <w:rFonts w:ascii="Times New Roman" w:cs="Times New Roman" w:eastAsia="Times New Roman" w:hAnsi="Times New Roman"/>
          <w:sz w:val="19"/>
          <w:szCs w:val="19"/>
          <w:color w:val="auto"/>
        </w:rPr>
      </w:pPr>
    </w:p>
    <w:p>
      <w:pPr>
        <w:ind w:left="-80" w:right="240" w:firstLine="746"/>
        <w:spacing w:after="0" w:line="262" w:lineRule="auto"/>
        <w:tabs>
          <w:tab w:leader="none" w:pos="893"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Borrower’s right, title and interest in and to the Purchase Agreement (including each Transfer Agreement), relating to the Securitized Assets and remedies thereunder and the assignment to the Administrative Agent of all UCC financing statements filed by the Borrower against UACC under or in connection with the Purchase Agreement and relating to such Securitized Assets; and</w:t>
      </w:r>
    </w:p>
    <w:p>
      <w:pPr>
        <w:spacing w:after="0" w:line="150" w:lineRule="exact"/>
        <w:rPr>
          <w:rFonts w:ascii="Times New Roman" w:cs="Times New Roman" w:eastAsia="Times New Roman" w:hAnsi="Times New Roman"/>
          <w:sz w:val="19"/>
          <w:szCs w:val="19"/>
          <w:color w:val="auto"/>
        </w:rPr>
      </w:pPr>
    </w:p>
    <w:p>
      <w:pPr>
        <w:ind w:left="940" w:hanging="274"/>
        <w:spacing w:after="0"/>
        <w:tabs>
          <w:tab w:leader="none" w:pos="94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income, products, accessions and proceeds of the foregoing.</w:t>
      </w:r>
    </w:p>
    <w:p>
      <w:pPr>
        <w:spacing w:after="0" w:line="200" w:lineRule="exact"/>
        <w:rPr>
          <w:sz w:val="20"/>
          <w:szCs w:val="20"/>
          <w:color w:val="auto"/>
        </w:rPr>
      </w:pPr>
    </w:p>
    <w:p>
      <w:pPr>
        <w:spacing w:after="0" w:line="38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H-167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250" w:name="page251"/>
    <w:bookmarkEnd w:id="250"/>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Executed as of __________, 202_.</w:t>
      </w:r>
    </w:p>
    <w:p>
      <w:pPr>
        <w:spacing w:after="0" w:line="20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VFS NEAR PRIME TRUST I, as Borrower</w:t>
      </w:r>
    </w:p>
    <w:p>
      <w:pPr>
        <w:spacing w:after="0" w:line="20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BY: UNITED AUTO CREDIT CORPORATION, as attorney-in-fact</w:t>
      </w:r>
    </w:p>
    <w:p>
      <w:pPr>
        <w:spacing w:after="0" w:line="39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as Servicer</w:t>
      </w:r>
    </w:p>
    <w:p>
      <w:pPr>
        <w:spacing w:after="0" w:line="37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FIFTH THIRD BANK, NATIONAL ASSOCIATION, as Administrative Agent</w:t>
      </w:r>
    </w:p>
    <w:p>
      <w:pPr>
        <w:spacing w:after="0" w:line="200" w:lineRule="exact"/>
        <w:rPr>
          <w:sz w:val="20"/>
          <w:szCs w:val="20"/>
          <w:color w:val="auto"/>
        </w:rPr>
      </w:pPr>
    </w:p>
    <w:p>
      <w:pPr>
        <w:spacing w:after="0" w:line="3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H-168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1440" w:right="860" w:bottom="1440" w:gutter="0" w:footer="0" w:header="0"/>
        </w:sectPr>
      </w:pPr>
    </w:p>
    <w:bookmarkStart w:id="251" w:name="page252"/>
    <w:bookmarkEnd w:id="251"/>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ANNEX 1</w:t>
      </w:r>
    </w:p>
    <w:p>
      <w:pPr>
        <w:spacing w:after="0" w:line="39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VFS NEAR PRIME TRUST I</w:t>
      </w:r>
    </w:p>
    <w:p>
      <w:pPr>
        <w:spacing w:after="0" w:line="20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SECURITIZATION DATE CERTIFICATE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PURSUANT TO SECTION 2.15(a)</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OF THE WAREHOUSE AGREEMENT</w:t>
      </w:r>
    </w:p>
    <w:p>
      <w:pPr>
        <w:spacing w:after="0" w:line="18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9"/>
          <w:szCs w:val="19"/>
          <w:color w:val="auto"/>
        </w:rPr>
        <w:t xml:space="preserve">United Auto Credit Corporation, as servicer (the “Servicer”), delivers this certificate pursuant to Section 2.15(a) of the Warehouse Agreement, dated as of November 18, 2022 (as amended, restated, supplemented or otherwise modified from time to time, the “Warehouse Agreement”), among VFS Near Prime Trust I, a Delaware statutory trust, as borrower (the “Borrower”), the Servicer, as servicer and as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paying agent, the Lenders from time to time party thereto, and Fifth Third Bank, National Association, as administrative agent, and hereby certifies, as of the date hereof, the following:</w:t>
      </w:r>
    </w:p>
    <w:p>
      <w:pPr>
        <w:spacing w:after="0" w:line="154" w:lineRule="exact"/>
        <w:rPr>
          <w:sz w:val="20"/>
          <w:szCs w:val="20"/>
          <w:color w:val="auto"/>
        </w:rPr>
      </w:pPr>
    </w:p>
    <w:p>
      <w:pPr>
        <w:ind w:left="700" w:right="100" w:firstLine="746"/>
        <w:spacing w:after="0" w:line="268" w:lineRule="auto"/>
        <w:tabs>
          <w:tab w:leader="none" w:pos="1705"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sufficient funds on the related Securitization Date to effect the Securitization in accordance with the Warehouse Agreement (taking into account, to the extent necessary, the proceeds of sales of the Collateral in the Securitization);</w:t>
      </w:r>
    </w:p>
    <w:p>
      <w:pPr>
        <w:spacing w:after="0" w:line="144" w:lineRule="exact"/>
        <w:rPr>
          <w:rFonts w:ascii="Times New Roman" w:cs="Times New Roman" w:eastAsia="Times New Roman" w:hAnsi="Times New Roman"/>
          <w:sz w:val="19"/>
          <w:szCs w:val="19"/>
          <w:color w:val="auto"/>
        </w:rPr>
      </w:pPr>
    </w:p>
    <w:p>
      <w:pPr>
        <w:ind w:left="700" w:right="80" w:firstLine="746"/>
        <w:spacing w:after="0" w:line="255" w:lineRule="auto"/>
        <w:tabs>
          <w:tab w:leader="none" w:pos="1716"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of the Securitization, the release by the Administrative Agent of the related Receivables on the Securitization Date and the transfer by the Borrower of the related Receivables on the Securitization Date, (A) no adverse selection procedures have been used by the Borrower with respect to the Receivables that will remain subject to the Warehouse Agreement (except as is necessary to comply with normal and customary eligibility criteria for asset-backed securities transactions involving retail auto loan receivables similar to the Receivables), (B) the representations and warranties contained in Section 5.01 and 5.02 of the Warehouse Agreement continue to be true and correct in all material respects, except to the extent relating to an earlier date, (C) no Borrowing Base Deficiency exists and (D) no Unmatured Termination Event, Termination Event, Servicer Termination Event or Unmatured Servicer Termination Event has resulted; and</w:t>
      </w:r>
    </w:p>
    <w:p>
      <w:pPr>
        <w:spacing w:after="0" w:line="159" w:lineRule="exact"/>
        <w:rPr>
          <w:rFonts w:ascii="Times New Roman" w:cs="Times New Roman" w:eastAsia="Times New Roman" w:hAnsi="Times New Roman"/>
          <w:sz w:val="19"/>
          <w:szCs w:val="19"/>
          <w:color w:val="auto"/>
        </w:rPr>
      </w:pPr>
    </w:p>
    <w:p>
      <w:pPr>
        <w:ind w:right="460" w:firstLine="1446"/>
        <w:spacing w:after="0" w:line="461" w:lineRule="auto"/>
        <w:tabs>
          <w:tab w:leader="none" w:pos="1702"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satisfied all conditions and requirements of Section 2.15 of the Warehouse Agreement. Capitalized terms used herein that are not otherwise defined shall have the meanings ascribed thereto in the Warehouse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H-169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2" w:name="page253"/>
    <w:bookmarkEnd w:id="252"/>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Servicer has caused this certificate to be executed on its behalf this ___ day of _________, 202_.</w:t>
      </w:r>
    </w:p>
    <w:p>
      <w:pPr>
        <w:spacing w:after="0" w:line="20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UNITED AUTO CREDIT CORPORATION, as Servicer</w:t>
      </w:r>
    </w:p>
    <w:p>
      <w:pPr>
        <w:spacing w:after="0" w:line="200" w:lineRule="exact"/>
        <w:rPr>
          <w:sz w:val="20"/>
          <w:szCs w:val="20"/>
          <w:color w:val="auto"/>
        </w:rPr>
      </w:pPr>
    </w:p>
    <w:p>
      <w:pPr>
        <w:spacing w:after="0" w:line="38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53" w:name="page254"/>
    <w:bookmarkEnd w:id="253"/>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ANNEX 2</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NOTICE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VFS NEAR PRIME TRUST I</w:t>
      </w:r>
    </w:p>
    <w:p>
      <w:pPr>
        <w:spacing w:after="0" w:line="2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______________, 20___</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38 Fountain Square Plaza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MD 1090TC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Cincinnati, OH 45202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Attention: Joy Rutan; Steven Ellis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E-mail: </w:t>
      </w:r>
      <w:r>
        <w:rPr>
          <w:rFonts w:ascii="Times New Roman" w:cs="Times New Roman" w:eastAsia="Times New Roman" w:hAnsi="Times New Roman"/>
          <w:sz w:val="19"/>
          <w:szCs w:val="19"/>
          <w:color w:val="222222"/>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12121"/>
        </w:rPr>
        <w:t xml:space="preserve">Telephone No.: </w:t>
      </w:r>
      <w:r>
        <w:rPr>
          <w:rFonts w:ascii="Times New Roman" w:cs="Times New Roman" w:eastAsia="Times New Roman" w:hAnsi="Times New Roman"/>
          <w:sz w:val="19"/>
          <w:szCs w:val="19"/>
          <w:color w:val="222222"/>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 VFS Near Prime Trust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Lender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 VFS Near Prime Trust 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[_____________]</w:t>
      </w: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Re: VFS Near Prime Trust I– Warehouse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02"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9"/>
          <w:szCs w:val="19"/>
          <w:color w:val="auto"/>
        </w:rPr>
        <w:t xml:space="preserve">Reference is made to the Warehouse Agreement, dated as of November 18, 2022 (as amended, restated, supplemented or otherwise modified from time to time, the “Warehouse Agreement”), among the Borrower, United Auto Credit Corporation, as servicer and as custodian, </w:t>
      </w:r>
      <w:r>
        <w:rPr>
          <w:rFonts w:ascii="Times New Roman" w:cs="Times New Roman" w:eastAsia="Times New Roman" w:hAnsi="Times New Roman"/>
          <w:sz w:val="19"/>
          <w:szCs w:val="19"/>
          <w:color w:val="222222"/>
        </w:rPr>
        <w:t>[***],</w:t>
      </w:r>
      <w:r>
        <w:rPr>
          <w:rFonts w:ascii="Times New Roman" w:cs="Times New Roman" w:eastAsia="Times New Roman" w:hAnsi="Times New Roman"/>
          <w:sz w:val="19"/>
          <w:szCs w:val="19"/>
          <w:color w:val="auto"/>
        </w:rPr>
        <w:t xml:space="preserve"> as paying agent, the Lenders from time to time party thereto, and Fifth Third Bank, National Association, as administrative agent.</w:t>
      </w:r>
    </w:p>
    <w:p>
      <w:pPr>
        <w:spacing w:after="0" w:line="150" w:lineRule="exact"/>
        <w:rPr>
          <w:sz w:val="20"/>
          <w:szCs w:val="20"/>
          <w:color w:val="auto"/>
        </w:rPr>
      </w:pPr>
    </w:p>
    <w:p>
      <w:pPr>
        <w:jc w:val="both"/>
        <w:ind w:right="100" w:firstLine="696"/>
        <w:spacing w:after="0" w:line="268" w:lineRule="auto"/>
        <w:rPr>
          <w:sz w:val="20"/>
          <w:szCs w:val="20"/>
          <w:color w:val="auto"/>
        </w:rPr>
      </w:pPr>
      <w:r>
        <w:rPr>
          <w:rFonts w:ascii="Times New Roman" w:cs="Times New Roman" w:eastAsia="Times New Roman" w:hAnsi="Times New Roman"/>
          <w:sz w:val="19"/>
          <w:szCs w:val="19"/>
          <w:color w:val="auto"/>
        </w:rPr>
        <w:t>Pursuant to Section 2.15(a)(i) of the Warehouse Agreement, the Borrower gives notice of its intent to effect a Securitization on or about __________, 20__ (which date is no fewer than 10 Business Days after the date of delivery of this notice to the Administrative Agent).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H-171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4" w:name="page255"/>
    <w:bookmarkEnd w:id="254"/>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Capitalized terms used herein that are not otherwise defined shall have the meanings ascribed thereto in the Warehouse Agreement.</w:t>
      </w:r>
    </w:p>
    <w:p>
      <w:pPr>
        <w:spacing w:after="0" w:line="1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39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VFS NEAR PRIME TRUST I</w:t>
      </w:r>
    </w:p>
    <w:p>
      <w:pPr>
        <w:spacing w:after="0" w:line="200" w:lineRule="exact"/>
        <w:rPr>
          <w:sz w:val="20"/>
          <w:szCs w:val="20"/>
          <w:color w:val="auto"/>
        </w:rPr>
      </w:pPr>
    </w:p>
    <w:p>
      <w:pPr>
        <w:spacing w:after="0" w:line="3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color w:val="auto"/>
        </w:rPr>
        <w:t>H-172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660" w:top="1440" w:right="1380" w:bottom="1440" w:gutter="0" w:footer="0" w:header="0"/>
        </w:sectPr>
      </w:pPr>
    </w:p>
    <w:bookmarkStart w:id="255" w:name="page256"/>
    <w:bookmarkEnd w:id="255"/>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 Securitization Release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of Securitized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H-173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649605</wp:posOffset>
            </wp:positionV>
            <wp:extent cx="673290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6" w:name="page257"/>
    <w:bookmarkEnd w:id="256"/>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80" w:type="dxa"/>
            <w:vAlign w:val="bottom"/>
            <w:gridSpan w:val="2"/>
          </w:tcPr>
          <w:p>
            <w:pPr>
              <w:ind w:left="1800"/>
              <w:spacing w:after="0"/>
              <w:rPr>
                <w:sz w:val="20"/>
                <w:szCs w:val="20"/>
                <w:color w:val="auto"/>
              </w:rPr>
            </w:pPr>
            <w:r>
              <w:rPr>
                <w:rFonts w:ascii="Times New Roman" w:cs="Times New Roman" w:eastAsia="Times New Roman" w:hAnsi="Times New Roman"/>
                <w:sz w:val="19"/>
                <w:szCs w:val="19"/>
                <w:color w:val="auto"/>
                <w:w w:val="98"/>
              </w:rPr>
              <w:t>EXHIBIT I</w:t>
            </w:r>
          </w:p>
        </w:tc>
      </w:tr>
      <w:tr>
        <w:trPr>
          <w:trHeight w:val="612"/>
        </w:trPr>
        <w:tc>
          <w:tcPr>
            <w:tcW w:w="2060" w:type="dxa"/>
            <w:vAlign w:val="bottom"/>
          </w:tcPr>
          <w:p>
            <w:pPr>
              <w:spacing w:after="0"/>
              <w:rPr>
                <w:sz w:val="24"/>
                <w:szCs w:val="24"/>
                <w:color w:val="auto"/>
              </w:rPr>
            </w:pPr>
          </w:p>
        </w:tc>
        <w:tc>
          <w:tcPr>
            <w:tcW w:w="4760" w:type="dxa"/>
            <w:vAlign w:val="bottom"/>
            <w:gridSpan w:val="2"/>
          </w:tcPr>
          <w:p>
            <w:pPr>
              <w:jc w:val="center"/>
              <w:ind w:left="1607"/>
              <w:spacing w:after="0"/>
              <w:rPr>
                <w:sz w:val="20"/>
                <w:szCs w:val="20"/>
                <w:color w:val="auto"/>
              </w:rPr>
            </w:pPr>
            <w:r>
              <w:rPr>
                <w:rFonts w:ascii="Times New Roman" w:cs="Times New Roman" w:eastAsia="Times New Roman" w:hAnsi="Times New Roman"/>
                <w:sz w:val="19"/>
                <w:szCs w:val="19"/>
                <w:color w:val="auto"/>
              </w:rPr>
              <w:t>FORM OF LENDER REGISTER</w:t>
            </w:r>
          </w:p>
        </w:tc>
        <w:tc>
          <w:tcPr>
            <w:tcW w:w="1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6"/>
        </w:trPr>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Date: [</w:t>
            </w:r>
          </w:p>
        </w:tc>
        <w:tc>
          <w:tcPr>
            <w:tcW w:w="2660" w:type="dxa"/>
            <w:vAlign w:val="bottom"/>
          </w:tcPr>
          <w:p>
            <w:pPr>
              <w:jc w:val="right"/>
              <w:ind w:right="2306"/>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4"/>
                <w:szCs w:val="24"/>
                <w:color w:val="auto"/>
              </w:rPr>
            </w:pPr>
          </w:p>
        </w:tc>
      </w:tr>
      <w:tr>
        <w:trPr>
          <w:trHeight w:val="442"/>
        </w:trPr>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Committed Lender</w:t>
            </w:r>
          </w:p>
        </w:tc>
        <w:tc>
          <w:tcPr>
            <w:tcW w:w="2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Commitment Amount</w:t>
            </w:r>
          </w:p>
        </w:tc>
        <w:tc>
          <w:tcPr>
            <w:tcW w:w="26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Loan Outstanding/Date</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68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238"/>
        </w:trPr>
        <w:tc>
          <w:tcPr>
            <w:tcW w:w="2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of Loan</w:t>
            </w:r>
          </w:p>
        </w:tc>
        <w:tc>
          <w:tcPr>
            <w:tcW w:w="1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07"/>
        </w:trPr>
        <w:tc>
          <w:tcPr>
            <w:tcW w:w="2060" w:type="dxa"/>
            <w:vAlign w:val="bottom"/>
            <w:tcBorders>
              <w:bottom w:val="single" w:sz="8" w:color="EEEEEE"/>
            </w:tcBorders>
          </w:tcPr>
          <w:p>
            <w:pPr>
              <w:spacing w:after="0"/>
              <w:rPr>
                <w:sz w:val="24"/>
                <w:szCs w:val="24"/>
                <w:color w:val="auto"/>
              </w:rPr>
            </w:pPr>
          </w:p>
        </w:tc>
        <w:tc>
          <w:tcPr>
            <w:tcW w:w="212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66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7" w:name="page258"/>
    <w:bookmarkEnd w:id="257"/>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J</w:t>
      </w:r>
    </w:p>
    <w:p>
      <w:pPr>
        <w:spacing w:after="0" w:line="39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9"/>
          <w:szCs w:val="19"/>
          <w:color w:val="auto"/>
        </w:rPr>
        <w:t>AUTHORIZED REPRESENTATIVES</w:t>
      </w:r>
    </w:p>
    <w:p>
      <w:pPr>
        <w:spacing w:after="0" w:line="2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 Be Attached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909955</wp:posOffset>
            </wp:positionV>
            <wp:extent cx="673290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9"/>
          <w:szCs w:val="19"/>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b w:val="1"/>
          <w:bCs w:val="1"/>
          <w:color w:val="auto"/>
        </w:rPr>
        <w:t>PURCHASE AGREEMENT</w:t>
      </w:r>
    </w:p>
    <w:p>
      <w:pPr>
        <w:spacing w:after="0" w:line="3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b w:val="1"/>
          <w:bCs w:val="1"/>
          <w:color w:val="auto"/>
        </w:rPr>
        <w:t>between</w:t>
      </w:r>
    </w:p>
    <w:p>
      <w:pPr>
        <w:spacing w:after="0" w:line="39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UNITED AUTO CREDIT FINANCING LLC</w:t>
      </w:r>
    </w:p>
    <w:p>
      <w:pPr>
        <w:spacing w:after="0" w:line="3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Purchaser</w:t>
      </w:r>
    </w:p>
    <w:p>
      <w:pPr>
        <w:spacing w:after="0" w:line="3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3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9"/>
          <w:szCs w:val="19"/>
          <w:b w:val="1"/>
          <w:bCs w:val="1"/>
          <w:color w:val="auto"/>
        </w:rPr>
        <w:t>UNITED AUTO CREDIT CORPORATION</w:t>
      </w:r>
    </w:p>
    <w:p>
      <w:pPr>
        <w:spacing w:after="0" w:line="3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Seller</w:t>
      </w:r>
    </w:p>
    <w:p>
      <w:pPr>
        <w:spacing w:after="0" w:line="200" w:lineRule="exact"/>
        <w:rPr>
          <w:sz w:val="20"/>
          <w:szCs w:val="20"/>
          <w:color w:val="auto"/>
        </w:rPr>
      </w:pPr>
    </w:p>
    <w:p>
      <w:pPr>
        <w:spacing w:after="0" w:line="36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Dated as of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917575</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119" w:right="680"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7740" w:type="dxa"/>
            <w:vAlign w:val="bottom"/>
          </w:tcPr>
          <w:p>
            <w:pPr>
              <w:ind w:left="258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140" w:type="dxa"/>
            <w:vAlign w:val="bottom"/>
          </w:tcPr>
          <w:p>
            <w:pPr>
              <w:spacing w:after="0"/>
              <w:rPr>
                <w:sz w:val="22"/>
                <w:szCs w:val="22"/>
                <w:color w:val="auto"/>
              </w:rPr>
            </w:pPr>
          </w:p>
        </w:tc>
      </w:tr>
      <w:tr>
        <w:trPr>
          <w:trHeight w:val="480"/>
        </w:trPr>
        <w:tc>
          <w:tcPr>
            <w:tcW w:w="16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Page</w:t>
            </w:r>
          </w:p>
        </w:tc>
      </w:tr>
      <w:tr>
        <w:trPr>
          <w:trHeight w:val="384"/>
        </w:trPr>
        <w:tc>
          <w:tcPr>
            <w:tcW w:w="94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 DEFINITIONS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w:t>
            </w:r>
          </w:p>
        </w:tc>
      </w:tr>
      <w:tr>
        <w:trPr>
          <w:trHeight w:val="289"/>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1.1</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General.</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Specific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1.3</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Usage of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1.4</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No Recourse.</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51"/>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1.5</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Action by or Consent of Noteholders and Certificateholders.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r>
      <w:tr>
        <w:trPr>
          <w:trHeight w:val="384"/>
        </w:trPr>
        <w:tc>
          <w:tcPr>
            <w:tcW w:w="94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II. CONVEYANCE OF THE RECEIVABLES AND THE OTHER CONVEYED PROPERTY</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w:t>
            </w:r>
          </w:p>
        </w:tc>
      </w:tr>
      <w:tr>
        <w:trPr>
          <w:trHeight w:val="312"/>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2.1</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Conveyance of the Receivables and the Other Conveyed Property</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r>
      <w:tr>
        <w:trPr>
          <w:trHeight w:val="384"/>
        </w:trPr>
        <w:tc>
          <w:tcPr>
            <w:tcW w:w="94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III. REPRESENTATIONS AND WARRANTIES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w:t>
            </w:r>
          </w:p>
        </w:tc>
      </w:tr>
      <w:tr>
        <w:trPr>
          <w:trHeight w:val="289"/>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3.1</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Representations and Warranties of the Seller.</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51"/>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3.2</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Representations and Warranties of the Purchaser.</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384"/>
        </w:trPr>
        <w:tc>
          <w:tcPr>
            <w:tcW w:w="94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IV. COVENANTS OF SELLER</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w:t>
            </w:r>
          </w:p>
        </w:tc>
      </w:tr>
      <w:tr>
        <w:trPr>
          <w:trHeight w:val="289"/>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4.1</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Protection of Title of the Purchaser</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4.2</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Other Liens or Interests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4.3</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Costs and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4.4</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No Impairment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r>
      <w:tr>
        <w:trPr>
          <w:trHeight w:val="251"/>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4.5</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Indemnification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r>
      <w:tr>
        <w:trPr>
          <w:trHeight w:val="384"/>
        </w:trPr>
        <w:tc>
          <w:tcPr>
            <w:tcW w:w="94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15</w:t>
            </w:r>
          </w:p>
        </w:tc>
      </w:tr>
      <w:tr>
        <w:trPr>
          <w:trHeight w:val="289"/>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5.1</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Repurchase of Receivables Upon Breach of Warranty</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5.2</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Reassignment of Purchased Receivables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51"/>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5.3</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Waivers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384"/>
        </w:trPr>
        <w:tc>
          <w:tcPr>
            <w:tcW w:w="94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 MISCELLANEOUS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w:t>
            </w:r>
          </w:p>
        </w:tc>
      </w:tr>
      <w:tr>
        <w:trPr>
          <w:trHeight w:val="289"/>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6.1</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Liability of Seller</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6.2</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Merger or Consolidation of Seller or the Purchaser</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6.3</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Limitation on Liability of Seller and Others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6.4</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Seller May Own Notes or the Certificates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6.5</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Amendment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6.6</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Notices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6.7</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Merger and Integration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6.8</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Severability of Provisions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6.9</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Intention of the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6.10</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GOVERNING LAW</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6.11</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Counterparts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6.12</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Further Conveyance of the Receivables and the Other Conveyed Property</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6.13</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Nonpetition Covenant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28"/>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6.14</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Third-Party Beneficiaries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251"/>
        </w:trPr>
        <w:tc>
          <w:tcPr>
            <w:tcW w:w="1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6.15</w:t>
            </w:r>
          </w:p>
        </w:tc>
        <w:tc>
          <w:tcPr>
            <w:tcW w:w="774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Electronic Signatures.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1430"/>
        </w:trPr>
        <w:tc>
          <w:tcPr>
            <w:tcW w:w="1680" w:type="dxa"/>
            <w:vAlign w:val="bottom"/>
            <w:tcBorders>
              <w:bottom w:val="single" w:sz="8" w:color="EEEEEE"/>
            </w:tcBorders>
          </w:tcPr>
          <w:p>
            <w:pPr>
              <w:spacing w:after="0"/>
              <w:rPr>
                <w:sz w:val="24"/>
                <w:szCs w:val="24"/>
                <w:color w:val="auto"/>
              </w:rPr>
            </w:pPr>
          </w:p>
        </w:tc>
        <w:tc>
          <w:tcPr>
            <w:tcW w:w="774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260" w:name="page261"/>
    <w:bookmarkEnd w:id="260"/>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620" w:type="dxa"/>
            <w:vAlign w:val="bottom"/>
          </w:tcPr>
          <w:p>
            <w:pPr>
              <w:spacing w:after="0"/>
              <w:rPr>
                <w:sz w:val="20"/>
                <w:szCs w:val="20"/>
                <w:color w:val="auto"/>
              </w:rPr>
            </w:pPr>
            <w:r>
              <w:rPr>
                <w:rFonts w:ascii="Times New Roman" w:cs="Times New Roman" w:eastAsia="Times New Roman" w:hAnsi="Times New Roman"/>
                <w:sz w:val="19"/>
                <w:szCs w:val="19"/>
                <w:color w:val="auto"/>
              </w:rPr>
              <w:t>SCHEDULES</w:t>
            </w:r>
          </w:p>
        </w:tc>
        <w:tc>
          <w:tcPr>
            <w:tcW w:w="574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89"/>
        </w:trPr>
        <w:tc>
          <w:tcPr>
            <w:tcW w:w="1620" w:type="dxa"/>
            <w:vAlign w:val="bottom"/>
          </w:tcPr>
          <w:p>
            <w:pPr>
              <w:spacing w:after="0"/>
              <w:rPr>
                <w:sz w:val="20"/>
                <w:szCs w:val="20"/>
                <w:color w:val="auto"/>
              </w:rPr>
            </w:pPr>
            <w:r>
              <w:rPr>
                <w:rFonts w:ascii="Times New Roman" w:cs="Times New Roman" w:eastAsia="Times New Roman" w:hAnsi="Times New Roman"/>
                <w:sz w:val="19"/>
                <w:szCs w:val="19"/>
                <w:color w:val="auto"/>
              </w:rPr>
              <w:t>Schedule A</w:t>
            </w:r>
          </w:p>
        </w:tc>
        <w:tc>
          <w:tcPr>
            <w:tcW w:w="574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Schedule of Receivables</w:t>
            </w:r>
          </w:p>
        </w:tc>
        <w:tc>
          <w:tcPr>
            <w:tcW w:w="3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Schedule-A-24</w:t>
            </w:r>
          </w:p>
        </w:tc>
      </w:tr>
      <w:tr>
        <w:trPr>
          <w:trHeight w:val="251"/>
        </w:trPr>
        <w:tc>
          <w:tcPr>
            <w:tcW w:w="1620" w:type="dxa"/>
            <w:vAlign w:val="bottom"/>
          </w:tcPr>
          <w:p>
            <w:pPr>
              <w:spacing w:after="0"/>
              <w:rPr>
                <w:sz w:val="20"/>
                <w:szCs w:val="20"/>
                <w:color w:val="auto"/>
              </w:rPr>
            </w:pPr>
            <w:r>
              <w:rPr>
                <w:rFonts w:ascii="Times New Roman" w:cs="Times New Roman" w:eastAsia="Times New Roman" w:hAnsi="Times New Roman"/>
                <w:sz w:val="19"/>
                <w:szCs w:val="19"/>
                <w:color w:val="auto"/>
              </w:rPr>
              <w:t>Schedule B</w:t>
            </w:r>
          </w:p>
        </w:tc>
        <w:tc>
          <w:tcPr>
            <w:tcW w:w="574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Representations and Warranties of Seller</w:t>
            </w:r>
          </w:p>
        </w:tc>
        <w:tc>
          <w:tcPr>
            <w:tcW w:w="3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Schedule-B-25</w:t>
            </w:r>
          </w:p>
        </w:tc>
      </w:tr>
      <w:tr>
        <w:trPr>
          <w:trHeight w:val="408"/>
        </w:trPr>
        <w:tc>
          <w:tcPr>
            <w:tcW w:w="1620" w:type="dxa"/>
            <w:vAlign w:val="bottom"/>
          </w:tcPr>
          <w:p>
            <w:pPr>
              <w:spacing w:after="0"/>
              <w:rPr>
                <w:sz w:val="24"/>
                <w:szCs w:val="24"/>
                <w:color w:val="auto"/>
              </w:rPr>
            </w:pPr>
          </w:p>
        </w:tc>
        <w:tc>
          <w:tcPr>
            <w:tcW w:w="5740" w:type="dxa"/>
            <w:vAlign w:val="bottom"/>
          </w:tcPr>
          <w:p>
            <w:pPr>
              <w:jc w:val="right"/>
              <w:ind w:right="1924"/>
              <w:spacing w:after="0"/>
              <w:rPr>
                <w:sz w:val="20"/>
                <w:szCs w:val="20"/>
                <w:color w:val="auto"/>
              </w:rPr>
            </w:pPr>
            <w:r>
              <w:rPr>
                <w:rFonts w:ascii="Times New Roman" w:cs="Times New Roman" w:eastAsia="Times New Roman" w:hAnsi="Times New Roman"/>
                <w:sz w:val="19"/>
                <w:szCs w:val="19"/>
                <w:color w:val="auto"/>
              </w:rPr>
              <w:t>3</w:t>
            </w:r>
          </w:p>
        </w:tc>
        <w:tc>
          <w:tcPr>
            <w:tcW w:w="3200" w:type="dxa"/>
            <w:vAlign w:val="bottom"/>
          </w:tcPr>
          <w:p>
            <w:pPr>
              <w:spacing w:after="0"/>
              <w:rPr>
                <w:sz w:val="24"/>
                <w:szCs w:val="24"/>
                <w:color w:val="auto"/>
              </w:rPr>
            </w:pPr>
          </w:p>
        </w:tc>
      </w:tr>
      <w:tr>
        <w:trPr>
          <w:trHeight w:val="1022"/>
        </w:trPr>
        <w:tc>
          <w:tcPr>
            <w:tcW w:w="1620" w:type="dxa"/>
            <w:vAlign w:val="bottom"/>
            <w:tcBorders>
              <w:bottom w:val="single" w:sz="8" w:color="EEEEEE"/>
            </w:tcBorders>
          </w:tcPr>
          <w:p>
            <w:pPr>
              <w:spacing w:after="0"/>
              <w:rPr>
                <w:sz w:val="24"/>
                <w:szCs w:val="24"/>
                <w:color w:val="auto"/>
              </w:rPr>
            </w:pPr>
          </w:p>
        </w:tc>
        <w:tc>
          <w:tcPr>
            <w:tcW w:w="5740" w:type="dxa"/>
            <w:vAlign w:val="bottom"/>
            <w:tcBorders>
              <w:bottom w:val="single" w:sz="8" w:color="EEEEEE"/>
            </w:tcBorders>
          </w:tcPr>
          <w:p>
            <w:pPr>
              <w:spacing w:after="0"/>
              <w:rPr>
                <w:sz w:val="24"/>
                <w:szCs w:val="24"/>
                <w:color w:val="auto"/>
              </w:rPr>
            </w:pPr>
          </w:p>
        </w:tc>
        <w:tc>
          <w:tcPr>
            <w:tcW w:w="3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1" w:name="page262"/>
    <w:bookmarkEnd w:id="261"/>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PURCHASE AGREEMENT</w:t>
      </w:r>
    </w:p>
    <w:p>
      <w:pPr>
        <w:spacing w:after="0" w:line="202"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THIS PURCHASE AGREEMENT, dated as of February 28, 2025, executed between United Auto Credit Financing LLC, a Delaware limited liability company, as Purchaser (the "Purchaser"), and United Auto Credit Corporation, a California corporation, as Seller (the "Seller").</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W I T N E S S E T H :</w:t>
      </w:r>
    </w:p>
    <w:p>
      <w:pPr>
        <w:spacing w:after="0" w:line="202"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WHEREAS, the Purchaser has agreed to purchase from the Seller, and the Seller, pursuant to this Agreement, is transferring to the Purchaser on the Closing Date, the Receivables and Other Conveyed Property.</w:t>
      </w:r>
    </w:p>
    <w:p>
      <w:pPr>
        <w:spacing w:after="0" w:line="127"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agreements hereinafter contained, and for other good and valuable consideration, the receipt of which is acknowledged, the Purchaser and the Seller, intending to be legally bound, hereby agree as follows:</w:t>
      </w: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2F5496"/>
        </w:rPr>
        <w:t>ARTICLE I.</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04"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I.1 </w:t>
      </w:r>
      <w:r>
        <w:rPr>
          <w:rFonts w:ascii="Times New Roman" w:cs="Times New Roman" w:eastAsia="Times New Roman" w:hAnsi="Times New Roman"/>
          <w:sz w:val="19"/>
          <w:szCs w:val="19"/>
          <w:color w:val="000000"/>
        </w:rPr>
        <w:t>General. Capitalized terms used herein without definition shall have the respective meanings assigned to such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terms in the Sale and Servicing Agreement, dated as of February 28, 2025 (the "Sale and Servicing Agreement"), by and among United Auto Credit Financing LLC, as Depositor, United Auto Credit Corporation, as Servicer, United Auto Credit Securitization Trust 2025-1, as Issuer (the "Issuer"), and Computershare Trust Company, N.A., as Backup Servicer and Indenture Trustee (in such capacity, the "Indenture Trustee"), or if not defined therein, in the Indenture, dated as of February 28, 2025 (the "Indenture"), between the Issuer and the Indenture Trustee.</w:t>
      </w:r>
    </w:p>
    <w:p>
      <w:pPr>
        <w:spacing w:after="0" w:line="157" w:lineRule="exact"/>
        <w:rPr>
          <w:sz w:val="20"/>
          <w:szCs w:val="20"/>
          <w:color w:val="auto"/>
        </w:rPr>
      </w:pPr>
    </w:p>
    <w:p>
      <w:pPr>
        <w:ind w:right="70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I.2 </w:t>
      </w:r>
      <w:r>
        <w:rPr>
          <w:rFonts w:ascii="Times New Roman" w:cs="Times New Roman" w:eastAsia="Times New Roman" w:hAnsi="Times New Roman"/>
          <w:sz w:val="19"/>
          <w:szCs w:val="19"/>
          <w:color w:val="000000"/>
        </w:rPr>
        <w:t>Specific Terms. Whenever used in this Agreement, the following words and phrases, unless the context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otherwise requires, shall have the following meanings: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"Agreement" shall mean this Purchase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"Cutoff Date" means February 28, 2025.</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"Indenture" means the Indenture referred to in Section 1.1.</w:t>
      </w:r>
    </w:p>
    <w:p>
      <w:pPr>
        <w:spacing w:after="0" w:line="202" w:lineRule="exact"/>
        <w:rPr>
          <w:sz w:val="20"/>
          <w:szCs w:val="20"/>
          <w:color w:val="auto"/>
        </w:rPr>
      </w:pPr>
    </w:p>
    <w:p>
      <w:pPr>
        <w:jc w:val="both"/>
        <w:ind w:right="160" w:firstLine="696"/>
        <w:spacing w:after="0" w:line="268" w:lineRule="auto"/>
        <w:rPr>
          <w:sz w:val="20"/>
          <w:szCs w:val="20"/>
          <w:color w:val="auto"/>
        </w:rPr>
      </w:pPr>
      <w:r>
        <w:rPr>
          <w:rFonts w:ascii="Times New Roman" w:cs="Times New Roman" w:eastAsia="Times New Roman" w:hAnsi="Times New Roman"/>
          <w:sz w:val="19"/>
          <w:szCs w:val="19"/>
          <w:color w:val="auto"/>
        </w:rPr>
        <w:t>"Other Conveyed Property" means all monies received on the Receivables after the Cutoff Date conveyed by the Seller to the Purchaser pursuant to Section 2.1(a)(i) and all property conveyed by the Seller to the Purchaser pursuant to Section 2.1(a)(ii) through (viii).</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"Purchase Agreement Collateral" has the meaning specified in Section 6.9.</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"Receivables" means the Receivables listed on the Schedule of Receivables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794385</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62" w:name="page263"/>
    <w:bookmarkEnd w:id="262"/>
    <w:p>
      <w:pPr>
        <w:spacing w:after="0" w:line="200" w:lineRule="exact"/>
        <w:rPr>
          <w:sz w:val="20"/>
          <w:szCs w:val="20"/>
          <w:color w:val="auto"/>
        </w:rPr>
      </w:pPr>
    </w:p>
    <w:p>
      <w:pPr>
        <w:spacing w:after="0" w:line="261" w:lineRule="exact"/>
        <w:rPr>
          <w:sz w:val="20"/>
          <w:szCs w:val="20"/>
          <w:color w:val="auto"/>
        </w:rPr>
      </w:pPr>
    </w:p>
    <w:p>
      <w:pPr>
        <w:ind w:right="260" w:firstLine="696"/>
        <w:spacing w:after="0" w:line="268" w:lineRule="auto"/>
        <w:rPr>
          <w:sz w:val="20"/>
          <w:szCs w:val="20"/>
          <w:color w:val="auto"/>
        </w:rPr>
      </w:pPr>
      <w:r>
        <w:rPr>
          <w:rFonts w:ascii="Times New Roman" w:cs="Times New Roman" w:eastAsia="Times New Roman" w:hAnsi="Times New Roman"/>
          <w:sz w:val="19"/>
          <w:szCs w:val="19"/>
          <w:color w:val="auto"/>
        </w:rPr>
        <w:t>"Repurchase Event" means the occurrence of a breach of any of the Seller's representations and warranties set forth on the Schedule of Representations or any other event which requires the repurchase of a Receivable by the Seller or the Purchaser under the Sale and Servicing Agreement.</w:t>
      </w:r>
    </w:p>
    <w:p>
      <w:pPr>
        <w:spacing w:after="0" w:line="144" w:lineRule="exact"/>
        <w:rPr>
          <w:sz w:val="20"/>
          <w:szCs w:val="20"/>
          <w:color w:val="auto"/>
        </w:rPr>
      </w:pPr>
    </w:p>
    <w:p>
      <w:pPr>
        <w:ind w:right="560" w:firstLine="696"/>
        <w:spacing w:after="0" w:line="286" w:lineRule="auto"/>
        <w:rPr>
          <w:sz w:val="20"/>
          <w:szCs w:val="20"/>
          <w:color w:val="auto"/>
        </w:rPr>
      </w:pPr>
      <w:r>
        <w:rPr>
          <w:rFonts w:ascii="Times New Roman" w:cs="Times New Roman" w:eastAsia="Times New Roman" w:hAnsi="Times New Roman"/>
          <w:sz w:val="19"/>
          <w:szCs w:val="19"/>
          <w:color w:val="auto"/>
        </w:rPr>
        <w:t>"Schedule of Receivables" means the Schedule of Receivables sold and transferred pursuant to this Agreement which is attached hereto as Schedule A (which schedule may be in the form of an electronic copy stored on a flash drive or computer disk).</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"Schedule of Representations" means the Schedule of Representations and Warranties of Seller attached hereto as Schedule B.</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F5496"/>
        </w:rPr>
        <w:t xml:space="preserve">SECTION I.3 </w:t>
      </w:r>
      <w:r>
        <w:rPr>
          <w:rFonts w:ascii="Times New Roman" w:cs="Times New Roman" w:eastAsia="Times New Roman" w:hAnsi="Times New Roman"/>
          <w:sz w:val="19"/>
          <w:szCs w:val="19"/>
          <w:color w:val="000000"/>
        </w:rPr>
        <w:t>Usage of Terms. All terms defined in this Agreement shall have the defined meanings when used in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instrument governed hereby and in any certificate or other document made or delivered pursuant hereto unless otherwise defined therein.</w:t>
      </w:r>
    </w:p>
    <w:p>
      <w:pPr>
        <w:spacing w:after="0" w:line="180"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(b)As used in this Agreement, in any instrument governed hereby and in any certificate or other document made or delivered pursuant hereto or thereto, accounting terms not defined in this Agreement or in any such instrument, certificate or other document, and accounting terms partly defined in this Agreement or in any such instrument, certificate or other document to the extent not defined, shall have the respective meanings given to them under generally accepted accounting principles as in effect on the date of this Agreement or any such instrument, certificate or other document, as applicable. To the extent that the definitions of accounting terms in this Agreement or in any such instrument, certificate or other document are inconsistent with the meanings of such terms under generally accepted accounting principles, the definitions contained in this Agreement or in any such instrument, certificate or other document shall control.</w:t>
      </w:r>
    </w:p>
    <w:p>
      <w:pPr>
        <w:spacing w:after="0" w:line="392"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9"/>
          <w:szCs w:val="19"/>
          <w:color w:val="auto"/>
        </w:rPr>
        <w:t>(c)The words "hereof," "herein," "hereunder" and words of similar import when used in this Agreement shall refer to this Agreement as a whole and not to any particular provision of this Agreement; Section, Schedule and Exhibit references contained in this Agreement are references to Sections, Schedules and Exhibits in or to this Agreement unless otherwise specified; and the term "including" shall mean "including without limitation."</w:t>
      </w:r>
    </w:p>
    <w:p>
      <w:pPr>
        <w:spacing w:after="0" w:line="150"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(d)The definitions contained in this Agreement are applicable to the singular as well as the plural forms of such terms and to the masculine as well as to the feminine and neuter genders of such terms.</w:t>
      </w:r>
    </w:p>
    <w:p>
      <w:pPr>
        <w:spacing w:after="0" w:line="127"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auto"/>
        </w:rPr>
        <w:t>(e)Any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references to a Person are also to its permitted successors and assigns.</w:t>
      </w:r>
    </w:p>
    <w:p>
      <w:pPr>
        <w:spacing w:after="0" w:line="150" w:lineRule="exact"/>
        <w:rPr>
          <w:sz w:val="20"/>
          <w:szCs w:val="20"/>
          <w:color w:val="auto"/>
        </w:rPr>
      </w:pPr>
    </w:p>
    <w:p>
      <w:pPr>
        <w:ind w:right="340" w:firstLine="696"/>
        <w:spacing w:after="0" w:line="258" w:lineRule="auto"/>
        <w:rPr>
          <w:sz w:val="20"/>
          <w:szCs w:val="20"/>
          <w:color w:val="auto"/>
        </w:rPr>
      </w:pPr>
      <w:r>
        <w:rPr>
          <w:rFonts w:ascii="Times New Roman" w:cs="Times New Roman" w:eastAsia="Times New Roman" w:hAnsi="Times New Roman"/>
          <w:sz w:val="19"/>
          <w:szCs w:val="19"/>
          <w:color w:val="2F5496"/>
        </w:rPr>
        <w:t xml:space="preserve">SECTION I.4 </w:t>
      </w:r>
      <w:r>
        <w:rPr>
          <w:rFonts w:ascii="Times New Roman" w:cs="Times New Roman" w:eastAsia="Times New Roman" w:hAnsi="Times New Roman"/>
          <w:sz w:val="19"/>
          <w:szCs w:val="19"/>
          <w:color w:val="000000"/>
        </w:rPr>
        <w:t>No Recourse. Without limiting the obligations of Seller hereunder, no recourse may be taken, directly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indirectly, under this Agreement or any certificate or other writing delivered in connection herewith or therewith, against any officer, employee, agent, member or manager, as such, of Seller.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3" w:name="page264"/>
    <w:bookmarkEnd w:id="263"/>
    <w:p>
      <w:pPr>
        <w:spacing w:after="0" w:line="200" w:lineRule="exact"/>
        <w:rPr>
          <w:sz w:val="20"/>
          <w:szCs w:val="20"/>
          <w:color w:val="auto"/>
        </w:rPr>
      </w:pPr>
    </w:p>
    <w:p>
      <w:pPr>
        <w:spacing w:after="0" w:line="261"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2F5496"/>
        </w:rPr>
        <w:t xml:space="preserve">SECTION I.5 </w:t>
      </w:r>
      <w:r>
        <w:rPr>
          <w:rFonts w:ascii="Times New Roman" w:cs="Times New Roman" w:eastAsia="Times New Roman" w:hAnsi="Times New Roman"/>
          <w:sz w:val="19"/>
          <w:szCs w:val="19"/>
          <w:color w:val="000000"/>
        </w:rPr>
        <w:t>Action by or Consent of Noteholders and Certificateholders. Whenever any provision of this Agreement refers to</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action to be taken, or consented to, by the Noteholders or the Certificateholders, such provision shall be deemed to refer to the Noteholders or the Certificateholders, as the case may be, of record as of the Record Date immediately preceding the date on which such action is to be taken, or consent given, by Noteholders or the Certificateholders. Solely for the purposes of any action to be taken, or consented to, by Noteholders or the Certificateholders, any Note or Certificate registered in the name of the Seller, the Purchaser or any Affiliate thereof shall be deemed not to be outstanding;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that, solely for the purpose of determining whether the Owner Trustee or the Indenture Trustee is entitled to rely upon any such action or consent, only Notes or Certificates which the Owner Trustee or a Responsible Officer of the Indenture Trustee has actual knowledge to be so owned shall be so disregarded.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F5496"/>
        </w:rPr>
        <w:t>ARTICLE II.</w:t>
      </w:r>
    </w:p>
    <w:p>
      <w:pPr>
        <w:spacing w:after="0" w:line="2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b w:val="1"/>
          <w:bCs w:val="1"/>
          <w:color w:val="auto"/>
        </w:rPr>
        <w:t>CONVEYANCE OF THE RECEIVABLES</w:t>
      </w:r>
    </w:p>
    <w:p>
      <w:pPr>
        <w:spacing w:after="0" w:line="3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AND THE OTHER CONVEYED PROPERTY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II.1 </w:t>
      </w:r>
      <w:r>
        <w:rPr>
          <w:rFonts w:ascii="Times New Roman" w:cs="Times New Roman" w:eastAsia="Times New Roman" w:hAnsi="Times New Roman"/>
          <w:sz w:val="19"/>
          <w:szCs w:val="19"/>
          <w:color w:val="000000"/>
        </w:rPr>
        <w:t>Conveyance of the Receivables and the Other Conveyed Property.</w:t>
      </w:r>
    </w:p>
    <w:p>
      <w:pPr>
        <w:spacing w:after="0" w:line="202"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1F3763"/>
        </w:rPr>
        <w:t>(a)</w:t>
      </w:r>
      <w:r>
        <w:rPr>
          <w:rFonts w:ascii="Times New Roman" w:cs="Times New Roman" w:eastAsia="Times New Roman" w:hAnsi="Times New Roman"/>
          <w:sz w:val="19"/>
          <w:szCs w:val="19"/>
          <w:color w:val="000000"/>
        </w:rPr>
        <w:t>Subject to the terms and conditions of this Agreement, the Seller hereby sells, transfers, assigns, sets over and otherwise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conveys to the Purchaser without recourse (but without limitation of the Seller's obligations in this Agreement), and the Purchaser hereby purchases, all right, title and interest of the Seller in and to the following described property, whether now owned or existing or hereafter acquired or arising:</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1F3763"/>
        </w:rPr>
        <w:t>(i)</w:t>
      </w:r>
      <w:r>
        <w:rPr>
          <w:rFonts w:ascii="Times New Roman" w:cs="Times New Roman" w:eastAsia="Times New Roman" w:hAnsi="Times New Roman"/>
          <w:sz w:val="19"/>
          <w:szCs w:val="19"/>
          <w:color w:val="000000"/>
        </w:rPr>
        <w:t>the Receivables and all moneys received thereon after the Cutoff Date (excluding any Supplemental Servicing</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Fees);</w:t>
      </w:r>
    </w:p>
    <w:p>
      <w:pPr>
        <w:spacing w:after="0" w:line="180" w:lineRule="exact"/>
        <w:rPr>
          <w:sz w:val="20"/>
          <w:szCs w:val="20"/>
          <w:color w:val="auto"/>
        </w:rPr>
      </w:pPr>
    </w:p>
    <w:p>
      <w:pPr>
        <w:ind w:left="700" w:right="500" w:firstLine="744"/>
        <w:spacing w:after="0" w:line="286" w:lineRule="auto"/>
        <w:rPr>
          <w:sz w:val="20"/>
          <w:szCs w:val="20"/>
          <w:color w:val="auto"/>
        </w:rPr>
      </w:pPr>
      <w:r>
        <w:rPr>
          <w:rFonts w:ascii="Times New Roman" w:cs="Times New Roman" w:eastAsia="Times New Roman" w:hAnsi="Times New Roman"/>
          <w:sz w:val="19"/>
          <w:szCs w:val="19"/>
          <w:color w:val="1F3763"/>
        </w:rPr>
        <w:t>(ii)</w:t>
      </w:r>
      <w:r>
        <w:rPr>
          <w:rFonts w:ascii="Times New Roman" w:cs="Times New Roman" w:eastAsia="Times New Roman" w:hAnsi="Times New Roman"/>
          <w:sz w:val="19"/>
          <w:szCs w:val="19"/>
          <w:color w:val="000000"/>
        </w:rPr>
        <w:t>the security interests in the Financed Vehicles granted by Obligors pursuant to the Receivables and any other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interest of the Seller in such Financed Vehicles;</w:t>
      </w:r>
    </w:p>
    <w:p>
      <w:pPr>
        <w:spacing w:after="0" w:line="127" w:lineRule="exact"/>
        <w:rPr>
          <w:sz w:val="20"/>
          <w:szCs w:val="20"/>
          <w:color w:val="auto"/>
        </w:rPr>
      </w:pPr>
    </w:p>
    <w:p>
      <w:pPr>
        <w:ind w:left="700" w:right="120" w:firstLine="744"/>
        <w:spacing w:after="0" w:line="268" w:lineRule="auto"/>
        <w:rPr>
          <w:sz w:val="20"/>
          <w:szCs w:val="20"/>
          <w:color w:val="auto"/>
        </w:rPr>
      </w:pPr>
      <w:r>
        <w:rPr>
          <w:rFonts w:ascii="Times New Roman" w:cs="Times New Roman" w:eastAsia="Times New Roman" w:hAnsi="Times New Roman"/>
          <w:sz w:val="19"/>
          <w:szCs w:val="19"/>
          <w:color w:val="1F3763"/>
        </w:rPr>
        <w:t>(iii)</w:t>
      </w:r>
      <w:r>
        <w:rPr>
          <w:rFonts w:ascii="Times New Roman" w:cs="Times New Roman" w:eastAsia="Times New Roman" w:hAnsi="Times New Roman"/>
          <w:sz w:val="19"/>
          <w:szCs w:val="19"/>
          <w:color w:val="000000"/>
        </w:rPr>
        <w:t>any proceeds and the right to receive proceeds with respect to the Receivables from claims on any physical</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damage, credit life or disability insurance policies covering Financed Vehicles or Obligors, including any Collateral Insurance, and any proceeds from the repossession or liquidation of the Receivables;</w:t>
      </w:r>
    </w:p>
    <w:p>
      <w:pPr>
        <w:spacing w:after="0" w:line="144" w:lineRule="exact"/>
        <w:rPr>
          <w:sz w:val="20"/>
          <w:szCs w:val="20"/>
          <w:color w:val="auto"/>
        </w:rPr>
      </w:pPr>
    </w:p>
    <w:p>
      <w:pPr>
        <w:ind w:left="700" w:right="120" w:firstLine="744"/>
        <w:spacing w:after="0" w:line="268" w:lineRule="auto"/>
        <w:rPr>
          <w:sz w:val="20"/>
          <w:szCs w:val="20"/>
          <w:color w:val="auto"/>
        </w:rPr>
      </w:pPr>
      <w:r>
        <w:rPr>
          <w:rFonts w:ascii="Times New Roman" w:cs="Times New Roman" w:eastAsia="Times New Roman" w:hAnsi="Times New Roman"/>
          <w:sz w:val="19"/>
          <w:szCs w:val="19"/>
          <w:color w:val="1F3763"/>
        </w:rPr>
        <w:t>(iv)</w:t>
      </w:r>
      <w:r>
        <w:rPr>
          <w:rFonts w:ascii="Times New Roman" w:cs="Times New Roman" w:eastAsia="Times New Roman" w:hAnsi="Times New Roman"/>
          <w:sz w:val="19"/>
          <w:szCs w:val="19"/>
          <w:color w:val="000000"/>
        </w:rPr>
        <w:t>all rights of the Seller against Dealers under the related Dealer Agreements, including any proceeds from any</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Receivable repurchased by a Dealer pursuant to a Dealer Agreement as a result of a breach of representation or warranty in the related Dealer Agreement;</w:t>
      </w:r>
    </w:p>
    <w:p>
      <w:pPr>
        <w:spacing w:after="0" w:line="144" w:lineRule="exact"/>
        <w:rPr>
          <w:sz w:val="20"/>
          <w:szCs w:val="20"/>
          <w:color w:val="auto"/>
        </w:rPr>
      </w:pPr>
    </w:p>
    <w:p>
      <w:pPr>
        <w:ind w:left="1440" w:right="3380"/>
        <w:spacing w:after="0" w:line="368" w:lineRule="auto"/>
        <w:rPr>
          <w:sz w:val="20"/>
          <w:szCs w:val="20"/>
          <w:color w:val="auto"/>
        </w:rPr>
      </w:pPr>
      <w:r>
        <w:rPr>
          <w:rFonts w:ascii="Times New Roman" w:cs="Times New Roman" w:eastAsia="Times New Roman" w:hAnsi="Times New Roman"/>
          <w:sz w:val="19"/>
          <w:szCs w:val="19"/>
          <w:color w:val="1F3763"/>
        </w:rPr>
        <w:t>(v)</w:t>
      </w:r>
      <w:r>
        <w:rPr>
          <w:rFonts w:ascii="Times New Roman" w:cs="Times New Roman" w:eastAsia="Times New Roman" w:hAnsi="Times New Roman"/>
          <w:sz w:val="19"/>
          <w:szCs w:val="19"/>
          <w:color w:val="000000"/>
        </w:rPr>
        <w:t>all rights under any Service Contracts on the related Financed Vehicles;</w:t>
      </w:r>
      <w:r>
        <w:rPr>
          <w:rFonts w:ascii="Times New Roman" w:cs="Times New Roman" w:eastAsia="Times New Roman" w:hAnsi="Times New Roman"/>
          <w:sz w:val="19"/>
          <w:szCs w:val="19"/>
          <w:color w:val="1F3763"/>
        </w:rPr>
        <w:t xml:space="preserve"> (vi)</w:t>
      </w:r>
      <w:r>
        <w:rPr>
          <w:rFonts w:ascii="Times New Roman" w:cs="Times New Roman" w:eastAsia="Times New Roman" w:hAnsi="Times New Roman"/>
          <w:sz w:val="19"/>
          <w:szCs w:val="19"/>
          <w:color w:val="000000"/>
        </w:rPr>
        <w:t>the related Receivable Files;</w:t>
      </w: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4" w:name="page265"/>
    <w:bookmarkEnd w:id="264"/>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1F3763"/>
        </w:rPr>
        <w:t>(vii)</w:t>
      </w:r>
      <w:r>
        <w:rPr>
          <w:rFonts w:ascii="Times New Roman" w:cs="Times New Roman" w:eastAsia="Times New Roman" w:hAnsi="Times New Roman"/>
          <w:sz w:val="19"/>
          <w:szCs w:val="19"/>
          <w:color w:val="000000"/>
        </w:rPr>
        <w:t>the Seller's interest in the Lockbox Account in respect of any proceeds on the Receivables on deposit therein;</w:t>
      </w:r>
    </w:p>
    <w:p>
      <w:pPr>
        <w:spacing w:after="0" w:line="202" w:lineRule="exact"/>
        <w:rPr>
          <w:sz w:val="20"/>
          <w:szCs w:val="20"/>
          <w:color w:val="auto"/>
        </w:rPr>
      </w:pPr>
    </w:p>
    <w:p>
      <w:pPr>
        <w:ind w:left="700" w:right="60" w:firstLine="744"/>
        <w:spacing w:after="0" w:line="286" w:lineRule="auto"/>
        <w:rPr>
          <w:sz w:val="20"/>
          <w:szCs w:val="20"/>
          <w:color w:val="auto"/>
        </w:rPr>
      </w:pPr>
      <w:r>
        <w:rPr>
          <w:rFonts w:ascii="Times New Roman" w:cs="Times New Roman" w:eastAsia="Times New Roman" w:hAnsi="Times New Roman"/>
          <w:sz w:val="19"/>
          <w:szCs w:val="19"/>
          <w:color w:val="1F3763"/>
        </w:rPr>
        <w:t xml:space="preserve">(viii) </w:t>
      </w:r>
      <w:r>
        <w:rPr>
          <w:rFonts w:ascii="Times New Roman" w:cs="Times New Roman" w:eastAsia="Times New Roman" w:hAnsi="Times New Roman"/>
          <w:sz w:val="19"/>
          <w:szCs w:val="19"/>
          <w:color w:val="000000"/>
        </w:rPr>
        <w:t>all of the Seller's (1) Accounts, (2) Chattel Paper, (3) Documents, (4) Instruments and (5) General Intangibles (as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such terms are defined in the UCC) relating to the property described in (i) through (vii) above; and</w:t>
      </w:r>
    </w:p>
    <w:p>
      <w:pPr>
        <w:spacing w:after="0" w:line="127" w:lineRule="exact"/>
        <w:rPr>
          <w:sz w:val="20"/>
          <w:szCs w:val="20"/>
          <w:color w:val="auto"/>
        </w:rPr>
      </w:pPr>
    </w:p>
    <w:p>
      <w:pPr>
        <w:ind w:left="700" w:right="20" w:firstLine="744"/>
        <w:spacing w:after="0" w:line="256" w:lineRule="auto"/>
        <w:rPr>
          <w:sz w:val="20"/>
          <w:szCs w:val="20"/>
          <w:color w:val="auto"/>
        </w:rPr>
      </w:pPr>
      <w:r>
        <w:rPr>
          <w:rFonts w:ascii="Times New Roman" w:cs="Times New Roman" w:eastAsia="Times New Roman" w:hAnsi="Times New Roman"/>
          <w:sz w:val="19"/>
          <w:szCs w:val="19"/>
          <w:color w:val="1F3763"/>
        </w:rPr>
        <w:t>(ix)</w:t>
      </w:r>
      <w:r>
        <w:rPr>
          <w:rFonts w:ascii="Times New Roman" w:cs="Times New Roman" w:eastAsia="Times New Roman" w:hAnsi="Times New Roman"/>
          <w:sz w:val="19"/>
          <w:szCs w:val="19"/>
          <w:color w:val="000000"/>
        </w:rPr>
        <w:t>all proceeds and investments, present and future claims, demands, causes of action and choses in action in respect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of any or all 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(i) through (viii) above.</w:t>
      </w:r>
    </w:p>
    <w:p>
      <w:pPr>
        <w:spacing w:after="0" w:line="157"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1F3763"/>
        </w:rPr>
        <w:t>(b)</w:t>
      </w:r>
      <w:r>
        <w:rPr>
          <w:rFonts w:ascii="Times New Roman" w:cs="Times New Roman" w:eastAsia="Times New Roman" w:hAnsi="Times New Roman"/>
          <w:sz w:val="19"/>
          <w:szCs w:val="19"/>
          <w:color w:val="000000"/>
        </w:rPr>
        <w:t>Simultaneously with the conveyance of the Receivables and the Other Conveyed Property to the Purchaser, the Purchaser has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paid or caused to be paid to or upon the order of the Seller the net proceeds from the sale of the Notes (with any difference between the purchase price under the Note Purchase Agreement and such net proceeds deemed to be a contribution to the capital of the Purchaser (a wholly-owned subsidiary of the Seller)), by wire transfer of immediately available funds.</w:t>
      </w:r>
    </w:p>
    <w:p>
      <w:pPr>
        <w:spacing w:after="0" w:line="150"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1F3763"/>
        </w:rPr>
        <w:t>(c)</w:t>
      </w:r>
      <w:r>
        <w:rPr>
          <w:rFonts w:ascii="Times New Roman" w:cs="Times New Roman" w:eastAsia="Times New Roman" w:hAnsi="Times New Roman"/>
          <w:sz w:val="19"/>
          <w:szCs w:val="19"/>
          <w:color w:val="000000"/>
        </w:rPr>
        <w:t>In connection with the foregoing conveyance, the Seller further agrees, at its own expense, on or prior to the Closing Date (i)</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to annotate and indicate in its books, records and computer files that the Receivables have been sold and transferred to the Purchaser pursuant to this Agreement, (ii) to deliver to the Purchaser a computer file or printed or microfiche list of the Schedule of Receivables containing a true and complete list of the Receivables, identified by account number, which file or list shall be marked as Schedule A and is hereby incorporated into and made a part of this Agreement and (iii) to deliver or cause to be delivered the related Receivable Files to or upon the order of the Purchaser.</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III.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204" w:lineRule="exact"/>
        <w:rPr>
          <w:sz w:val="20"/>
          <w:szCs w:val="20"/>
          <w:color w:val="auto"/>
        </w:rPr>
      </w:pPr>
    </w:p>
    <w:p>
      <w:pPr>
        <w:ind w:right="6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III.1 </w:t>
      </w:r>
      <w:r>
        <w:rPr>
          <w:rFonts w:ascii="Times New Roman" w:cs="Times New Roman" w:eastAsia="Times New Roman" w:hAnsi="Times New Roman"/>
          <w:sz w:val="19"/>
          <w:szCs w:val="19"/>
          <w:color w:val="000000"/>
        </w:rPr>
        <w:t>Representations and Warranties of the Seller. The Seller makes the following representations and warranties as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of the date hereof and as of the Closing Date, on which the Purchaser relies in purchasing the Receivables and the Other Conveyed Property hereunder and in transferring the Receivables and the Other Conveyed Property to the Issuer under the Sale and Servicing Agreement. Such representations are made as of the execution and delivery of this Agreement, but shall survive the sale, transfer and assignment of the Receivables and the Other Conveyed Property hereunder, and the sale, transfer and assignment thereof by the Purchaser to the Issuer under the Sale and Servicing Agreement, and the pledge thereof to the Indenture Trustee under the Indenture. The Seller and the Purchaser agree that the Purchaser will assign to the Issuer</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5" w:name="page266"/>
    <w:bookmarkEnd w:id="265"/>
    <w:p>
      <w:pPr>
        <w:spacing w:after="0" w:line="200" w:lineRule="exact"/>
        <w:rPr>
          <w:sz w:val="20"/>
          <w:szCs w:val="20"/>
          <w:color w:val="auto"/>
        </w:rPr>
      </w:pPr>
    </w:p>
    <w:p>
      <w:pPr>
        <w:spacing w:after="0" w:line="26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9"/>
          <w:szCs w:val="19"/>
          <w:color w:val="auto"/>
        </w:rPr>
        <w:t>all of the Purchaser's rights under this Agreement and that the Indenture Trustee will thereafter be entitled to enforce this Agreement against the Seller in the Indenture Trustee's own name on behalf of the Noteholders.</w:t>
      </w:r>
    </w:p>
    <w:p>
      <w:pPr>
        <w:spacing w:after="0" w:line="127" w:lineRule="exact"/>
        <w:rPr>
          <w:sz w:val="20"/>
          <w:szCs w:val="20"/>
          <w:color w:val="auto"/>
        </w:rPr>
      </w:pPr>
    </w:p>
    <w:p>
      <w:pPr>
        <w:ind w:right="180" w:firstLine="696"/>
        <w:spacing w:after="0" w:line="286" w:lineRule="auto"/>
        <w:rPr>
          <w:sz w:val="20"/>
          <w:szCs w:val="20"/>
          <w:color w:val="auto"/>
        </w:rPr>
      </w:pPr>
      <w:r>
        <w:rPr>
          <w:rFonts w:ascii="Times New Roman" w:cs="Times New Roman" w:eastAsia="Times New Roman" w:hAnsi="Times New Roman"/>
          <w:sz w:val="19"/>
          <w:szCs w:val="19"/>
          <w:color w:val="1F3763"/>
        </w:rPr>
        <w:t>(a)</w:t>
      </w:r>
      <w:r>
        <w:rPr>
          <w:rFonts w:ascii="Times New Roman" w:cs="Times New Roman" w:eastAsia="Times New Roman" w:hAnsi="Times New Roman"/>
          <w:sz w:val="19"/>
          <w:szCs w:val="19"/>
          <w:color w:val="000000"/>
        </w:rPr>
        <w:t>Schedule of Representations. The representations and warranties set forth on the Schedule of Representations, with respect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to the Receivables as of the date hereof and as of the Closing Date, are true and correct.</w:t>
      </w:r>
    </w:p>
    <w:p>
      <w:pPr>
        <w:spacing w:after="0" w:line="127"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1F3763"/>
        </w:rPr>
        <w:t>(b)</w:t>
      </w:r>
      <w:r>
        <w:rPr>
          <w:rFonts w:ascii="Times New Roman" w:cs="Times New Roman" w:eastAsia="Times New Roman" w:hAnsi="Times New Roman"/>
          <w:sz w:val="19"/>
          <w:szCs w:val="19"/>
          <w:color w:val="000000"/>
        </w:rPr>
        <w:t>Organization and Good Standing. The Seller has been duly organized and is validly existing as a limited liability company in</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good standing under the laws of the State of California, with power and authority to own its properties and to conduct its business as such properties are currently owned and such business is currently conducted, and had at all relevant times, and now has, power, authority and legal right to acquire, own and sell the Receivables and the Other Conveyed Property to be transferred to the Purchaser pursuant to this Agreement and to perform its obligations under and enter into the Basic Documents to which it is a party.</w:t>
      </w:r>
    </w:p>
    <w:p>
      <w:pPr>
        <w:spacing w:after="0" w:line="154"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1F3763"/>
        </w:rPr>
        <w:t>(c)</w:t>
      </w:r>
      <w:r>
        <w:rPr>
          <w:rFonts w:ascii="Times New Roman" w:cs="Times New Roman" w:eastAsia="Times New Roman" w:hAnsi="Times New Roman"/>
          <w:sz w:val="19"/>
          <w:szCs w:val="19"/>
          <w:color w:val="000000"/>
        </w:rPr>
        <w:t>Due Qualification. The Seller is duly qualified to do business as a foreign company, is in good standing, and has obtained all</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necessary licenses and approvals in all jurisdictions in which the ownership or lease of its property, the conduct of its business or the entering into, or the performance of its obligations under the Basic Documents to which it is a party requires such qualification.</w:t>
      </w:r>
    </w:p>
    <w:p>
      <w:pPr>
        <w:spacing w:after="0" w:line="144"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1F3763"/>
        </w:rPr>
        <w:t xml:space="preserve">(d) </w:t>
      </w:r>
      <w:r>
        <w:rPr>
          <w:rFonts w:ascii="Times New Roman" w:cs="Times New Roman" w:eastAsia="Times New Roman" w:hAnsi="Times New Roman"/>
          <w:sz w:val="19"/>
          <w:szCs w:val="19"/>
          <w:color w:val="000000"/>
        </w:rPr>
        <w:t>Power and Authority. The Seller has the power and authority to execute and deliver this Agreement and the other Basic</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Documents to which it is a party and to carry out its terms and their terms, respectively; the Seller has full power and authority to sell and assign the Receivables and the Other Conveyed Property to be sold and assigned to and deposited with the Purchaser hereunder and has duly authorized such sale and assignment to the Purchaser by all necessary company action; and the execution, delivery and performance of this Agreement and the other Basic Documents to which it is a party have been duly authorized by the Seller by all necessary company action.</w:t>
      </w:r>
    </w:p>
    <w:p>
      <w:pPr>
        <w:spacing w:after="0" w:line="157"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color w:val="1F3763"/>
        </w:rPr>
        <w:t>(e)</w:t>
      </w:r>
      <w:r>
        <w:rPr>
          <w:rFonts w:ascii="Times New Roman" w:cs="Times New Roman" w:eastAsia="Times New Roman" w:hAnsi="Times New Roman"/>
          <w:sz w:val="19"/>
          <w:szCs w:val="19"/>
          <w:color w:val="000000"/>
        </w:rPr>
        <w:t>Valid Sale; Binding Obligations. This Agreement and the other Basic Documents to which it is a party have been duly</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executed and delivered, shall effect a valid sale, transfer and assignment of the Receivables and the Other Conveyed Property to the Purchaser, enforceable against the Seller and creditors of and purchasers from the Seller; and this Agreement and the other Basic Documents to which it is a party constitute legal, valid and binding obligations of the Seller enforceable in accordance with their respective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157"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color w:val="1F3763"/>
        </w:rPr>
        <w:t>(f)</w:t>
      </w:r>
      <w:r>
        <w:rPr>
          <w:rFonts w:ascii="Times New Roman" w:cs="Times New Roman" w:eastAsia="Times New Roman" w:hAnsi="Times New Roman"/>
          <w:sz w:val="19"/>
          <w:szCs w:val="19"/>
          <w:color w:val="000000"/>
        </w:rPr>
        <w:t>No Violation. The execution, delivery and performance by the Seller of this Agreement and the other Basic Documents to</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which it is a party, the consummation of the transactions contemplated by this Agreement and the other Basic Documents to which it is a party, and the fulfillment of the terms of this Agreement and such other Basic Documents, shall not conflict with, result in any breach of any of the terms and provisions of, or constitute (with or without notice, lapse of time or both) a default under, the articles of incorporation or bylaws of the</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6" w:name="page267"/>
    <w:bookmarkEnd w:id="266"/>
    <w:p>
      <w:pPr>
        <w:spacing w:after="0" w:line="200" w:lineRule="exact"/>
        <w:rPr>
          <w:sz w:val="20"/>
          <w:szCs w:val="20"/>
          <w:color w:val="auto"/>
        </w:rPr>
      </w:pPr>
    </w:p>
    <w:p>
      <w:pPr>
        <w:spacing w:after="0" w:line="26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auto"/>
        </w:rPr>
        <w:t>Seller, or any indenture, agreement, mortgage, deed of trust or other instrument to which the Seller is a party or by which it is bound, or result (with or without notice, lapse of time or both) in the creation or imposition of any Lien upon any of its properties pursuant to the terms of any such indenture, agreement, mortgage, deed of trust or other instrument, other than this Agreement, the Sale and Servicing Agreement, the Indenture and the other Basic Documents to which it is a party, or violate any law, order, rule or regulation applicable to the Seller of any court or of any federal or State regulatory body, administrative agency or other governmental instrumentality having jurisdiction over the Seller or any of its properties.</w:t>
      </w:r>
    </w:p>
    <w:p>
      <w:pPr>
        <w:spacing w:after="0" w:line="157"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1F3763"/>
        </w:rPr>
        <w:t>(g)</w:t>
      </w:r>
      <w:r>
        <w:rPr>
          <w:rFonts w:ascii="Times New Roman" w:cs="Times New Roman" w:eastAsia="Times New Roman" w:hAnsi="Times New Roman"/>
          <w:sz w:val="19"/>
          <w:szCs w:val="19"/>
          <w:color w:val="000000"/>
        </w:rPr>
        <w:t>No Proceedings. There are no proceedings or investigations pending or, to the Seller's knowledge, threatened against the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Seller, before any court, regulatory body, administrative agency or other tribunal or governmental instrumentality having jurisdiction over the Seller or its properties (i) asserting the invalidity of this Agreement or any of the other Basic Documents, (ii) seeking to prevent the issuance of the Notes or the Certificates or the consummation of any of the transactions contemplated by this Agreement or any of the Basic Documents, (iii) seeking any determination or ruling that might materially and adversely affect the performance by the Seller of its obligations under, or the validity or enforceability of, this Agreement or any of the other Basic Documents or (iv) seeking to affect adversely the federal income tax or other federal, State or local tax attributes of, or seeking to impose any excise, franchise, transfer or similar tax upon, the transfer and acquisition of the Receivables and the Other Conveyed Property hereunder or under the Sale and Servicing Agreement.</w:t>
      </w:r>
    </w:p>
    <w:p>
      <w:pPr>
        <w:spacing w:after="0" w:line="155" w:lineRule="exact"/>
        <w:rPr>
          <w:sz w:val="20"/>
          <w:szCs w:val="20"/>
          <w:color w:val="auto"/>
        </w:rPr>
      </w:pPr>
    </w:p>
    <w:p>
      <w:pPr>
        <w:ind w:right="160" w:firstLine="696"/>
        <w:spacing w:after="0" w:line="262" w:lineRule="auto"/>
        <w:rPr>
          <w:sz w:val="20"/>
          <w:szCs w:val="20"/>
          <w:color w:val="auto"/>
        </w:rPr>
      </w:pPr>
      <w:r>
        <w:rPr>
          <w:rFonts w:ascii="Times New Roman" w:cs="Times New Roman" w:eastAsia="Times New Roman" w:hAnsi="Times New Roman"/>
          <w:sz w:val="19"/>
          <w:szCs w:val="19"/>
          <w:color w:val="1F3763"/>
        </w:rPr>
        <w:t xml:space="preserve">(h) </w:t>
      </w:r>
      <w:r>
        <w:rPr>
          <w:rFonts w:ascii="Times New Roman" w:cs="Times New Roman" w:eastAsia="Times New Roman" w:hAnsi="Times New Roman"/>
          <w:sz w:val="19"/>
          <w:szCs w:val="19"/>
          <w:color w:val="000000"/>
        </w:rPr>
        <w:t>No Consents. The Seller is not required to obtain the consent of any other party or any consent, license, approval,</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registration, authorization, or declaration of or with any court, regulatory body, administrative agency or other tribunal or governmental instrumentality having jurisdiction over the Seller or its properties in connection with the execution, delivery, performance, validity, or enforceability of this Agreement or any other Basic Document to which it is a party that has not already been obtained.</w:t>
      </w:r>
    </w:p>
    <w:p>
      <w:pPr>
        <w:spacing w:after="0" w:line="150" w:lineRule="exact"/>
        <w:rPr>
          <w:sz w:val="20"/>
          <w:szCs w:val="20"/>
          <w:color w:val="auto"/>
        </w:rPr>
      </w:pPr>
    </w:p>
    <w:p>
      <w:pPr>
        <w:ind w:right="80" w:firstLine="696"/>
        <w:spacing w:after="0" w:line="262" w:lineRule="auto"/>
        <w:rPr>
          <w:sz w:val="20"/>
          <w:szCs w:val="20"/>
          <w:color w:val="auto"/>
        </w:rPr>
      </w:pPr>
      <w:r>
        <w:rPr>
          <w:rFonts w:ascii="Times New Roman" w:cs="Times New Roman" w:eastAsia="Times New Roman" w:hAnsi="Times New Roman"/>
          <w:sz w:val="19"/>
          <w:szCs w:val="19"/>
          <w:color w:val="1F3763"/>
        </w:rPr>
        <w:t>(i)</w:t>
      </w:r>
      <w:r>
        <w:rPr>
          <w:rFonts w:ascii="Times New Roman" w:cs="Times New Roman" w:eastAsia="Times New Roman" w:hAnsi="Times New Roman"/>
          <w:sz w:val="19"/>
          <w:szCs w:val="19"/>
          <w:color w:val="000000"/>
        </w:rPr>
        <w:t>True Sale. No sale of Receivables to the Purchaser is being made with any intent to hinder, delay or defraud any of its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creditors. The Seller is not insolvent, nor will the Seller be made insolvent by the transfer of Receivables, nor does the Seller anticipate any pending insolvency. The Receivables are being transferred with the intention of removing them from the Seller's estate for purposes of Section 541 of the Bankruptcy Code.</w:t>
      </w:r>
    </w:p>
    <w:p>
      <w:pPr>
        <w:spacing w:after="0" w:line="150" w:lineRule="exact"/>
        <w:rPr>
          <w:sz w:val="20"/>
          <w:szCs w:val="20"/>
          <w:color w:val="auto"/>
        </w:rPr>
      </w:pPr>
    </w:p>
    <w:p>
      <w:pPr>
        <w:ind w:right="380" w:firstLine="696"/>
        <w:spacing w:after="0" w:line="286" w:lineRule="auto"/>
        <w:rPr>
          <w:sz w:val="20"/>
          <w:szCs w:val="20"/>
          <w:color w:val="auto"/>
        </w:rPr>
      </w:pPr>
      <w:r>
        <w:rPr>
          <w:rFonts w:ascii="Times New Roman" w:cs="Times New Roman" w:eastAsia="Times New Roman" w:hAnsi="Times New Roman"/>
          <w:sz w:val="19"/>
          <w:szCs w:val="19"/>
          <w:color w:val="1F3763"/>
        </w:rPr>
        <w:t>(j)</w:t>
      </w:r>
      <w:r>
        <w:rPr>
          <w:rFonts w:ascii="Times New Roman" w:cs="Times New Roman" w:eastAsia="Times New Roman" w:hAnsi="Times New Roman"/>
          <w:sz w:val="19"/>
          <w:szCs w:val="19"/>
          <w:color w:val="000000"/>
        </w:rPr>
        <w:t>Chief Executive Office. The chief executive office of the Seller is located at 1071 Camelback Street, Suite 100, Newport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Beach, California 92660.</w:t>
      </w:r>
    </w:p>
    <w:p>
      <w:pPr>
        <w:spacing w:after="0" w:line="127" w:lineRule="exact"/>
        <w:rPr>
          <w:sz w:val="20"/>
          <w:szCs w:val="20"/>
          <w:color w:val="auto"/>
        </w:rPr>
      </w:pPr>
    </w:p>
    <w:p>
      <w:pPr>
        <w:ind w:right="260" w:firstLine="696"/>
        <w:spacing w:after="0" w:line="254" w:lineRule="auto"/>
        <w:rPr>
          <w:sz w:val="20"/>
          <w:szCs w:val="20"/>
          <w:color w:val="auto"/>
        </w:rPr>
      </w:pPr>
      <w:r>
        <w:rPr>
          <w:rFonts w:ascii="Times New Roman" w:cs="Times New Roman" w:eastAsia="Times New Roman" w:hAnsi="Times New Roman"/>
          <w:sz w:val="19"/>
          <w:szCs w:val="19"/>
          <w:color w:val="2F5496"/>
        </w:rPr>
        <w:t xml:space="preserve">SECTION III.2 </w:t>
      </w:r>
      <w:r>
        <w:rPr>
          <w:rFonts w:ascii="Times New Roman" w:cs="Times New Roman" w:eastAsia="Times New Roman" w:hAnsi="Times New Roman"/>
          <w:sz w:val="19"/>
          <w:szCs w:val="19"/>
          <w:color w:val="000000"/>
        </w:rPr>
        <w:t>Representations and Warranties of the Purchaser. The Purchaser makes the following representations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warranties as of the date hereof and as of the Closing Date, on which the Seller relies in selling, assigning, transferring and conveying the Receivables and the Other Conveyed Property to the Purchaser hereunder. Such representations are made as of the execution and delivery of this Agreement, but shall survive the sale, transfer and assignment of the Receivables and the Other Conveyed Property hereunder and the sale, transfer and assignment thereof by the Purchaser to the Issuer under the Sale and Servicing Agreement and the pledge thereof to the Indenture Trustee under the Indenture.</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7" w:name="page268"/>
    <w:bookmarkEnd w:id="267"/>
    <w:p>
      <w:pPr>
        <w:spacing w:after="0" w:line="200" w:lineRule="exact"/>
        <w:rPr>
          <w:sz w:val="20"/>
          <w:szCs w:val="20"/>
          <w:color w:val="auto"/>
        </w:rPr>
      </w:pPr>
    </w:p>
    <w:p>
      <w:pPr>
        <w:spacing w:after="0" w:line="261" w:lineRule="exact"/>
        <w:rPr>
          <w:sz w:val="20"/>
          <w:szCs w:val="20"/>
          <w:color w:val="auto"/>
        </w:rPr>
      </w:pPr>
    </w:p>
    <w:p>
      <w:pPr>
        <w:ind w:right="120" w:firstLine="696"/>
        <w:spacing w:after="0" w:line="257" w:lineRule="auto"/>
        <w:rPr>
          <w:sz w:val="20"/>
          <w:szCs w:val="20"/>
          <w:color w:val="auto"/>
        </w:rPr>
      </w:pPr>
      <w:r>
        <w:rPr>
          <w:rFonts w:ascii="Times New Roman" w:cs="Times New Roman" w:eastAsia="Times New Roman" w:hAnsi="Times New Roman"/>
          <w:sz w:val="19"/>
          <w:szCs w:val="19"/>
          <w:color w:val="1F3763"/>
        </w:rPr>
        <w:t>(a)</w:t>
      </w:r>
      <w:r>
        <w:rPr>
          <w:rFonts w:ascii="Times New Roman" w:cs="Times New Roman" w:eastAsia="Times New Roman" w:hAnsi="Times New Roman"/>
          <w:sz w:val="19"/>
          <w:szCs w:val="19"/>
          <w:color w:val="000000"/>
        </w:rPr>
        <w:t>Organization and Good Standing. The Purchaser has been duly organized and is validly existing and in good standing as a</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limited liability company under the laws of the State of Delaware, with the power and authority to own its properties and to conduct its business as such properties are currently owned and such business is currently conducted, and had at all relevant times, and has, full power, authority and legal right to acquire and own the Receivables and the Other Conveyed Property, and to transfer the Receivables and the Other Conveyed Property to the Issuer pursuant to the Sale and Servicing Agreement and to perform its obligations under and enter into the Basic Documents to which it is a party.</w:t>
      </w:r>
    </w:p>
    <w:p>
      <w:pPr>
        <w:spacing w:after="0" w:line="157"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1F3763"/>
        </w:rPr>
        <w:t>(b)</w:t>
      </w:r>
      <w:r>
        <w:rPr>
          <w:rFonts w:ascii="Times New Roman" w:cs="Times New Roman" w:eastAsia="Times New Roman" w:hAnsi="Times New Roman"/>
          <w:sz w:val="19"/>
          <w:szCs w:val="19"/>
          <w:color w:val="000000"/>
        </w:rPr>
        <w:t>Due Qualification. The Purchaser is duly qualified to do business as a foreign limited liability company, is in good standing,</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and has obtained all necessary licenses and approvals in all jurisdictions where the failure to do so would materially and adversely affect the Purchaser's ability to acquire the Receivables or the Other Conveyed Property, and to transfer the Receivables and the Other Conveyed Property to the Issuer pursuant to the Sale and Servicing Agreement, or the validity or enforceability of the Receivables and the Other Conveyed Property or to perform the Purchaser's obligations hereunder and under the other Basic Documents to which it is a party.</w:t>
      </w:r>
    </w:p>
    <w:p>
      <w:pPr>
        <w:spacing w:after="0" w:line="157" w:lineRule="exact"/>
        <w:rPr>
          <w:sz w:val="20"/>
          <w:szCs w:val="20"/>
          <w:color w:val="auto"/>
        </w:rPr>
      </w:pPr>
    </w:p>
    <w:p>
      <w:pPr>
        <w:ind w:right="20" w:firstLine="696"/>
        <w:spacing w:after="0" w:line="259" w:lineRule="auto"/>
        <w:rPr>
          <w:sz w:val="20"/>
          <w:szCs w:val="20"/>
          <w:color w:val="auto"/>
        </w:rPr>
      </w:pPr>
      <w:r>
        <w:rPr>
          <w:rFonts w:ascii="Times New Roman" w:cs="Times New Roman" w:eastAsia="Times New Roman" w:hAnsi="Times New Roman"/>
          <w:sz w:val="19"/>
          <w:szCs w:val="19"/>
          <w:color w:val="1F3763"/>
        </w:rPr>
        <w:t xml:space="preserve">(c) </w:t>
      </w:r>
      <w:r>
        <w:rPr>
          <w:rFonts w:ascii="Times New Roman" w:cs="Times New Roman" w:eastAsia="Times New Roman" w:hAnsi="Times New Roman"/>
          <w:sz w:val="19"/>
          <w:szCs w:val="19"/>
          <w:color w:val="000000"/>
        </w:rPr>
        <w:t>Power and Authority. The Purchaser has the power, authority and legal right to execute and deliver this Agreement and the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other Basic Documents to which it is a party and to carry out the terms hereof and thereof and to acquire the Receivables and the Other Conveyed Property hereunder; and the execution, delivery and performance of this Agreement and each other Basic Document to which it is a party, and all of the documents required pursuant hereto or thereto have been duly authorized by the Purchaser by all necessary action.</w:t>
      </w:r>
    </w:p>
    <w:p>
      <w:pPr>
        <w:spacing w:after="0" w:line="154" w:lineRule="exact"/>
        <w:rPr>
          <w:sz w:val="20"/>
          <w:szCs w:val="20"/>
          <w:color w:val="auto"/>
        </w:rPr>
      </w:pPr>
    </w:p>
    <w:p>
      <w:pPr>
        <w:ind w:right="140" w:firstLine="696"/>
        <w:spacing w:after="0" w:line="259" w:lineRule="auto"/>
        <w:rPr>
          <w:sz w:val="20"/>
          <w:szCs w:val="20"/>
          <w:color w:val="auto"/>
        </w:rPr>
      </w:pPr>
      <w:r>
        <w:rPr>
          <w:rFonts w:ascii="Times New Roman" w:cs="Times New Roman" w:eastAsia="Times New Roman" w:hAnsi="Times New Roman"/>
          <w:sz w:val="19"/>
          <w:szCs w:val="19"/>
          <w:color w:val="1F3763"/>
        </w:rPr>
        <w:t>(d)</w:t>
      </w:r>
      <w:r>
        <w:rPr>
          <w:rFonts w:ascii="Times New Roman" w:cs="Times New Roman" w:eastAsia="Times New Roman" w:hAnsi="Times New Roman"/>
          <w:sz w:val="19"/>
          <w:szCs w:val="19"/>
          <w:color w:val="000000"/>
        </w:rPr>
        <w:t>No Consent Required. The Purchaser is not required to obtain the consent of any other party or any consent, license,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approval, registration, authorization, or declaration of or with any court, regulatory body, administrative agency or other tribunal or governmental instrumentality having jurisdiction over the Purchaser or its properties in connection with the execution, delivery, performance, validity, or enforceability of this Agreement or any other Basic Document to which it is a party that has not already been obtained.</w:t>
      </w:r>
    </w:p>
    <w:p>
      <w:pPr>
        <w:spacing w:after="0" w:line="154" w:lineRule="exact"/>
        <w:rPr>
          <w:sz w:val="20"/>
          <w:szCs w:val="20"/>
          <w:color w:val="auto"/>
        </w:rPr>
      </w:pPr>
    </w:p>
    <w:p>
      <w:pPr>
        <w:ind w:right="360" w:firstLine="696"/>
        <w:spacing w:after="0" w:line="262" w:lineRule="auto"/>
        <w:rPr>
          <w:sz w:val="20"/>
          <w:szCs w:val="20"/>
          <w:color w:val="auto"/>
        </w:rPr>
      </w:pPr>
      <w:r>
        <w:rPr>
          <w:rFonts w:ascii="Times New Roman" w:cs="Times New Roman" w:eastAsia="Times New Roman" w:hAnsi="Times New Roman"/>
          <w:sz w:val="19"/>
          <w:szCs w:val="19"/>
          <w:color w:val="1F3763"/>
        </w:rPr>
        <w:t>(e)</w:t>
      </w:r>
      <w:r>
        <w:rPr>
          <w:rFonts w:ascii="Times New Roman" w:cs="Times New Roman" w:eastAsia="Times New Roman" w:hAnsi="Times New Roman"/>
          <w:sz w:val="19"/>
          <w:szCs w:val="19"/>
          <w:color w:val="000000"/>
        </w:rPr>
        <w:t>Binding Obligation. This Agreement and each other Basic Document to which it is a party constitutes a legal, valid and</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binding obligation of the Purchaser, enforceable against the Purchaser in accordance with its terms, subject, as to enforceability, to applicable bankruptcy, insolvency, reorganization, conservatorship, receivership, liquidation and other similar laws and to general equitable principles.</w:t>
      </w:r>
    </w:p>
    <w:p>
      <w:pPr>
        <w:spacing w:after="0" w:line="150" w:lineRule="exact"/>
        <w:rPr>
          <w:sz w:val="20"/>
          <w:szCs w:val="20"/>
          <w:color w:val="auto"/>
        </w:rPr>
      </w:pPr>
    </w:p>
    <w:p>
      <w:pPr>
        <w:ind w:right="20" w:firstLine="696"/>
        <w:spacing w:after="0" w:line="253" w:lineRule="auto"/>
        <w:rPr>
          <w:sz w:val="20"/>
          <w:szCs w:val="20"/>
          <w:color w:val="auto"/>
        </w:rPr>
      </w:pPr>
      <w:r>
        <w:rPr>
          <w:rFonts w:ascii="Times New Roman" w:cs="Times New Roman" w:eastAsia="Times New Roman" w:hAnsi="Times New Roman"/>
          <w:sz w:val="19"/>
          <w:szCs w:val="19"/>
          <w:color w:val="1F3763"/>
        </w:rPr>
        <w:t>(f)</w:t>
      </w:r>
      <w:r>
        <w:rPr>
          <w:rFonts w:ascii="Times New Roman" w:cs="Times New Roman" w:eastAsia="Times New Roman" w:hAnsi="Times New Roman"/>
          <w:sz w:val="19"/>
          <w:szCs w:val="19"/>
          <w:color w:val="000000"/>
        </w:rPr>
        <w:t>No Violation. The execution, delivery and performance by the Purchaser of this Agreement and each other Basic Document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to which it is a party, the consummation of the transactions contemplated by this Agreement and the other Basic Documents to which it is a party and the fulfillment of the terms of this Agreement and the other Basic Documents to which it is a party do not and will not conflict with, result in any breach of any of the terms and provisions of, or constitute (with or without notice, lapse of time or both) a default under, the limited liability company agreement or certificate of formation of the Purchaser, or conflict with or breach any of the terms or provisions of, or constitute (with or without notice, lapse of time or both) a default under, any indenture, agreement, mortgage, deed of trust or other instrument to which the</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268" w:name="page269"/>
    <w:bookmarkEnd w:id="268"/>
    <w:p>
      <w:pPr>
        <w:spacing w:after="0" w:line="200" w:lineRule="exact"/>
        <w:rPr>
          <w:sz w:val="20"/>
          <w:szCs w:val="20"/>
          <w:color w:val="auto"/>
        </w:rPr>
      </w:pPr>
    </w:p>
    <w:p>
      <w:pPr>
        <w:spacing w:after="0" w:line="2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Purchaser is a party or by which the Purchaser is bound or to which any of its properties are subject, or result (with or without notice, lapse of time or both) in the creation or imposition of any Lien upon any of its properties pursuant to the terms of any such indenture, agreement, mortgage, deed of trust or other instrument (other than the Sale and Servicing Agreement, the Indenture and the other Basic Documents to which it is a party), or violate any law, order, rule or regulation, applicable to the Purchaser or its properties, of any federal or State regulatory body, any court, administrative agency, or other governmental instrumentality having jurisdiction over the Purchaser or any of its properties.</w:t>
      </w:r>
    </w:p>
    <w:p>
      <w:pPr>
        <w:spacing w:after="0" w:line="157"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1F3763"/>
        </w:rPr>
        <w:t>(g)</w:t>
      </w:r>
      <w:r>
        <w:rPr>
          <w:rFonts w:ascii="Times New Roman" w:cs="Times New Roman" w:eastAsia="Times New Roman" w:hAnsi="Times New Roman"/>
          <w:sz w:val="19"/>
          <w:szCs w:val="19"/>
          <w:color w:val="000000"/>
        </w:rPr>
        <w:t>No Proceedings. There are no proceedings or investigations pending, or, to the knowledge of the Purchaser, threatened</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against the Purchaser, before any court, regulatory body, administrative agency, or other tribunal or governmental instrumentality having jurisdiction over the Purchaser or its properties: (i) asserting the invalidity of this Agreement or any of the Basic Documents, (ii) seeking to prevent the consummation of any of the transactions contemplated by this Agreement or any of the Basic Documents, (iii) seeking any determination or ruling that might materially and adversely affect the performance by the Purchaser of its obligations under, or the validity or enforceability of, this Agreement or any of the Basic Documents or (iv) that may adversely affect the federal or State income tax attributes of, or seeking to impose any excise, franchise, transfer or similar tax upon, the transfer and acquisition of the Receivables and the Other Conveyed Property hereunder or the transfer of the Receivables and the Other Conveyed Property to the Issuer pursuant to the Sale and Servicing Agreement.</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IV.</w:t>
      </w:r>
    </w:p>
    <w:p>
      <w:pPr>
        <w:spacing w:after="0" w:line="2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COVENANTS OF SELLER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IV.1 </w:t>
      </w:r>
      <w:r>
        <w:rPr>
          <w:rFonts w:ascii="Times New Roman" w:cs="Times New Roman" w:eastAsia="Times New Roman" w:hAnsi="Times New Roman"/>
          <w:sz w:val="19"/>
          <w:szCs w:val="19"/>
          <w:color w:val="000000"/>
        </w:rPr>
        <w:t>Protection of Title of the Purchaser.</w:t>
      </w:r>
    </w:p>
    <w:p>
      <w:pPr>
        <w:spacing w:after="0" w:line="202"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1F3763"/>
        </w:rPr>
        <w:t>(a)</w:t>
      </w:r>
      <w:r>
        <w:rPr>
          <w:rFonts w:ascii="Times New Roman" w:cs="Times New Roman" w:eastAsia="Times New Roman" w:hAnsi="Times New Roman"/>
          <w:sz w:val="19"/>
          <w:szCs w:val="19"/>
          <w:color w:val="000000"/>
        </w:rPr>
        <w:t>Within two Business Days of the Closing Date, the Seller shall have filed or caused to be filed a UCC-1 financing statement,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naming Seller as seller or debtor, naming the Purchaser as purchaser or secured party and describing the Receivables and the Other Conveyed Property being sold by it to the Purchaser as collateral, with the office of the Secretary of State of the State of California and in such other locations as the Purchaser shall have required. From time to time thereafter, the Seller shall execute and file such financing statements and cause to be executed and filed such continuation statements, all in such manner and in such places as may be required by law to fully preserve, maintain and protect the interest of the Purchaser under this Agreement, of the Issuer under the Sale and Servicing Agreement and of the Indenture Trustee under the Indenture in the Receivables and the Other Conveyed Property and in the proceeds thereof. The Seller shall deliver (or cause to be delivered) to the Purchaser and the Indenture Trustee file-stamped copies of, or filing receipts for, any document filed as provided above, as soon as available following such filing. In the event that the Seller fails to perform its obligations under this subsection, the Purchaser, the Issuer or the Indenture Trustee, upon written direction, may do so, at the expense of the Seller. In furtherance of the foregoing, the Seller hereby authorizes the Purchaser, the Issuer or the Indenture Trustee, upon written direction, to file a record or records (as defined in the applicable UCC), including financing statements, in all jurisdictions and with all filing offices as are necessary or advisable to perfect the security interest granted to the Purchaser pursuant to Section 6.9. Such financing statements may describe the collateral in the same manner</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9" w:name="page270"/>
    <w:bookmarkEnd w:id="269"/>
    <w:p>
      <w:pPr>
        <w:spacing w:after="0" w:line="200" w:lineRule="exact"/>
        <w:rPr>
          <w:sz w:val="20"/>
          <w:szCs w:val="20"/>
          <w:color w:val="auto"/>
        </w:rPr>
      </w:pPr>
    </w:p>
    <w:p>
      <w:pPr>
        <w:spacing w:after="0" w:line="261"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9"/>
          <w:szCs w:val="19"/>
          <w:color w:val="auto"/>
        </w:rPr>
        <w:t>as described herein or may contain an indication or description of collateral that describes such property in any other manner as such party may determine, in its sole discretion, is necessary, advisable or prudent to ensure the perfection of the security interest in the collateral granted to the Purchaser herein. Notwithstanding anything herein to the contrary, the Indenture Trustee shall not be responsible for monitoring any security interest or the sufficiency of any financing statements, or be liable for the Seller's failure to comply with its obligations under this Section.</w:t>
      </w:r>
    </w:p>
    <w:p>
      <w:pPr>
        <w:spacing w:after="0" w:line="154"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1F3763"/>
        </w:rPr>
        <w:t xml:space="preserve">(b) </w:t>
      </w:r>
      <w:r>
        <w:rPr>
          <w:rFonts w:ascii="Times New Roman" w:cs="Times New Roman" w:eastAsia="Times New Roman" w:hAnsi="Times New Roman"/>
          <w:sz w:val="19"/>
          <w:szCs w:val="19"/>
          <w:color w:val="000000"/>
        </w:rPr>
        <w:t>The Seller shall not change its name, identity, State of formation or company structure in any manner that would, could or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might make any financing statement or continuation statement filed by the Seller (or by the Purchaser, the Issuer or the Indenture Trustee, upon written direction, on behalf of the Seller) in accordance with paragraph (a) above seriously misleading within the meaning of Section 9-506 of the applicable UCC, unless the Seller shall have given the Purchaser, the Issuer and the Indenture Trustee at least 5 days prior written notice thereof, and the Seller shall promptly (but in no event later than 5 Business Days following such change) file appropriate amendments to all previously filed financing statements and continuation statements.</w:t>
      </w:r>
    </w:p>
    <w:p>
      <w:pPr>
        <w:spacing w:after="0" w:line="157"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1F3763"/>
        </w:rPr>
        <w:t>(c)</w:t>
      </w:r>
      <w:r>
        <w:rPr>
          <w:rFonts w:ascii="Times New Roman" w:cs="Times New Roman" w:eastAsia="Times New Roman" w:hAnsi="Times New Roman"/>
          <w:sz w:val="19"/>
          <w:szCs w:val="19"/>
          <w:color w:val="000000"/>
        </w:rPr>
        <w:t>The Seller shall give the Purchaser, the Issuer and the Indenture Trustee at least 5 days' prior written notice of any relocation</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that would result in a change of the location of the debtor within the meaning of Section 9-307 of the applicable UCC. The Seller shall at all times maintain (i) each office from which it services Receivables within the United States of America and (ii) its principal executive office within the United States of America.</w:t>
      </w:r>
    </w:p>
    <w:p>
      <w:pPr>
        <w:spacing w:after="0" w:line="150" w:lineRule="exact"/>
        <w:rPr>
          <w:sz w:val="20"/>
          <w:szCs w:val="20"/>
          <w:color w:val="auto"/>
        </w:rPr>
      </w:pPr>
    </w:p>
    <w:p>
      <w:pPr>
        <w:ind w:right="120" w:firstLine="696"/>
        <w:spacing w:after="0" w:line="254" w:lineRule="auto"/>
        <w:rPr>
          <w:sz w:val="20"/>
          <w:szCs w:val="20"/>
          <w:color w:val="auto"/>
        </w:rPr>
      </w:pPr>
      <w:r>
        <w:rPr>
          <w:rFonts w:ascii="Times New Roman" w:cs="Times New Roman" w:eastAsia="Times New Roman" w:hAnsi="Times New Roman"/>
          <w:sz w:val="19"/>
          <w:szCs w:val="19"/>
          <w:color w:val="1F3763"/>
        </w:rPr>
        <w:t>(d)</w:t>
      </w:r>
      <w:r>
        <w:rPr>
          <w:rFonts w:ascii="Times New Roman" w:cs="Times New Roman" w:eastAsia="Times New Roman" w:hAnsi="Times New Roman"/>
          <w:sz w:val="19"/>
          <w:szCs w:val="19"/>
          <w:color w:val="000000"/>
        </w:rPr>
        <w:t>Prior to the Closing Date, the Seller has maintained accounts and records as to each Receivable accurately and in sufficient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detail to permit (i) the reader thereof to know at any time as of or prior to the Closing Date the status of such Receivable, including payments and recoveries made and payments owing (and the nature of each) and (ii) reconciliation between payments or recoveries on (or with respect to) each Receivable and the Principal Balance with respect to the Receivables as of the Cutoff Date. The Seller shall maintain its computer systems so that, from and after the time of sale under this Agreement of the Receivables to the Purchaser, and the conveyance of the Receivables by the Purchaser to the Issuer under the Sale and Servicing Agreement, the Seller's master computer records (including archives) that shall refer to a Receivable indicate clearly that such Receivable has been sold by the Seller to the Purchaser and has been conveyed by the Purchaser to the Issuer. Indication of the Issuer's ownership of a Receivable shall be deleted from or modified on the Seller's computer systems when, and only when, the Receivable shall become a Purchased Receivable or shall have been paid in full or sold pursuant to the terms of the Sale and Servicing Agreement.</w:t>
      </w:r>
    </w:p>
    <w:p>
      <w:pPr>
        <w:spacing w:after="0" w:line="160"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1F3763"/>
        </w:rPr>
        <w:t>(e)</w:t>
      </w:r>
      <w:r>
        <w:rPr>
          <w:rFonts w:ascii="Times New Roman" w:cs="Times New Roman" w:eastAsia="Times New Roman" w:hAnsi="Times New Roman"/>
          <w:sz w:val="19"/>
          <w:szCs w:val="19"/>
          <w:color w:val="000000"/>
        </w:rPr>
        <w:t>If at any time the Seller shall propose to sell, grant a security interest in or otherwise transfer any interest in any motor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vehicle receivables to any prospective purchaser, lender or other transferee, the Seller shall give to such prospective purchaser, lender or other transferee computer tapes, records or print-outs (including any restored from archives) that, if they shall refer in any manner whatsoever to any Receivable (other than a Purchased Receivable), shall indicate clearly that such Receivable has been sold by the Seller to the Purchaser, sold by the Purchaser to the Issuer and pledged by the Issuer to the Indenture Trustee.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70" w:name="page271"/>
    <w:bookmarkEnd w:id="270"/>
    <w:p>
      <w:pPr>
        <w:spacing w:after="0" w:line="200" w:lineRule="exact"/>
        <w:rPr>
          <w:sz w:val="20"/>
          <w:szCs w:val="20"/>
          <w:color w:val="auto"/>
        </w:rPr>
      </w:pPr>
    </w:p>
    <w:p>
      <w:pPr>
        <w:spacing w:after="0" w:line="261"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color w:val="2F5496"/>
        </w:rPr>
        <w:t xml:space="preserve">SECTION IV.2 </w:t>
      </w:r>
      <w:r>
        <w:rPr>
          <w:rFonts w:ascii="Times New Roman" w:cs="Times New Roman" w:eastAsia="Times New Roman" w:hAnsi="Times New Roman"/>
          <w:sz w:val="19"/>
          <w:szCs w:val="19"/>
          <w:color w:val="000000"/>
        </w:rPr>
        <w:t>Other Liens or Interests. Except for the conveyances hereunder, the Seller will not sell, pledge, assign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transfer to any other Person, or grant, create, incur, assume or suffer to exist any Lien on the Receivables or the Other Conveyed Property or any interest therein; the Seller will immediately notify the Purchaser of the existence of any Lien on any Receivable with respect to which the Seller has actual knowledge; and the Seller shall defend the right, title, and interest of the Purchaser, the Issuer and the Indenture Trustee in and to the Receivables and the Other Conveyed Property against all claims of third parties claiming through or under the Seller.</w:t>
      </w:r>
    </w:p>
    <w:p>
      <w:pPr>
        <w:spacing w:after="0" w:line="386" w:lineRule="exact"/>
        <w:rPr>
          <w:sz w:val="20"/>
          <w:szCs w:val="20"/>
          <w:color w:val="auto"/>
        </w:rPr>
      </w:pPr>
    </w:p>
    <w:p>
      <w:pPr>
        <w:ind w:right="66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IV.3 </w:t>
      </w:r>
      <w:r>
        <w:rPr>
          <w:rFonts w:ascii="Times New Roman" w:cs="Times New Roman" w:eastAsia="Times New Roman" w:hAnsi="Times New Roman"/>
          <w:sz w:val="19"/>
          <w:szCs w:val="19"/>
          <w:color w:val="000000"/>
        </w:rPr>
        <w:t>Costs and Expenses. The Seller shall pay all reasonable costs and disbursements in connection with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performance of its obligations hereunder and under the other Basic Documents to which it is a party.</w:t>
      </w:r>
    </w:p>
    <w:p>
      <w:pPr>
        <w:spacing w:after="0" w:line="127" w:lineRule="exact"/>
        <w:rPr>
          <w:sz w:val="20"/>
          <w:szCs w:val="20"/>
          <w:color w:val="auto"/>
        </w:rPr>
      </w:pPr>
    </w:p>
    <w:p>
      <w:pPr>
        <w:ind w:right="42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IV.4 </w:t>
      </w:r>
      <w:r>
        <w:rPr>
          <w:rFonts w:ascii="Times New Roman" w:cs="Times New Roman" w:eastAsia="Times New Roman" w:hAnsi="Times New Roman"/>
          <w:sz w:val="19"/>
          <w:szCs w:val="19"/>
          <w:color w:val="000000"/>
        </w:rPr>
        <w:t>No Impairment. The Seller covenants that it shall take no action, nor omit to take any action, which would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impair the rights of the Purchaser, the Issuer or the Indenture Trustee in any Receivable.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IV.5 </w:t>
      </w:r>
      <w:r>
        <w:rPr>
          <w:rFonts w:ascii="Times New Roman" w:cs="Times New Roman" w:eastAsia="Times New Roman" w:hAnsi="Times New Roman"/>
          <w:sz w:val="19"/>
          <w:szCs w:val="19"/>
          <w:color w:val="000000"/>
        </w:rPr>
        <w:t>Indemnification.</w:t>
      </w:r>
    </w:p>
    <w:p>
      <w:pPr>
        <w:spacing w:after="0" w:line="202"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1F3763"/>
        </w:rPr>
        <w:t>(a)</w:t>
      </w:r>
      <w:r>
        <w:rPr>
          <w:rFonts w:ascii="Times New Roman" w:cs="Times New Roman" w:eastAsia="Times New Roman" w:hAnsi="Times New Roman"/>
          <w:sz w:val="19"/>
          <w:szCs w:val="19"/>
          <w:color w:val="000000"/>
        </w:rPr>
        <w:t>The Seller shall defend, indemnify and hold harmless the Purchaser, the Issuer, the Indenture Trustee, the Backup Servicer,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the Owner Trustee, the Noteholders and the Certificateholders and the officers, directors, employees and agents thereof (each, an "Indemnified Person") from and against any and all costs, expenses, 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arising out of or resulting from any breach of any of the Seller's representations and warranties contained herein.</w:t>
      </w:r>
    </w:p>
    <w:p>
      <w:pPr>
        <w:spacing w:after="0" w:line="160" w:lineRule="exact"/>
        <w:rPr>
          <w:sz w:val="20"/>
          <w:szCs w:val="20"/>
          <w:color w:val="auto"/>
        </w:rPr>
      </w:pPr>
    </w:p>
    <w:p>
      <w:pPr>
        <w:ind w:right="100" w:firstLine="696"/>
        <w:spacing w:after="0" w:line="257" w:lineRule="auto"/>
        <w:rPr>
          <w:sz w:val="20"/>
          <w:szCs w:val="20"/>
          <w:color w:val="auto"/>
        </w:rPr>
      </w:pPr>
      <w:r>
        <w:rPr>
          <w:rFonts w:ascii="Times New Roman" w:cs="Times New Roman" w:eastAsia="Times New Roman" w:hAnsi="Times New Roman"/>
          <w:sz w:val="19"/>
          <w:szCs w:val="19"/>
          <w:color w:val="1F3763"/>
        </w:rPr>
        <w:t>(b)</w:t>
      </w:r>
      <w:r>
        <w:rPr>
          <w:rFonts w:ascii="Times New Roman" w:cs="Times New Roman" w:eastAsia="Times New Roman" w:hAnsi="Times New Roman"/>
          <w:sz w:val="19"/>
          <w:szCs w:val="19"/>
          <w:color w:val="000000"/>
        </w:rPr>
        <w:t>The Seller shall defend, indemnify and hold harmless each Indemnified Person from and against any and all costs, expenses,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arising out of or resulting from the use, ownership or operation by the Seller or any Affiliate thereof of a Financed Vehicle.</w:t>
      </w:r>
    </w:p>
    <w:p>
      <w:pPr>
        <w:spacing w:after="0" w:line="157"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9"/>
          <w:szCs w:val="19"/>
          <w:color w:val="1F3763"/>
        </w:rPr>
        <w:t>(c)</w:t>
      </w:r>
      <w:r>
        <w:rPr>
          <w:rFonts w:ascii="Times New Roman" w:cs="Times New Roman" w:eastAsia="Times New Roman" w:hAnsi="Times New Roman"/>
          <w:sz w:val="19"/>
          <w:szCs w:val="19"/>
          <w:color w:val="000000"/>
        </w:rPr>
        <w:t>The Seller shall defend, indemnify and hold harmless each Indemnified Person from and against any and all costs, expenses,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1" w:name="page272"/>
    <w:bookmarkEnd w:id="271"/>
    <w:p>
      <w:pPr>
        <w:spacing w:after="0" w:line="200" w:lineRule="exact"/>
        <w:rPr>
          <w:sz w:val="20"/>
          <w:szCs w:val="20"/>
          <w:color w:val="auto"/>
        </w:rPr>
      </w:pPr>
    </w:p>
    <w:p>
      <w:pPr>
        <w:spacing w:after="0" w:line="26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color w:val="auto"/>
        </w:rPr>
        <w:t>of care) arising out of or resulting from any action taken, or failed to be taken, by it in respect of any portion of the Receivables other than in accordance with this Agreement or the Sale and Servicing Agreement.</w:t>
      </w:r>
    </w:p>
    <w:p>
      <w:pPr>
        <w:spacing w:after="0" w:line="127"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color w:val="1F3763"/>
        </w:rPr>
        <w:t>(d)</w:t>
      </w:r>
      <w:r>
        <w:rPr>
          <w:rFonts w:ascii="Times New Roman" w:cs="Times New Roman" w:eastAsia="Times New Roman" w:hAnsi="Times New Roman"/>
          <w:sz w:val="19"/>
          <w:szCs w:val="19"/>
          <w:color w:val="000000"/>
        </w:rPr>
        <w:t>The Seller agrees to pay and shall defend, indemnify and hold harmless each Indemnified Person from and against any taxes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that may at any time be asserted against any such Indemnified Person with respect to the transactions contemplated herein or in the other Basic Documents, including any sales, excise, gross receipts, general corporation, tangible personal property, privilege or license taxes (but not including any federal or State income taxes), and costs and expenses (including reasonable attorneys' fees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in defending the same.</w:t>
      </w:r>
    </w:p>
    <w:p>
      <w:pPr>
        <w:spacing w:after="0" w:line="160"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color w:val="1F3763"/>
        </w:rPr>
        <w:t>(e)</w:t>
      </w:r>
      <w:r>
        <w:rPr>
          <w:rFonts w:ascii="Times New Roman" w:cs="Times New Roman" w:eastAsia="Times New Roman" w:hAnsi="Times New Roman"/>
          <w:sz w:val="19"/>
          <w:szCs w:val="19"/>
          <w:color w:val="000000"/>
        </w:rPr>
        <w:t>The Seller shall defend, indemnify and hold harmless each Indemnified Person from and against any and all costs, expenses,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to the extent that such cost, expense, loss, damage, claim or liability arose out of, or was imposed upon such Indemnified Person through the negligence, willful misfeasance or bad faith of the Seller in the performance of its duties under this Agreement or any other Basic Documents or by reason of reckless disregard of the Seller's obligations and duties hereunder or thereunder.</w:t>
      </w:r>
    </w:p>
    <w:p>
      <w:pPr>
        <w:spacing w:after="0" w:line="160"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1F3763"/>
        </w:rPr>
        <w:t>(f)</w:t>
      </w:r>
      <w:r>
        <w:rPr>
          <w:rFonts w:ascii="Times New Roman" w:cs="Times New Roman" w:eastAsia="Times New Roman" w:hAnsi="Times New Roman"/>
          <w:sz w:val="19"/>
          <w:szCs w:val="19"/>
          <w:color w:val="000000"/>
        </w:rPr>
        <w:t>The Seller shall indemnify, defend and hold harmless each Indemnified Person from and against any loss, liability or expense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incurred by reason of the violation by the Seller of federal or State securities laws in connection with the private placement of the Notes.</w:t>
      </w:r>
    </w:p>
    <w:p>
      <w:pPr>
        <w:spacing w:after="0" w:line="157"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1F3763"/>
        </w:rPr>
        <w:t>(g)</w:t>
      </w:r>
      <w:r>
        <w:rPr>
          <w:rFonts w:ascii="Times New Roman" w:cs="Times New Roman" w:eastAsia="Times New Roman" w:hAnsi="Times New Roman"/>
          <w:sz w:val="19"/>
          <w:szCs w:val="19"/>
          <w:color w:val="000000"/>
        </w:rPr>
        <w:t>The Seller shall indemnify, defend and hold harmless each Indemnified Person from and against any loss, liability or expense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imposed upon, or incurred by, such Indemnified Person as result of the failure of any Receivable, or the sale of the related Financed Vehicle, to comply with all requirements of applicable law.</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2" w:name="page273"/>
    <w:bookmarkEnd w:id="272"/>
    <w:p>
      <w:pPr>
        <w:spacing w:after="0" w:line="200" w:lineRule="exact"/>
        <w:rPr>
          <w:sz w:val="20"/>
          <w:szCs w:val="20"/>
          <w:color w:val="auto"/>
        </w:rPr>
      </w:pPr>
    </w:p>
    <w:p>
      <w:pPr>
        <w:spacing w:after="0" w:line="261" w:lineRule="exact"/>
        <w:rPr>
          <w:sz w:val="20"/>
          <w:szCs w:val="20"/>
          <w:color w:val="auto"/>
        </w:rPr>
      </w:pPr>
    </w:p>
    <w:p>
      <w:pPr>
        <w:ind w:right="260" w:firstLine="696"/>
        <w:spacing w:after="0" w:line="262" w:lineRule="auto"/>
        <w:rPr>
          <w:sz w:val="20"/>
          <w:szCs w:val="20"/>
          <w:color w:val="auto"/>
        </w:rPr>
      </w:pPr>
      <w:r>
        <w:rPr>
          <w:rFonts w:ascii="Times New Roman" w:cs="Times New Roman" w:eastAsia="Times New Roman" w:hAnsi="Times New Roman"/>
          <w:sz w:val="19"/>
          <w:szCs w:val="19"/>
          <w:color w:val="1F3763"/>
        </w:rPr>
        <w:t>(h)</w:t>
      </w:r>
      <w:r>
        <w:rPr>
          <w:rFonts w:ascii="Times New Roman" w:cs="Times New Roman" w:eastAsia="Times New Roman" w:hAnsi="Times New Roman"/>
          <w:sz w:val="19"/>
          <w:szCs w:val="19"/>
          <w:color w:val="000000"/>
        </w:rPr>
        <w:t>The Seller shall defend, indemnify and hold harmless the Purchaser from and against all costs, expenses, losses, damages,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claims and liabilities arising out of or incurred in connection with the acceptance or performance of the Seller's trusts and duties as Servicer under the Sale and Servicing Agreement, except to the extent that such cost, expense, loss, damage, claim or liability shall be due to the willful misfeasance, bad faith or negligence (except for errors in judgment) of the Purchaser.</w:t>
      </w:r>
    </w:p>
    <w:p>
      <w:pPr>
        <w:spacing w:after="0" w:line="150"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Indemnification under this Section 4.5 shall include reasonable fees and expenses of counsel and expenses of litigation (including any reasonable attorney's fees, costs (including court costs) and expenses incurred in connection with (i) any enforcement (including any action, claim or suit brought) by the Owner Trustee, Indenture Trustee or Backup Servicer of any indemnification or other obligation of the Seller, any other party to the Basic Documents or any other Persons and (ii) a successful defense, in whole or in part, of any claim that the Owner Trustee, the Indenture Trustee or the Backup Servicer breached its standard of care) and shall survive payment of the Notes and the Certificates. The indemnity obligations hereunder shall survive any termination or assignment of this Agreement, or the resignation or removal of any party, and shall be in addition to any obligation that the Seller may otherwise have. In the event the Seller fails to provide such indemnity payments due pursuant to this Section to the Owner Trustee, Indenture Trustee or Backup Servicer, the Owner Trustee, Indenture Trustee and Backup Servicer shall collect such indemnity amounts pursuant to Section 7.2 of the Trust Agreement (with respect to the Owner Trustee), Section 5.7(b) of the Sale and Servicing Agreement or Section 5.6 of the Indenture.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F5496"/>
        </w:rPr>
        <w:t>ARTICLE V.</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REPURCHASES</w:t>
      </w:r>
    </w:p>
    <w:p>
      <w:pPr>
        <w:spacing w:after="0" w:line="204"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2F5496"/>
        </w:rPr>
        <w:t xml:space="preserve">SECTION V.1 </w:t>
      </w:r>
      <w:r>
        <w:rPr>
          <w:rFonts w:ascii="Times New Roman" w:cs="Times New Roman" w:eastAsia="Times New Roman" w:hAnsi="Times New Roman"/>
          <w:sz w:val="19"/>
          <w:szCs w:val="19"/>
          <w:color w:val="000000"/>
        </w:rPr>
        <w:t>Repurchase of Receivables Upon Breach of Warranty. Upon (a) the discovery by the Depositor, the Servicer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Issuer, or (b) the receipt of written notice by or actual knowledge of a Responsible Officer of the Indenture Trustee or Backup Servicer, of the occurrence of a Repurchase Event, the Seller shall, unless the breach which is the subject of such Repurchase Event shall have been cured in all material respects using commercially reasonable efforts, repurchase the Receivable(s) and the Other Conveyed Property relating thereto from the Issuer if the interest of the Noteholders in such Receivable and the Other Conveyed Property is materially and adversely affected by any such breach and, simultaneously with the repurchase of such Receivable and the related Other Conveyed Property, the Seller shall deposit the Purchase Amount in full, without deduction or offset, to the Collection Account, pursuant to Section 5.6 of the Sale and Servicing Agreement. It is understood and agreed that, except as set forth in this Section 5.1, the obligation of the Seller to repurchase any Receivable and the related Other Conveyed Property as to which a breach occurred and is continuing, shall, if such obligation is fulfilled, constitute the sole remedy against the Seller for such breach available to the Purchaser, the Issuer, the Backup Servicer, the Noteholders, the Certificateholders, the Indenture Trustee on behalf of the Noteholders or the Owner Trustee on behalf of the Certificateholders. The provisions of this Section 5.1 are intended to grant the Issuer a direct right against the Seller to demand performance hereunder, and in connection therewith, the Seller waives any requirement of prior demand against the Purchaser with respect to such repurchase obligation. Any such repurchase shall take place in the manner specified in Section 3.3 of the Sale and Servicing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3" w:name="page274"/>
    <w:bookmarkEnd w:id="273"/>
    <w:p>
      <w:pPr>
        <w:spacing w:after="0" w:line="200" w:lineRule="exact"/>
        <w:rPr>
          <w:sz w:val="20"/>
          <w:szCs w:val="20"/>
          <w:color w:val="auto"/>
        </w:rPr>
      </w:pPr>
    </w:p>
    <w:p>
      <w:pPr>
        <w:spacing w:after="0" w:line="26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color w:val="auto"/>
        </w:rPr>
        <w:t>Notwithstanding any other provision of this Agreement or the Sale and Servicing Agreement to the contrary, the obligation of the Seller under this Section shall not terminate upon a termination of the Seller as Servicer under the Sale and Servicing Agreement and shall be performed in accordance with the terms hereof notwithstanding the failure of the Servicer or the Purchaser to perform any of their respective obligations with respect to such Receivable under the Sale and Servicing Agreement. Notwithstanding anything in this Agreement to the contrary, the Indenture Trustee shall have no duty to ensure the eligibility of any Receivable for purposes of this Agreement or to enforce the repurchase obligations of the Seller.</w:t>
      </w:r>
    </w:p>
    <w:p>
      <w:pPr>
        <w:spacing w:after="0" w:line="157"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In addition to the foregoing and notwithstanding whether the related Receivable shall have been repurchased by the Seller, the Seller shall indemnify the Issuer, the Indenture Trustee, the Backup Servicer, the Owner Trustee, the Noteholders and the Certificateholders from and against all costs, expenses, losses, damages, claims and liabilities, including reasonable fees and expenses of counsel and court costs (including those incurred in connection with any enforcement (including any action, claim or suit brought) by the Owner Trustee, Indenture Trustee or Backup Servicer of any indemnification or other obligation of the Seller), which may be asserted against or incurred by any of them arising out of the events or facts giving rise to such Repurchase Events. In the event the Seller fails to provide such indemnity payments due pursuant to this Section to the Owner Trustee, Indenture Trustee or Backup Servicer, the Owner Trustee, Indenture Trustee and Backup Servicer shall collect such indemnity amounts pursuant to Section 7.2 of the Trust Agreement (with respect to the Owner Trustee), Section 5.7(b) of the Sale and Servicing Agreement or Section 5.6 of the Indenture. The indemnity obligations hereunder shall survive any termination or assignment of this Agreement, or the resignation or removal of any party, and shall be in addition to any obligation that the Seller may otherwise have.</w:t>
      </w:r>
    </w:p>
    <w:p>
      <w:pPr>
        <w:spacing w:after="0" w:line="157"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V.2 </w:t>
      </w:r>
      <w:r>
        <w:rPr>
          <w:rFonts w:ascii="Times New Roman" w:cs="Times New Roman" w:eastAsia="Times New Roman" w:hAnsi="Times New Roman"/>
          <w:sz w:val="19"/>
          <w:szCs w:val="19"/>
          <w:color w:val="000000"/>
        </w:rPr>
        <w:t>Reassignment of Purchased Receivables. Upon deposit in the Collection Account of the Purchase Amount of</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any Receivable repurchased by the Seller under Section 5.1 of this Agreement, the Purchaser shall, without further action, be deemed to transfer, assign, set- over and otherwise convey to the Seller, without recourse, representation or warranty, all the right, title and interest of the Purchaser in, to and under such repurchased Receivable, all other related Other Conveyed Property and all monies due or to become due with respect thereto and all proceeds thereof, and the Purchaser and the Issuer (pursuant to Section 3.3 of the Sale and Servicing Agreement) shall take such steps as may be reasonably requested by the Seller in order to assign to the Seller all of the Purchaser's right, title and interest in and to such Receivable and all security and documents and all Other Conveyed Property conveyed to the Purchaser directly relating thereto, without recourse, representation or warranty, except as to the absence of Liens created by or arising as a result of actions of the Purchaser or the Issuer. Such assignment shall be a sale and assignment outright, and not for security. If, following the reassignment of a Purchased Receivable, in any enforcement suit or legal proceeding, it is held that the Seller may not enforce any such Receivable on the ground that it shall not be a real party in interest or a holder entitled to enforce the Receivable, the Purchaser shall, at the expense of the Seller, take such steps as the Seller deems reasonably necessary to enforce the Receivable, including bringing suit in the Purchaser's name.</w:t>
      </w:r>
    </w:p>
    <w:p>
      <w:pPr>
        <w:spacing w:after="0" w:line="163" w:lineRule="exact"/>
        <w:rPr>
          <w:sz w:val="20"/>
          <w:szCs w:val="20"/>
          <w:color w:val="auto"/>
        </w:rPr>
      </w:pPr>
    </w:p>
    <w:p>
      <w:pPr>
        <w:jc w:val="both"/>
        <w:ind w:right="460" w:firstLine="696"/>
        <w:spacing w:after="0" w:line="258" w:lineRule="auto"/>
        <w:rPr>
          <w:sz w:val="20"/>
          <w:szCs w:val="20"/>
          <w:color w:val="auto"/>
        </w:rPr>
      </w:pPr>
      <w:r>
        <w:rPr>
          <w:rFonts w:ascii="Times New Roman" w:cs="Times New Roman" w:eastAsia="Times New Roman" w:hAnsi="Times New Roman"/>
          <w:sz w:val="19"/>
          <w:szCs w:val="19"/>
          <w:color w:val="2F5496"/>
        </w:rPr>
        <w:t xml:space="preserve">SECTION V.3 </w:t>
      </w:r>
      <w:r>
        <w:rPr>
          <w:rFonts w:ascii="Times New Roman" w:cs="Times New Roman" w:eastAsia="Times New Roman" w:hAnsi="Times New Roman"/>
          <w:sz w:val="19"/>
          <w:szCs w:val="19"/>
          <w:color w:val="000000"/>
        </w:rPr>
        <w:t>Waivers. No failure or delay on the part of the Purchaser, or the Issuer as assignee of the Purchaser, or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Indenture Trustee as assignee of the Issuer, in exercising any power, right or remedy under this Agreement shall operate as a waiver thereof, nor shall any single</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74" w:name="page275"/>
    <w:bookmarkEnd w:id="274"/>
    <w:p>
      <w:pPr>
        <w:spacing w:after="0" w:line="200" w:lineRule="exact"/>
        <w:rPr>
          <w:sz w:val="20"/>
          <w:szCs w:val="20"/>
          <w:color w:val="auto"/>
        </w:rPr>
      </w:pPr>
    </w:p>
    <w:p>
      <w:pPr>
        <w:spacing w:after="0" w:line="26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color w:val="auto"/>
        </w:rPr>
        <w:t>or partial exercise of any such power, right or remedy preclude any other or future exercise thereof or the exercise of any other power, right or remedy.</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VI.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04"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VI.1 </w:t>
      </w:r>
      <w:r>
        <w:rPr>
          <w:rFonts w:ascii="Times New Roman" w:cs="Times New Roman" w:eastAsia="Times New Roman" w:hAnsi="Times New Roman"/>
          <w:sz w:val="19"/>
          <w:szCs w:val="19"/>
          <w:color w:val="000000"/>
        </w:rPr>
        <w:t>Liability of Seller. The Seller shall be liable in accordance herewith only to the extent of the obligations in this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Agreement specifically undertaken by the Seller and the representations and warranties of the Seller set forth herein.</w:t>
      </w:r>
    </w:p>
    <w:p>
      <w:pPr>
        <w:spacing w:after="0" w:line="127" w:lineRule="exact"/>
        <w:rPr>
          <w:sz w:val="20"/>
          <w:szCs w:val="20"/>
          <w:color w:val="auto"/>
        </w:rPr>
      </w:pPr>
    </w:p>
    <w:p>
      <w:pPr>
        <w:ind w:firstLine="696"/>
        <w:spacing w:after="0" w:line="251" w:lineRule="auto"/>
        <w:rPr>
          <w:sz w:val="20"/>
          <w:szCs w:val="20"/>
          <w:color w:val="auto"/>
        </w:rPr>
      </w:pPr>
      <w:r>
        <w:rPr>
          <w:rFonts w:ascii="Times New Roman" w:cs="Times New Roman" w:eastAsia="Times New Roman" w:hAnsi="Times New Roman"/>
          <w:sz w:val="19"/>
          <w:szCs w:val="19"/>
          <w:color w:val="2F5496"/>
        </w:rPr>
        <w:t xml:space="preserve">SECTION VI.2 </w:t>
      </w:r>
      <w:r>
        <w:rPr>
          <w:rFonts w:ascii="Times New Roman" w:cs="Times New Roman" w:eastAsia="Times New Roman" w:hAnsi="Times New Roman"/>
          <w:sz w:val="19"/>
          <w:szCs w:val="19"/>
          <w:color w:val="000000"/>
        </w:rPr>
        <w:t>Merger or Consolidation of Seller or the Purchaser. Any corporation or other entity (a) into which the Seller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the Purchaser may be merged or consolidated, (b) resulting from any merger or consolidation to which the Seller or the Purchaser is a party or (c) succeeding to the business of the Seller or the Purchaser,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in any of the foregoing cases such corporation or other entity shall execute an agreement of assumption to perform every obligation of the Seller or the Purchaser, as the case may be, under this Agreement and, whether or not such assumption agreement is executed, shall be the successor to the Seller or the Purchaser, as the case may be, hereunder (without relieving the Seller or the Purchaser of their responsibilities hereunder, if it survives such merger or consolidation) without the execution or filing of any document or any further action by any of the parties to this Agreement,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further</w:t>
      </w:r>
      <w:r>
        <w:rPr>
          <w:rFonts w:ascii="Times New Roman" w:cs="Times New Roman" w:eastAsia="Times New Roman" w:hAnsi="Times New Roman"/>
          <w:sz w:val="19"/>
          <w:szCs w:val="19"/>
          <w:color w:val="000000"/>
        </w:rPr>
        <w:t>, that, in the case of the Purchaser, such surviving corporation or other entity has governing documents that contain provisions</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relating to limitations on business and other matters substantively identical to those contained in the Purchaser's limited liability company agreement. The Seller or the Purchaser shall promptly inform the other party, the Issuer, the Indenture Trustee and the Owner Trustee and, as a condition to the consummation of the transactions referred to in clauses (a), (b) and (c) above, (x) immediately after giving effect to such transaction, no representation or warranty made pursuant to Section 3.1, in the case of a transaction involving the Seller, or Section 3.2 of this Agreement, in the case of a transaction involving the Purchaser (in each such case, with such changes to the representations and warranties as are necessary to reflect the organizational form and jurisdiction of formation of the surviving entity), shall have been breached (for purposes hereof, such representations and warranties shall speak as of the date of the consummation of such transaction) and be continuing, (y) the Seller or the Purchaser, as applicable, shall have delivered written notice of such consolidation, merger or purchase and assumption to the Rating Agencies prior to the consummation of such transaction and shall have delivered to the Issuer and the Indenture Trustee an Officer's Certificate of the Seller or a certificate signed by or on behalf of the Purchaser, as applicable, and an Opinion of Counsel each stating that such consolidation, merger or succession and such agreement of assumption comply with this Section 6.2 and that all conditions precedent, if any, provided for in this Agreement relating to such transaction have been complied with, and (z) the Seller or the Purchaser, as applicable, shall have delivered to the Issuer and the Indenture Trustee an Opinion of Counsel, stating, in the opinion of such counsel, either (A) all financing statements and continuation statements and amendments thereto have been executed and filed that are necessary to preserve and protect the interest of the Issuer and the Indenture Trustee in the Receivables and the Other Conveyed Property and reciting the details of the filings, or (B) no such action shall be necessary to preserve and protect such interests.</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5" w:name="page276"/>
    <w:bookmarkEnd w:id="275"/>
    <w:p>
      <w:pPr>
        <w:spacing w:after="0" w:line="200" w:lineRule="exact"/>
        <w:rPr>
          <w:sz w:val="20"/>
          <w:szCs w:val="20"/>
          <w:color w:val="auto"/>
        </w:rPr>
      </w:pPr>
    </w:p>
    <w:p>
      <w:pPr>
        <w:spacing w:after="0" w:line="261" w:lineRule="exact"/>
        <w:rPr>
          <w:sz w:val="20"/>
          <w:szCs w:val="20"/>
          <w:color w:val="auto"/>
        </w:rPr>
      </w:pPr>
    </w:p>
    <w:p>
      <w:pPr>
        <w:ind w:right="28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VI.3 </w:t>
      </w:r>
      <w:r>
        <w:rPr>
          <w:rFonts w:ascii="Times New Roman" w:cs="Times New Roman" w:eastAsia="Times New Roman" w:hAnsi="Times New Roman"/>
          <w:sz w:val="19"/>
          <w:szCs w:val="19"/>
          <w:color w:val="000000"/>
        </w:rPr>
        <w:t>Limitation on Liability of Seller and Others. The Seller and any director, officer, employee or agent thereof</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may rely in good faith on the advice of counsel or on any document of any kind prima facie properly executed and submitted by any Person respecting any matters arising under this Agreement. The Seller shall not be under any obligation to appear in, prosecute or defend any legal action that is not incidental to its obligations under this Agreement or the Basic Documents to which it is a party and that in its opinion may involve it in any expense or liability.</w:t>
      </w:r>
    </w:p>
    <w:p>
      <w:pPr>
        <w:spacing w:after="0" w:line="154"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VI.4 </w:t>
      </w:r>
      <w:r>
        <w:rPr>
          <w:rFonts w:ascii="Times New Roman" w:cs="Times New Roman" w:eastAsia="Times New Roman" w:hAnsi="Times New Roman"/>
          <w:sz w:val="19"/>
          <w:szCs w:val="19"/>
          <w:color w:val="000000"/>
        </w:rPr>
        <w:t>Seller May Own Notes or the Certificates. Subject to the provisions hereof, and of the Sale and Servicing</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Agreement, the Indenture and the Trust Agreement, the Seller and any Affiliate of the Seller may in their individual or any other capacity become the owner or pledgee of Notes or the Certificates with the same rights as they would have if they were not the Seller or an Affiliate thereof.</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VI.5 </w:t>
      </w:r>
      <w:r>
        <w:rPr>
          <w:rFonts w:ascii="Times New Roman" w:cs="Times New Roman" w:eastAsia="Times New Roman" w:hAnsi="Times New Roman"/>
          <w:sz w:val="19"/>
          <w:szCs w:val="19"/>
          <w:color w:val="000000"/>
        </w:rPr>
        <w:t>Amendment.</w:t>
      </w:r>
    </w:p>
    <w:p>
      <w:pPr>
        <w:spacing w:after="0" w:line="202" w:lineRule="exact"/>
        <w:rPr>
          <w:sz w:val="20"/>
          <w:szCs w:val="20"/>
          <w:color w:val="auto"/>
        </w:rPr>
      </w:pPr>
    </w:p>
    <w:p>
      <w:pPr>
        <w:ind w:right="20" w:firstLine="696"/>
        <w:spacing w:after="0" w:line="258" w:lineRule="auto"/>
        <w:rPr>
          <w:sz w:val="20"/>
          <w:szCs w:val="20"/>
          <w:color w:val="auto"/>
        </w:rPr>
      </w:pPr>
      <w:r>
        <w:rPr>
          <w:rFonts w:ascii="Times New Roman" w:cs="Times New Roman" w:eastAsia="Times New Roman" w:hAnsi="Times New Roman"/>
          <w:sz w:val="19"/>
          <w:szCs w:val="19"/>
          <w:color w:val="1F3763"/>
        </w:rPr>
        <w:t xml:space="preserve">(a) </w:t>
      </w:r>
      <w:r>
        <w:rPr>
          <w:rFonts w:ascii="Times New Roman" w:cs="Times New Roman" w:eastAsia="Times New Roman" w:hAnsi="Times New Roman"/>
          <w:sz w:val="19"/>
          <w:szCs w:val="19"/>
          <w:color w:val="000000"/>
        </w:rPr>
        <w:t>This Agreement may be amended by the Seller and the Purchaser without the consent of the Indenture Trustee, the Owner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 xml:space="preserve">Trustee, the Certificateholders or any of the Noteholders (i) to cure any ambiguity or (ii) to correct or supplement any provisions in this Agreement which may be inconsistent with any other provision in this Agreement or the Offering Memorandum;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w:t>
      </w:r>
    </w:p>
    <w:p>
      <w:pPr>
        <w:spacing w:after="0" w:line="2" w:lineRule="exact"/>
        <w:rPr>
          <w:sz w:val="20"/>
          <w:szCs w:val="20"/>
          <w:color w:val="auto"/>
        </w:rPr>
      </w:pPr>
    </w:p>
    <w:p>
      <w:pPr>
        <w:ind w:firstLine="6"/>
        <w:spacing w:after="0" w:line="253" w:lineRule="auto"/>
        <w:tabs>
          <w:tab w:leader="none" w:pos="261"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action shall not adversely affect in any material respect the interests of any Noteholder as evidenced by an Opinion of Counsel delivered to the Issuer, the Owner Trustee and the Indenture Trustee (which opinion shall be delivered by counsel that is not an employee of United Auto or its Affiliates), and (b) the Owner Trustee and the Indenture Trustee shall have received an Opinion of Counsel to the effect that the amendment is permitted by this Agreement. No amendment that adversely affects the interests of the Owner Trustee, the Indenture Trustee or the Backup Servicer shall be effective against such party without its prior written consent.</w:t>
      </w:r>
    </w:p>
    <w:p>
      <w:pPr>
        <w:spacing w:after="0" w:line="159" w:lineRule="exact"/>
        <w:rPr>
          <w:sz w:val="20"/>
          <w:szCs w:val="20"/>
          <w:color w:val="auto"/>
        </w:rPr>
      </w:pPr>
    </w:p>
    <w:p>
      <w:pPr>
        <w:ind w:right="140" w:firstLine="696"/>
        <w:spacing w:after="0" w:line="257" w:lineRule="auto"/>
        <w:rPr>
          <w:sz w:val="20"/>
          <w:szCs w:val="20"/>
          <w:color w:val="auto"/>
        </w:rPr>
      </w:pPr>
      <w:r>
        <w:rPr>
          <w:rFonts w:ascii="Times New Roman" w:cs="Times New Roman" w:eastAsia="Times New Roman" w:hAnsi="Times New Roman"/>
          <w:sz w:val="19"/>
          <w:szCs w:val="19"/>
          <w:color w:val="1F3763"/>
        </w:rPr>
        <w:t>(b)</w:t>
      </w:r>
      <w:r>
        <w:rPr>
          <w:rFonts w:ascii="Times New Roman" w:cs="Times New Roman" w:eastAsia="Times New Roman" w:hAnsi="Times New Roman"/>
          <w:sz w:val="19"/>
          <w:szCs w:val="19"/>
          <w:color w:val="000000"/>
        </w:rPr>
        <w:t>This Agreement may also be amended from time to time by the Seller and the Purchaser, and with the consent of the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 xml:space="preserve">Indenture Trustee and the Majority Noteholders, for the purpose of adding any provisions to or changing in any manner or eliminating any of the provisions of this Agreement, or of modifying in any manner the rights of the Noteholders;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any amendment that would increase or reduce in any manner the amount of, or accelerate or delay the timing of, collections of payments on Receivables or distributions that shall be required to be made on any Note or Certificate shall require the written consent of the affected Noteholders or the Certificateholders.</w:t>
      </w:r>
    </w:p>
    <w:p>
      <w:pPr>
        <w:spacing w:after="0" w:line="157"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1F3763"/>
        </w:rPr>
        <w:t>(c)</w:t>
      </w:r>
      <w:r>
        <w:rPr>
          <w:rFonts w:ascii="Times New Roman" w:cs="Times New Roman" w:eastAsia="Times New Roman" w:hAnsi="Times New Roman"/>
          <w:sz w:val="19"/>
          <w:szCs w:val="19"/>
          <w:color w:val="000000"/>
        </w:rPr>
        <w:t>Prior to the execution of any such amendment or consent, the Seller shall have furnished written notification of the substance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of such amendment or consent to each Rating Agency.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6" w:name="page277"/>
    <w:bookmarkEnd w:id="276"/>
    <w:p>
      <w:pPr>
        <w:spacing w:after="0" w:line="200" w:lineRule="exact"/>
        <w:rPr>
          <w:sz w:val="20"/>
          <w:szCs w:val="20"/>
          <w:color w:val="auto"/>
        </w:rPr>
      </w:pPr>
    </w:p>
    <w:p>
      <w:pPr>
        <w:spacing w:after="0" w:line="261"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1F3763"/>
        </w:rPr>
        <w:t>(d)</w:t>
      </w:r>
      <w:r>
        <w:rPr>
          <w:rFonts w:ascii="Times New Roman" w:cs="Times New Roman" w:eastAsia="Times New Roman" w:hAnsi="Times New Roman"/>
          <w:sz w:val="19"/>
          <w:szCs w:val="19"/>
          <w:color w:val="000000"/>
        </w:rPr>
        <w:t>It shall not be necessary for the consent of the Certificateholders or the Noteholders pursuant to this Section to approve the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particular form of any proposed amendment or consent, but it shall be sufficient if such consent shall approve the substance thereof. The manner of obtaining such consents and of evidencing the authorization of the execution thereof by the Certificateholders or the Noteholders shall be subject to such reasonable requirements as the Owner Trustee (with respect to the Certificates) or the Indenture Trustee (with respect to the Notes) may prescribe, including the establishment of record dates. The consent of a Holder of a Certificate or a Note given pursuant to this Section or pursuant to any other provision of this Agreement shall be conclusive and binding on such Holder and on all future Holders of such Certificate or Note and of any Certificate or Note issued upon the transfer thereof or in exchange thereof or in lieu thereof whether or not notation of such consent is made upon the Certificate or Note.</w:t>
      </w:r>
    </w:p>
    <w:p>
      <w:pPr>
        <w:spacing w:after="0" w:line="160"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2F5496"/>
        </w:rPr>
        <w:t xml:space="preserve">SECTION VI.6 </w:t>
      </w:r>
      <w:r>
        <w:rPr>
          <w:rFonts w:ascii="Times New Roman" w:cs="Times New Roman" w:eastAsia="Times New Roman" w:hAnsi="Times New Roman"/>
          <w:sz w:val="19"/>
          <w:szCs w:val="19"/>
          <w:color w:val="000000"/>
        </w:rPr>
        <w:t>Notices. All demands, notices and communications to the Seller or the Purchaser hereunder shall be in writing,</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personally delivered or sent by facsimile (subsequently confirmed in writing), reputable overnight courier or mailed by certified mail, return receipt requested, and shall be deemed to have been given upon receipt (a) in the case of the Seller, to United Auto Credit Corporation, 1071 Camelback Street, Suite 100, Newport Beach, California 92660; Attn: Chief Financial Officer, or (b) in the case of the Purchaser, to United Auto Credit Financing LLC, c/o United Auto Credit Corporation, 1071 Camelback Street, Suite 100, Newport Beach, California 92660; Attn: Chief Financial officer, or such other address as shall be designated by a party in a written notice delivered to the other party and to the Issuer, Owner Trustee and the Indenture Trustee.</w:t>
      </w:r>
    </w:p>
    <w:p>
      <w:pPr>
        <w:spacing w:after="0" w:line="157" w:lineRule="exact"/>
        <w:rPr>
          <w:sz w:val="20"/>
          <w:szCs w:val="20"/>
          <w:color w:val="auto"/>
        </w:rPr>
      </w:pPr>
    </w:p>
    <w:p>
      <w:pPr>
        <w:ind w:right="22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VI.7 </w:t>
      </w:r>
      <w:r>
        <w:rPr>
          <w:rFonts w:ascii="Times New Roman" w:cs="Times New Roman" w:eastAsia="Times New Roman" w:hAnsi="Times New Roman"/>
          <w:sz w:val="19"/>
          <w:szCs w:val="19"/>
          <w:color w:val="000000"/>
        </w:rPr>
        <w:t>Merger and Integration. Except as specifically stated otherwise herein, this Agreement and the other Basic</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Documents set forth the entire understanding of the parties relating to the subject matter hereof, and all prior understandings, written or oral, are superseded by this Agreement and the other Basic Documents. This Agreement may not be modified, amended, waived or supplemented except as provided herein.</w:t>
      </w:r>
    </w:p>
    <w:p>
      <w:pPr>
        <w:spacing w:after="0" w:line="150"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VI.8 </w:t>
      </w:r>
      <w:r>
        <w:rPr>
          <w:rFonts w:ascii="Times New Roman" w:cs="Times New Roman" w:eastAsia="Times New Roman" w:hAnsi="Times New Roman"/>
          <w:sz w:val="19"/>
          <w:szCs w:val="19"/>
          <w:color w:val="000000"/>
        </w:rPr>
        <w:t>Severability of Provisions. If any one or more of the covenants, provisions or terms of this Agreement shall be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for any reason whatsoever held invalid, then such covenants, provisions or terms shall be deemed severable from the remaining covenants, provisions or terms of this Agreement and shall in no way affect the validity or enforceability of the other provisions of this Agreement.</w:t>
      </w:r>
    </w:p>
    <w:p>
      <w:pPr>
        <w:spacing w:after="0" w:line="150"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VI.9 </w:t>
      </w:r>
      <w:r>
        <w:rPr>
          <w:rFonts w:ascii="Times New Roman" w:cs="Times New Roman" w:eastAsia="Times New Roman" w:hAnsi="Times New Roman"/>
          <w:sz w:val="19"/>
          <w:szCs w:val="19"/>
          <w:color w:val="000000"/>
        </w:rPr>
        <w:t>Intention of the Parties. The execution and delivery of this Agreement shall constitute an acknowledgment by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Seller and the Purchaser that they intend that the assignments and transfers herein contemplated constitute sales and assignments outright, and not for security, of the Receivables and the Other Conveyed Property, conveying good title thereto free and clear of any Liens, from the Seller to the Purchaser, and that the Receivables and the Other Conveyed Property shall not be a part of the Seller's estate in the event of the bankruptcy, reorganization, arrangement, insolvency or liquidation proceeding, or other proceeding under any federal or State bankruptcy or similar law, or the occurrence of another similar event, of, or with respect to the Seller. In the event that any such conveyance is determined to be made as security for a loan made by the Purchaser, the Issuer, the Noteholders or the Certificateholders to the Seller, the Seller hereby grants to the Purchaser a security interest in all of the Seller's right, title and interest in and to the following property whether now owned or existing or hereafter acquired or</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77" w:name="page278"/>
    <w:bookmarkEnd w:id="277"/>
    <w:p>
      <w:pPr>
        <w:spacing w:after="0" w:line="200" w:lineRule="exact"/>
        <w:rPr>
          <w:sz w:val="20"/>
          <w:szCs w:val="20"/>
          <w:color w:val="auto"/>
        </w:rPr>
      </w:pPr>
    </w:p>
    <w:p>
      <w:pPr>
        <w:spacing w:after="0" w:line="261"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9"/>
          <w:szCs w:val="19"/>
          <w:color w:val="auto"/>
        </w:rPr>
        <w:t>arising, and this Agreement shall constitute a security agreement under applicable law (collectively, the "Purchase Agreement Collateral"):</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(a)the Receivables and all moneys received thereon after the Cutoff Date;</w:t>
      </w:r>
    </w:p>
    <w:p>
      <w:pPr>
        <w:spacing w:after="0" w:line="202" w:lineRule="exact"/>
        <w:rPr>
          <w:sz w:val="20"/>
          <w:szCs w:val="20"/>
          <w:color w:val="auto"/>
        </w:rPr>
      </w:pPr>
    </w:p>
    <w:p>
      <w:pPr>
        <w:ind w:right="200" w:firstLine="696"/>
        <w:spacing w:after="0" w:line="286" w:lineRule="auto"/>
        <w:rPr>
          <w:sz w:val="20"/>
          <w:szCs w:val="20"/>
          <w:color w:val="auto"/>
        </w:rPr>
      </w:pPr>
      <w:r>
        <w:rPr>
          <w:rFonts w:ascii="Times New Roman" w:cs="Times New Roman" w:eastAsia="Times New Roman" w:hAnsi="Times New Roman"/>
          <w:sz w:val="19"/>
          <w:szCs w:val="19"/>
          <w:color w:val="auto"/>
        </w:rPr>
        <w:t>(b)the security interests in the Financed Vehicles granted by Obligors pursuant to the Receivables and any other interest of the Seller in such Financed Vehicles;</w:t>
      </w:r>
    </w:p>
    <w:p>
      <w:pPr>
        <w:spacing w:after="0" w:line="127" w:lineRule="exact"/>
        <w:rPr>
          <w:sz w:val="20"/>
          <w:szCs w:val="20"/>
          <w:color w:val="auto"/>
        </w:rPr>
      </w:pPr>
    </w:p>
    <w:p>
      <w:pPr>
        <w:ind w:right="220" w:firstLine="696"/>
        <w:spacing w:after="0" w:line="268" w:lineRule="auto"/>
        <w:rPr>
          <w:sz w:val="20"/>
          <w:szCs w:val="20"/>
          <w:color w:val="auto"/>
        </w:rPr>
      </w:pPr>
      <w:r>
        <w:rPr>
          <w:rFonts w:ascii="Times New Roman" w:cs="Times New Roman" w:eastAsia="Times New Roman" w:hAnsi="Times New Roman"/>
          <w:sz w:val="19"/>
          <w:szCs w:val="19"/>
          <w:color w:val="auto"/>
        </w:rPr>
        <w:t>(c)all rights of the Seller against Dealers under the related Dealer Agreements, including any proceeds and the right to receive proceeds with respect to the Receivables from claims on any physical damage, credit life or disability insurance policies covering Financed Vehicles or Obligors, including any Collateral Insurance, and any proceeds from the liquidation of the Receivables;</w:t>
      </w:r>
    </w:p>
    <w:p>
      <w:pPr>
        <w:spacing w:after="0" w:line="144"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(d)all rights of the Seller against Dealers under the related Dealer Agreements, including, without limitation, any proceeds from any Receivable repurchased by a Dealer pursuant to a Dealer Agreement as a result of a breach of representation or warranty in the related Dealer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(e)all rights under any Service Contracts on the related Financed Vehicles;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(f)the related Receivable Files;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(g)the Seller's interest in the Lockbox Account in respect of any proceeds of the Receivables on deposit therein;</w:t>
      </w:r>
    </w:p>
    <w:p>
      <w:pPr>
        <w:spacing w:after="0" w:line="202" w:lineRule="exact"/>
        <w:rPr>
          <w:sz w:val="20"/>
          <w:szCs w:val="20"/>
          <w:color w:val="auto"/>
        </w:rPr>
      </w:pPr>
    </w:p>
    <w:p>
      <w:pPr>
        <w:ind w:right="500" w:firstLine="696"/>
        <w:spacing w:after="0" w:line="286" w:lineRule="auto"/>
        <w:rPr>
          <w:sz w:val="20"/>
          <w:szCs w:val="20"/>
          <w:color w:val="auto"/>
        </w:rPr>
      </w:pPr>
      <w:r>
        <w:rPr>
          <w:rFonts w:ascii="Times New Roman" w:cs="Times New Roman" w:eastAsia="Times New Roman" w:hAnsi="Times New Roman"/>
          <w:sz w:val="19"/>
          <w:szCs w:val="19"/>
          <w:color w:val="1F3763"/>
        </w:rPr>
        <w:t>(h)</w:t>
      </w:r>
      <w:r>
        <w:rPr>
          <w:rFonts w:ascii="Times New Roman" w:cs="Times New Roman" w:eastAsia="Times New Roman" w:hAnsi="Times New Roman"/>
          <w:sz w:val="19"/>
          <w:szCs w:val="19"/>
          <w:color w:val="000000"/>
        </w:rPr>
        <w:t>all of the Seller's (i) Accounts, (ii) Chattel Paper, (iii) Documents, (iv) Instruments and (v) General Intangibles (as such</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terms are defined in the UCC) relating to the property described in (a) through (g) above; and</w:t>
      </w:r>
    </w:p>
    <w:p>
      <w:pPr>
        <w:spacing w:after="0" w:line="127"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1F3763"/>
        </w:rPr>
        <w:t>(i)</w:t>
      </w:r>
      <w:r>
        <w:rPr>
          <w:rFonts w:ascii="Times New Roman" w:cs="Times New Roman" w:eastAsia="Times New Roman" w:hAnsi="Times New Roman"/>
          <w:sz w:val="19"/>
          <w:szCs w:val="19"/>
          <w:color w:val="000000"/>
        </w:rPr>
        <w:t>all proceeds and investments, present and future claims, demands, causes of action and choses in action in respect of any or all</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(a) through (h) above.</w:t>
      </w:r>
    </w:p>
    <w:p>
      <w:pPr>
        <w:spacing w:after="0" w:line="155"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2F5496"/>
        </w:rPr>
        <w:t xml:space="preserve">SECTION VI.10 </w:t>
      </w:r>
      <w:r>
        <w:rPr>
          <w:rFonts w:ascii="Times New Roman" w:cs="Times New Roman" w:eastAsia="Times New Roman" w:hAnsi="Times New Roman"/>
          <w:sz w:val="19"/>
          <w:szCs w:val="19"/>
          <w:color w:val="000000"/>
        </w:rPr>
        <w:t>GOVERNING LAW.</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THIS AGREEMENT SHALL BE CONSTRUED IN ACCORDANCE WITH,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AND THIS AGREEMENT AND ALL MATTERS ARISING OUT OF OR RELATING IN ANY WAY TO THIS AGREEMENT SHALL BE GOVERNED BY, THE LAW OF THE STATE OF NEW YORK, WITHOUT GIVING EFFECT TO ITS CONFLICT OF LAW PROVISIONS (OTHER THAN SECTIONS 5-1401 AND 5-1402 OF THE NEW YORK GENERAL OBLIGATIONS LAW). EACH OF THE PARTIES HERETO HEREBY AGREES TO THE NON-EXCLUSIVE</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78" w:name="page279"/>
    <w:bookmarkEnd w:id="278"/>
    <w:p>
      <w:pPr>
        <w:spacing w:after="0" w:line="200" w:lineRule="exact"/>
        <w:rPr>
          <w:sz w:val="20"/>
          <w:szCs w:val="20"/>
          <w:color w:val="auto"/>
        </w:rPr>
      </w:pPr>
    </w:p>
    <w:p>
      <w:pPr>
        <w:spacing w:after="0" w:line="2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b w:val="1"/>
          <w:bCs w:val="1"/>
          <w:color w:val="auto"/>
        </w:rPr>
        <w:t>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59"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VI.11 </w:t>
      </w:r>
      <w:r>
        <w:rPr>
          <w:rFonts w:ascii="Times New Roman" w:cs="Times New Roman" w:eastAsia="Times New Roman" w:hAnsi="Times New Roman"/>
          <w:sz w:val="19"/>
          <w:szCs w:val="19"/>
          <w:color w:val="000000"/>
        </w:rPr>
        <w:t>Counterparts. For the purpose of facilitating the execution of this Agreement and for other purposes, this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Agreement may be executed simultaneously in any number of counterparts, each of which counterparts shall be deemed to be an original, and all of which counterparts shall constitute but one and the same instrument.</w:t>
      </w:r>
    </w:p>
    <w:p>
      <w:pPr>
        <w:spacing w:after="0" w:line="144"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VI.12 </w:t>
      </w:r>
      <w:r>
        <w:rPr>
          <w:rFonts w:ascii="Times New Roman" w:cs="Times New Roman" w:eastAsia="Times New Roman" w:hAnsi="Times New Roman"/>
          <w:sz w:val="19"/>
          <w:szCs w:val="19"/>
          <w:color w:val="000000"/>
        </w:rPr>
        <w:t>Further Conveyance of the Receivables and the Other Conveyed Property. The Seller acknowledges that (a)</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Purchaser intends, pursuant to the Sale and Servicing Agreement, to convey the Receivables and the Other Conveyed Property, together with its rights under this Agreement, to the Issuer on the Closing Date, and (b) that the Issuer intends, pursuant to the Indenture, to pledge the Receivables and the Other Conveyed Property, together with its rights under this Agreement, to the Indenture Trustee on the Closing Date. The Seller acknowledges and consents to such conveyance and pledge and waives any further notice thereof and covenants and agrees that the representations and warranties of the Seller contained in this Agreement and the rights of the Purchaser hereunder are intended to benefit the Issuer, the Owner Trustee, the Indenture Trustee, the Noteholders and the Certificateholders. In furtherance of the foregoing, the Seller covenants and agrees to perform its duties and obligations hereunder, in accordance with the terms hereof for the benefit of the Issuer, the Owner Trustee, the Indenture Trustee, the Noteholders and the Certificateholders and that, notwithstanding anything to the contrary in this Agreement, the Seller shall be directly liable to the Issuer, the Owner Trustee, the Indenture Trustee, the Noteholders and the Certificateholders (notwithstanding any failure by the Servicer, the Backup Servicer or the Purchaser to perform its respective duties and obligations hereunder or under Basic Documents) and that the Indenture Trustee may enforce the duties and obligations of the Seller under this Agreement against the Seller for the benefit of the Owner Trustee, the Indenture Trustee, the Noteholders and the Certificateholders.</w:t>
      </w:r>
    </w:p>
    <w:p>
      <w:pPr>
        <w:spacing w:after="0" w:line="161"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color w:val="2F5496"/>
        </w:rPr>
        <w:t xml:space="preserve">SECTION VI.13 </w:t>
      </w:r>
      <w:r>
        <w:rPr>
          <w:rFonts w:ascii="Times New Roman" w:cs="Times New Roman" w:eastAsia="Times New Roman" w:hAnsi="Times New Roman"/>
          <w:sz w:val="19"/>
          <w:szCs w:val="19"/>
          <w:color w:val="000000"/>
        </w:rPr>
        <w:t>Nonpetition Covenant. The Seller shall not, prior to the date which is one year and one day after the payment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 full of the Notes, petition or join any Person in instituting or otherwise invoke the process of any court or government authority for the purpose of commencing or sustaining an involuntary case against the Issuer or the Purchaser under any federal or State bankruptcy, insolvency or similar law or appointing a receiver, liquidator, assignee,</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9" w:name="page280"/>
    <w:bookmarkEnd w:id="279"/>
    <w:p>
      <w:pPr>
        <w:spacing w:after="0" w:line="200" w:lineRule="exact"/>
        <w:rPr>
          <w:sz w:val="20"/>
          <w:szCs w:val="20"/>
          <w:color w:val="auto"/>
        </w:rPr>
      </w:pPr>
    </w:p>
    <w:p>
      <w:pPr>
        <w:spacing w:after="0" w:line="261"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9"/>
          <w:szCs w:val="19"/>
          <w:color w:val="auto"/>
        </w:rPr>
        <w:t>trustee, custodian, sequestrator or other similar official of the Issuer or the Purchaser or any substantial part of its property, or ordering the winding up or liquidation of the affairs of the Issuer or the Purchaser. Neither the Purchaser nor the Seller shall, prior to the date which is one year and one day after the payment in full of the Notes, petition or join or otherwise invoke the process of any court or government authority for the purpose of (a) commencing or sustaining a case against the Issuer under any federal or State bankruptcy, insolvency or similar law, (b) appointing a receiver, liquidator, assignee, trustee, custodian, sequestrator or other similar official of the Issuer or any substantial part of its property or (c) ordering the winding up or liquidation of the affairs of the Issuer.</w:t>
      </w:r>
    </w:p>
    <w:p>
      <w:pPr>
        <w:spacing w:after="0" w:line="157"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VI.14 </w:t>
      </w:r>
      <w:r>
        <w:rPr>
          <w:rFonts w:ascii="Times New Roman" w:cs="Times New Roman" w:eastAsia="Times New Roman" w:hAnsi="Times New Roman"/>
          <w:sz w:val="19"/>
          <w:szCs w:val="19"/>
          <w:color w:val="000000"/>
        </w:rPr>
        <w:t>Third-Party Beneficiaries. The provisions of this Agreement are for the benefit of the parties hereto and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Owner Trustee, the Indenture Trustee and the Backup Servicer, as third-party beneficiaries.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VI.15 </w:t>
      </w:r>
      <w:r>
        <w:rPr>
          <w:rFonts w:ascii="Times New Roman" w:cs="Times New Roman" w:eastAsia="Times New Roman" w:hAnsi="Times New Roman"/>
          <w:sz w:val="19"/>
          <w:szCs w:val="19"/>
          <w:color w:val="000000"/>
        </w:rPr>
        <w:t>Electronic Signatures.</w:t>
      </w:r>
    </w:p>
    <w:p>
      <w:pPr>
        <w:spacing w:after="0" w:line="202" w:lineRule="exact"/>
        <w:rPr>
          <w:sz w:val="20"/>
          <w:szCs w:val="20"/>
          <w:color w:val="auto"/>
        </w:rPr>
      </w:pPr>
    </w:p>
    <w:p>
      <w:pPr>
        <w:ind w:right="120" w:firstLine="696"/>
        <w:spacing w:after="0" w:line="256" w:lineRule="auto"/>
        <w:rPr>
          <w:sz w:val="20"/>
          <w:szCs w:val="20"/>
          <w:color w:val="auto"/>
        </w:rPr>
      </w:pPr>
      <w:r>
        <w:rPr>
          <w:rFonts w:ascii="Times New Roman" w:cs="Times New Roman" w:eastAsia="Times New Roman" w:hAnsi="Times New Roman"/>
          <w:sz w:val="19"/>
          <w:szCs w:val="19"/>
          <w:color w:val="auto"/>
        </w:rPr>
        <w:t>This Agreement shall be valid, binding and enforceable against a party only when executed and delivered by an authorized individual on behalf of the party by means of (a)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(b) an original manual signature or</w:t>
      </w:r>
    </w:p>
    <w:p>
      <w:pPr>
        <w:spacing w:after="0" w:line="2" w:lineRule="exact"/>
        <w:rPr>
          <w:sz w:val="20"/>
          <w:szCs w:val="20"/>
          <w:color w:val="auto"/>
        </w:rPr>
      </w:pPr>
    </w:p>
    <w:p>
      <w:pPr>
        <w:ind w:firstLine="6"/>
        <w:spacing w:after="0" w:line="252" w:lineRule="auto"/>
        <w:tabs>
          <w:tab w:leader="none" w:pos="261"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80" w:name="page281"/>
    <w:bookmarkEnd w:id="280"/>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have caused this Purchase Agreement to be duly executed by their respective officers as of the day and year first above written.</w:t>
      </w:r>
    </w:p>
    <w:p>
      <w:pPr>
        <w:spacing w:after="0" w:line="200" w:lineRule="exact"/>
        <w:rPr>
          <w:sz w:val="20"/>
          <w:szCs w:val="20"/>
          <w:color w:val="auto"/>
        </w:rPr>
      </w:pP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as the Seller</w:t>
      </w:r>
    </w:p>
    <w:p>
      <w:pPr>
        <w:sectPr>
          <w:pgSz w:w="11900" w:h="16840" w:orient="portrait"/>
          <w:cols w:equalWidth="0" w:num="1">
            <w:col w:w="10460"/>
          </w:cols>
          <w:pgMar w:left="660" w:top="1440" w:right="78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Jonathan Sandison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ectPr>
          <w:pgSz w:w="11900" w:h="16840" w:orient="portrait"/>
          <w:cols w:equalWidth="0" w:num="2">
            <w:col w:w="5800" w:space="240"/>
            <w:col w:w="4420"/>
          </w:cols>
          <w:pgMar w:left="660" w:top="1440" w:right="780" w:bottom="1440" w:gutter="0" w:footer="0" w:header="0"/>
          <w:type w:val="continuous"/>
        </w:sectPr>
      </w:pPr>
    </w:p>
    <w:p>
      <w:pPr>
        <w:spacing w:after="0" w:line="26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UNITED AUTO CREDIT FINANCING LLC,</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as the Purchaser</w:t>
      </w:r>
    </w:p>
    <w:p>
      <w:pPr>
        <w:sectPr>
          <w:pgSz w:w="11900" w:h="16840" w:orient="portrait"/>
          <w:cols w:equalWidth="0" w:num="1">
            <w:col w:w="10460"/>
          </w:cols>
          <w:pgMar w:left="660" w:top="1440" w:right="78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Jonathan Sandison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ectPr>
          <w:pgSz w:w="11900" w:h="16840" w:orient="portrait"/>
          <w:cols w:equalWidth="0" w:num="2">
            <w:col w:w="5800" w:space="240"/>
            <w:col w:w="4420"/>
          </w:cols>
          <w:pgMar w:left="660" w:top="1440" w:right="780"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Accepted: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the Indenture Trustee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894715</wp:posOffset>
            </wp:positionV>
            <wp:extent cx="67329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type w:val="continuous"/>
        </w:sectPr>
      </w:pPr>
    </w:p>
    <w:bookmarkStart w:id="281" w:name="page282"/>
    <w:bookmarkEnd w:id="281"/>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of Receivables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[On file with United Auto, the Indenture Trustee and Katten Muchin Rosenman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794385</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2" w:name="page283"/>
    <w:bookmarkEnd w:id="282"/>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B</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Representations and Warranties of Seller</w:t>
      </w:r>
    </w:p>
    <w:p>
      <w:pPr>
        <w:spacing w:after="0" w:line="202" w:lineRule="exact"/>
        <w:rPr>
          <w:sz w:val="20"/>
          <w:szCs w:val="20"/>
          <w:color w:val="auto"/>
        </w:rPr>
      </w:pPr>
    </w:p>
    <w:p>
      <w:pPr>
        <w:ind w:firstLine="702"/>
        <w:spacing w:after="0" w:line="253" w:lineRule="auto"/>
        <w:tabs>
          <w:tab w:leader="none" w:pos="888"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Characteristics of Receivables. Each Receivable (i) was originated (A) by Seller, (B) by an Originating Affiliate and was validly assigned by such Originating Affiliate to Seller or (C) by a Dealer and purchased by Seller from such Dealer under an existing Dealer Agreement or pursuant to a Dealer Assignment with Seller and was validly assigned by such Dealer to Seller pursuant to a Dealer Assignment, (ii) was originated by Seller, such Originating Affiliate or such Dealer for the retail sale of a Financed Vehicle in the ordinary course of Seller's, such Originating Affiliate's or the Dealer's business, in each case was originated in accordance with Seller's credit policies and was fully and properly executed by the parties thereto, and Seller, each Originating Affiliate and each Dealer had all necessary licenses and permits to originate Receivables in the State where Seller, each such Originating Affiliate or each such Dealer was located, (iii) contains customary and enforceable provisions such as to render the rights and remedies of the holder thereof adequate for realization against the collateral security, (iv) is a Receivable which provides for level monthly payments (provided that the payment in the first monthly payment period and the payment in the final monthly payment period of the Receivable may be minimally different from the normal period and level payment) which, if made when due, shall fully amortize the Amount Financed over the original term and (v) has not been amended or collections with respect to which waived, other than as evidenced in the Receivable File or the Servicer's electronic records relating thereto.</w:t>
      </w:r>
    </w:p>
    <w:p>
      <w:pPr>
        <w:spacing w:after="0" w:line="162" w:lineRule="exact"/>
        <w:rPr>
          <w:rFonts w:ascii="Times New Roman" w:cs="Times New Roman" w:eastAsia="Times New Roman" w:hAnsi="Times New Roman"/>
          <w:sz w:val="19"/>
          <w:szCs w:val="19"/>
          <w:color w:val="auto"/>
        </w:rPr>
      </w:pPr>
    </w:p>
    <w:p>
      <w:pPr>
        <w:ind w:right="480" w:firstLine="702"/>
        <w:spacing w:after="0" w:line="268" w:lineRule="auto"/>
        <w:tabs>
          <w:tab w:leader="none" w:pos="888"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Fraud or Misrepresentation. Each Receivable was originated (i) by Seller, (ii) by an Originating Affiliate and was assigned by the Originating Affiliate to Seller or (iii) by a Dealer and was sold by the Dealer to Seller, and was sold by Seller to the Purchaser, in each case, without any fraud or misrepresentation on the part of such Originating Affiliate, Dealer or Seller.</w:t>
      </w:r>
    </w:p>
    <w:p>
      <w:pPr>
        <w:spacing w:after="0" w:line="144" w:lineRule="exact"/>
        <w:rPr>
          <w:rFonts w:ascii="Times New Roman" w:cs="Times New Roman" w:eastAsia="Times New Roman" w:hAnsi="Times New Roman"/>
          <w:sz w:val="19"/>
          <w:szCs w:val="19"/>
          <w:color w:val="auto"/>
        </w:rPr>
      </w:pPr>
    </w:p>
    <w:p>
      <w:pPr>
        <w:ind w:right="120" w:firstLine="702"/>
        <w:spacing w:after="0" w:line="254" w:lineRule="auto"/>
        <w:tabs>
          <w:tab w:leader="none" w:pos="888"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Law. All requirements of applicable federal, State and local laws, and regulations thereunder (including usury laws, the Federal Truth-in-Lending Act, the Equal Credit Opportunity Act, the Fair Credit Billing Act, the Fair Credit Reporting Act, the Fair Debt Collection Practices Act, the Federal Trade Commission Act, the Magnuson-Moss Warranty Act, the Consumer Financial Protection Bureau's "B" and "Z" (including amendments to the Federal Reserve's Official Staff Commentary to Regulation Z, effective October 1, 1998, concerning negative equity loans), the Dodd-Frank Wall Street Reform and Consumer Protection Act, the Servicemembers Civil Relief Act, each applicable State Motor Vehicle Retail Installment Sales Act, the Gramm-Leach-Bliley Act and State adaptations of the National Consumer Act and of the Uniform Consumer Credit Code and other consumer credit laws and equal credit opportunity and disclosure laws) in respect of the Receivables and the Financed Vehicles, have been complied with in all material respects, and each Receivable and the sale of the Financed Vehicle evidenced by each Receivable complied at the time it was originated or made and now complies in all material respects with all applicable legal requirements.</w:t>
      </w:r>
    </w:p>
    <w:p>
      <w:pPr>
        <w:spacing w:after="0" w:line="160" w:lineRule="exact"/>
        <w:rPr>
          <w:rFonts w:ascii="Times New Roman" w:cs="Times New Roman" w:eastAsia="Times New Roman" w:hAnsi="Times New Roman"/>
          <w:sz w:val="19"/>
          <w:szCs w:val="19"/>
          <w:color w:val="auto"/>
        </w:rPr>
      </w:pPr>
    </w:p>
    <w:p>
      <w:pPr>
        <w:ind w:left="900" w:hanging="198"/>
        <w:spacing w:after="0"/>
        <w:tabs>
          <w:tab w:leader="none" w:pos="9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Origination. Each Receivable was originated in the United States of America.</w:t>
      </w:r>
    </w:p>
    <w:p>
      <w:pPr>
        <w:spacing w:after="0" w:line="201" w:lineRule="exact"/>
        <w:rPr>
          <w:rFonts w:ascii="Times New Roman" w:cs="Times New Roman" w:eastAsia="Times New Roman" w:hAnsi="Times New Roman"/>
          <w:sz w:val="19"/>
          <w:szCs w:val="19"/>
          <w:color w:val="auto"/>
        </w:rPr>
      </w:pPr>
    </w:p>
    <w:p>
      <w:pPr>
        <w:ind w:right="420" w:firstLine="702"/>
        <w:spacing w:after="0" w:line="268" w:lineRule="auto"/>
        <w:tabs>
          <w:tab w:leader="none" w:pos="888"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Binding Obligation. Each Receivable represents the genuine, legal, valid and binding payment obligation of the Obligor thereon, enforceable by the holder thereof in accordance with its terms, except (i) as enforceability may be limited by bankruptcy, insolvency, reorganization or similar laws affecting the enforcement of creditors' rights generally and by equitable limitations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758190</wp:posOffset>
            </wp:positionV>
            <wp:extent cx="673290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3" w:name="page284"/>
    <w:bookmarkEnd w:id="283"/>
    <w:p>
      <w:pPr>
        <w:spacing w:after="0" w:line="200" w:lineRule="exact"/>
        <w:rPr>
          <w:sz w:val="20"/>
          <w:szCs w:val="20"/>
          <w:color w:val="auto"/>
        </w:rPr>
      </w:pPr>
    </w:p>
    <w:p>
      <w:pPr>
        <w:spacing w:after="0" w:line="2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 availability of specific remedies, regardless of whether such enforceability is considered in a proceeding in equity or at law and (ii) as such Receivable may be modified by the application after the Cutoff Date of the Servicemembers Civil Relief Act, as amended; and all parties to each Receivable had full legal capacity to execute and deliver such Receivable and all other documents related thereto and to grant the security interest purported to be granted thereby.</w:t>
      </w:r>
    </w:p>
    <w:p>
      <w:pPr>
        <w:spacing w:after="0" w:line="150" w:lineRule="exact"/>
        <w:rPr>
          <w:sz w:val="20"/>
          <w:szCs w:val="20"/>
          <w:color w:val="auto"/>
        </w:rPr>
      </w:pPr>
    </w:p>
    <w:p>
      <w:pPr>
        <w:ind w:right="60" w:firstLine="702"/>
        <w:spacing w:after="0" w:line="286" w:lineRule="auto"/>
        <w:tabs>
          <w:tab w:leader="none" w:pos="888"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Government Obligor. No Obligor is the United States of America or any State or any agency, department, subdivision or instrumentality thereof.</w:t>
      </w:r>
    </w:p>
    <w:p>
      <w:pPr>
        <w:spacing w:after="0" w:line="127" w:lineRule="exact"/>
        <w:rPr>
          <w:rFonts w:ascii="Times New Roman" w:cs="Times New Roman" w:eastAsia="Times New Roman" w:hAnsi="Times New Roman"/>
          <w:sz w:val="19"/>
          <w:szCs w:val="19"/>
          <w:color w:val="auto"/>
        </w:rPr>
      </w:pPr>
    </w:p>
    <w:p>
      <w:pPr>
        <w:ind w:right="140" w:firstLine="702"/>
        <w:spacing w:after="0" w:line="286" w:lineRule="auto"/>
        <w:tabs>
          <w:tab w:leader="none" w:pos="888"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Obligor Bankruptcy. As of the Cutoff Date, no Obligor had been identified on the records of Seller as being the subject of a current bankruptcy proceeding.</w:t>
      </w:r>
    </w:p>
    <w:p>
      <w:pPr>
        <w:spacing w:after="0" w:line="127" w:lineRule="exact"/>
        <w:rPr>
          <w:rFonts w:ascii="Times New Roman" w:cs="Times New Roman" w:eastAsia="Times New Roman" w:hAnsi="Times New Roman"/>
          <w:sz w:val="19"/>
          <w:szCs w:val="19"/>
          <w:color w:val="auto"/>
        </w:rPr>
      </w:pPr>
    </w:p>
    <w:p>
      <w:pPr>
        <w:ind w:right="280" w:firstLine="702"/>
        <w:spacing w:after="0" w:line="286" w:lineRule="auto"/>
        <w:tabs>
          <w:tab w:leader="none" w:pos="888"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 of Receivables. The information set forth in the Schedule of Receivables has been produced from the Electronic Ledger and was true and correct in all material respects as of the close of business on the Cutoff Date.</w:t>
      </w:r>
    </w:p>
    <w:p>
      <w:pPr>
        <w:spacing w:after="0" w:line="127" w:lineRule="exact"/>
        <w:rPr>
          <w:rFonts w:ascii="Times New Roman" w:cs="Times New Roman" w:eastAsia="Times New Roman" w:hAnsi="Times New Roman"/>
          <w:sz w:val="19"/>
          <w:szCs w:val="19"/>
          <w:color w:val="auto"/>
        </w:rPr>
      </w:pPr>
    </w:p>
    <w:p>
      <w:pPr>
        <w:ind w:right="60" w:firstLine="702"/>
        <w:spacing w:after="0" w:line="268" w:lineRule="auto"/>
        <w:tabs>
          <w:tab w:leader="none" w:pos="888"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Marking Records. Each of Seller and the Purchaser has indicated in its files that the Receivables have been sold to the Issuer pursuant to the Sale and Servicing Agreement and Granted to the Indenture Trustee pursuant to the Indenture. Further, Seller has indicated in its computer files that the Receivables are owned by the Issuer.</w:t>
      </w:r>
    </w:p>
    <w:p>
      <w:pPr>
        <w:spacing w:after="0" w:line="144" w:lineRule="exact"/>
        <w:rPr>
          <w:rFonts w:ascii="Times New Roman" w:cs="Times New Roman" w:eastAsia="Times New Roman" w:hAnsi="Times New Roman"/>
          <w:sz w:val="19"/>
          <w:szCs w:val="19"/>
          <w:color w:val="auto"/>
        </w:rPr>
      </w:pPr>
    </w:p>
    <w:p>
      <w:pPr>
        <w:ind w:right="160" w:firstLine="702"/>
        <w:spacing w:after="0" w:line="286" w:lineRule="auto"/>
        <w:tabs>
          <w:tab w:leader="none" w:pos="98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Computer Tape. The Computer Tape made available by the Purchaser to the Issuer on the Closing Date was complete and accurate as of the Cutoff Date and includes a description of the same Receivables that are described in the Schedule of Receivables.</w:t>
      </w:r>
    </w:p>
    <w:p>
      <w:pPr>
        <w:spacing w:after="0" w:line="127" w:lineRule="exact"/>
        <w:rPr>
          <w:rFonts w:ascii="Times New Roman" w:cs="Times New Roman" w:eastAsia="Times New Roman" w:hAnsi="Times New Roman"/>
          <w:sz w:val="19"/>
          <w:szCs w:val="19"/>
          <w:color w:val="auto"/>
        </w:rPr>
      </w:pPr>
    </w:p>
    <w:p>
      <w:pPr>
        <w:ind w:right="420" w:firstLine="702"/>
        <w:spacing w:after="0" w:line="268" w:lineRule="auto"/>
        <w:tabs>
          <w:tab w:leader="none" w:pos="98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Adverse Selection. No selection procedures adverse to the Noteholders were utilized in selecting the Receivables from those receivables owned by the Purchaser which met the selection criteria set forth in clauses (i) through (xv) of number 28 of this Schedule B.</w:t>
      </w:r>
    </w:p>
    <w:p>
      <w:pPr>
        <w:spacing w:after="0" w:line="144" w:lineRule="exact"/>
        <w:rPr>
          <w:rFonts w:ascii="Times New Roman" w:cs="Times New Roman" w:eastAsia="Times New Roman" w:hAnsi="Times New Roman"/>
          <w:sz w:val="19"/>
          <w:szCs w:val="19"/>
          <w:color w:val="auto"/>
        </w:rPr>
      </w:pPr>
    </w:p>
    <w:p>
      <w:pPr>
        <w:ind w:right="40" w:firstLine="702"/>
        <w:spacing w:after="0" w:line="286" w:lineRule="auto"/>
        <w:tabs>
          <w:tab w:leader="none" w:pos="98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Chattel Paper. The Receivables constitute either "tangible chattel paper" or "electronic chattel paper" within the meaning of the UCC as in effect in the State of New York.</w:t>
      </w:r>
    </w:p>
    <w:p>
      <w:pPr>
        <w:spacing w:after="0" w:line="127" w:lineRule="exact"/>
        <w:rPr>
          <w:rFonts w:ascii="Times New Roman" w:cs="Times New Roman" w:eastAsia="Times New Roman" w:hAnsi="Times New Roman"/>
          <w:sz w:val="19"/>
          <w:szCs w:val="19"/>
          <w:color w:val="auto"/>
        </w:rPr>
      </w:pPr>
    </w:p>
    <w:p>
      <w:pPr>
        <w:ind w:right="40" w:firstLine="702"/>
        <w:spacing w:after="0" w:line="262" w:lineRule="auto"/>
        <w:tabs>
          <w:tab w:leader="none" w:pos="98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Original. There is only one original executed copy (or with respect to Electronic Contracts, one Authoritative Copy) of each Contract. With respect to Electronic Contracts, each Authoritative Copy (i) is unique, identifiable and unalterable (other than with the participation of Custodian) and (ii) has been communicated to and is maintained by E-Vault Provider as designated custodian of the Indenture Trustee.</w:t>
      </w:r>
    </w:p>
    <w:p>
      <w:pPr>
        <w:spacing w:after="0" w:line="150" w:lineRule="exact"/>
        <w:rPr>
          <w:rFonts w:ascii="Times New Roman" w:cs="Times New Roman" w:eastAsia="Times New Roman" w:hAnsi="Times New Roman"/>
          <w:sz w:val="19"/>
          <w:szCs w:val="19"/>
          <w:color w:val="auto"/>
        </w:rPr>
      </w:pPr>
    </w:p>
    <w:p>
      <w:pPr>
        <w:ind w:right="20" w:firstLine="702"/>
        <w:spacing w:after="0" w:line="268" w:lineRule="auto"/>
        <w:tabs>
          <w:tab w:leader="none" w:pos="98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Non-Authoritative Copy Identification. With respect to Electronic Contracts, the Servicer or the Custodian has marked, or caused to be marked, all copies of each such Contract, other than an Authoritative Copy, with a watermark to the following effect: "View of Non- Authoritative Copy" or similar language.</w:t>
      </w:r>
    </w:p>
    <w:p>
      <w:pPr>
        <w:spacing w:after="0" w:line="144" w:lineRule="exact"/>
        <w:rPr>
          <w:rFonts w:ascii="Times New Roman" w:cs="Times New Roman" w:eastAsia="Times New Roman" w:hAnsi="Times New Roman"/>
          <w:sz w:val="19"/>
          <w:szCs w:val="19"/>
          <w:color w:val="auto"/>
        </w:rPr>
      </w:pPr>
    </w:p>
    <w:p>
      <w:pPr>
        <w:jc w:val="both"/>
        <w:ind w:right="60" w:firstLine="702"/>
        <w:spacing w:after="0" w:line="262" w:lineRule="auto"/>
        <w:tabs>
          <w:tab w:leader="none" w:pos="98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 Files Complete. There exists a Receivable File pertaining to each Receivable and such Receivable File contains a fully executed original (or with respect to Electronic Contracts, one Authoritative Copy) of the Contract, the Lien Certificate or a copy</w:t>
      </w:r>
    </w:p>
    <w:p>
      <w:pPr>
        <w:spacing w:after="0" w:line="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auto"/>
        </w:rPr>
        <w:t>of the application therefor. Related documentation concerning the Receivable, including any documentation regarding modifications of the Contract, will be maintained electronically by the Servicer in accordance with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Schedule-B-26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4" w:name="page285"/>
    <w:bookmarkEnd w:id="284"/>
    <w:p>
      <w:pPr>
        <w:spacing w:after="0" w:line="200" w:lineRule="exact"/>
        <w:rPr>
          <w:sz w:val="20"/>
          <w:szCs w:val="20"/>
          <w:color w:val="auto"/>
        </w:rPr>
      </w:pPr>
    </w:p>
    <w:p>
      <w:pPr>
        <w:spacing w:after="0" w:line="2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the Servicing Policies and Procedures. Each of such documents which is required to be signed by the Obligor has been signed by the Obligor in the appropriate spaces. All applicable blanks on any form have been properly filled in and each form has otherwise been correctly prepared. The Custodian will maintain the complete Receivable File for each Receivable, including with respect to each Receivable evidence by a Contract that constitutes "tangible chattel paper", a fully executed original of such Contract at one of its offices or the offices of one of its agents or sub-contractors within the United States. With respect to each Receivable evidenced by an Electronic Contract, one Authoritative Copy of such Electronic Contract is and will be maintained in the UACC 2025-1 ABS Vault Partition.</w:t>
      </w:r>
    </w:p>
    <w:p>
      <w:pPr>
        <w:spacing w:after="0" w:line="390" w:lineRule="exact"/>
        <w:rPr>
          <w:sz w:val="20"/>
          <w:szCs w:val="20"/>
          <w:color w:val="auto"/>
        </w:rPr>
      </w:pPr>
    </w:p>
    <w:p>
      <w:pPr>
        <w:jc w:val="both"/>
        <w:ind w:right="60" w:firstLine="702"/>
        <w:spacing w:after="0" w:line="262" w:lineRule="auto"/>
        <w:tabs>
          <w:tab w:leader="none" w:pos="984"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Receivables in Force. No Receivable has been satisfied, subordinated or rescinded, and the Financed Vehicle securing each such Receivable has not been released from the lien of the related Receivable in whole or in part. No terms of any Receivable have been waived, altered or modified in any respect since its origination, except by instruments or documents identified in the Receivable File or the Servicer's electronic records.</w:t>
      </w:r>
    </w:p>
    <w:p>
      <w:pPr>
        <w:spacing w:after="0" w:line="150" w:lineRule="exact"/>
        <w:rPr>
          <w:rFonts w:ascii="Times New Roman" w:cs="Times New Roman" w:eastAsia="Times New Roman" w:hAnsi="Times New Roman"/>
          <w:sz w:val="19"/>
          <w:szCs w:val="19"/>
          <w:color w:val="auto"/>
        </w:rPr>
      </w:pPr>
    </w:p>
    <w:p>
      <w:pPr>
        <w:ind w:firstLine="702"/>
        <w:spacing w:after="0" w:line="268" w:lineRule="auto"/>
        <w:tabs>
          <w:tab w:leader="none" w:pos="984"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Lawful Assignment. No Receivable was originated in, or is subject to the laws of, any jurisdiction the laws of which would make unlawful, void or voidable the sale, transfer and assignment of such Receivable under this Agreement or pursuant to transfers of the Notes.</w:t>
      </w:r>
    </w:p>
    <w:p>
      <w:pPr>
        <w:spacing w:after="0" w:line="144" w:lineRule="exact"/>
        <w:rPr>
          <w:rFonts w:ascii="Times New Roman" w:cs="Times New Roman" w:eastAsia="Times New Roman" w:hAnsi="Times New Roman"/>
          <w:sz w:val="19"/>
          <w:szCs w:val="19"/>
          <w:color w:val="auto"/>
        </w:rPr>
      </w:pPr>
    </w:p>
    <w:p>
      <w:pPr>
        <w:ind w:right="40" w:firstLine="702"/>
        <w:spacing w:after="0" w:line="257" w:lineRule="auto"/>
        <w:tabs>
          <w:tab w:leader="none" w:pos="984"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Title. Immediately prior to the conveyance of the Receivables to the Issuer pursuant to this Agreement, the Purchaser was the sole owner thereof and had good and indefeasible title thereto, free of any Lien and, upon execution and delivery of this Agreement by the Purchaser, the Issuer shall have good and indefeasible title to and will be the sole owner of such Receivables, free of any Lien. No Dealer has a participation in, or other right to receive, proceeds of any Receivable. The Purchaser has not taken any action to convey any right to any Person that would result in such Person having a right to payments received under the related Insurance Policies or the related Dealer Agreements or Dealer Assignments or to payments due under such Receivables.</w:t>
      </w:r>
    </w:p>
    <w:p>
      <w:pPr>
        <w:spacing w:after="0" w:line="156" w:lineRule="exact"/>
        <w:rPr>
          <w:rFonts w:ascii="Times New Roman" w:cs="Times New Roman" w:eastAsia="Times New Roman" w:hAnsi="Times New Roman"/>
          <w:sz w:val="19"/>
          <w:szCs w:val="19"/>
          <w:color w:val="auto"/>
        </w:rPr>
      </w:pPr>
    </w:p>
    <w:p>
      <w:pPr>
        <w:ind w:right="20" w:firstLine="702"/>
        <w:spacing w:after="0" w:line="252" w:lineRule="auto"/>
        <w:tabs>
          <w:tab w:leader="none" w:pos="984"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Interest in Financed Vehicle. Each Receivable created or shall create a valid, binding and enforceable first priority security interest in favor of Seller (or an Originating Affiliate which first priority security interest has been assigned to Seller) in the Financed Vehicle. The Lien Certificate for each Financed Vehicle shows, or if a new or replacement Lien Certificate is being applied for with respect to such Financed Vehicle the Lien Certificate will be received within 180 days of the origination date of the related Receivable and will show, Seller (or an Originating Affiliate) named as the original secured party under each Receivable as the holder of a first priority security interest in such Financed Vehicle. With respect to each Receivable for which the Lien Certificate has not yet been returned from the Registrar of Titles, Seller or the related Originating Affiliate has applied for or received written evidence from the related Dealer that such Lien Certificate showing Seller, an Originating Affiliate or the Issuer, as applicable, as first lienholder has been applied for and the Originating Affiliate's security interest has been validly assigned by the Originating Affiliate to Seller and Seller's security interest (assigned by Seller to the Purchaser pursuant to the Purchase Agreement) has been validly assigned by the Purchaser to the Issuer pursuant to the Sale and Servicing Agreement. The Sale and Servicing Agreement creates a valid and continuing security interest (as defined in the UCC) in the Receivables in favor of the Issuer, which security interest is prior to all other Liens, and is enforceable as such against creditors of and purchasers from the Purchaser. Immediately after the sale, transfer and assignment by the Purchaser</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Schedule-B-27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5" w:name="page286"/>
    <w:bookmarkEnd w:id="285"/>
    <w:p>
      <w:pPr>
        <w:spacing w:after="0" w:line="200" w:lineRule="exact"/>
        <w:rPr>
          <w:sz w:val="20"/>
          <w:szCs w:val="20"/>
          <w:color w:val="auto"/>
        </w:rPr>
      </w:pPr>
    </w:p>
    <w:p>
      <w:pPr>
        <w:spacing w:after="0" w:line="26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9"/>
          <w:szCs w:val="19"/>
          <w:color w:val="auto"/>
        </w:rPr>
        <w:t>to the Issuer, each Receivable will be secured by an enforceable and perfected first priority security interest in the Financed Vehicle in favor of the Indenture Trustee as secured party, which security interest is prior to all other Liens upon and security interests in such Financed Vehicle which now exist or may hereafter arise or be created (except, as to priority, for any lien for taxes, labor or materials affecting a Financed Vehicle). As of the Cutoff Date, there were no Liens or claims for taxes, work, labor or materials affecting a Financed Vehicle which are or may be Liens prior or equal to the Liens of the related Receivable.</w:t>
      </w:r>
    </w:p>
    <w:p>
      <w:pPr>
        <w:spacing w:after="0" w:line="154" w:lineRule="exact"/>
        <w:rPr>
          <w:sz w:val="20"/>
          <w:szCs w:val="20"/>
          <w:color w:val="auto"/>
        </w:rPr>
      </w:pPr>
    </w:p>
    <w:p>
      <w:pPr>
        <w:ind w:right="180" w:firstLine="702"/>
        <w:spacing w:after="0" w:line="259" w:lineRule="auto"/>
        <w:tabs>
          <w:tab w:leader="none" w:pos="98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Filings Made. All filings (including UCC filings (including the filing by the Seller of all appropriate financing statements in the proper filing office in the State of California under applicable law in order to perfect the security interest in the Receivables granted to the Purchaser hereunder)) required to be made by any Person and actions required to be taken or performed by any Person in any jurisdiction to give the Issuer and the Indenture Trustee a first priority perfected lien on, or ownership interest in, the Receivables and the proceeds thereof and the Other Conveyed Property have been made, taken or performed.</w:t>
      </w:r>
    </w:p>
    <w:p>
      <w:pPr>
        <w:spacing w:after="0" w:line="153" w:lineRule="exact"/>
        <w:rPr>
          <w:rFonts w:ascii="Times New Roman" w:cs="Times New Roman" w:eastAsia="Times New Roman" w:hAnsi="Times New Roman"/>
          <w:sz w:val="19"/>
          <w:szCs w:val="19"/>
          <w:color w:val="auto"/>
        </w:rPr>
      </w:pPr>
    </w:p>
    <w:p>
      <w:pPr>
        <w:ind w:firstLine="702"/>
        <w:spacing w:after="0" w:line="262" w:lineRule="auto"/>
        <w:tabs>
          <w:tab w:leader="none" w:pos="98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Legend. The Receivables which are Electronic Contracts are in the UACC 2025-1 ABS Vault Partition and contain the Required Legend. The Electronic Contracts that constitute or evidence the Receivables do not have any marks or notations indicating that they have been pledged, assigned or otherwise conveyed to any Person other than the Issuer, as owner, and held by United Auto, as Custodian, on behalf of the Indenture Trustee for the benefit of the Noteholders, as secured party.</w:t>
      </w:r>
    </w:p>
    <w:p>
      <w:pPr>
        <w:spacing w:after="0" w:line="150" w:lineRule="exact"/>
        <w:rPr>
          <w:rFonts w:ascii="Times New Roman" w:cs="Times New Roman" w:eastAsia="Times New Roman" w:hAnsi="Times New Roman"/>
          <w:sz w:val="19"/>
          <w:szCs w:val="19"/>
          <w:color w:val="auto"/>
        </w:rPr>
      </w:pPr>
    </w:p>
    <w:p>
      <w:pPr>
        <w:ind w:right="20" w:firstLine="702"/>
        <w:spacing w:after="0" w:line="255" w:lineRule="auto"/>
        <w:tabs>
          <w:tab w:leader="none" w:pos="98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Impairment. The Seller has not done anything to convey any right to any Person that would result in such Person having a right to payments due under the Receivables or otherwise to impair the rights of the Purchaser, the Issuer, the Indenture Trustee and the Noteholders in any Receivable or the proceeds thereof. Other than the security interest granted to the Purchaser pursuant to this Agreement and except any other security interests that have been fully released and discharged as of the Closing Date, the Seller has not pledged, assigned, sold, granted a security interest in or otherwise conveyed any of the Receivables. The Seller has not authorized the filing of and is not aware of any financing statements against the Seller that include a description of collateral covering the Receivables other than any financing statement relating to the security interest granted to the Purchaser hereunder or that has been terminated. The Seller is not aware of any judgment or tax lien filings against it.</w:t>
      </w:r>
    </w:p>
    <w:p>
      <w:pPr>
        <w:spacing w:after="0" w:line="159" w:lineRule="exact"/>
        <w:rPr>
          <w:rFonts w:ascii="Times New Roman" w:cs="Times New Roman" w:eastAsia="Times New Roman" w:hAnsi="Times New Roman"/>
          <w:sz w:val="19"/>
          <w:szCs w:val="19"/>
          <w:color w:val="auto"/>
        </w:rPr>
      </w:pPr>
    </w:p>
    <w:p>
      <w:pPr>
        <w:ind w:right="240" w:firstLine="702"/>
        <w:spacing w:after="0" w:line="286" w:lineRule="auto"/>
        <w:tabs>
          <w:tab w:leader="none" w:pos="98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 Not Assumable. No Receivable is assumable by another Person in a manner which would release the Obligor thereof from such Obligor's obligations to the owner thereof with respect to such Receivable.</w:t>
      </w:r>
    </w:p>
    <w:p>
      <w:pPr>
        <w:spacing w:after="0" w:line="127" w:lineRule="exact"/>
        <w:rPr>
          <w:rFonts w:ascii="Times New Roman" w:cs="Times New Roman" w:eastAsia="Times New Roman" w:hAnsi="Times New Roman"/>
          <w:sz w:val="19"/>
          <w:szCs w:val="19"/>
          <w:color w:val="auto"/>
        </w:rPr>
      </w:pPr>
    </w:p>
    <w:p>
      <w:pPr>
        <w:ind w:right="40" w:firstLine="702"/>
        <w:spacing w:after="0" w:line="262" w:lineRule="auto"/>
        <w:tabs>
          <w:tab w:leader="none" w:pos="98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Defenses. No Receivable is subject to any right of rescission, setoff, counterclaim or defense and no such right has been asserted or threatened with respect to any Receivable.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Schedule-B-28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6" w:name="page287"/>
    <w:bookmarkEnd w:id="286"/>
    <w:p>
      <w:pPr>
        <w:spacing w:after="0" w:line="200" w:lineRule="exact"/>
        <w:rPr>
          <w:sz w:val="20"/>
          <w:szCs w:val="20"/>
          <w:color w:val="auto"/>
        </w:rPr>
      </w:pPr>
    </w:p>
    <w:p>
      <w:pPr>
        <w:spacing w:after="0" w:line="261" w:lineRule="exact"/>
        <w:rPr>
          <w:sz w:val="20"/>
          <w:szCs w:val="20"/>
          <w:color w:val="auto"/>
        </w:rPr>
      </w:pPr>
    </w:p>
    <w:p>
      <w:pPr>
        <w:ind w:left="-60" w:firstLine="702"/>
        <w:spacing w:after="0" w:line="262" w:lineRule="auto"/>
        <w:tabs>
          <w:tab w:leader="none" w:pos="92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There has been no default, breach, violation or event permitting acceleration under the terms of any Receivable (other than payment delinquencies of not more than 30 days), and no condition exists or event has occurred and is continuing that with notice, the lapse of time or both would constitute a default, breach, violation or event permitting acceleration under the terms of any Receivable, and there has been no waiver of any of the foregoing. As of the Cutoff Date, no Financed Vehicle had been repossessed.</w:t>
      </w:r>
    </w:p>
    <w:p>
      <w:pPr>
        <w:spacing w:after="0" w:line="150" w:lineRule="exact"/>
        <w:rPr>
          <w:rFonts w:ascii="Times New Roman" w:cs="Times New Roman" w:eastAsia="Times New Roman" w:hAnsi="Times New Roman"/>
          <w:sz w:val="19"/>
          <w:szCs w:val="19"/>
          <w:color w:val="auto"/>
        </w:rPr>
      </w:pPr>
    </w:p>
    <w:p>
      <w:pPr>
        <w:jc w:val="both"/>
        <w:ind w:left="-60" w:right="460" w:firstLine="702"/>
        <w:spacing w:after="0" w:line="268" w:lineRule="auto"/>
        <w:tabs>
          <w:tab w:leader="none" w:pos="92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Insurance. At the time of an origination of a Receivable by Seller, an Originating Affiliate or a Dealer, each Financed Vehicle is required to be covered by a comprehensive and collision insurance policy in accordance with the Servicing Policies and Procedures. No Financed Vehicle is insured under a policy of force-placed insurance on the Cutoff Date.</w:t>
      </w:r>
    </w:p>
    <w:p>
      <w:pPr>
        <w:spacing w:after="0" w:line="144" w:lineRule="exact"/>
        <w:rPr>
          <w:rFonts w:ascii="Times New Roman" w:cs="Times New Roman" w:eastAsia="Times New Roman" w:hAnsi="Times New Roman"/>
          <w:sz w:val="19"/>
          <w:szCs w:val="19"/>
          <w:color w:val="auto"/>
        </w:rPr>
      </w:pPr>
    </w:p>
    <w:p>
      <w:pPr>
        <w:ind w:left="-60" w:right="120" w:firstLine="702"/>
        <w:spacing w:after="0" w:line="286" w:lineRule="auto"/>
        <w:tabs>
          <w:tab w:leader="none" w:pos="92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Remaining Principal Balance. As of the Cutoff Date, the Principal Balance of each Receivable set forth in the Schedule of Receivables is true and accurate in all material respects.</w:t>
      </w:r>
    </w:p>
    <w:p>
      <w:pPr>
        <w:spacing w:after="0" w:line="127" w:lineRule="exact"/>
        <w:rPr>
          <w:rFonts w:ascii="Times New Roman" w:cs="Times New Roman" w:eastAsia="Times New Roman" w:hAnsi="Times New Roman"/>
          <w:sz w:val="19"/>
          <w:szCs w:val="19"/>
          <w:color w:val="auto"/>
        </w:rPr>
      </w:pPr>
    </w:p>
    <w:p>
      <w:pPr>
        <w:ind w:left="940" w:hanging="298"/>
        <w:spacing w:after="0"/>
        <w:tabs>
          <w:tab w:leader="none" w:pos="94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Characteristics of the Receivables.</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(i)</w:t>
      </w:r>
      <w:r>
        <w:rPr>
          <w:rFonts w:ascii="Times New Roman" w:cs="Times New Roman" w:eastAsia="Times New Roman" w:hAnsi="Times New Roman"/>
          <w:sz w:val="19"/>
          <w:szCs w:val="19"/>
          <w:color w:val="000000"/>
        </w:rPr>
        <w:t>Each Receivable had a remaining maturity, as of the Cutoff Date, of not more than [***] months.</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(ii)</w:t>
      </w:r>
      <w:r>
        <w:rPr>
          <w:rFonts w:ascii="Times New Roman" w:cs="Times New Roman" w:eastAsia="Times New Roman" w:hAnsi="Times New Roman"/>
          <w:sz w:val="19"/>
          <w:szCs w:val="19"/>
          <w:color w:val="000000"/>
        </w:rPr>
        <w:t>Each Receivable had an original maturity, as of the Cutoff Date, of not more than [***] months.</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(iii)</w:t>
      </w:r>
      <w:r>
        <w:rPr>
          <w:rFonts w:ascii="Times New Roman" w:cs="Times New Roman" w:eastAsia="Times New Roman" w:hAnsi="Times New Roman"/>
          <w:sz w:val="19"/>
          <w:szCs w:val="19"/>
          <w:color w:val="000000"/>
        </w:rPr>
        <w:t>Each Receivable had a remaining Principal Balance, as of the Cutoff Date, of at least $[***] and not more than</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(iv)</w:t>
      </w:r>
      <w:r>
        <w:rPr>
          <w:rFonts w:ascii="Times New Roman" w:cs="Times New Roman" w:eastAsia="Times New Roman" w:hAnsi="Times New Roman"/>
          <w:sz w:val="19"/>
          <w:szCs w:val="19"/>
          <w:color w:val="000000"/>
        </w:rPr>
        <w:t>Each Receivable had an Annual Percentage Rate, as of the Cutoff Date, of at least [***]% and not more than</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(v)</w:t>
      </w:r>
      <w:r>
        <w:rPr>
          <w:rFonts w:ascii="Times New Roman" w:cs="Times New Roman" w:eastAsia="Times New Roman" w:hAnsi="Times New Roman"/>
          <w:sz w:val="19"/>
          <w:szCs w:val="19"/>
          <w:color w:val="000000"/>
        </w:rPr>
        <w:t>No Receivable was more than 30 days past due as of the Cutoff Date.</w:t>
      </w:r>
    </w:p>
    <w:p>
      <w:pPr>
        <w:spacing w:after="0" w:line="202" w:lineRule="exact"/>
        <w:rPr>
          <w:sz w:val="20"/>
          <w:szCs w:val="20"/>
          <w:color w:val="auto"/>
        </w:rPr>
      </w:pPr>
    </w:p>
    <w:p>
      <w:pPr>
        <w:ind w:left="640" w:right="80" w:firstLine="744"/>
        <w:spacing w:after="0" w:line="286" w:lineRule="auto"/>
        <w:rPr>
          <w:sz w:val="20"/>
          <w:szCs w:val="20"/>
          <w:color w:val="auto"/>
        </w:rPr>
      </w:pPr>
      <w:r>
        <w:rPr>
          <w:rFonts w:ascii="Times New Roman" w:cs="Times New Roman" w:eastAsia="Times New Roman" w:hAnsi="Times New Roman"/>
          <w:sz w:val="19"/>
          <w:szCs w:val="19"/>
          <w:color w:val="1F3763"/>
        </w:rPr>
        <w:t>(vi)</w:t>
      </w:r>
      <w:r>
        <w:rPr>
          <w:rFonts w:ascii="Times New Roman" w:cs="Times New Roman" w:eastAsia="Times New Roman" w:hAnsi="Times New Roman"/>
          <w:sz w:val="19"/>
          <w:szCs w:val="19"/>
          <w:color w:val="000000"/>
        </w:rPr>
        <w:t>No funds had been advanced by Seller, any Originating Affiliate, any Dealer or anyone acting on behalf of any of</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them in order to cause any Receivable to qualify under clause (v) above.</w:t>
      </w:r>
    </w:p>
    <w:p>
      <w:pPr>
        <w:spacing w:after="0" w:line="127" w:lineRule="exact"/>
        <w:rPr>
          <w:sz w:val="20"/>
          <w:szCs w:val="20"/>
          <w:color w:val="auto"/>
        </w:rPr>
      </w:pPr>
    </w:p>
    <w:p>
      <w:pPr>
        <w:ind w:left="640" w:right="340" w:firstLine="744"/>
        <w:spacing w:after="0" w:line="286" w:lineRule="auto"/>
        <w:rPr>
          <w:sz w:val="20"/>
          <w:szCs w:val="20"/>
          <w:color w:val="auto"/>
        </w:rPr>
      </w:pPr>
      <w:r>
        <w:rPr>
          <w:rFonts w:ascii="Times New Roman" w:cs="Times New Roman" w:eastAsia="Times New Roman" w:hAnsi="Times New Roman"/>
          <w:sz w:val="19"/>
          <w:szCs w:val="19"/>
          <w:color w:val="1F3763"/>
        </w:rPr>
        <w:t xml:space="preserve">(vii) </w:t>
      </w:r>
      <w:r>
        <w:rPr>
          <w:rFonts w:ascii="Times New Roman" w:cs="Times New Roman" w:eastAsia="Times New Roman" w:hAnsi="Times New Roman"/>
          <w:sz w:val="19"/>
          <w:szCs w:val="19"/>
          <w:color w:val="000000"/>
        </w:rPr>
        <w:t>Each Obligor had a billing address in the United States of America, as of the date of origination of the related</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Receivable, is a natural person and is not an Affiliate of any party to the Basic Documents.</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(viii)</w:t>
      </w:r>
      <w:r>
        <w:rPr>
          <w:rFonts w:ascii="Times New Roman" w:cs="Times New Roman" w:eastAsia="Times New Roman" w:hAnsi="Times New Roman"/>
          <w:sz w:val="19"/>
          <w:szCs w:val="19"/>
          <w:color w:val="000000"/>
        </w:rPr>
        <w:t>Each Receivable is denominated in, and each Contract provides for payment in, United States dollars.</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(ix)</w:t>
      </w:r>
      <w:r>
        <w:rPr>
          <w:rFonts w:ascii="Times New Roman" w:cs="Times New Roman" w:eastAsia="Times New Roman" w:hAnsi="Times New Roman"/>
          <w:sz w:val="19"/>
          <w:szCs w:val="19"/>
          <w:color w:val="000000"/>
        </w:rPr>
        <w:t>Each Receivable is identified on the Servicer's master servicing records as a motor vehicle retail installment sales</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contract.</w:t>
      </w:r>
    </w:p>
    <w:p>
      <w:pPr>
        <w:spacing w:after="0" w:line="180" w:lineRule="exact"/>
        <w:rPr>
          <w:sz w:val="20"/>
          <w:szCs w:val="20"/>
          <w:color w:val="auto"/>
        </w:rPr>
      </w:pPr>
    </w:p>
    <w:p>
      <w:pPr>
        <w:ind w:left="640" w:right="720" w:firstLine="744"/>
        <w:spacing w:after="0" w:line="262" w:lineRule="auto"/>
        <w:rPr>
          <w:sz w:val="20"/>
          <w:szCs w:val="20"/>
          <w:color w:val="auto"/>
        </w:rPr>
      </w:pPr>
      <w:r>
        <w:rPr>
          <w:rFonts w:ascii="Times New Roman" w:cs="Times New Roman" w:eastAsia="Times New Roman" w:hAnsi="Times New Roman"/>
          <w:sz w:val="19"/>
          <w:szCs w:val="19"/>
          <w:color w:val="1F3763"/>
        </w:rPr>
        <w:t>(x)</w:t>
      </w:r>
      <w:r>
        <w:rPr>
          <w:rFonts w:ascii="Times New Roman" w:cs="Times New Roman" w:eastAsia="Times New Roman" w:hAnsi="Times New Roman"/>
          <w:sz w:val="19"/>
          <w:szCs w:val="19"/>
          <w:color w:val="000000"/>
        </w:rPr>
        <w:t>Each Receivable arose under a Contract that is assignable without the consent of, or notice to, the Obligor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thereunder and does not contain a confidentiality provision that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635635</wp:posOffset>
            </wp:positionV>
            <wp:extent cx="673290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20" w:top="1440" w:right="720" w:bottom="1440" w:gutter="0" w:footer="0" w:header="0"/>
        </w:sectPr>
      </w:pPr>
    </w:p>
    <w:bookmarkStart w:id="287" w:name="page288"/>
    <w:bookmarkEnd w:id="287"/>
    <w:p>
      <w:pPr>
        <w:spacing w:after="0" w:line="200" w:lineRule="exact"/>
        <w:rPr>
          <w:sz w:val="20"/>
          <w:szCs w:val="20"/>
          <w:color w:val="auto"/>
        </w:rPr>
      </w:pPr>
    </w:p>
    <w:p>
      <w:pPr>
        <w:spacing w:after="0" w:line="26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9"/>
          <w:szCs w:val="19"/>
          <w:color w:val="auto"/>
        </w:rPr>
        <w:t>purports to restrict the ability of the Servicer to exercise its rights under the Sale and Servicing Agreement, including its right to review the Contract.</w:t>
      </w:r>
    </w:p>
    <w:p>
      <w:pPr>
        <w:spacing w:after="0" w:line="127" w:lineRule="exact"/>
        <w:rPr>
          <w:sz w:val="20"/>
          <w:szCs w:val="20"/>
          <w:color w:val="auto"/>
        </w:rPr>
      </w:pPr>
    </w:p>
    <w:p>
      <w:pPr>
        <w:jc w:val="both"/>
        <w:ind w:left="640" w:right="140" w:firstLine="744"/>
        <w:spacing w:after="0" w:line="268" w:lineRule="auto"/>
        <w:rPr>
          <w:sz w:val="20"/>
          <w:szCs w:val="20"/>
          <w:color w:val="auto"/>
        </w:rPr>
      </w:pPr>
      <w:r>
        <w:rPr>
          <w:rFonts w:ascii="Times New Roman" w:cs="Times New Roman" w:eastAsia="Times New Roman" w:hAnsi="Times New Roman"/>
          <w:sz w:val="19"/>
          <w:szCs w:val="19"/>
          <w:color w:val="1F3763"/>
        </w:rPr>
        <w:t>(xi)</w:t>
      </w:r>
      <w:r>
        <w:rPr>
          <w:rFonts w:ascii="Times New Roman" w:cs="Times New Roman" w:eastAsia="Times New Roman" w:hAnsi="Times New Roman"/>
          <w:sz w:val="19"/>
          <w:szCs w:val="19"/>
          <w:color w:val="000000"/>
        </w:rPr>
        <w:t>Each Receivable arose under a Contract with respect to which Seller has performed all obligations required to be</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performed by it thereunder, and, in the event such Contract is a motor vehicle retail installment sales contract, delivery of the Financed Vehicle to the related Obligor has occurred.</w:t>
      </w:r>
    </w:p>
    <w:p>
      <w:pPr>
        <w:spacing w:after="0" w:line="144" w:lineRule="exact"/>
        <w:rPr>
          <w:sz w:val="20"/>
          <w:szCs w:val="20"/>
          <w:color w:val="auto"/>
        </w:rPr>
      </w:pPr>
    </w:p>
    <w:p>
      <w:pPr>
        <w:ind w:left="640" w:right="60" w:firstLine="744"/>
        <w:spacing w:after="0" w:line="286" w:lineRule="auto"/>
        <w:rPr>
          <w:sz w:val="20"/>
          <w:szCs w:val="20"/>
          <w:color w:val="auto"/>
        </w:rPr>
      </w:pPr>
      <w:r>
        <w:rPr>
          <w:rFonts w:ascii="Times New Roman" w:cs="Times New Roman" w:eastAsia="Times New Roman" w:hAnsi="Times New Roman"/>
          <w:sz w:val="19"/>
          <w:szCs w:val="19"/>
          <w:color w:val="1F3763"/>
        </w:rPr>
        <w:t xml:space="preserve">(xii) </w:t>
      </w:r>
      <w:r>
        <w:rPr>
          <w:rFonts w:ascii="Times New Roman" w:cs="Times New Roman" w:eastAsia="Times New Roman" w:hAnsi="Times New Roman"/>
          <w:sz w:val="19"/>
          <w:szCs w:val="19"/>
          <w:color w:val="000000"/>
        </w:rPr>
        <w:t>Each Receivable constitutes "tangible chattel paper" or "electronic chattel paper" within the meaning of the UCC</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as in effect in the State of New York.</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(xiii)</w:t>
      </w:r>
      <w:r>
        <w:rPr>
          <w:rFonts w:ascii="Times New Roman" w:cs="Times New Roman" w:eastAsia="Times New Roman" w:hAnsi="Times New Roman"/>
          <w:sz w:val="19"/>
          <w:szCs w:val="19"/>
          <w:color w:val="000000"/>
        </w:rPr>
        <w:t>No automobile related to a Receivable was held in repossession inventory as of the Cutoff Date.</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F3763"/>
        </w:rPr>
        <w:t>(xiv)</w:t>
      </w:r>
      <w:r>
        <w:rPr>
          <w:rFonts w:ascii="Times New Roman" w:cs="Times New Roman" w:eastAsia="Times New Roman" w:hAnsi="Times New Roman"/>
          <w:sz w:val="19"/>
          <w:szCs w:val="19"/>
          <w:color w:val="000000"/>
        </w:rPr>
        <w:t>No Obligor was in bankruptcy as of the Cutoff Date.</w:t>
      </w:r>
    </w:p>
    <w:p>
      <w:pPr>
        <w:spacing w:after="0" w:line="202" w:lineRule="exact"/>
        <w:rPr>
          <w:sz w:val="20"/>
          <w:szCs w:val="20"/>
          <w:color w:val="auto"/>
        </w:rPr>
      </w:pPr>
    </w:p>
    <w:p>
      <w:pPr>
        <w:ind w:left="640" w:firstLine="744"/>
        <w:spacing w:after="0" w:line="286" w:lineRule="auto"/>
        <w:rPr>
          <w:sz w:val="20"/>
          <w:szCs w:val="20"/>
          <w:color w:val="auto"/>
        </w:rPr>
      </w:pPr>
      <w:r>
        <w:rPr>
          <w:rFonts w:ascii="Times New Roman" w:cs="Times New Roman" w:eastAsia="Times New Roman" w:hAnsi="Times New Roman"/>
          <w:sz w:val="19"/>
          <w:szCs w:val="19"/>
          <w:color w:val="1F3763"/>
        </w:rPr>
        <w:t>(xv)</w:t>
      </w:r>
      <w:r>
        <w:rPr>
          <w:rFonts w:ascii="Times New Roman" w:cs="Times New Roman" w:eastAsia="Times New Roman" w:hAnsi="Times New Roman"/>
          <w:sz w:val="19"/>
          <w:szCs w:val="19"/>
          <w:color w:val="000000"/>
        </w:rPr>
        <w:t>Neither the Seller nor the Depositor shall select the motor vehicle retail installment sales contract in a manner that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either of them believes will be adverse to the interests of the Noteholders.</w:t>
      </w:r>
    </w:p>
    <w:p>
      <w:pPr>
        <w:spacing w:after="0" w:line="127" w:lineRule="exact"/>
        <w:rPr>
          <w:sz w:val="20"/>
          <w:szCs w:val="20"/>
          <w:color w:val="auto"/>
        </w:rPr>
      </w:pPr>
    </w:p>
    <w:p>
      <w:pPr>
        <w:ind w:left="-60" w:right="400" w:firstLine="702"/>
        <w:spacing w:after="0" w:line="286" w:lineRule="auto"/>
        <w:tabs>
          <w:tab w:leader="none" w:pos="924"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Calculation. Each Contract provides for the calculation of interest payable thereunder under either the "simple interest" method.</w:t>
      </w:r>
    </w:p>
    <w:p>
      <w:pPr>
        <w:spacing w:after="0" w:line="127" w:lineRule="exact"/>
        <w:rPr>
          <w:rFonts w:ascii="Times New Roman" w:cs="Times New Roman" w:eastAsia="Times New Roman" w:hAnsi="Times New Roman"/>
          <w:sz w:val="19"/>
          <w:szCs w:val="19"/>
          <w:color w:val="auto"/>
        </w:rPr>
      </w:pPr>
    </w:p>
    <w:p>
      <w:pPr>
        <w:ind w:left="-60" w:right="440" w:firstLine="702"/>
        <w:spacing w:after="0" w:line="286" w:lineRule="auto"/>
        <w:tabs>
          <w:tab w:leader="none" w:pos="924"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Lockbox Account. Each Obligor has been, or will be, directed to make all payments on their related Receivable to the Lockbox Account.</w:t>
      </w:r>
    </w:p>
    <w:p>
      <w:pPr>
        <w:spacing w:after="0" w:line="127" w:lineRule="exact"/>
        <w:rPr>
          <w:rFonts w:ascii="Times New Roman" w:cs="Times New Roman" w:eastAsia="Times New Roman" w:hAnsi="Times New Roman"/>
          <w:sz w:val="19"/>
          <w:szCs w:val="19"/>
          <w:color w:val="auto"/>
        </w:rPr>
      </w:pPr>
    </w:p>
    <w:p>
      <w:pPr>
        <w:ind w:left="-60" w:right="100" w:firstLine="702"/>
        <w:spacing w:after="0" w:line="268" w:lineRule="auto"/>
        <w:tabs>
          <w:tab w:leader="none" w:pos="924"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Prepayment. Each Receivable allows for prepayment and partial prepayments without penalty and requires that a prepayment by the related Obligor will fully pay the principal balance and accrued interest through the date of prepayment based on the Receivable's Annual Percentage Rate.</w:t>
      </w:r>
    </w:p>
    <w:p>
      <w:pPr>
        <w:spacing w:after="0" w:line="144" w:lineRule="exact"/>
        <w:rPr>
          <w:rFonts w:ascii="Times New Roman" w:cs="Times New Roman" w:eastAsia="Times New Roman" w:hAnsi="Times New Roman"/>
          <w:sz w:val="19"/>
          <w:szCs w:val="19"/>
          <w:color w:val="auto"/>
        </w:rPr>
      </w:pPr>
    </w:p>
    <w:p>
      <w:pPr>
        <w:ind w:left="940" w:hanging="298"/>
        <w:spacing w:after="0"/>
        <w:tabs>
          <w:tab w:leader="none" w:pos="94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Each Receivable prohibits the sale or transfer of the Financed Vehicle without the consent of the Seller.</w:t>
      </w:r>
    </w:p>
    <w:p>
      <w:pPr>
        <w:spacing w:after="0" w:line="201" w:lineRule="exact"/>
        <w:rPr>
          <w:rFonts w:ascii="Times New Roman" w:cs="Times New Roman" w:eastAsia="Times New Roman" w:hAnsi="Times New Roman"/>
          <w:sz w:val="19"/>
          <w:szCs w:val="19"/>
          <w:color w:val="auto"/>
        </w:rPr>
      </w:pPr>
    </w:p>
    <w:p>
      <w:pPr>
        <w:ind w:left="-60" w:right="680" w:firstLine="702"/>
        <w:spacing w:after="0" w:line="286" w:lineRule="auto"/>
        <w:tabs>
          <w:tab w:leader="none" w:pos="924"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 Enforcement. Each Receivable provides for enforcement of the lien or the clear legal right of repossession, as applicable, on the Financed Vehicle securing such Receivable.</w:t>
      </w:r>
    </w:p>
    <w:p>
      <w:pPr>
        <w:spacing w:after="0" w:line="127" w:lineRule="exact"/>
        <w:rPr>
          <w:rFonts w:ascii="Times New Roman" w:cs="Times New Roman" w:eastAsia="Times New Roman" w:hAnsi="Times New Roman"/>
          <w:sz w:val="19"/>
          <w:szCs w:val="19"/>
          <w:color w:val="auto"/>
        </w:rPr>
      </w:pPr>
    </w:p>
    <w:p>
      <w:pPr>
        <w:ind w:left="-60" w:right="540" w:firstLine="702"/>
        <w:spacing w:after="0" w:line="286" w:lineRule="auto"/>
        <w:tabs>
          <w:tab w:leader="none" w:pos="924"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Offering Memorandum Description. Each Receivable conforms, and all Receivables in the aggregate conform, in all material respects to the description thereof set forth in the Offering Memorandum.</w:t>
      </w:r>
    </w:p>
    <w:p>
      <w:pPr>
        <w:spacing w:after="0" w:line="127" w:lineRule="exact"/>
        <w:rPr>
          <w:rFonts w:ascii="Times New Roman" w:cs="Times New Roman" w:eastAsia="Times New Roman" w:hAnsi="Times New Roman"/>
          <w:sz w:val="19"/>
          <w:szCs w:val="19"/>
          <w:color w:val="auto"/>
        </w:rPr>
      </w:pPr>
    </w:p>
    <w:p>
      <w:pPr>
        <w:ind w:left="-60" w:firstLine="702"/>
        <w:spacing w:after="0" w:line="256" w:lineRule="auto"/>
        <w:tabs>
          <w:tab w:leader="none" w:pos="924"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 of Loss. Each Contract contains provisions requiring the Obligor to assume all risk of loss or malfunction on the related Financed Vehicle, requiring the Obligor to pay all sales, use, property, excise and other similar taxes imposed on or with respect to the Financed Vehicle and making the Obligor liable for all payments required to be made thereunder, without any setoff, counterclaim or defense for any reason whatsoever, subject only to the Obligor's right of quiet enjoyment.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635635</wp:posOffset>
            </wp:positionV>
            <wp:extent cx="673290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20" w:top="1440" w:right="720" w:bottom="1440" w:gutter="0" w:footer="0" w:header="0"/>
        </w:sectPr>
      </w:pPr>
    </w:p>
    <w:bookmarkStart w:id="288" w:name="page289"/>
    <w:bookmarkEnd w:id="288"/>
    <w:p>
      <w:pPr>
        <w:spacing w:after="0" w:line="200" w:lineRule="exact"/>
        <w:rPr>
          <w:sz w:val="20"/>
          <w:szCs w:val="20"/>
          <w:color w:val="auto"/>
        </w:rPr>
      </w:pPr>
    </w:p>
    <w:p>
      <w:pPr>
        <w:spacing w:after="0" w:line="261" w:lineRule="exact"/>
        <w:rPr>
          <w:sz w:val="20"/>
          <w:szCs w:val="20"/>
          <w:color w:val="auto"/>
        </w:rPr>
      </w:pPr>
    </w:p>
    <w:p>
      <w:pPr>
        <w:ind w:left="-20" w:right="560" w:firstLine="702"/>
        <w:spacing w:after="0" w:line="286" w:lineRule="auto"/>
        <w:tabs>
          <w:tab w:leader="none" w:pos="964"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Leasing Business. To the best of the Purchaser's and the Servicer's knowledge, as appropriate, no Obligor is a Person involved in the business of leasing or selling equipment of a type similar to the Obligor's related Financed Vehicle.</w:t>
      </w:r>
    </w:p>
    <w:p>
      <w:pPr>
        <w:spacing w:after="0" w:line="127" w:lineRule="exact"/>
        <w:rPr>
          <w:rFonts w:ascii="Times New Roman" w:cs="Times New Roman" w:eastAsia="Times New Roman" w:hAnsi="Times New Roman"/>
          <w:sz w:val="19"/>
          <w:szCs w:val="19"/>
          <w:color w:val="auto"/>
        </w:rPr>
      </w:pPr>
    </w:p>
    <w:p>
      <w:pPr>
        <w:ind w:left="-20" w:right="20" w:firstLine="702"/>
        <w:spacing w:after="0" w:line="286" w:lineRule="auto"/>
        <w:tabs>
          <w:tab w:leader="none" w:pos="964"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Consumer Leases. No Receivable constitutes a "consumer lease" under either (a) the UCC as in effect in the jurisdiction the law of which governs the Receivable or (b) the Consumer Leasing Act, 15 USC 1667.</w:t>
      </w:r>
    </w:p>
    <w:p>
      <w:pPr>
        <w:spacing w:after="0" w:line="127" w:lineRule="exact"/>
        <w:rPr>
          <w:rFonts w:ascii="Times New Roman" w:cs="Times New Roman" w:eastAsia="Times New Roman" w:hAnsi="Times New Roman"/>
          <w:sz w:val="19"/>
          <w:szCs w:val="19"/>
          <w:color w:val="auto"/>
        </w:rPr>
      </w:pPr>
    </w:p>
    <w:p>
      <w:pPr>
        <w:ind w:left="-20" w:firstLine="702"/>
        <w:spacing w:after="0" w:line="258" w:lineRule="auto"/>
        <w:tabs>
          <w:tab w:leader="none" w:pos="964"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Perfection. The Seller has taken all steps necessary to perfect the Purchaser's security interest against the related Obligors in the property securing the Receivables and will take all necessary steps on behalf of the Issuer to maintain the Issuer's perfection of the security interest created by each Receivable in the related Financed Vehicle.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635635</wp:posOffset>
            </wp:positionV>
            <wp:extent cx="673290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440" w:right="68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541655</wp:posOffset>
            </wp:positionV>
            <wp:extent cx="670750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572135</wp:posOffset>
            </wp:positionV>
            <wp:extent cx="670750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9"/>
          <w:szCs w:val="19"/>
          <w:color w:val="auto"/>
        </w:rPr>
        <w:t>UNITED AUTO CREDIT SECURITIZATION TRUST 2025-1</w:t>
      </w:r>
    </w:p>
    <w:p>
      <w:pPr>
        <w:spacing w:after="0" w:line="39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 xml:space="preserve">Class A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w:t>
      </w:r>
    </w:p>
    <w:p>
      <w:pPr>
        <w:spacing w:after="0" w:line="3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 xml:space="preserve">Class B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w:t>
      </w:r>
    </w:p>
    <w:p>
      <w:pPr>
        <w:spacing w:after="0" w:line="1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 xml:space="preserve">Class 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w:t>
      </w:r>
    </w:p>
    <w:p>
      <w:pPr>
        <w:spacing w:after="0" w:line="1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 xml:space="preserve">Class D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w:t>
      </w:r>
    </w:p>
    <w:p>
      <w:pPr>
        <w:spacing w:after="0" w:line="1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 xml:space="preserve">Class 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w:t>
      </w:r>
    </w:p>
    <w:p>
      <w:pPr>
        <w:spacing w:after="0" w:line="27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w:t>
      </w:r>
    </w:p>
    <w:p>
      <w:pPr>
        <w:spacing w:after="0" w:line="39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INDENTURE</w:t>
      </w:r>
    </w:p>
    <w:p>
      <w:pPr>
        <w:spacing w:after="0" w:line="39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Dated as of February 28, 2025</w:t>
      </w:r>
    </w:p>
    <w:p>
      <w:pPr>
        <w:spacing w:after="0" w:line="29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w:t>
      </w:r>
    </w:p>
    <w:p>
      <w:pPr>
        <w:spacing w:after="0" w:line="39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Indenture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1580515</wp:posOffset>
            </wp:positionV>
            <wp:extent cx="673290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396875</wp:posOffset>
            </wp:positionV>
            <wp:extent cx="670750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427355</wp:posOffset>
            </wp:positionV>
            <wp:extent cx="670750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780"/>
          </w:cols>
          <w:pgMar w:left="1440" w:top="1119" w:right="680" w:bottom="1440" w:gutter="0" w:footer="0" w:header="0"/>
        </w:sectPr>
      </w:pPr>
    </w:p>
    <w:bookmarkStart w:id="290" w:name="page291"/>
    <w:bookmarkEnd w:id="290"/>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920" w:type="dxa"/>
            <w:vAlign w:val="bottom"/>
          </w:tcPr>
          <w:p>
            <w:pPr>
              <w:spacing w:after="0"/>
              <w:rPr>
                <w:sz w:val="21"/>
                <w:szCs w:val="21"/>
                <w:color w:val="auto"/>
              </w:rPr>
            </w:pPr>
          </w:p>
        </w:tc>
        <w:tc>
          <w:tcPr>
            <w:tcW w:w="6780" w:type="dxa"/>
            <w:vAlign w:val="bottom"/>
          </w:tcPr>
          <w:p>
            <w:pPr>
              <w:ind w:left="2380"/>
              <w:spacing w:after="0"/>
              <w:rPr>
                <w:sz w:val="20"/>
                <w:szCs w:val="20"/>
                <w:color w:val="auto"/>
              </w:rPr>
            </w:pPr>
            <w:r>
              <w:rPr>
                <w:rFonts w:ascii="Times New Roman" w:cs="Times New Roman" w:eastAsia="Times New Roman" w:hAnsi="Times New Roman"/>
                <w:sz w:val="19"/>
                <w:szCs w:val="19"/>
                <w:color w:val="auto"/>
              </w:rPr>
              <w:t>TABLE OF CONTENTS</w:t>
            </w:r>
          </w:p>
        </w:tc>
        <w:tc>
          <w:tcPr>
            <w:tcW w:w="1860" w:type="dxa"/>
            <w:vAlign w:val="bottom"/>
          </w:tcPr>
          <w:p>
            <w:pPr>
              <w:spacing w:after="0"/>
              <w:rPr>
                <w:sz w:val="21"/>
                <w:szCs w:val="21"/>
                <w:color w:val="auto"/>
              </w:rPr>
            </w:pPr>
          </w:p>
        </w:tc>
      </w:tr>
      <w:tr>
        <w:trPr>
          <w:trHeight w:val="480"/>
        </w:trPr>
        <w:tc>
          <w:tcPr>
            <w:tcW w:w="19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Page</w:t>
            </w:r>
          </w:p>
        </w:tc>
      </w:tr>
      <w:tr>
        <w:trPr>
          <w:trHeight w:val="384"/>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GRANTING CLAUSE</w:t>
            </w:r>
          </w:p>
        </w:tc>
        <w:tc>
          <w:tcPr>
            <w:tcW w:w="67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384"/>
        </w:trPr>
        <w:tc>
          <w:tcPr>
            <w:tcW w:w="8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 Definitions and Incorporation by Reference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89"/>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1.1</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51"/>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1.2</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Rules of Construction.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r>
      <w:tr>
        <w:trPr>
          <w:trHeight w:val="384"/>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ARTICLE II The Notes</w:t>
            </w:r>
          </w:p>
        </w:tc>
        <w:tc>
          <w:tcPr>
            <w:tcW w:w="67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89"/>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2.1</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Form</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2.2</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Execution, Authentication and Delivery</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2.3</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Temporary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2.4</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Registration; Registration of Transfer and Exchange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2.5</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Mutilated, Destroyed, Lost or Stolen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2.6</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Persons Deemed Owner</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2.7</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Payment of Principal and Interest; Defaulted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2.8</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Cancellation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2.9</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Release of Collateral</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2.10</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Book-Entry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2.11</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Notices to Clearing Agency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2.12</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Definitive 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251"/>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2.13</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Tax Documentation and Withholding</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384"/>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ARTICLE III Covenants</w:t>
            </w:r>
          </w:p>
        </w:tc>
        <w:tc>
          <w:tcPr>
            <w:tcW w:w="67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289"/>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Payment to Noteholders and Certificateholders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3.2</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Maintenance of Office or Agency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3.3</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Money for Payments to be Held in Trust</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3.4</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Existence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3.5</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Protection of Trust Estate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3.6</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Opinions as to Trust Estate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3.7</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Performance of Obligations; Servicing of Receivables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3.8</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Negative Covenants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3.9</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Annual Statement as to Compliance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3.10</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Issuer May Consolidate, Etc. Only on Certain Terms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3.11</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Successor or Transferee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3.12</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No Other Business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3.13</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No Borrowing</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51"/>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3.14</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Servicer's Obligations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409"/>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3.15</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Guarantees, Loans, Advances and Other Liabilities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3.16</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Capital Expenditures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3.17</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Compliance with Laws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3.18</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Restricted Payments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3.19</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Notice of Events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3.20</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Further Instruments and Acts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51"/>
        </w:trPr>
        <w:tc>
          <w:tcPr>
            <w:tcW w:w="1920" w:type="dxa"/>
            <w:vAlign w:val="bottom"/>
          </w:tcPr>
          <w:p>
            <w:pPr>
              <w:spacing w:after="0"/>
              <w:rPr>
                <w:sz w:val="20"/>
                <w:szCs w:val="20"/>
                <w:color w:val="auto"/>
              </w:rPr>
            </w:pPr>
            <w:r>
              <w:rPr>
                <w:rFonts w:ascii="Times New Roman" w:cs="Times New Roman" w:eastAsia="Times New Roman" w:hAnsi="Times New Roman"/>
                <w:sz w:val="19"/>
                <w:szCs w:val="19"/>
                <w:color w:val="auto"/>
              </w:rPr>
              <w:t>SECTION 3.21</w:t>
            </w:r>
          </w:p>
        </w:tc>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Amendments of Sale and Servicing Agreement and Trust Agreement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1250"/>
        </w:trPr>
        <w:tc>
          <w:tcPr>
            <w:tcW w:w="1920" w:type="dxa"/>
            <w:vAlign w:val="bottom"/>
            <w:tcBorders>
              <w:bottom w:val="single" w:sz="8" w:color="EEEEEE"/>
            </w:tcBorders>
          </w:tcPr>
          <w:p>
            <w:pPr>
              <w:spacing w:after="0"/>
              <w:rPr>
                <w:sz w:val="24"/>
                <w:szCs w:val="24"/>
                <w:color w:val="auto"/>
              </w:rPr>
            </w:pPr>
          </w:p>
        </w:tc>
        <w:tc>
          <w:tcPr>
            <w:tcW w:w="678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1" w:name="page292"/>
    <w:bookmarkEnd w:id="291"/>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3.22</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Income Tax Characterization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384"/>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IV Satisfaction and Discharge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89"/>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4.1</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Satisfaction and Discharge of Indenture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4.2</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Application of Trust Money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251"/>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4.3</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Repayment of Moneys Held by Note Paying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384"/>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ARTICLE V Remedies</w:t>
            </w:r>
          </w:p>
        </w:tc>
        <w:tc>
          <w:tcPr>
            <w:tcW w:w="7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289"/>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5.2</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Rights Upon Event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5.3</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Collection of Indebtedness and Suits for Enforcement by Indenture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5.4</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Remedies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5.5</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Optional Preservation of the Receivables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5.6</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Priorities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5.7</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Limitation of Suits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5.8</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Unconditional Rights of Noteholders To Receive Principal and 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5.9</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Restoration of Rights and Remedies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5.10</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Rights and Remedies Cumulative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5.11</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Delay or Omission Not a Waiver</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5.12</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Control by Noteholders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5.13</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Waiver of Past Defaults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5.14</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Undertaking for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5.15</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Waiver of Stay or Extension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5.16</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Action on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51"/>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5.17</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Performance and Enforcement of Certain Obligations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384"/>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VI The Indenture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89"/>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Duties of Indenture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6.2</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Rights of Indenture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6.3</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Individual Rights of Indenture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6.4</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Indenture Trustee's Disclaimer</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6.5</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Notice of 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6.6</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Reports by Indenture Trustee to 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6.7</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Compensation and Indemnity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6.8</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Replacement of Indenture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6.9</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Successor Indenture Trustee by Merger</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6.10</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Appointment of Co-Trustee or Separate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6.11</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Eligibility; Disqualification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6.12</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[Reserved]</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6.13</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Appointment and Powers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6.14</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Performance of Duties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6.15</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Limitation on Liability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6.16</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6.17</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Waiver of Setoffs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51"/>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rPr>
              <w:t>SECTION 6.18</w:t>
            </w:r>
          </w:p>
        </w:tc>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Reliance Upon Documents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384"/>
        </w:trPr>
        <w:tc>
          <w:tcPr>
            <w:tcW w:w="186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Times New Roman" w:cs="Times New Roman" w:eastAsia="Times New Roman" w:hAnsi="Times New Roman"/>
                <w:sz w:val="19"/>
                <w:szCs w:val="19"/>
                <w:color w:val="auto"/>
              </w:rPr>
              <w:t>3</w:t>
            </w:r>
          </w:p>
        </w:tc>
        <w:tc>
          <w:tcPr>
            <w:tcW w:w="1520" w:type="dxa"/>
            <w:vAlign w:val="bottom"/>
          </w:tcPr>
          <w:p>
            <w:pPr>
              <w:spacing w:after="0"/>
              <w:rPr>
                <w:sz w:val="24"/>
                <w:szCs w:val="24"/>
                <w:color w:val="auto"/>
              </w:rPr>
            </w:pPr>
          </w:p>
        </w:tc>
      </w:tr>
      <w:tr>
        <w:trPr>
          <w:trHeight w:val="1022"/>
        </w:trPr>
        <w:tc>
          <w:tcPr>
            <w:tcW w:w="1860" w:type="dxa"/>
            <w:vAlign w:val="bottom"/>
            <w:tcBorders>
              <w:bottom w:val="single" w:sz="8" w:color="EEEEEE"/>
            </w:tcBorders>
          </w:tcPr>
          <w:p>
            <w:pPr>
              <w:spacing w:after="0"/>
              <w:rPr>
                <w:sz w:val="24"/>
                <w:szCs w:val="24"/>
                <w:color w:val="auto"/>
              </w:rPr>
            </w:pPr>
          </w:p>
        </w:tc>
        <w:tc>
          <w:tcPr>
            <w:tcW w:w="718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2" w:name="page293"/>
    <w:bookmarkEnd w:id="292"/>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VII Noteholders' Lists and Reports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89"/>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7.1</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Issuer To Furnish To Indenture Trustee Names and Addresses of Noteholders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51"/>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7.2</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Preservation of Information; Communications to Noteholders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384"/>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VIII Accounts, Disbursements and Releases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89"/>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8.1</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Collection of Money</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8.2</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Release of Trust Estate</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51"/>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8.3</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Opinion of Counsel</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384"/>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IX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89"/>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9.1</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Supplemental Indentures Without Consent of Noteholders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9.2</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Supplemental Indentures with Consent of Noteholders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9.3</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Execution of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9.4</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Effect of Supplemental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51"/>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9.5</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Reference in Notes to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384"/>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 Redemption of Notes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89"/>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10.1</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10.2</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Form of 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51"/>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10.3</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Notes Payable on Redemption Date</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384"/>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XI Miscellaneous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9"/>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Compliance Certificates and Opinions, etc</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11.2</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Form of Documents Delivered to Indenture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11.3</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Acts of Noteholders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11.4</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Notices, etc., to Indenture Trustee, Issuer and Rating Agencies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11.5</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Notices to Noteholders; Waiver</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11.6</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Effect of Headings and Table of Contents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11.7</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Successors and Assigns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11.8</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Separability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11.9</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Benefits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11.10</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Legal Holidays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11.11</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GOVERNING LAW</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11.12</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Counterparts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11.13</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Recording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11.14</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Trust Obligation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11.15</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No Petition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11.16</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Inspection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11.17</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Limitation of Liability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11.18</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Patriot Act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11.19</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Additional Matters Relating to the Owner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228"/>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SECTION 11.20</w:t>
            </w:r>
          </w:p>
        </w:tc>
        <w:tc>
          <w:tcPr>
            <w:tcW w:w="75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Electronic Signatures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251"/>
        </w:trPr>
        <w:tc>
          <w:tcPr>
            <w:tcW w:w="1600" w:type="dxa"/>
            <w:vAlign w:val="bottom"/>
          </w:tcPr>
          <w:p>
            <w:pPr>
              <w:spacing w:after="0"/>
              <w:rPr>
                <w:sz w:val="21"/>
                <w:szCs w:val="21"/>
                <w:color w:val="auto"/>
              </w:rPr>
            </w:pPr>
          </w:p>
        </w:tc>
        <w:tc>
          <w:tcPr>
            <w:tcW w:w="7520" w:type="dxa"/>
            <w:vAlign w:val="bottom"/>
          </w:tcPr>
          <w:p>
            <w:pPr>
              <w:ind w:left="3640"/>
              <w:spacing w:after="0"/>
              <w:rPr>
                <w:sz w:val="20"/>
                <w:szCs w:val="20"/>
                <w:color w:val="auto"/>
              </w:rPr>
            </w:pPr>
            <w:r>
              <w:rPr>
                <w:rFonts w:ascii="Times New Roman" w:cs="Times New Roman" w:eastAsia="Times New Roman" w:hAnsi="Times New Roman"/>
                <w:sz w:val="19"/>
                <w:szCs w:val="19"/>
                <w:color w:val="auto"/>
              </w:rPr>
              <w:t>4</w:t>
            </w:r>
          </w:p>
        </w:tc>
        <w:tc>
          <w:tcPr>
            <w:tcW w:w="1440" w:type="dxa"/>
            <w:vAlign w:val="bottom"/>
          </w:tcPr>
          <w:p>
            <w:pPr>
              <w:spacing w:after="0"/>
              <w:rPr>
                <w:sz w:val="21"/>
                <w:szCs w:val="21"/>
                <w:color w:val="auto"/>
              </w:rPr>
            </w:pPr>
          </w:p>
        </w:tc>
      </w:tr>
      <w:tr>
        <w:trPr>
          <w:trHeight w:val="1022"/>
        </w:trPr>
        <w:tc>
          <w:tcPr>
            <w:tcW w:w="1600" w:type="dxa"/>
            <w:vAlign w:val="bottom"/>
            <w:tcBorders>
              <w:bottom w:val="single" w:sz="8" w:color="EEEEEE"/>
            </w:tcBorders>
          </w:tcPr>
          <w:p>
            <w:pPr>
              <w:spacing w:after="0"/>
              <w:rPr>
                <w:sz w:val="24"/>
                <w:szCs w:val="24"/>
                <w:color w:val="auto"/>
              </w:rPr>
            </w:pPr>
          </w:p>
        </w:tc>
        <w:tc>
          <w:tcPr>
            <w:tcW w:w="75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3" w:name="page294"/>
    <w:bookmarkEnd w:id="293"/>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EXHIBITS</w:t>
      </w:r>
    </w:p>
    <w:p>
      <w:pPr>
        <w:spacing w:after="0" w:line="262"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19"/>
          <w:szCs w:val="19"/>
          <w:color w:val="auto"/>
        </w:rPr>
        <w:t>Exhibit A</w:t>
      </w:r>
      <w:r>
        <w:rPr>
          <w:sz w:val="20"/>
          <w:szCs w:val="20"/>
          <w:color w:val="auto"/>
        </w:rPr>
        <w:tab/>
      </w:r>
      <w:r>
        <w:rPr>
          <w:rFonts w:ascii="Times New Roman" w:cs="Times New Roman" w:eastAsia="Times New Roman" w:hAnsi="Times New Roman"/>
          <w:sz w:val="19"/>
          <w:szCs w:val="19"/>
          <w:color w:val="auto"/>
        </w:rPr>
        <w:t>Form of Note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EDULES</w:t>
      </w:r>
    </w:p>
    <w:p>
      <w:pPr>
        <w:spacing w:after="0" w:line="262" w:lineRule="exact"/>
        <w:rPr>
          <w:sz w:val="20"/>
          <w:szCs w:val="20"/>
          <w:color w:val="auto"/>
        </w:rPr>
      </w:pPr>
    </w:p>
    <w:p>
      <w:pPr>
        <w:ind w:left="80"/>
        <w:spacing w:after="0"/>
        <w:tabs>
          <w:tab w:leader="none" w:pos="1560" w:val="left"/>
        </w:tabs>
        <w:rPr>
          <w:sz w:val="20"/>
          <w:szCs w:val="20"/>
          <w:color w:val="auto"/>
        </w:rPr>
      </w:pPr>
      <w:r>
        <w:rPr>
          <w:rFonts w:ascii="Times New Roman" w:cs="Times New Roman" w:eastAsia="Times New Roman" w:hAnsi="Times New Roman"/>
          <w:sz w:val="19"/>
          <w:szCs w:val="19"/>
          <w:color w:val="auto"/>
        </w:rPr>
        <w:t>Schedule A</w:t>
      </w:r>
      <w:r>
        <w:rPr>
          <w:sz w:val="20"/>
          <w:szCs w:val="20"/>
          <w:color w:val="auto"/>
        </w:rPr>
        <w:tab/>
      </w:r>
      <w:r>
        <w:rPr>
          <w:rFonts w:ascii="Times New Roman" w:cs="Times New Roman" w:eastAsia="Times New Roman" w:hAnsi="Times New Roman"/>
          <w:sz w:val="19"/>
          <w:szCs w:val="19"/>
          <w:color w:val="auto"/>
        </w:rPr>
        <w:t>Representations and Warranties of the Issuer</w:t>
      </w:r>
    </w:p>
    <w:p>
      <w:pPr>
        <w:spacing w:after="0" w:line="190" w:lineRule="exact"/>
        <w:rPr>
          <w:sz w:val="20"/>
          <w:szCs w:val="20"/>
          <w:color w:val="auto"/>
        </w:rPr>
      </w:pPr>
    </w:p>
    <w:p>
      <w:pPr>
        <w:jc w:val="right"/>
        <w:ind w:right="446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649605</wp:posOffset>
            </wp:positionV>
            <wp:extent cx="673290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1440" w:right="1440" w:bottom="1440" w:gutter="0" w:footer="0" w:header="0"/>
        </w:sectPr>
      </w:pPr>
    </w:p>
    <w:bookmarkStart w:id="294" w:name="page295"/>
    <w:bookmarkEnd w:id="294"/>
    <w:p>
      <w:pPr>
        <w:spacing w:after="0" w:line="269"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This INDENTURE, dated as of February 28, 2025, is between UNITED AUTO CREDIT SECURITIZATION TRUST 2025-1, a Delaware statutory trust (the "Issuer"), and COMPUTERSHARE TRUST COMPANY, N.A., a national banking association ("Computershare"), as indenture trustee (the "Indenture Trustee").</w:t>
      </w:r>
    </w:p>
    <w:p>
      <w:pPr>
        <w:spacing w:after="0" w:line="144" w:lineRule="exact"/>
        <w:rPr>
          <w:sz w:val="20"/>
          <w:szCs w:val="20"/>
          <w:color w:val="auto"/>
        </w:rPr>
      </w:pPr>
    </w:p>
    <w:p>
      <w:pPr>
        <w:ind w:right="14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Each party agrees as follows for the benefit of the other party and for the equal and ratable benefit of the Holders of the Issuer's Class A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 Automobile Receivables Backed Notes (the "Class A Notes"), Class B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 Automobile Receivables Backed Notes (the "Class B Notes"), Class 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 Automobile Receivables Backed Notes (the "Class C Notes"), Class D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Automobile Receivables Backed Notes (the "Class D Notes") and Class 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 (the "Class E Notes" and collectively with the Class A Notes, the Class B Notes, the Class C Notes and the Class D Notes, the "Notes").</w:t>
      </w:r>
    </w:p>
    <w:p>
      <w:pPr>
        <w:spacing w:after="0" w:line="154"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As security for the payment and performance by the Issuer of its obligations under this Indenture and the Notes, the Issuer has agreed to assign the Collateral (as defined below) as collateral to the Indenture Trustee for the benefit of the Noteholders.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5" w:name="page296"/>
    <w:bookmarkEnd w:id="295"/>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GRANTING CLAUSE</w:t>
      </w:r>
    </w:p>
    <w:p>
      <w:pPr>
        <w:spacing w:after="0" w:line="202"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The Issuer hereby Grants to the Indenture Trustee on the Closing Date, for the benefit of the Noteholders, all of the Issuer's right, title and interest in and to the following property, whether now existing or hereafter acquired or arising (a) the Receivables and all moneys received thereon after the Cutoff Date (excluding any Supplemental Servicing Fees); (b) the security interests in the Financed Vehicles granted by Obligors pursuant to the Receivables and any other interest of the Issuer in the Financed Vehicles; (c) any proceeds with respect to the Receivables from claims on any physical damage, credit life or disability insurance policies covering Financed Vehicles or Obligors, including any Collateral Insurance, and any proceeds from the liquidation of the Receivables; (d) all rights of the Depositor against Dealers under the related Dealer Agreements, including any proceeds from any Receivable repurchased by a Dealer pursuant to a Dealer Agreement as a result of a breach of representation or warranty in the related Dealer Agreement; (e) all rights under any Service Contracts on the related Financed Vehicles; (f) the related Receivable Files; (g) the Issuer's rights and benefits, but none of its obligations or burdens, under the Purchase Agreement, including the delivery requirements, representations and warranties and the cure and repurchase obligations of United Auto under the Purchase Agreement; (h) the Issuer's rights and benefits, but none of its obligations or burdens, under the Sale and Servicing Agreement (including all rights of the Depositor under the Purchase Agreement assigned to the Issuer pursuant to the Sale and Servicing Agreement); (i) the Trust Accounts and all funds on deposit from time to time in the Trust Accounts, and in all investments and proceeds thereof and all rights of the Issuer therein (including all income thereon); (j) the Issuer's interest in the Lockbox Account in respect of any proceeds on the Receivables on deposit therein; (k) all of the Issuer's (i) Accounts, (ii) Chattel Paper, (iii) Documents, (iv) Instruments and (v) General Intangibles (as such terms are defined in the UCC) relating to the property described in (a) through (j); and (l) 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(a) through (k) (collectively, the "Collateral").</w:t>
      </w:r>
    </w:p>
    <w:p>
      <w:pPr>
        <w:spacing w:after="0" w:line="389"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The foregoing Grant is made in trust to the Indenture Trustee for the benefit of the Noteholders. The Indenture Trustee on behalf of the Noteholders, hereby acknowledges such Grant, accepts the trusts under this Indenture in accordance with the provisions of this Indenture and agrees to perform its duties required in this Indenture to the end that the interests of such parties, recognizing the priorities of their respective interests may be adequately and effectively protected.</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6" w:name="page297"/>
    <w:bookmarkEnd w:id="296"/>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F5496"/>
        </w:rPr>
        <w:t>ARTICLE I</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Definitions and Incorporation by Reference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I.1  </w:t>
      </w:r>
      <w:r>
        <w:rPr>
          <w:rFonts w:ascii="Times New Roman" w:cs="Times New Roman" w:eastAsia="Times New Roman" w:hAnsi="Times New Roman"/>
          <w:sz w:val="19"/>
          <w:szCs w:val="19"/>
          <w:color w:val="000000"/>
        </w:rPr>
        <w:t>Definitions.</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Except as otherwise specified herein, the following terms have the respective meanings set forth below for all purposes of this Indenture. Capitalized terms used herein and not otherwise defined herein have meanings assigned to them in the Sale and Servicing Agreement.</w:t>
      </w:r>
    </w:p>
    <w:p>
      <w:pPr>
        <w:spacing w:after="0" w:line="144" w:lineRule="exact"/>
        <w:rPr>
          <w:sz w:val="20"/>
          <w:szCs w:val="20"/>
          <w:color w:val="auto"/>
        </w:rPr>
      </w:pPr>
    </w:p>
    <w:p>
      <w:pPr>
        <w:ind w:right="360" w:firstLine="1404"/>
        <w:spacing w:after="0" w:line="286" w:lineRule="auto"/>
        <w:rPr>
          <w:sz w:val="20"/>
          <w:szCs w:val="20"/>
          <w:color w:val="auto"/>
        </w:rPr>
      </w:pPr>
      <w:r>
        <w:rPr>
          <w:rFonts w:ascii="Times New Roman" w:cs="Times New Roman" w:eastAsia="Times New Roman" w:hAnsi="Times New Roman"/>
          <w:sz w:val="19"/>
          <w:szCs w:val="19"/>
          <w:color w:val="auto"/>
        </w:rPr>
        <w:t>"Accredited Investor" means an "Accredited Investor" within the meaning of subclauses (1), (2), (3) or (7) of Rule 501(a) of Regulation D under the Securities Act.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"Act" has the meaning specified in Section 11.3(a).</w:t>
      </w:r>
    </w:p>
    <w:p>
      <w:pPr>
        <w:spacing w:after="0" w:line="202" w:lineRule="exact"/>
        <w:rPr>
          <w:sz w:val="20"/>
          <w:szCs w:val="20"/>
          <w:color w:val="auto"/>
        </w:rPr>
      </w:pPr>
    </w:p>
    <w:p>
      <w:pPr>
        <w:ind w:right="180" w:firstLine="1404"/>
        <w:spacing w:after="0" w:line="257" w:lineRule="auto"/>
        <w:rPr>
          <w:sz w:val="20"/>
          <w:szCs w:val="20"/>
          <w:color w:val="auto"/>
        </w:rPr>
      </w:pPr>
      <w:r>
        <w:rPr>
          <w:rFonts w:ascii="Times New Roman" w:cs="Times New Roman" w:eastAsia="Times New Roman" w:hAnsi="Times New Roman"/>
          <w:sz w:val="19"/>
          <w:szCs w:val="19"/>
          <w:color w:val="auto"/>
        </w:rPr>
        <w:t>"Affiliate" means, with respect to any specified Person, any other Person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A Person shall not be deemed to be an Affiliate of any Person solely because such other Person has the contractual right or obligation to manage such Person unless such other Person controls such Person through equity ownership or otherwise.</w:t>
      </w:r>
    </w:p>
    <w:p>
      <w:pPr>
        <w:spacing w:after="0" w:line="157"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"Authorized Officer" means, with respect to the Issuer and the Servicer, any officer or agent, who is authorized to act for the Owner Trustee or the Servicer, as applicable, in matters relating to the Issuer and who is identified on the list of Authorized Officers or incumbents in a certificate of the Owner Trustee delivered by each of the Owner Trustee and the Servicer, as applicable, to the Indenture Trustee on the Closing Date (as such lists may be modified or supplemented from time to time thereafter).</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"Benefit Plan Entity" has the meaning specified in Section 2.4(d)(3).</w:t>
      </w:r>
    </w:p>
    <w:p>
      <w:pPr>
        <w:spacing w:after="0" w:line="202"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"Book-Entry Notes" means a beneficial interest in the Notes, ownership and transfers of which shall be made through book entries by a Clearing Agency as described in Section 2.10.</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"Certificates" means a trust certificate evidencing the beneficial ownership interest of the Certificateholder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Trust.</w:t>
      </w:r>
    </w:p>
    <w:p>
      <w:pPr>
        <w:spacing w:after="0" w:line="180"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"Certificateholders" means the Person(s) in whose name the Certificate(s) are registered in the Certificate Registrar and any Certificate Owners (as defined in the Trust Agreement).</w:t>
      </w:r>
    </w:p>
    <w:p>
      <w:pPr>
        <w:spacing w:after="0" w:line="108" w:lineRule="exact"/>
        <w:rPr>
          <w:sz w:val="20"/>
          <w:szCs w:val="20"/>
          <w:color w:val="auto"/>
        </w:rPr>
      </w:pPr>
    </w:p>
    <w:p>
      <w:pPr>
        <w:ind w:right="220" w:firstLine="1404"/>
        <w:spacing w:after="0" w:line="249" w:lineRule="exact"/>
        <w:rPr>
          <w:sz w:val="20"/>
          <w:szCs w:val="20"/>
          <w:color w:val="auto"/>
        </w:rPr>
      </w:pPr>
      <w:r>
        <w:rPr>
          <w:rFonts w:ascii="Times New Roman" w:cs="Times New Roman" w:eastAsia="Times New Roman" w:hAnsi="Times New Roman"/>
          <w:sz w:val="19"/>
          <w:szCs w:val="19"/>
          <w:color w:val="auto"/>
        </w:rPr>
        <w:t xml:space="preserve">"Class A Interest Rate" means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per annum (computed on the basis of a 360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day year consisting of twelve 30-day months, or in the case of the first Distribution Date, computed on the basis of a 360-day year and a 28-day month).</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7" w:name="page298"/>
    <w:bookmarkEnd w:id="297"/>
    <w:p>
      <w:pPr>
        <w:spacing w:after="0" w:line="2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"Class A Notes" means the Class A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 substantially in the form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w:t>
      </w:r>
    </w:p>
    <w:p>
      <w:pPr>
        <w:spacing w:after="0" w:line="178" w:lineRule="exact"/>
        <w:rPr>
          <w:sz w:val="20"/>
          <w:szCs w:val="20"/>
          <w:color w:val="auto"/>
        </w:rPr>
      </w:pPr>
    </w:p>
    <w:p>
      <w:pPr>
        <w:ind w:right="140" w:firstLine="1404"/>
        <w:spacing w:after="0" w:line="288" w:lineRule="auto"/>
        <w:rPr>
          <w:sz w:val="20"/>
          <w:szCs w:val="20"/>
          <w:color w:val="auto"/>
        </w:rPr>
      </w:pPr>
      <w:r>
        <w:rPr>
          <w:rFonts w:ascii="Times New Roman" w:cs="Times New Roman" w:eastAsia="Times New Roman" w:hAnsi="Times New Roman"/>
          <w:sz w:val="19"/>
          <w:szCs w:val="19"/>
          <w:color w:val="auto"/>
        </w:rPr>
        <w:t xml:space="preserve">"Class B Interest Rate" means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per annum (computed on the basis of a 360- day year consisting of twelve 30-day months, or in the case of the first Distribution Date, computed on the basis of a 360-day year and a 28-day month).</w:t>
      </w:r>
    </w:p>
    <w:p>
      <w:pPr>
        <w:spacing w:after="0" w:line="1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"Class B Notes" means the Class B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 substantially in the form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w:t>
      </w:r>
    </w:p>
    <w:p>
      <w:pPr>
        <w:spacing w:after="0" w:line="178" w:lineRule="exact"/>
        <w:rPr>
          <w:sz w:val="20"/>
          <w:szCs w:val="20"/>
          <w:color w:val="auto"/>
        </w:rPr>
      </w:pPr>
    </w:p>
    <w:p>
      <w:pPr>
        <w:ind w:right="140" w:firstLine="1404"/>
        <w:spacing w:after="0" w:line="288" w:lineRule="auto"/>
        <w:rPr>
          <w:sz w:val="20"/>
          <w:szCs w:val="20"/>
          <w:color w:val="auto"/>
        </w:rPr>
      </w:pPr>
      <w:r>
        <w:rPr>
          <w:rFonts w:ascii="Times New Roman" w:cs="Times New Roman" w:eastAsia="Times New Roman" w:hAnsi="Times New Roman"/>
          <w:sz w:val="19"/>
          <w:szCs w:val="19"/>
          <w:color w:val="auto"/>
        </w:rPr>
        <w:t xml:space="preserve">"Class C Interest Rate" means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per annum (computed on the basis of a 360- day year consisting of twelve 30-day months, or in the case of the first Distribution Date, computed on the basis of a 360-day year and a 28-day month).</w:t>
      </w:r>
    </w:p>
    <w:p>
      <w:pPr>
        <w:spacing w:after="0" w:line="1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"Class C Notes" means the Class 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 substantially in the form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w:t>
      </w:r>
    </w:p>
    <w:p>
      <w:pPr>
        <w:spacing w:after="0" w:line="178" w:lineRule="exact"/>
        <w:rPr>
          <w:sz w:val="20"/>
          <w:szCs w:val="20"/>
          <w:color w:val="auto"/>
        </w:rPr>
      </w:pPr>
    </w:p>
    <w:p>
      <w:pPr>
        <w:ind w:right="140" w:firstLine="1404"/>
        <w:spacing w:after="0" w:line="288" w:lineRule="auto"/>
        <w:rPr>
          <w:sz w:val="20"/>
          <w:szCs w:val="20"/>
          <w:color w:val="auto"/>
        </w:rPr>
      </w:pPr>
      <w:r>
        <w:rPr>
          <w:rFonts w:ascii="Times New Roman" w:cs="Times New Roman" w:eastAsia="Times New Roman" w:hAnsi="Times New Roman"/>
          <w:sz w:val="19"/>
          <w:szCs w:val="19"/>
          <w:color w:val="auto"/>
        </w:rPr>
        <w:t xml:space="preserve">"Class D Interest Rate" means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per annum (computed on the basis of a 360- day year consisting of twelve 30-day months, or in the case of the first Distribution Date, computed on the basis of a 360-day year and a 28-day month).</w:t>
      </w:r>
    </w:p>
    <w:p>
      <w:pPr>
        <w:spacing w:after="0" w:line="1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"Class D Notes" means the Class D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 substantially in the form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w:t>
      </w:r>
    </w:p>
    <w:p>
      <w:pPr>
        <w:spacing w:after="0" w:line="178" w:lineRule="exact"/>
        <w:rPr>
          <w:sz w:val="20"/>
          <w:szCs w:val="20"/>
          <w:color w:val="auto"/>
        </w:rPr>
      </w:pPr>
    </w:p>
    <w:p>
      <w:pPr>
        <w:ind w:right="160" w:firstLine="1404"/>
        <w:spacing w:after="0" w:line="288" w:lineRule="auto"/>
        <w:rPr>
          <w:sz w:val="20"/>
          <w:szCs w:val="20"/>
          <w:color w:val="auto"/>
        </w:rPr>
      </w:pPr>
      <w:r>
        <w:rPr>
          <w:rFonts w:ascii="Times New Roman" w:cs="Times New Roman" w:eastAsia="Times New Roman" w:hAnsi="Times New Roman"/>
          <w:sz w:val="19"/>
          <w:szCs w:val="19"/>
          <w:color w:val="auto"/>
        </w:rPr>
        <w:t xml:space="preserve">"Class E Interest Rate" means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per annum (computed on the basis of a 360-day year consisting of twelve 30-day months, or in the case of the first Distribution Date, computed on the basis of a 360-day year and a 28-day month).</w:t>
      </w:r>
    </w:p>
    <w:p>
      <w:pPr>
        <w:spacing w:after="0" w:line="1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"Class E Notes" means the Class 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 substantially in the form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"Clearing Agency" means an organization registered as a "clearing agency" pursuant to Section 17A of the Exchange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Act.</w:t>
      </w:r>
    </w:p>
    <w:p>
      <w:pPr>
        <w:spacing w:after="0" w:line="180"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"Clearing Agency Participant" means a broker, dealer, bank, other financial institution or other Person for whom from time to time a Clearing Agency effects book-entry transfers and pledges of securities deposited with the Clearing Agency.</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"Clearstream" shall mean Clearstream Banking, société anonyme, Luxembourg.</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"Closing Date" means March 12, 2025.</w:t>
      </w:r>
    </w:p>
    <w:p>
      <w:pPr>
        <w:spacing w:after="0" w:line="202" w:lineRule="exact"/>
        <w:rPr>
          <w:sz w:val="20"/>
          <w:szCs w:val="20"/>
          <w:color w:val="auto"/>
        </w:rPr>
      </w:pPr>
    </w:p>
    <w:p>
      <w:pPr>
        <w:ind w:right="760" w:firstLine="1404"/>
        <w:spacing w:after="0" w:line="286" w:lineRule="auto"/>
        <w:rPr>
          <w:sz w:val="20"/>
          <w:szCs w:val="20"/>
          <w:color w:val="auto"/>
        </w:rPr>
      </w:pPr>
      <w:r>
        <w:rPr>
          <w:rFonts w:ascii="Times New Roman" w:cs="Times New Roman" w:eastAsia="Times New Roman" w:hAnsi="Times New Roman"/>
          <w:sz w:val="19"/>
          <w:szCs w:val="19"/>
          <w:color w:val="auto"/>
        </w:rPr>
        <w:t>"Code" means the Internal Revenue Code of 1986, as amended from time to time, and Treasury Regulations promulgated thereunder.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"Collateral" has the meaning specified in the Granting Clause of this Indenture.</w:t>
      </w: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298" w:name="page299"/>
    <w:bookmarkEnd w:id="298"/>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"Computershare" means Computershare Trust Company, N.A., a national banking association.</w:t>
      </w:r>
    </w:p>
    <w:p>
      <w:pPr>
        <w:spacing w:after="0" w:line="202" w:lineRule="exact"/>
        <w:rPr>
          <w:sz w:val="20"/>
          <w:szCs w:val="20"/>
          <w:color w:val="auto"/>
        </w:rPr>
      </w:pPr>
    </w:p>
    <w:p>
      <w:pPr>
        <w:ind w:right="140" w:firstLine="1404"/>
        <w:spacing w:after="0" w:line="259" w:lineRule="auto"/>
        <w:rPr>
          <w:sz w:val="20"/>
          <w:szCs w:val="20"/>
          <w:color w:val="auto"/>
        </w:rPr>
      </w:pPr>
      <w:r>
        <w:rPr>
          <w:rFonts w:ascii="Times New Roman" w:cs="Times New Roman" w:eastAsia="Times New Roman" w:hAnsi="Times New Roman"/>
          <w:sz w:val="19"/>
          <w:szCs w:val="19"/>
          <w:color w:val="auto"/>
        </w:rPr>
        <w:t>"Controlling Class" means (i) if any Class A Notes are Outstanding, the Class A Notes, (ii) if no Class A Notes are Outstanding, the Class B Notes, (iii) if no Class A Notes are Outstanding and no Class B Notes are Outstanding, the Class C Notes, (iv) if no Class A Notes are Outstanding, no Class B Notes are Outstanding and no Class C Notes are Outstanding, the Class D Notes or (v) if no Class A Notes are Outstanding, no Class B Notes are Outstanding, no Class C Notes are Outstanding and no Class D Notes are Outstanding, the Class E Notes.</w:t>
      </w:r>
    </w:p>
    <w:p>
      <w:pPr>
        <w:spacing w:after="0" w:line="154"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"Corporate Trust Office" means the principal office of the Indenture Trustee at which at any particular time its corporate trust business shall be administered which office at date of the execution of this Indenture is located at 1505 Energy Park Drive, St. Paul, Minnesota 55108, Attention: Computershare Corporate Trust – Asset-Backed Administration, or at such other address as the Indenture Trustee may designate from time to time by notice to the Noteholders, the Servicer and the Issuer, or the principal corporate trust office of any successor Indenture Trustee (the address of which the successor Indenture Trustee will notify the Noteholders and the Issuer).</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"Default" means any occurrence that is, or with notice or the lapse of time or both would become, an Event of Default.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"Definitive Notes" has the meaning specified in Section 2.10.</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"ERISA" means the Employee Retirement Income Security Act of 1974, as amended.</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"Euroclear" shall mean the Euroclear System, operated by Euroclear Bank, S.A./N.V.</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"Event of Default" has the meaning specified in Section 5.1.</w:t>
      </w:r>
    </w:p>
    <w:p>
      <w:pPr>
        <w:spacing w:after="0" w:line="202"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"Executive Officer" means, with respect to any corporation or limited liability company, the Chief Executive Officer, Chief Operating Officer, Chief Financial Officer, President, any Executive Vice President, any Senior Vice President, any Vice President, the Secretary, the Assistant Secretary or the Treasurer of such corporation or limited liability company; and with respect to any partnership, any general partner thereof.</w:t>
      </w:r>
    </w:p>
    <w:p>
      <w:pPr>
        <w:spacing w:after="0" w:line="150"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"FATCA" means Sections 1471 through 1474 of the Code, and Treasury Regulations promulgated thereunder or official administrative interpretations of such Code Sections, any applicable agreement entered into pursuant to Section 1471(b)(1) of the Code, and any applicable intergovernmental agreement with respect to the implementation of such Code sections.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"Final Scheduled Distribution Date" means with respect to (i) the Class A Notes, the June 10, 2027 Distribution Date,</w:t>
      </w:r>
    </w:p>
    <w:p>
      <w:pPr>
        <w:spacing w:after="0" w:line="32" w:lineRule="exact"/>
        <w:rPr>
          <w:sz w:val="20"/>
          <w:szCs w:val="20"/>
          <w:color w:val="auto"/>
        </w:rPr>
      </w:pPr>
    </w:p>
    <w:p>
      <w:pPr>
        <w:ind w:right="440" w:firstLine="6"/>
        <w:spacing w:after="0" w:line="262" w:lineRule="auto"/>
        <w:tabs>
          <w:tab w:leader="none" w:pos="282"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B Notes, the February 10, 2028 Distribution Date, (iii) the Class C Notes, the June 10, 2030 Distribution Date, (iv) the Class D Notes, the July 10, 2030 Distribution Date and (v) the Class E Notes, the October 10, 2031 Distribution Date.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9" w:name="page300"/>
    <w:bookmarkEnd w:id="299"/>
    <w:p>
      <w:pPr>
        <w:spacing w:after="0" w:line="269" w:lineRule="exact"/>
        <w:rPr>
          <w:sz w:val="20"/>
          <w:szCs w:val="20"/>
          <w:color w:val="auto"/>
        </w:rPr>
      </w:pPr>
    </w:p>
    <w:p>
      <w:pPr>
        <w:ind w:right="200" w:firstLine="1404"/>
        <w:spacing w:after="0" w:line="255" w:lineRule="auto"/>
        <w:rPr>
          <w:sz w:val="20"/>
          <w:szCs w:val="20"/>
          <w:color w:val="auto"/>
        </w:rPr>
      </w:pPr>
      <w:r>
        <w:rPr>
          <w:rFonts w:ascii="Times New Roman" w:cs="Times New Roman" w:eastAsia="Times New Roman" w:hAnsi="Times New Roman"/>
          <w:sz w:val="19"/>
          <w:szCs w:val="19"/>
          <w:color w:val="auto"/>
        </w:rPr>
        <w:t>"Grant" means mortgage, pledge, bargain, warrant, alienate, remise, release, convey, assign, transfer, create, grant a lien upon and a security interest in and right of set-off against, deposit, set over and confirm pursuant to this Indenture. A Grant of the Collateral or of any other agreement or instrument shall include all rights, powers and options (but none of the obligations) of the Granting party thereunder, including the immediate and continuing right to claim for, collect, receive and give receipt for principal and interest payments in respect of the Collateral and all other moneys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"Holder" or "Noteholder" means the Person in whose name a Note is registered on the Note Register.</w:t>
      </w:r>
    </w:p>
    <w:p>
      <w:pPr>
        <w:spacing w:after="0" w:line="202"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"Indebtedness" means, with respect to any Person at any time, (a) indebtedness or liability of such Person for borrowed money whether or not evidenced by bonds, debentures, notes or other instruments, or for the deferred purchase price of property or services (including trade obligations); (b) obligations of such Person as lessee under leases which should have been or should be, in accordance with generally accepted accounting principles, recorded as capital leases; (c) current liabilities of such Person in respect of unfunded vested benefits under plans covered by Title IV of ERISA; (d) obligations issued for or liabilities incurred on the account of such Person; (e) obligations or liabilities of such Person arising under acceptance facilities; (f) obligations of such Person under any guarantees, endorsements (other than for collection or deposit in the ordinary course of business) and other contingent obligations to purchase, to provide funds for payment, to supply funds to invest in any Person or otherwise to assure a creditor against loss; (g) obligations of such Person secured by any lien on property or assets of such Person, whether or not the obligations have been assumed by such Person; or (h) obligations of such Person under any interest rate or currency exchange agreement.</w:t>
      </w:r>
    </w:p>
    <w:p>
      <w:pPr>
        <w:spacing w:after="0" w:line="160"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"Indenture" means this Indenture as amended, supplemented or otherwise modified from time to time in accordance with the terms hereof.</w:t>
      </w:r>
    </w:p>
    <w:p>
      <w:pPr>
        <w:spacing w:after="0" w:line="127"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"Indenture Trustee" means Computershare Trust Company, N.A., a national banking association, not in its individual capacity but as indenture trustee under this Indenture, or any successor indenture trustee under this Indenture.</w:t>
      </w:r>
    </w:p>
    <w:p>
      <w:pPr>
        <w:spacing w:after="0" w:line="127" w:lineRule="exact"/>
        <w:rPr>
          <w:sz w:val="20"/>
          <w:szCs w:val="20"/>
          <w:color w:val="auto"/>
        </w:rPr>
      </w:pPr>
    </w:p>
    <w:p>
      <w:pPr>
        <w:ind w:right="220" w:firstLine="1404"/>
        <w:spacing w:after="0" w:line="268" w:lineRule="auto"/>
        <w:rPr>
          <w:sz w:val="20"/>
          <w:szCs w:val="20"/>
          <w:color w:val="auto"/>
        </w:rPr>
      </w:pPr>
      <w:r>
        <w:rPr>
          <w:rFonts w:ascii="Times New Roman" w:cs="Times New Roman" w:eastAsia="Times New Roman" w:hAnsi="Times New Roman"/>
          <w:sz w:val="19"/>
          <w:szCs w:val="19"/>
          <w:color w:val="auto"/>
        </w:rPr>
        <w:t>"Indenture Trustee Issuer Secured Obligations" means all amounts and obligations which the Issuer may at any time owe to the Indenture Trustee or the Noteholders or on behalf of the Indenture Trustee for the benefit of the Noteholders, under this Indenture, the Notes or any other Basic Document.</w:t>
      </w:r>
    </w:p>
    <w:p>
      <w:pPr>
        <w:spacing w:after="0" w:line="144"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"Independent" means, when used with respect to any specified Person, that the Person (a) is in fact independent of the Issuer, any other obligor upon the Notes, the Depositor and any Affiliate of any of the foregoing Persons, (b) does not have any direct financial interest or any material indirect financial interest in the Issuer, any such other obligor, the Depositor or any Affiliate of any of the foregoing Persons and (c) is not connected with the Issuer, any such other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0" w:name="page301"/>
    <w:bookmarkEnd w:id="300"/>
    <w:p>
      <w:pPr>
        <w:spacing w:after="0" w:line="26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obligor, the Depositor or any Affiliate of any of the foregoing Persons as an officer, employee, promoter, underwriter, trustee, partner, director or Person performing similar functions.</w:t>
      </w:r>
    </w:p>
    <w:p>
      <w:pPr>
        <w:spacing w:after="0" w:line="127"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"Independent Certificate" means a certificate or opinion to be delivered to the Indenture Trustee under the circumstances described in, and otherwise complying with, the applicable requirements of Section 11.1, prepared by an Independent appraiser or other expert appointed by an Issuer Order and approved by the Indenture Trustee in the exercise of reasonable care, and such opinion or certificate shall state that the signer has read the definition of "Independent" in this Indenture and that the signer is Independent within the meaning thereof.</w:t>
      </w:r>
    </w:p>
    <w:p>
      <w:pPr>
        <w:spacing w:after="0" w:line="154" w:lineRule="exact"/>
        <w:rPr>
          <w:sz w:val="20"/>
          <w:szCs w:val="20"/>
          <w:color w:val="auto"/>
        </w:rPr>
      </w:pPr>
    </w:p>
    <w:p>
      <w:pPr>
        <w:jc w:val="both"/>
        <w:ind w:right="120" w:firstLine="1404"/>
        <w:spacing w:after="0" w:line="268" w:lineRule="auto"/>
        <w:rPr>
          <w:sz w:val="20"/>
          <w:szCs w:val="20"/>
          <w:color w:val="auto"/>
        </w:rPr>
      </w:pPr>
      <w:r>
        <w:rPr>
          <w:rFonts w:ascii="Times New Roman" w:cs="Times New Roman" w:eastAsia="Times New Roman" w:hAnsi="Times New Roman"/>
          <w:sz w:val="19"/>
          <w:szCs w:val="19"/>
          <w:color w:val="auto"/>
        </w:rPr>
        <w:t>"Interest Period" means, with respect to any Distribution Date, the period from 10th day of the prior month (or, in the case of the first Distribution Date, from and including the Closing Date) to, but excluding, the 10th day of the current month (assuming each month has 30 days).</w:t>
      </w:r>
    </w:p>
    <w:p>
      <w:pPr>
        <w:spacing w:after="0" w:line="144" w:lineRule="exact"/>
        <w:rPr>
          <w:sz w:val="20"/>
          <w:szCs w:val="20"/>
          <w:color w:val="auto"/>
        </w:rPr>
      </w:pPr>
    </w:p>
    <w:p>
      <w:pPr>
        <w:ind w:right="160" w:firstLine="1404"/>
        <w:spacing w:after="0" w:line="268" w:lineRule="auto"/>
        <w:rPr>
          <w:sz w:val="20"/>
          <w:szCs w:val="20"/>
          <w:color w:val="auto"/>
        </w:rPr>
      </w:pPr>
      <w:r>
        <w:rPr>
          <w:rFonts w:ascii="Times New Roman" w:cs="Times New Roman" w:eastAsia="Times New Roman" w:hAnsi="Times New Roman"/>
          <w:sz w:val="19"/>
          <w:szCs w:val="19"/>
          <w:color w:val="auto"/>
        </w:rPr>
        <w:t>"Interest Rate" means, with respect to the (i) Class A Notes, the Class A Interest Rate, (ii) Class B Notes, the Class B Interest Rate, (iii) Class C Notes, the Class C Interest Rate, (iv) Class D Notes, the Class D Interest Rate and (v) Class E Notes, the Class E Interest Rate.</w:t>
      </w:r>
    </w:p>
    <w:p>
      <w:pPr>
        <w:spacing w:after="0" w:line="144" w:lineRule="exact"/>
        <w:rPr>
          <w:sz w:val="20"/>
          <w:szCs w:val="20"/>
          <w:color w:val="auto"/>
        </w:rPr>
      </w:pPr>
    </w:p>
    <w:p>
      <w:pPr>
        <w:ind w:right="620" w:firstLine="1404"/>
        <w:spacing w:after="0" w:line="286" w:lineRule="auto"/>
        <w:rPr>
          <w:sz w:val="20"/>
          <w:szCs w:val="20"/>
          <w:color w:val="auto"/>
        </w:rPr>
      </w:pPr>
      <w:r>
        <w:rPr>
          <w:rFonts w:ascii="Times New Roman" w:cs="Times New Roman" w:eastAsia="Times New Roman" w:hAnsi="Times New Roman"/>
          <w:sz w:val="19"/>
          <w:szCs w:val="19"/>
          <w:color w:val="auto"/>
        </w:rPr>
        <w:t>"Issuer" means the party named as such in this Indenture until a successor replaces it and, thereafter, means the successor and, for purposes of any provision contained herein, each other obligor on the Notes.</w:t>
      </w:r>
    </w:p>
    <w:p>
      <w:pPr>
        <w:spacing w:after="0" w:line="127"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"Issuer Order" and "Issuer Request" means a written order or request signed in the name of the Issuer by any one of its Authorized Officers and delivered to the Indenture Trustee.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"Note" means a Class A Note, a Class B Note, a Class C Note, a Class D Note and/or a Class E Note.</w:t>
      </w:r>
    </w:p>
    <w:p>
      <w:pPr>
        <w:spacing w:after="0" w:line="202"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"Note Owner" means, with respect to a Book -Entry Note, the Person who is the owner of such Book -Entry Note, as reflected on the books of the Clearing Agency, or on the books of a Person maintaining an account with such Clearing Agency (directly as a Clearing Agency Participant or as an indirect participant, in each case in accordance with the rules of such Clearing Agency).</w:t>
      </w:r>
    </w:p>
    <w:p>
      <w:pPr>
        <w:spacing w:after="0" w:line="144"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"Note Paying Agent" means the Indenture Trustee or any other Person that meets the eligibility standards for the Indenture Trustee specified in Section 6.11 and is authorized by the Issuer to make the payments to and distributions from the Collection Account and the Note Distribution Account, including payment of principal of or interest on the Notes on behalf of the Issuer. For so long as Computershare is the Indenture Trustee, it shall also be the Note Paying Agent.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"Note Register" and "Note Registrar" have the respective meanings specified in Section 2.4(a).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"Noteholder FACTA Information" has the meaning specified in Section 2.13.</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"Noteholder Tax Indemnification Information" has the meaning specified in Section 2.13.</w:t>
      </w: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1" w:name="page302"/>
    <w:bookmarkEnd w:id="301"/>
    <w:p>
      <w:pPr>
        <w:spacing w:after="0" w:line="269"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"Officer's Certificate" means a certificate signed by any Authorized Officer of the Issuer, under the circumstances described in, and otherwise complying with, the requirements of Section 11.1, and delivered to the Indenture Trustee. Unless otherwise specified, any reference in this Indenture to an Officer's Certificate shall be to an Officer's Certificate of any Authorized Officer of the Issuer.</w:t>
      </w:r>
    </w:p>
    <w:p>
      <w:pPr>
        <w:spacing w:after="0" w:line="150"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"Opinion of Counsel" means one or more written opinions of counsel who shall be reasonably satisfactory to the Indenture Trustee and the Owner Trustee, as applicable, and which shall comply with any applicable requirements of Section 11.1, and shall be in form and substance satisfactory to the Indenture Trustee.</w:t>
      </w:r>
    </w:p>
    <w:p>
      <w:pPr>
        <w:spacing w:after="0" w:line="144" w:lineRule="exact"/>
        <w:rPr>
          <w:sz w:val="20"/>
          <w:szCs w:val="20"/>
          <w:color w:val="auto"/>
        </w:rPr>
      </w:pPr>
    </w:p>
    <w:p>
      <w:pPr>
        <w:ind w:right="660" w:firstLine="1404"/>
        <w:spacing w:after="0" w:line="286" w:lineRule="auto"/>
        <w:rPr>
          <w:sz w:val="20"/>
          <w:szCs w:val="20"/>
          <w:color w:val="auto"/>
        </w:rPr>
      </w:pPr>
      <w:r>
        <w:rPr>
          <w:rFonts w:ascii="Times New Roman" w:cs="Times New Roman" w:eastAsia="Times New Roman" w:hAnsi="Times New Roman"/>
          <w:sz w:val="19"/>
          <w:szCs w:val="19"/>
          <w:color w:val="auto"/>
        </w:rPr>
        <w:t>"Outstanding" means, as of the date of determination, as applicable, (a) all Notes theretofore authenticated and delivered under this Indenture or (b) all Certificates theretofore authenticated and delivered under the Trust Agreement except:</w:t>
      </w:r>
    </w:p>
    <w:p>
      <w:pPr>
        <w:spacing w:after="0" w:line="127" w:lineRule="exact"/>
        <w:rPr>
          <w:sz w:val="20"/>
          <w:szCs w:val="20"/>
          <w:color w:val="auto"/>
        </w:rPr>
      </w:pPr>
    </w:p>
    <w:p>
      <w:pPr>
        <w:ind w:right="560" w:firstLine="1410"/>
        <w:spacing w:after="0" w:line="286" w:lineRule="auto"/>
        <w:tabs>
          <w:tab w:leader="none" w:pos="163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Notes theretofore canceled by the Note Registrar or delivered to the Note Registrar for cancellation or (b) Certificates theretofore canceled by the Certificate Registrar or delivered to the Certificate Registrar for cancellation;</w:t>
      </w:r>
    </w:p>
    <w:p>
      <w:pPr>
        <w:spacing w:after="0" w:line="127" w:lineRule="exact"/>
        <w:rPr>
          <w:rFonts w:ascii="Times New Roman" w:cs="Times New Roman" w:eastAsia="Times New Roman" w:hAnsi="Times New Roman"/>
          <w:sz w:val="19"/>
          <w:szCs w:val="19"/>
          <w:color w:val="auto"/>
        </w:rPr>
      </w:pPr>
    </w:p>
    <w:p>
      <w:pPr>
        <w:ind w:right="240" w:firstLine="1410"/>
        <w:spacing w:after="0" w:line="262" w:lineRule="auto"/>
        <w:tabs>
          <w:tab w:leader="none" w:pos="1687"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or portions thereof the payment for which money in the necessary amount has been theretofore deposited with the Indenture Trustee or any Note Paying Agent in trust for the Noteholders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such Notes are to be redeemed, notice of such redemption has been duly given pursuant to this Indenture or provision therefor, satisfactory to the Indenture Trustee); and</w:t>
      </w:r>
    </w:p>
    <w:p>
      <w:pPr>
        <w:spacing w:after="0" w:line="150" w:lineRule="exact"/>
        <w:rPr>
          <w:rFonts w:ascii="Times New Roman" w:cs="Times New Roman" w:eastAsia="Times New Roman" w:hAnsi="Times New Roman"/>
          <w:sz w:val="19"/>
          <w:szCs w:val="19"/>
          <w:color w:val="auto"/>
        </w:rPr>
      </w:pPr>
    </w:p>
    <w:p>
      <w:pPr>
        <w:ind w:right="20" w:firstLine="1410"/>
        <w:spacing w:after="0" w:line="268" w:lineRule="auto"/>
        <w:tabs>
          <w:tab w:leader="none" w:pos="17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Notes in exchange for or in lieu of other Notes which have been authenticated and delivered pursuant to this Indenture unless proof satisfactory to the Indenture Trustee is presented that any such Notes are held by a Protected Purchaser or (b) Certificates in exchange for or in lieu of other Certificates which have been authenticated and delivered pursuant to the Trust Agreement;</w:t>
      </w:r>
    </w:p>
    <w:p>
      <w:pPr>
        <w:spacing w:after="0" w:line="1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in determining whether, as applicable, (a) the Holders of the requisite Outstanding Amount of the Notes or (b)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Holders of the requisite Percentage Interests of the Certificates, in each case, have given any request, demand, authorization, direction, notice, consent or waiver hereunder or under any Basic Document, Notes or Certificates, as applicable, owned by the Issuer, the Depositor, the Servicer or any Affiliate of any of the foregoing Persons shall be disregarded and deemed not to be Outstanding (unless all of the Notes of the related Class or Classes or Certificates, as applicable, making the request, demand, authorization, direction, notice, consent or waiver are owned by the Issuer, the Depositor, the Servicer or any of their respective Affiliates), except that, in determining whether the Indenture Trustee shall be protected in relying upon any such request, demand, authorization, direction, notice, consent or waiver, only Notes or Certificates, as applicable, that a Responsible Officer of the Indenture Trustee either actually knows to be so owned or has received written notice thereof shall be so disregarded. Notes or Certificates, as applicable, so owned that have been pledged in good faith may be regarded as Outstanding if the pledgee establishes to the satisfaction of the Indenture Trustee the pledgee's right to so act with respect to such Notes or Certificates, as applicable, and that the pledgee is not the Issuer, any other obligor upon the Notes or Certificates, as applicable, the Depositor or any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2" w:name="page303"/>
    <w:bookmarkEnd w:id="302"/>
    <w:p>
      <w:pPr>
        <w:spacing w:after="0" w:line="26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auto"/>
        </w:rPr>
        <w:t>Affiliate of any of the foregoing Persons and the Indenture Trustee shall have no liability for any determination made with respect to such pledged Note or Certificate.</w:t>
      </w:r>
    </w:p>
    <w:p>
      <w:pPr>
        <w:spacing w:after="0" w:line="127" w:lineRule="exact"/>
        <w:rPr>
          <w:sz w:val="20"/>
          <w:szCs w:val="20"/>
          <w:color w:val="auto"/>
        </w:rPr>
      </w:pPr>
    </w:p>
    <w:p>
      <w:pPr>
        <w:ind w:right="760" w:firstLine="1404"/>
        <w:spacing w:after="0" w:line="286" w:lineRule="auto"/>
        <w:rPr>
          <w:sz w:val="20"/>
          <w:szCs w:val="20"/>
          <w:color w:val="auto"/>
        </w:rPr>
      </w:pPr>
      <w:r>
        <w:rPr>
          <w:rFonts w:ascii="Times New Roman" w:cs="Times New Roman" w:eastAsia="Times New Roman" w:hAnsi="Times New Roman"/>
          <w:sz w:val="19"/>
          <w:szCs w:val="19"/>
          <w:color w:val="auto"/>
        </w:rPr>
        <w:t>"Outstanding Amount" means the aggregate principal amount of all Notes, or a Class of Notes, as applicable, Outstanding at the date of determination.</w:t>
      </w:r>
    </w:p>
    <w:p>
      <w:pPr>
        <w:spacing w:after="0" w:line="127"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"Predecessor Note" means, with respect to any particular Note, every previous Note evidencing all or a portion of the same debt as that evidenced by such particular Note; and, for the purpose of this definition, any Note authenticated and delivered under Section 2.5 in lieu of a mutilated, lost, destroyed or stolen Note shall be deemed to evidence the same debt as the mutilated, lost, destroyed or stolen Note.</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"Proceeding" means any suit in equity, action at law or other judicial or administrative proceeding.</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"Protected Purchaser" has the meaning set forth in Section 8-303 of the UCC.</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"QIB" means a "qualified institutional buyer" within the meaning specified in paragraph (a) of Rule 144A under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Securities Act.</w:t>
      </w:r>
    </w:p>
    <w:p>
      <w:pPr>
        <w:spacing w:after="0" w:line="180" w:lineRule="exact"/>
        <w:rPr>
          <w:sz w:val="20"/>
          <w:szCs w:val="20"/>
          <w:color w:val="auto"/>
        </w:rPr>
      </w:pPr>
    </w:p>
    <w:p>
      <w:pPr>
        <w:jc w:val="both"/>
        <w:ind w:right="100" w:firstLine="1404"/>
        <w:spacing w:after="0" w:line="268" w:lineRule="auto"/>
        <w:rPr>
          <w:sz w:val="20"/>
          <w:szCs w:val="20"/>
          <w:color w:val="auto"/>
        </w:rPr>
      </w:pPr>
      <w:r>
        <w:rPr>
          <w:rFonts w:ascii="Times New Roman" w:cs="Times New Roman" w:eastAsia="Times New Roman" w:hAnsi="Times New Roman"/>
          <w:sz w:val="19"/>
          <w:szCs w:val="19"/>
          <w:color w:val="auto"/>
        </w:rPr>
        <w:t>"Rating Agency" means each of DBRS and Standard &amp; Poor's, so long as such Persons maintain ratings on the Notes; and if either of DBRS or Standard &amp; Poor's no longer maintains ratings on the Notes, such other nationally recognized statistical rating organization engaged by the Depositor.</w:t>
      </w:r>
    </w:p>
    <w:p>
      <w:pPr>
        <w:spacing w:after="0" w:line="144" w:lineRule="exact"/>
        <w:rPr>
          <w:sz w:val="20"/>
          <w:szCs w:val="20"/>
          <w:color w:val="auto"/>
        </w:rPr>
      </w:pPr>
    </w:p>
    <w:p>
      <w:pPr>
        <w:ind w:right="240" w:firstLine="1404"/>
        <w:spacing w:after="0" w:line="268" w:lineRule="auto"/>
        <w:rPr>
          <w:sz w:val="20"/>
          <w:szCs w:val="20"/>
          <w:color w:val="auto"/>
        </w:rPr>
      </w:pPr>
      <w:r>
        <w:rPr>
          <w:rFonts w:ascii="Times New Roman" w:cs="Times New Roman" w:eastAsia="Times New Roman" w:hAnsi="Times New Roman"/>
          <w:sz w:val="19"/>
          <w:szCs w:val="19"/>
          <w:color w:val="auto"/>
        </w:rPr>
        <w:t>"Record Date" means, with respect to any Distribution Date, the close of business on the Business Day immediately preceding such Distribution Date or, with respect to any Notes that have been issued in fully registered, certificated form, the last Business Day of the preceding month.</w:t>
      </w:r>
    </w:p>
    <w:p>
      <w:pPr>
        <w:spacing w:after="0" w:line="144" w:lineRule="exact"/>
        <w:rPr>
          <w:sz w:val="20"/>
          <w:szCs w:val="20"/>
          <w:color w:val="auto"/>
        </w:rPr>
      </w:pPr>
    </w:p>
    <w:p>
      <w:pPr>
        <w:ind w:right="480" w:firstLine="1404"/>
        <w:spacing w:after="0" w:line="268" w:lineRule="auto"/>
        <w:rPr>
          <w:sz w:val="20"/>
          <w:szCs w:val="20"/>
          <w:color w:val="auto"/>
        </w:rPr>
      </w:pPr>
      <w:r>
        <w:rPr>
          <w:rFonts w:ascii="Times New Roman" w:cs="Times New Roman" w:eastAsia="Times New Roman" w:hAnsi="Times New Roman"/>
          <w:sz w:val="19"/>
          <w:szCs w:val="19"/>
          <w:color w:val="auto"/>
        </w:rPr>
        <w:t>"Redemption Date" means in the case of a redemption of the Notes pursuant to Section 10.1(a) or a payment to Noteholders pursuant to Section 10.1(b), the Distribution Date specified by the Servicer or the Issuer pursuant to Section 10.1(a) or 10.1(b) as applicable.</w:t>
      </w:r>
    </w:p>
    <w:p>
      <w:pPr>
        <w:spacing w:after="0" w:line="144" w:lineRule="exact"/>
        <w:rPr>
          <w:sz w:val="20"/>
          <w:szCs w:val="20"/>
          <w:color w:val="auto"/>
        </w:rPr>
      </w:pPr>
    </w:p>
    <w:p>
      <w:pPr>
        <w:ind w:right="20" w:firstLine="1404"/>
        <w:spacing w:after="0" w:line="257" w:lineRule="auto"/>
        <w:rPr>
          <w:sz w:val="20"/>
          <w:szCs w:val="20"/>
          <w:color w:val="auto"/>
        </w:rPr>
      </w:pPr>
      <w:r>
        <w:rPr>
          <w:rFonts w:ascii="Times New Roman" w:cs="Times New Roman" w:eastAsia="Times New Roman" w:hAnsi="Times New Roman"/>
          <w:sz w:val="19"/>
          <w:szCs w:val="19"/>
          <w:color w:val="auto"/>
        </w:rPr>
        <w:t>"Redemption Price" means (a) in the case of a redemption of the Notes pursuant to Section 10.1(a), an amount equal to not less than the amount necessary to pay the unpaid aggregate Note Balance of each then Outstanding Class of Notes being redeemed plus accrued and unpaid interest thereon to but excluding the Redemption Date plus all amounts then owed by the Issuer to the Servicer, the Backup Servicer, the Indenture Trustee, the Owner Trustee, any successor Custodian and any Lockbox provider pursuant to the Sale and Servicing Agreement or (b) in the case of a payment made to Noteholders pursuant to Section 10.1(b), the amount on deposit in the Note Distribution Account, but not in excess of the amount specified in clause (a) above.</w:t>
      </w:r>
    </w:p>
    <w:p>
      <w:pPr>
        <w:spacing w:after="0" w:line="157" w:lineRule="exact"/>
        <w:rPr>
          <w:sz w:val="20"/>
          <w:szCs w:val="20"/>
          <w:color w:val="auto"/>
        </w:rPr>
      </w:pPr>
    </w:p>
    <w:p>
      <w:pPr>
        <w:jc w:val="both"/>
        <w:ind w:firstLine="1404"/>
        <w:spacing w:after="0" w:line="262" w:lineRule="auto"/>
        <w:rPr>
          <w:sz w:val="20"/>
          <w:szCs w:val="20"/>
          <w:color w:val="auto"/>
        </w:rPr>
      </w:pPr>
      <w:r>
        <w:rPr>
          <w:rFonts w:ascii="Times New Roman" w:cs="Times New Roman" w:eastAsia="Times New Roman" w:hAnsi="Times New Roman"/>
          <w:sz w:val="19"/>
          <w:szCs w:val="19"/>
          <w:color w:val="auto"/>
        </w:rPr>
        <w:t>"Responsible Officer" means, with respect to (i) the Indenture Trustee, any officer within the Corporate Trust Office of the Indenture Trustee, including any Executive Vice President, Senior Vice President, Vice President, Assistant Vice President, Assistant Treasurer, Assistant Secretary, or any other officer of the Indenture Trustee customarily performing functions similar to those performed by any of the above designated officers and having direct responsibility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3" w:name="page304"/>
    <w:bookmarkEnd w:id="303"/>
    <w:p>
      <w:pPr>
        <w:spacing w:after="0" w:line="2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for the administration of this Indenture or any other Basic Document and also, with respect to a particular matter, any other officer to whom such matter is referred because of such officer's knowledge of and familiarity with the particular subject, (ii) the Owner Trustee, any officer in the corporate trust department of the Owner Trustee with direct responsibility for the administration of the Issuer, and (iii) any other Person, any Executive Vice President, Senior Vice President, Vice President, Treasurer, Secretary, Assistant Secretary, Controller, Assistant Controller or any other officer of such Person customarily performing functions similar to those performed by any of the above designated officers and also, with respect to a particular matter, any other officer to whom such matter is referred because of such officer's knowledge of and familiarity with the particular subject.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"Rule 144A" means Rule 144A under the Securities Act.</w:t>
      </w:r>
    </w:p>
    <w:p>
      <w:pPr>
        <w:spacing w:after="0" w:line="202"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"Rule 144A Global Note" shall mean, with respect to any Class of Notes held by a QIB or Accredited Investor, a single global Note representing such Class, in definitive, fully registered form without interest coupons.</w:t>
      </w:r>
    </w:p>
    <w:p>
      <w:pPr>
        <w:spacing w:after="0" w:line="127"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"Sale and Servicing Agreement" means the Sale and Servicing Agreement, dated as of February 28, 2025, among the Issuer, the Depositor, the Servicer, the Indenture Trustee and the Backup Servicer, as the same may be amended, supplemented or otherwise modified from time to time in accordance with the terms thereof.</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"Schedule of Representations" means the Schedule of Representations and Warranties attached hereto as Schedule 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"Securities Act" means the Securities Act of 1933, as amended.</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"Similar Law" has the meaning specified in Section 2.4(d)(3).</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"STAMP" has the meaning specified in Section 2.4(b).</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"State" means any one of the 50 states of the United States of America or the District of Columbia.</w:t>
      </w:r>
    </w:p>
    <w:p>
      <w:pPr>
        <w:spacing w:after="0" w:line="202"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"Termination Date" means the date on which the Indenture Trustee shall have received payment and performance of all Indenture Trustee Issuer Secured Obligations.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"Trust Estate" means the Collateral.</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I.2  </w:t>
      </w:r>
      <w:r>
        <w:rPr>
          <w:rFonts w:ascii="Times New Roman" w:cs="Times New Roman" w:eastAsia="Times New Roman" w:hAnsi="Times New Roman"/>
          <w:sz w:val="19"/>
          <w:szCs w:val="19"/>
          <w:color w:val="000000"/>
        </w:rPr>
        <w:t>Rules of Construction.</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Unless the context otherwise requires:</w:t>
      </w:r>
    </w:p>
    <w:p>
      <w:pPr>
        <w:spacing w:after="0" w:line="202" w:lineRule="exact"/>
        <w:rPr>
          <w:sz w:val="20"/>
          <w:szCs w:val="20"/>
          <w:color w:val="auto"/>
        </w:rPr>
      </w:pPr>
    </w:p>
    <w:p>
      <w:pPr>
        <w:ind w:left="1780" w:hanging="370"/>
        <w:spacing w:after="0"/>
        <w:tabs>
          <w:tab w:leader="none" w:pos="1780" w:val="left"/>
        </w:tabs>
        <w:numPr>
          <w:ilvl w:val="0"/>
          <w:numId w:val="22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term has the meaning assigned to it;</w:t>
      </w:r>
    </w:p>
    <w:p>
      <w:pPr>
        <w:spacing w:after="0" w:line="201" w:lineRule="exact"/>
        <w:rPr>
          <w:rFonts w:ascii="Times New Roman" w:cs="Times New Roman" w:eastAsia="Times New Roman" w:hAnsi="Times New Roman"/>
          <w:sz w:val="19"/>
          <w:szCs w:val="19"/>
          <w:color w:val="1F3763"/>
        </w:rPr>
      </w:pPr>
    </w:p>
    <w:p>
      <w:pPr>
        <w:ind w:right="260" w:firstLine="1410"/>
        <w:spacing w:after="0" w:line="286" w:lineRule="auto"/>
        <w:tabs>
          <w:tab w:leader="none" w:pos="1777" w:val="left"/>
        </w:tabs>
        <w:numPr>
          <w:ilvl w:val="0"/>
          <w:numId w:val="22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 accounting term not otherwise defined has the meaning assigned to it in accordance with generally accepted accounting principles as in effect from time to time;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4" w:name="page305"/>
    <w:bookmarkEnd w:id="304"/>
    <w:p>
      <w:pPr>
        <w:spacing w:after="0" w:line="269" w:lineRule="exact"/>
        <w:rPr>
          <w:sz w:val="20"/>
          <w:szCs w:val="20"/>
          <w:color w:val="auto"/>
        </w:rPr>
      </w:pPr>
    </w:p>
    <w:p>
      <w:pPr>
        <w:ind w:left="1780" w:hanging="370"/>
        <w:spacing w:after="0"/>
        <w:tabs>
          <w:tab w:leader="none" w:pos="1780" w:val="left"/>
        </w:tabs>
        <w:numPr>
          <w:ilvl w:val="0"/>
          <w:numId w:val="2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"or" is not exclusive;</w:t>
      </w:r>
    </w:p>
    <w:p>
      <w:pPr>
        <w:spacing w:after="0" w:line="201"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"including" means including without limitation; and</w:t>
      </w:r>
    </w:p>
    <w:p>
      <w:pPr>
        <w:spacing w:after="0" w:line="201"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words in the singular include the plural and words in the plural include the singular.</w:t>
      </w:r>
    </w:p>
    <w:p>
      <w:pPr>
        <w:spacing w:after="0" w:line="201" w:lineRule="exact"/>
        <w:rPr>
          <w:rFonts w:ascii="Times New Roman" w:cs="Times New Roman" w:eastAsia="Times New Roman" w:hAnsi="Times New Roman"/>
          <w:sz w:val="19"/>
          <w:szCs w:val="19"/>
          <w:color w:val="1F3763"/>
        </w:rPr>
      </w:pPr>
    </w:p>
    <w:p>
      <w:pPr>
        <w:ind w:left="480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2F5496"/>
        </w:rPr>
        <w:t>ARTICLE II</w:t>
      </w:r>
    </w:p>
    <w:p>
      <w:pPr>
        <w:spacing w:after="0" w:line="201" w:lineRule="exact"/>
        <w:rPr>
          <w:rFonts w:ascii="Times New Roman" w:cs="Times New Roman" w:eastAsia="Times New Roman" w:hAnsi="Times New Roman"/>
          <w:sz w:val="19"/>
          <w:szCs w:val="19"/>
          <w:color w:val="1F3763"/>
        </w:rPr>
      </w:pPr>
    </w:p>
    <w:p>
      <w:pPr>
        <w:ind w:left="490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Notes</w:t>
      </w:r>
    </w:p>
    <w:p>
      <w:pPr>
        <w:spacing w:after="0" w:line="238"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II.1 </w:t>
      </w:r>
      <w:r>
        <w:rPr>
          <w:rFonts w:ascii="Times New Roman" w:cs="Times New Roman" w:eastAsia="Times New Roman" w:hAnsi="Times New Roman"/>
          <w:sz w:val="19"/>
          <w:szCs w:val="19"/>
          <w:color w:val="000000"/>
        </w:rPr>
        <w:t>Form. The Class A Notes, the Class B Notes, the Class C Notes the Class D Notes and the Class E Notes, in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each case together with the Indenture Trustee's certificate of authentication, shall be in substantially the form set forth in Exhibit A, with such appropriate insertions, omissions, substitutions and other variations as are required or permitted by this Indenture and may have such letters, numbers or other marks of identification and such legends or endorsements placed thereon as may, consistently herewith, be determined by the officers executing such Notes, as evidenced by their execution of the Notes. Any portion of the text of any Note may be set forth on the reverse thereof, with an appropriate reference thereto on the face of the Note.</w:t>
      </w:r>
    </w:p>
    <w:p>
      <w:pPr>
        <w:spacing w:after="0" w:line="157"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The Definitive Notes shall be typewritten, printed, lithographed or engraved or produced by any combination of these methods (with or without steel engraved borders), all as determined by the officers executing such Notes, as evidenced by their execution of such Notes.</w:t>
      </w:r>
    </w:p>
    <w:p>
      <w:pPr>
        <w:spacing w:after="0" w:line="144" w:lineRule="exact"/>
        <w:rPr>
          <w:sz w:val="20"/>
          <w:szCs w:val="20"/>
          <w:color w:val="auto"/>
        </w:rPr>
      </w:pPr>
    </w:p>
    <w:p>
      <w:pPr>
        <w:ind w:right="340" w:firstLine="1404"/>
        <w:spacing w:after="0" w:line="286" w:lineRule="auto"/>
        <w:rPr>
          <w:sz w:val="20"/>
          <w:szCs w:val="20"/>
          <w:color w:val="auto"/>
        </w:rPr>
      </w:pPr>
      <w:r>
        <w:rPr>
          <w:rFonts w:ascii="Times New Roman" w:cs="Times New Roman" w:eastAsia="Times New Roman" w:hAnsi="Times New Roman"/>
          <w:sz w:val="19"/>
          <w:szCs w:val="19"/>
          <w:color w:val="auto"/>
        </w:rPr>
        <w:t>Each Note shall be dated the date of its authentication. The terms of the Notes set forth in Exhibit A are part of the terms of this Indenture.</w:t>
      </w:r>
    </w:p>
    <w:p>
      <w:pPr>
        <w:spacing w:after="0" w:line="127" w:lineRule="exact"/>
        <w:rPr>
          <w:sz w:val="20"/>
          <w:szCs w:val="20"/>
          <w:color w:val="auto"/>
        </w:rPr>
      </w:pPr>
    </w:p>
    <w:p>
      <w:pPr>
        <w:ind w:right="48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II.2 </w:t>
      </w:r>
      <w:r>
        <w:rPr>
          <w:rFonts w:ascii="Times New Roman" w:cs="Times New Roman" w:eastAsia="Times New Roman" w:hAnsi="Times New Roman"/>
          <w:sz w:val="19"/>
          <w:szCs w:val="19"/>
          <w:color w:val="000000"/>
        </w:rPr>
        <w:t>Execution, Authentication and Delivery. The Notes shall be executed on behalf of the Issuer by any of its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Authorized Officers. The signature of any such Authorized Officer on the Notes may be manual or facsimile.</w:t>
      </w:r>
    </w:p>
    <w:p>
      <w:pPr>
        <w:spacing w:after="0" w:line="127" w:lineRule="exact"/>
        <w:rPr>
          <w:sz w:val="20"/>
          <w:szCs w:val="20"/>
          <w:color w:val="auto"/>
        </w:rPr>
      </w:pPr>
    </w:p>
    <w:p>
      <w:pPr>
        <w:jc w:val="both"/>
        <w:ind w:firstLine="1404"/>
        <w:spacing w:after="0" w:line="268" w:lineRule="auto"/>
        <w:rPr>
          <w:sz w:val="20"/>
          <w:szCs w:val="20"/>
          <w:color w:val="auto"/>
        </w:rPr>
      </w:pPr>
      <w:r>
        <w:rPr>
          <w:rFonts w:ascii="Times New Roman" w:cs="Times New Roman" w:eastAsia="Times New Roman" w:hAnsi="Times New Roman"/>
          <w:sz w:val="19"/>
          <w:szCs w:val="19"/>
          <w:color w:val="auto"/>
        </w:rPr>
        <w:t>Notes bearing the manual or facsimile signature of individuals who were at any time Authorized Officers of the Issuer shall bind the Issuer, notwithstanding that such individuals or any of them have ceased to hold such offices prior to the authentication and delivery of such Notes or did not hold such offices at the date of such Notes.</w:t>
      </w:r>
    </w:p>
    <w:p>
      <w:pPr>
        <w:spacing w:after="0" w:line="144" w:lineRule="exact"/>
        <w:rPr>
          <w:sz w:val="20"/>
          <w:szCs w:val="20"/>
          <w:color w:val="auto"/>
        </w:rPr>
      </w:pPr>
    </w:p>
    <w:p>
      <w:pPr>
        <w:ind w:right="24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The Indenture Trustee shall, upon receipt of the Issuer Order, authenticate and deliver the Class A Notes for original issue in an aggregate Note Balance of $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Class B Notes for original issue in an aggregate Note Balance of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the Class C Notes for original issue in an aggregate Note Balance of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the Class D Notes for original issue in an aggregate Note Balance of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and the Class E Notes for original issue in an aggregate Note Balance of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The Notes Outstanding at any time may not exceed such amounts except as provided in Section 2.5.</w:t>
      </w:r>
    </w:p>
    <w:p>
      <w:pPr>
        <w:spacing w:after="0" w:line="154"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The Class A Notes, Class B Notes, Class C Notes, and Class D Notes shall be issuable as registered Notes in a minimum denomination of not less than $10,000 and in integral multiples of $1,000 in excess thereof (except for one Note of each class which may be issued in a</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5" w:name="page306"/>
    <w:bookmarkEnd w:id="305"/>
    <w:p>
      <w:pPr>
        <w:spacing w:after="0" w:line="26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denomination other than an integral multiple of $1,000) The Class E Notes shall be issuable as registered Notes in a minimum denomination of not less than $430,000 and in integral multiples of $1,000 in excess thereof (except for one Note of such Class which may be issued in a denomination other than an integral multiple of $1,000).</w:t>
      </w:r>
    </w:p>
    <w:p>
      <w:pPr>
        <w:spacing w:after="0" w:line="144" w:lineRule="exact"/>
        <w:rPr>
          <w:sz w:val="20"/>
          <w:szCs w:val="20"/>
          <w:color w:val="auto"/>
        </w:rPr>
      </w:pPr>
    </w:p>
    <w:p>
      <w:pPr>
        <w:jc w:val="both"/>
        <w:ind w:right="240" w:firstLine="1404"/>
        <w:spacing w:after="0" w:line="262" w:lineRule="auto"/>
        <w:rPr>
          <w:sz w:val="20"/>
          <w:szCs w:val="20"/>
          <w:color w:val="auto"/>
        </w:rPr>
      </w:pPr>
      <w:r>
        <w:rPr>
          <w:rFonts w:ascii="Times New Roman" w:cs="Times New Roman" w:eastAsia="Times New Roman" w:hAnsi="Times New Roman"/>
          <w:sz w:val="19"/>
          <w:szCs w:val="19"/>
          <w:color w:val="auto"/>
        </w:rPr>
        <w:t>No Note shall be entitled to any benefit under this Indenture or be valid or obligatory for any purpose, unless there appears on such Note a certificate of authentication substantially in the form provided for herein executed by the Indenture Trustee by the manual or facsimile signature of one of its authorized signatories, and such certificate upon any Note shall be conclusive evidence, and the only evidence, that such Note has been duly authenticated and delivered hereunder.</w:t>
      </w:r>
    </w:p>
    <w:p>
      <w:pPr>
        <w:spacing w:after="0" w:line="150"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II.3 </w:t>
      </w:r>
      <w:r>
        <w:rPr>
          <w:rFonts w:ascii="Times New Roman" w:cs="Times New Roman" w:eastAsia="Times New Roman" w:hAnsi="Times New Roman"/>
          <w:sz w:val="19"/>
          <w:szCs w:val="19"/>
          <w:color w:val="000000"/>
        </w:rPr>
        <w:t>Temporary Notes. Pending the preparation of Definitive Notes, the Issuer may execute, and upon receipt of an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Issuer Order the Indenture Trustee shall authenticate and deliver, temporary Notes which are printed, lithographed, typewritten, mimeographed or otherwise produced, of the tenor of the Definitive Notes in lieu of which they are issued and with such variations not inconsistent with the terms of this Indenture as the officers executing such Notes may determine, as evidenced by their execution of such Notes.</w:t>
      </w:r>
    </w:p>
    <w:p>
      <w:pPr>
        <w:spacing w:after="0" w:line="15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If temporary Notes are issued, the Issuer will cause Definitive Notes to be prepared without unreasonable delay. After the preparation of Definitive Notes, the temporary Notes shall be exchangeable for Definitive Notes upon surrender of the temporary Notes at the office or agency of the Issuer to be maintained as provided in Section 3.2, without charge to the Noteholder. Upon surrender for cancellation of any one or more temporary Notes, the Issuer shall execute and the Indenture Trustee shall authenticate and deliver in exchange therefor a like Note Balance of Definitive Notes of authorized denominations. Until so exchanged, the temporary Notes shall in all respects be entitled to the same benefits under this Indenture as Definitive Notes.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II.4  </w:t>
      </w:r>
      <w:r>
        <w:rPr>
          <w:rFonts w:ascii="Times New Roman" w:cs="Times New Roman" w:eastAsia="Times New Roman" w:hAnsi="Times New Roman"/>
          <w:sz w:val="19"/>
          <w:szCs w:val="19"/>
          <w:color w:val="000000"/>
        </w:rPr>
        <w:t>Registration; Registration of Transfer and Exchange.</w:t>
      </w:r>
    </w:p>
    <w:p>
      <w:pPr>
        <w:spacing w:after="0" w:line="202" w:lineRule="exact"/>
        <w:rPr>
          <w:sz w:val="20"/>
          <w:szCs w:val="20"/>
          <w:color w:val="auto"/>
        </w:rPr>
      </w:pPr>
    </w:p>
    <w:p>
      <w:pPr>
        <w:ind w:right="40" w:firstLine="1410"/>
        <w:spacing w:after="0" w:line="259" w:lineRule="auto"/>
        <w:tabs>
          <w:tab w:leader="none" w:pos="1765" w:val="left"/>
        </w:tabs>
        <w:numPr>
          <w:ilvl w:val="0"/>
          <w:numId w:val="22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cause to be kept a register (the "Note Register") in which, subject to such reasonable regulations as it may prescribe, the Issuer shall provide for the registration of Notes and the registration of transfers of Notes. The Indenture Trustee shall be "Note Registrar" for the purpose of registering Notes and transfers of Notes as herein provided. Upon any resignation of any Note Registrar, the Issuer shall promptly appoint a successor or, if it elects not to make such an appointment, assume the duties of Note Registrar.</w:t>
      </w:r>
    </w:p>
    <w:p>
      <w:pPr>
        <w:spacing w:after="0" w:line="154" w:lineRule="exact"/>
        <w:rPr>
          <w:sz w:val="20"/>
          <w:szCs w:val="20"/>
          <w:color w:val="auto"/>
        </w:rPr>
      </w:pPr>
    </w:p>
    <w:p>
      <w:pPr>
        <w:ind w:right="20" w:firstLine="1404"/>
        <w:spacing w:after="0" w:line="256" w:lineRule="auto"/>
        <w:rPr>
          <w:sz w:val="20"/>
          <w:szCs w:val="20"/>
          <w:color w:val="auto"/>
        </w:rPr>
      </w:pPr>
      <w:r>
        <w:rPr>
          <w:rFonts w:ascii="Times New Roman" w:cs="Times New Roman" w:eastAsia="Times New Roman" w:hAnsi="Times New Roman"/>
          <w:sz w:val="19"/>
          <w:szCs w:val="19"/>
          <w:color w:val="auto"/>
        </w:rPr>
        <w:t>If a Person other than the Indenture Trustee is appointed by the Issuer as Note Registrar, the Issuer will give the Indenture Trustee prompt written notice of the appointment of such Note Registrar and of the location, and any change in the location, of the Note Register, and the Indenture Trustee shall have the right to inspect the Note Register at all reasonable times and to obtain copies thereof, and the Indenture Trustee shall have the right to conclusively rely upon a certificate executed on behalf of the Note Registrar by an Executive Officer thereof as to the names and addresses of the Noteholders of the Notes and the Note Balances and number of such Notes. Notwithstanding anything in this Indenture to the contrary, so long as Computershare is acting as Indenture Trustee thereunder, it shall also act as Note Registrar and Note Paying Agent.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6" w:name="page307"/>
    <w:bookmarkEnd w:id="306"/>
    <w:p>
      <w:pPr>
        <w:spacing w:after="0" w:line="269" w:lineRule="exact"/>
        <w:rPr>
          <w:sz w:val="20"/>
          <w:szCs w:val="20"/>
          <w:color w:val="auto"/>
        </w:rPr>
      </w:pPr>
    </w:p>
    <w:p>
      <w:pPr>
        <w:ind w:right="20" w:firstLine="1410"/>
        <w:spacing w:after="0" w:line="259" w:lineRule="auto"/>
        <w:tabs>
          <w:tab w:leader="none" w:pos="1777" w:val="left"/>
        </w:tabs>
        <w:numPr>
          <w:ilvl w:val="0"/>
          <w:numId w:val="22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Subject to Sections 2.10 and 2.12, upon surrender for registration of transfer of any Note at the office or agency of the Issuer to be maintained as provided in Section 3.2, if the requirements of Section 8-401(a) of the UCC are met the Issuer shall execute and upon its request the Indenture Trustee shall authenticate and the Noteholder shall obtain from the Indenture Trustee, in the name of the designated transferee or transferees, one or more new Notes, in any authorized denominations, of the same Class and a like aggregate Note Balance.</w:t>
      </w:r>
    </w:p>
    <w:p>
      <w:pPr>
        <w:spacing w:after="0" w:line="154"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At the option of the Noteholder, Notes may be exchanged for other Notes in any authorized denominations, of the same Class and a like aggregate Note Balance, upon surrender of the Notes to be exchanged at such office or agency. Whenever any Notes are so surrendered for exchange, subject to Sections 2.10 and 2.12, if the requirements of Section 8 -401(a) of the UCC are met the Issuer shall execute and upon its request the Indenture Trustee shall authenticate and the Noteholder shall obtain from the Indenture Trustee, the Notes which the Noteholder making the exchange is entitled to receive.</w:t>
      </w:r>
    </w:p>
    <w:p>
      <w:pPr>
        <w:spacing w:after="0" w:line="154" w:lineRule="exact"/>
        <w:rPr>
          <w:sz w:val="20"/>
          <w:szCs w:val="20"/>
          <w:color w:val="auto"/>
        </w:rPr>
      </w:pPr>
    </w:p>
    <w:p>
      <w:pPr>
        <w:ind w:right="400" w:firstLine="1404"/>
        <w:spacing w:after="0" w:line="268" w:lineRule="auto"/>
        <w:rPr>
          <w:sz w:val="20"/>
          <w:szCs w:val="20"/>
          <w:color w:val="auto"/>
        </w:rPr>
      </w:pPr>
      <w:r>
        <w:rPr>
          <w:rFonts w:ascii="Times New Roman" w:cs="Times New Roman" w:eastAsia="Times New Roman" w:hAnsi="Times New Roman"/>
          <w:sz w:val="19"/>
          <w:szCs w:val="19"/>
          <w:color w:val="auto"/>
        </w:rPr>
        <w:t>All Notes issued upon any registration of transfer or exchange of Notes shall be the valid obligations of the Issuer, evidencing the same debt, and entitled to the same benefits under this Indenture, as the Notes surrendered upon such registration of transfer or exchange.</w:t>
      </w:r>
    </w:p>
    <w:p>
      <w:pPr>
        <w:spacing w:after="0" w:line="14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Every Note presented or surrendered for registration of transfer or exchange shall be (i) duly endorsed by, or be accompanied by a written instrument of transfer in the form attached to Exhibit A, duly executed by, the Holder thereof or such Holder's attorney duly authorized in writing, with such signature guaranteed by an "eligible guarantor institution" meeting the requirements of the Note Registrar which requirements include membership or participation in Securities Transfer Agents Medallion Program ("STAMP") or such other "signature guarantee program" as may be determined by the Note Registrar in addition to, or in substitution for, STAMP, all in accordance with the Exchange Act, and (ii) accompanied by such other documents as the Indenture Trustee may require.</w:t>
      </w:r>
    </w:p>
    <w:p>
      <w:pPr>
        <w:spacing w:after="0" w:line="157" w:lineRule="exact"/>
        <w:rPr>
          <w:sz w:val="20"/>
          <w:szCs w:val="20"/>
          <w:color w:val="auto"/>
        </w:rPr>
      </w:pPr>
    </w:p>
    <w:p>
      <w:pPr>
        <w:ind w:right="80" w:firstLine="1404"/>
        <w:spacing w:after="0" w:line="262" w:lineRule="auto"/>
        <w:rPr>
          <w:sz w:val="20"/>
          <w:szCs w:val="20"/>
          <w:color w:val="auto"/>
        </w:rPr>
      </w:pPr>
      <w:r>
        <w:rPr>
          <w:rFonts w:ascii="Times New Roman" w:cs="Times New Roman" w:eastAsia="Times New Roman" w:hAnsi="Times New Roman"/>
          <w:sz w:val="19"/>
          <w:szCs w:val="19"/>
          <w:color w:val="auto"/>
        </w:rPr>
        <w:t>No service charge shall be made to a Noteholder for any registration of transfer or exchange of Notes, but the Indenture Trustee or the Note Registrar may require payment of a sum sufficient to cover any tax or other governmental charge that may be imposed in connection with any registration of transfer or exchange of Notes, other than exchanges pursuant to Section 2.3 not involving any transfer.</w:t>
      </w:r>
    </w:p>
    <w:p>
      <w:pPr>
        <w:spacing w:after="0" w:line="150"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The preceding provisions of this Section notwithstanding, the Issuer shall not be required to make and the Note Registrar shall not register transfers or exchanges of Notes selected for redemption or of any Note for a period of ten days preceding the due date for any payment with respect to the Note.</w:t>
      </w:r>
    </w:p>
    <w:p>
      <w:pPr>
        <w:spacing w:after="0" w:line="144" w:lineRule="exact"/>
        <w:rPr>
          <w:sz w:val="20"/>
          <w:szCs w:val="20"/>
          <w:color w:val="auto"/>
        </w:rPr>
      </w:pPr>
    </w:p>
    <w:p>
      <w:pPr>
        <w:ind w:right="80" w:firstLine="1410"/>
        <w:spacing w:after="0" w:line="259" w:lineRule="auto"/>
        <w:tabs>
          <w:tab w:leader="none" w:pos="1765" w:val="left"/>
        </w:tabs>
        <w:numPr>
          <w:ilvl w:val="0"/>
          <w:numId w:val="22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Notes have not been registered under the Securities Act or under the securities laws of any State. No transfer of any Notes or any interest therein will be made unless such transfer is made pursuant to an effective registration statement under the Securities Act and effective registration or qualification under applicable State securities laws or is made in a transaction that does not require such registration or qualification. None of the Issuer, the Servicer, the Indenture Trustee or any Person has any obligation to register the Notes under the Securities Act or under any State securities laws.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7" w:name="page308"/>
    <w:bookmarkEnd w:id="307"/>
    <w:p>
      <w:pPr>
        <w:spacing w:after="0" w:line="269"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Until such time, if ever, as the Notes are registered pursuant to a registration statement filed under the Securities Act, each Note will bear a legend substantially to the effect set forth on the form of the Note attached as Exhibit A.</w:t>
      </w:r>
    </w:p>
    <w:p>
      <w:pPr>
        <w:spacing w:after="0" w:line="127"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 xml:space="preserve">No Note, or beneficial interest in a Note, may be resold, pledged or transferred (including by pledges or hypothecation) unless such sale or transfer is (1) to the Issuer or its Affiliates (upon redemption thereof or otherwise), (2) to any Person the transferor reasonably believes is a QIB in a transaction meeting the requirements of Rule 144A and who is purchasing for its own account (and not for the account of others), or (3) pursuant to an exemption from the registration requirements of the Securities Act and in any case, in accordance with any applicable securities laws or "Blue Sky" laws of any State of the United States or any other jurisdiction. When a request to register a transfer or exchange of Book-Entry Notes is presented to the Note Registrar or co-registrar or, in the case of Definitive Notes, when Definitive Notes of any particular Class are presented to the Note Registrar with a request to register a transfer or to exchange them for an equal Note Balance of Notes of other authorized denominations of the same Class, the Registrar shall register the transfer or make the exchange if its requirements for such transaction are met;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Definitive Notes surrendered for transfer or exchange shall be duly endorsed or accompanied by a written instrument of transfer in form satisfactory to the Issuer and the Note Registrar, duly executed by the holder thereof or its attorney, duly authorized in writing. In the event that a Book-Entry Note is exchanged for Definitive Notes, or Notes are otherwise issued in definitive registered form without interest coupons, pursuant to Section 2.12, such Notes may be exchanged or transferred for one another pursuant to any requirements as may be from time to time adopted by the Issuer and the Indenture Trustee. If a transfer of any Definitive Note is to be made without registration under the Securities Act, then the Note Registrar will be required to refuse to register such transfer unless it receives such certifications as may be required by the Issuer.</w:t>
      </w:r>
    </w:p>
    <w:p>
      <w:pPr>
        <w:spacing w:after="0" w:line="400" w:lineRule="exact"/>
        <w:rPr>
          <w:sz w:val="20"/>
          <w:szCs w:val="20"/>
          <w:color w:val="auto"/>
        </w:rPr>
      </w:pPr>
    </w:p>
    <w:p>
      <w:pPr>
        <w:ind w:right="160" w:firstLine="1410"/>
        <w:spacing w:after="0" w:line="286" w:lineRule="auto"/>
        <w:tabs>
          <w:tab w:leader="none" w:pos="1777" w:val="left"/>
        </w:tabs>
        <w:numPr>
          <w:ilvl w:val="0"/>
          <w:numId w:val="23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Prior to any sale or transfer of Book-Entry Notes to any Person, each prospective purchaser of the Notes shall be deemed to have represented and agreed (or, if the Notes are issued as Definitive Notes, will represent and agree in writing) as follows:</w:t>
      </w:r>
    </w:p>
    <w:p>
      <w:pPr>
        <w:spacing w:after="0" w:line="127" w:lineRule="exact"/>
        <w:rPr>
          <w:rFonts w:ascii="Times New Roman" w:cs="Times New Roman" w:eastAsia="Times New Roman" w:hAnsi="Times New Roman"/>
          <w:sz w:val="19"/>
          <w:szCs w:val="19"/>
          <w:color w:val="1F3763"/>
        </w:rPr>
      </w:pPr>
    </w:p>
    <w:p>
      <w:pPr>
        <w:ind w:right="80" w:firstLine="2119"/>
        <w:spacing w:after="0" w:line="259" w:lineRule="auto"/>
        <w:tabs>
          <w:tab w:leader="none" w:pos="2481"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(A)(i) a "qualified institutional buyer" within the meaning of Rule 144A purchasing for its own account or for the account of another qualified institutional buyer or (ii) only in connection with the initial sales of the Notes, an institutional "accredited investor" within the meaning of Rule 501(a)(1), (2), (3) or (7) purchasing for its own account and (B) aware that the sale of the Notes to it is being made in reliance on Rule 144A or another exemption from the registration requirements of the Securities Act.</w:t>
      </w:r>
    </w:p>
    <w:p>
      <w:pPr>
        <w:spacing w:after="0" w:line="153" w:lineRule="exact"/>
        <w:rPr>
          <w:rFonts w:ascii="Times New Roman" w:cs="Times New Roman" w:eastAsia="Times New Roman" w:hAnsi="Times New Roman"/>
          <w:sz w:val="19"/>
          <w:szCs w:val="19"/>
          <w:color w:val="auto"/>
        </w:rPr>
      </w:pPr>
    </w:p>
    <w:p>
      <w:pPr>
        <w:ind w:right="60" w:firstLine="2119"/>
        <w:spacing w:after="0" w:line="256" w:lineRule="auto"/>
        <w:tabs>
          <w:tab w:leader="none" w:pos="2481"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understands that (A) the Notes have not been and will not be registered under the Securities Act or registered or qualified under any applicable State securities laws, (B) none of the Issuer, the Indenture Trustee, the Initial Purchasers, the Note Registrar nor any other entity is obligated to register or qualify the Notes and (C) no interest in the Notes may be reoffered, resold, pledged or otherwise transferred unless (i) such Notes are registered pursuant to the Securities Act and registered or qualified pursuant to any applicable State securities laws or (ii) such interest is reoffered, resold, pledged or otherwise transferred (1) to a Person whom the holder desiring to effect such transfer reasonably believes is a QIB in a transaction meeting the requirements of Rule 144A purchasing for its own account or the account of a QIB, whom the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8" w:name="page309"/>
    <w:bookmarkEnd w:id="308"/>
    <w:p>
      <w:pPr>
        <w:spacing w:after="0" w:line="26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color w:val="auto"/>
        </w:rPr>
        <w:t>holder has informed that the reoffer, resale, pledge or other transfer is being made in reliance on Rule 144A, or (2) to the Issuer and its Affiliates.</w:t>
      </w:r>
    </w:p>
    <w:p>
      <w:pPr>
        <w:spacing w:after="0" w:line="127" w:lineRule="exact"/>
        <w:rPr>
          <w:sz w:val="20"/>
          <w:szCs w:val="20"/>
          <w:color w:val="auto"/>
        </w:rPr>
      </w:pPr>
    </w:p>
    <w:p>
      <w:pPr>
        <w:ind w:firstLine="2119"/>
        <w:spacing w:after="0" w:line="253" w:lineRule="auto"/>
        <w:tabs>
          <w:tab w:leader="none" w:pos="2481"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sale or other transfer of a Class A Note, Class B Note, Class C Note, or Class D Note (or any interest therein), either (a) it is not and will not become (i) an "employee benefit plan" (as defined in Section 3(3) of ERISA) that is subject to Title I of ERISA, (ii) a "plan" (as defined in Section 4975(e)(1) of the Code) that is subject to Section 4975 of the Code, (iii) an entity whose underlying assets are considered to include assets of an employee benefit plan or plan described in (i) or (ii) above (each, a "Benefit Plan Entity"), (iv) an entity that is subject to any federal, State, local or non-U.S. laws or regulations that are substantially similar to Part 4 of Title I of ERISA or Section 4975 of the Code (each, a "Similar Law") or (v) any person who is directly or indirectly purchasing, holding or disposing such Notes or any interest therein on behalf of, as fiduciary of, as trustee of, or with assets of, any Benefit Plan Entity or any entity that is subject to a Similar Law or (ii) its acquisition, holding and disposition of such Note or any interest therein will not result in a non-exempt prohibited transaction under Section 406 of ERISA or Section 4975 of the Code or a violation of any applicable Similar Law. In the case of any sale or other transfer of a Class E Note (or any interest therein), it is not and will not become (i) a Benefit Plan Entity, (ii) an entity that is subject to a Similar Law or (iii) any person who is directly or indirectly purchasing, holding or disposing such Note or any interest therein on behalf of, as fiduciary of, as trustee of, or with assets of, any Benefit Plan Entity or any entity that is subject to any Similar Law.</w:t>
      </w:r>
    </w:p>
    <w:p>
      <w:pPr>
        <w:spacing w:after="0" w:line="162" w:lineRule="exact"/>
        <w:rPr>
          <w:rFonts w:ascii="Times New Roman" w:cs="Times New Roman" w:eastAsia="Times New Roman" w:hAnsi="Times New Roman"/>
          <w:sz w:val="19"/>
          <w:szCs w:val="19"/>
          <w:color w:val="auto"/>
        </w:rPr>
      </w:pPr>
    </w:p>
    <w:p>
      <w:pPr>
        <w:ind w:right="360" w:firstLine="2119"/>
        <w:spacing w:after="0" w:line="286" w:lineRule="auto"/>
        <w:tabs>
          <w:tab w:leader="none" w:pos="2481"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understands that such Book-Entry Notes will bear legends in the form set forth on Exhibit A to this Indenture, unless the Issuer determines otherwise in accordance with the Indenture and in compliance with applicable law.</w:t>
      </w:r>
    </w:p>
    <w:p>
      <w:pPr>
        <w:spacing w:after="0" w:line="127" w:lineRule="exact"/>
        <w:rPr>
          <w:rFonts w:ascii="Times New Roman" w:cs="Times New Roman" w:eastAsia="Times New Roman" w:hAnsi="Times New Roman"/>
          <w:sz w:val="19"/>
          <w:szCs w:val="19"/>
          <w:color w:val="auto"/>
        </w:rPr>
      </w:pPr>
    </w:p>
    <w:p>
      <w:pPr>
        <w:ind w:left="2480" w:hanging="361"/>
        <w:spacing w:after="0"/>
        <w:tabs>
          <w:tab w:leader="none" w:pos="2480"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been furnished with all information regarding (a) the Book-Entry Notes and distributions thereon,</w:t>
      </w:r>
    </w:p>
    <w:p>
      <w:pPr>
        <w:spacing w:after="0" w:line="31"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Indenture, and (c) all related matters, in each case that it has requested.</w:t>
      </w:r>
    </w:p>
    <w:p>
      <w:pPr>
        <w:spacing w:after="0" w:line="180" w:lineRule="exact"/>
        <w:rPr>
          <w:sz w:val="20"/>
          <w:szCs w:val="20"/>
          <w:color w:val="auto"/>
        </w:rPr>
      </w:pPr>
    </w:p>
    <w:p>
      <w:pPr>
        <w:ind w:right="80" w:firstLine="1404"/>
        <w:spacing w:after="0" w:line="262" w:lineRule="auto"/>
        <w:rPr>
          <w:sz w:val="20"/>
          <w:szCs w:val="20"/>
          <w:color w:val="auto"/>
        </w:rPr>
      </w:pPr>
      <w:r>
        <w:rPr>
          <w:rFonts w:ascii="Times New Roman" w:cs="Times New Roman" w:eastAsia="Times New Roman" w:hAnsi="Times New Roman"/>
          <w:sz w:val="19"/>
          <w:szCs w:val="19"/>
          <w:color w:val="auto"/>
        </w:rPr>
        <w:t>Prospective transferors of the Notes, and prospective transferees of the Notes, may request from the Issuer information regarding the Issuer, the Servicer and the Receivables. Within five Business Days of any such request, the Issuer will deliver to any such prospective transferor or transferee such information as the Issuer determines may be required to comply with Rule 144A and any interpretation thereof.</w:t>
      </w:r>
    </w:p>
    <w:p>
      <w:pPr>
        <w:spacing w:after="0" w:line="150" w:lineRule="exact"/>
        <w:rPr>
          <w:sz w:val="20"/>
          <w:szCs w:val="20"/>
          <w:color w:val="auto"/>
        </w:rPr>
      </w:pPr>
    </w:p>
    <w:p>
      <w:pPr>
        <w:ind w:right="180" w:firstLine="1410"/>
        <w:spacing w:after="0" w:line="262" w:lineRule="auto"/>
        <w:tabs>
          <w:tab w:leader="none" w:pos="1765" w:val="left"/>
        </w:tabs>
        <w:numPr>
          <w:ilvl w:val="0"/>
          <w:numId w:val="23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Notes and related documentation may be amended or supplemented from time to time in accordance with Section 9.1 of this Indenture to modify the restrictions on, and procedures for, resales and other transfers of the Notes to reflect any change in applicable law or regulation (or the interpretation thereof). Each Noteholder will be deemed, by the acceptance of such Note, to have agreed to any such amendment or supplement.</w:t>
      </w:r>
    </w:p>
    <w:p>
      <w:pPr>
        <w:spacing w:after="0" w:line="150"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II.5 </w:t>
      </w:r>
      <w:r>
        <w:rPr>
          <w:rFonts w:ascii="Times New Roman" w:cs="Times New Roman" w:eastAsia="Times New Roman" w:hAnsi="Times New Roman"/>
          <w:sz w:val="19"/>
          <w:szCs w:val="19"/>
          <w:color w:val="000000"/>
        </w:rPr>
        <w:t>Mutilated, Destroyed, Lost or Stolen Notes. If (i) any mutilated Note is surrendered to the Indenture Trustee,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Indenture Trustee receives evidence to its satisfaction of the destruction, loss or theft of any Note, and (ii) there is delivered to the Indenture Trustee such security, surety bond or indemnity as may be required by it to hold the Issuer and the Indenture Trustee harmless, then, in the absence of notice to the Issuer, the Note Registrar or the</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309" w:name="page310"/>
    <w:bookmarkEnd w:id="309"/>
    <w:p>
      <w:pPr>
        <w:spacing w:after="0" w:line="2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 xml:space="preserve">Indenture Trustee that such Note has been acquired by a Protected Purchaser, and provided that the requirements of Section 8-405 of the UCC are met, the Issuer shall execute and upon its request the Indenture Trustee shall authenticate and deliver, in exchange for or in lieu of any such mutilated, destroyed, lost or stolen Note, a replacement Note;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any such destroyed, lost or stolen Note, but not a mutilated Note, shall have become or within seven days shall be due and payable, or shall have been called for redemption, instead of issuing a replacement Note, the Issuer may direct the Indenture Trustee, in writing, to pay such destroyed, lost or stolen Note when so due or payable or upon the Redemption Date, without surrender thereof. If, after the delivery of such replacement Note or payment of a destroyed, lost or stolen Note pursuant to the proviso to the preceding sentence, a Protected Purchaser of the original Note in lieu of which such replacement Note was issued presents for payment such original Note, the Issuer and the Indenture Trustee shall be entitled to recover such replacement Note (or such payment) from the Person to whom it was delivered or any Person taking such replacement Note from such Person to whom such replacement Note was delivered or any assignee of such Person, except a Protected Purchaser, and shall be entitled to recover upon the security or indemnity provided therefor to the extent of any loss, damage, cost or expense incurred by the Issuer or the Indenture Trustee in connection therewith.</w:t>
      </w:r>
    </w:p>
    <w:p>
      <w:pPr>
        <w:spacing w:after="0" w:line="165" w:lineRule="exact"/>
        <w:rPr>
          <w:sz w:val="20"/>
          <w:szCs w:val="20"/>
          <w:color w:val="auto"/>
        </w:rPr>
      </w:pPr>
    </w:p>
    <w:p>
      <w:pPr>
        <w:ind w:right="240" w:firstLine="1404"/>
        <w:spacing w:after="0" w:line="268" w:lineRule="auto"/>
        <w:rPr>
          <w:sz w:val="20"/>
          <w:szCs w:val="20"/>
          <w:color w:val="auto"/>
        </w:rPr>
      </w:pPr>
      <w:r>
        <w:rPr>
          <w:rFonts w:ascii="Times New Roman" w:cs="Times New Roman" w:eastAsia="Times New Roman" w:hAnsi="Times New Roman"/>
          <w:sz w:val="19"/>
          <w:szCs w:val="19"/>
          <w:color w:val="auto"/>
        </w:rPr>
        <w:t>Upon the issuance of any replacement Note under this Section, the Issuer may require the payment by the Holder of such Note of a sum sufficient to cover any tax or other governmental charge that may be imposed in relation thereto and any other reasonable expenses (including the fees and expenses of the Indenture Trustee) connected therewith.</w:t>
      </w:r>
    </w:p>
    <w:p>
      <w:pPr>
        <w:spacing w:after="0" w:line="144"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Every replacement Note issued pursuant to this Section in replacement of any mutilated, destroyed, lost or stolen Note shall constitute an original additional contractual obligation of the Issuer, whether or not the mutilated, destroyed, lost or stolen Note shall be at any time enforceable by anyone, and shall be entitled to all the benefits of this Indenture equally and proportionately with any and all other Notes duly issued hereunder.</w:t>
      </w:r>
    </w:p>
    <w:p>
      <w:pPr>
        <w:spacing w:after="0" w:line="150"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The provisions of this Section are exclusive and shall preclude (to the extent lawful) all other rights and remedies with respect to the replacement or payment of mutilated, destroyed, lost or stolen Notes.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II.6  </w:t>
      </w:r>
      <w:r>
        <w:rPr>
          <w:rFonts w:ascii="Times New Roman" w:cs="Times New Roman" w:eastAsia="Times New Roman" w:hAnsi="Times New Roman"/>
          <w:sz w:val="19"/>
          <w:szCs w:val="19"/>
          <w:color w:val="000000"/>
        </w:rPr>
        <w:t>Persons Deemed Owner.</w:t>
      </w:r>
    </w:p>
    <w:p>
      <w:pPr>
        <w:spacing w:after="0" w:line="202" w:lineRule="exact"/>
        <w:rPr>
          <w:sz w:val="20"/>
          <w:szCs w:val="20"/>
          <w:color w:val="auto"/>
        </w:rPr>
      </w:pPr>
    </w:p>
    <w:p>
      <w:pPr>
        <w:ind w:firstLine="1410"/>
        <w:spacing w:after="0" w:line="259" w:lineRule="auto"/>
        <w:tabs>
          <w:tab w:leader="none" w:pos="1765" w:val="left"/>
        </w:tabs>
        <w:numPr>
          <w:ilvl w:val="0"/>
          <w:numId w:val="23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Prior to due presentment for registration of transfer of any Note, the Issuer, the Indenture Trustee and any agent of the Issuer or the Indenture Trustee may treat the Person in whose name any Note is registered (as of the Record Date) as the owner of such Note for the purpose of receiving payments of principal of and interest, if any on such Note and for all other purposes whatsoever, whether or not such Note be overdue, and none of the Issuer, the Indenture Trustee nor any agent of the Issuer or the Indenture Trustee shall be affected by notice to the contrary.</w:t>
      </w:r>
    </w:p>
    <w:p>
      <w:pPr>
        <w:spacing w:after="0" w:line="153" w:lineRule="exact"/>
        <w:rPr>
          <w:rFonts w:ascii="Times New Roman" w:cs="Times New Roman" w:eastAsia="Times New Roman" w:hAnsi="Times New Roman"/>
          <w:sz w:val="19"/>
          <w:szCs w:val="19"/>
          <w:color w:val="1F3763"/>
        </w:rPr>
      </w:pPr>
    </w:p>
    <w:p>
      <w:pPr>
        <w:ind w:right="300" w:firstLine="1410"/>
        <w:spacing w:after="0" w:line="268" w:lineRule="auto"/>
        <w:tabs>
          <w:tab w:leader="none" w:pos="1777" w:val="left"/>
        </w:tabs>
        <w:numPr>
          <w:ilvl w:val="0"/>
          <w:numId w:val="23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under the terms of this Indenture, it is necessary to determine whether any Person is a Note Owner, the Indenture Trustee will be required to make such determination based on a certificate of such Person which will specify, in reasonable detail satisfactory to the Indenture Trustee, the Class and Outstanding Amount of the Book-Entry Note beneficially owned,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10" w:name="page311"/>
    <w:bookmarkEnd w:id="310"/>
    <w:p>
      <w:pPr>
        <w:spacing w:after="0" w:line="26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 xml:space="preserve">the value of such Person's interest in such Book-Entry Note and any intermediaries through which such Person's interest in such Book-Entry Note is held;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Indenture Trustee is not to knowingly recognize such Person as a Note Owner if such Person, to the knowledge of a Responsible Officer of the Indenture Trustee, acquired its interest in a Book-Entry Note in violation of the transfer requirements set forth in Section 2.4(d), or if such Person's certification that it is a Note Owner is in direct conflict with information obtained by the Indenture Trustee from the Clearing Agency and/or the Clearing Agency Participants with respect to the identity of such Note Owner.</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II.7  </w:t>
      </w:r>
      <w:r>
        <w:rPr>
          <w:rFonts w:ascii="Times New Roman" w:cs="Times New Roman" w:eastAsia="Times New Roman" w:hAnsi="Times New Roman"/>
          <w:sz w:val="19"/>
          <w:szCs w:val="19"/>
          <w:color w:val="000000"/>
        </w:rPr>
        <w:t>Payment of Principal and Interest; Defaulted Interest.</w:t>
      </w:r>
    </w:p>
    <w:p>
      <w:pPr>
        <w:spacing w:after="0" w:line="202" w:lineRule="exact"/>
        <w:rPr>
          <w:sz w:val="20"/>
          <w:szCs w:val="20"/>
          <w:color w:val="auto"/>
        </w:rPr>
      </w:pPr>
    </w:p>
    <w:p>
      <w:pPr>
        <w:ind w:right="60" w:firstLine="1410"/>
        <w:spacing w:after="0" w:line="254" w:lineRule="auto"/>
        <w:tabs>
          <w:tab w:leader="none" w:pos="1765" w:val="left"/>
        </w:tabs>
        <w:numPr>
          <w:ilvl w:val="0"/>
          <w:numId w:val="23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Notes shall accrue interest as provided in the form of Note set forth in Exhibit A, and such interest shall be due and payable on each Distribution Date, as specified therein. Any installment of interest or principal, if any, payable on any Note which is punctually paid or duly provided for by the Issuer on the applicable Distribution Date shall be paid to the Person in whose name such Note (or one or more Predecessor Notes) is registered on the Record Date, by check mailed first-class, postage prepaid, to such Person's address as it appears on the Note Register on such Record Date, except that, unless Definitive Notes have been issued pursuant to Section 2.12, with respect to Notes registered on the Record Date in the name of the Clearing Agency or its nominee, payment will be made by wire transfer in immediately available funds to the account designated by such Clearing Agency nominee and except for the final installment of principal payable with respect to such Note on a Distribution Date or on the Final Scheduled Distribution Date for such Class of Notes (and except for the Redemption Price for any Note called for redemption pursuant to Section 10.1(a)) which shall be payable as provided herein.</w:t>
      </w:r>
    </w:p>
    <w:p>
      <w:pPr>
        <w:spacing w:after="0" w:line="160" w:lineRule="exact"/>
        <w:rPr>
          <w:rFonts w:ascii="Times New Roman" w:cs="Times New Roman" w:eastAsia="Times New Roman" w:hAnsi="Times New Roman"/>
          <w:sz w:val="19"/>
          <w:szCs w:val="19"/>
          <w:color w:val="1F3763"/>
        </w:rPr>
      </w:pPr>
    </w:p>
    <w:p>
      <w:pPr>
        <w:ind w:firstLine="1410"/>
        <w:spacing w:after="0" w:line="254" w:lineRule="auto"/>
        <w:tabs>
          <w:tab w:leader="none" w:pos="1777" w:val="left"/>
        </w:tabs>
        <w:numPr>
          <w:ilvl w:val="0"/>
          <w:numId w:val="23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principal of each Note shall be payable in installments on each Distribution Date as provided in the form of Note, set forth in Exhibit A. Notwithstanding the foregoing, the entire unpaid Note Balance of the Notes shall be due and payable, if not previously paid, on the date on which an Event of Default shall have occurred and be continuing, if the Indenture Trustee, if so directed in writing by the Majority Noteholders, shall declare the Notes to be immediately due and payable in the manner provided in Section 5.2. All principal payments on each Class of Notes shall be made pro rata to the Noteholders of such Class entitled thereto. Upon written notice from the Issuer, the Indenture Trustee shall notify the Person in whose name a Note is registered at the close of business on the Record Date preceding the Distribution Date on which the Issuer expects that the final installment of principal of and interest on such Note will be paid. Such notice shall be mailed or transmitted by facsimile prior to such final Distribution Date and shall specify that such final installment will be payable only upon presentation and surrender of such Note and shall specify the place where such Note may be presented and surrendered for payment of such installment. Notices in connection with redemptions of Notes shall be mailed to Noteholders as provided in Section 10.2.</w:t>
      </w:r>
    </w:p>
    <w:p>
      <w:pPr>
        <w:spacing w:after="0" w:line="157" w:lineRule="exact"/>
        <w:rPr>
          <w:rFonts w:ascii="Times New Roman" w:cs="Times New Roman" w:eastAsia="Times New Roman" w:hAnsi="Times New Roman"/>
          <w:sz w:val="19"/>
          <w:szCs w:val="19"/>
          <w:color w:val="1F3763"/>
        </w:rPr>
      </w:pPr>
    </w:p>
    <w:p>
      <w:pPr>
        <w:ind w:right="120" w:firstLine="1410"/>
        <w:spacing w:after="0" w:line="268" w:lineRule="auto"/>
        <w:tabs>
          <w:tab w:leader="none" w:pos="1765" w:val="left"/>
        </w:tabs>
        <w:numPr>
          <w:ilvl w:val="0"/>
          <w:numId w:val="23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the Issuer defaults in a payment of interest on the Notes, the Issuer shall pay defaulted interest (plus interest on such defaulted interest to the extent lawful) at the applicable Interest Rate in any lawful manner. The Issuer may pay such defaulted interest to the Persons who are Noteholders on the immediately following Distribution Date.</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1" w:name="page312"/>
    <w:bookmarkEnd w:id="311"/>
    <w:p>
      <w:pPr>
        <w:spacing w:after="0" w:line="269"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color w:val="2F5496"/>
        </w:rPr>
        <w:t xml:space="preserve">SECTION II.8 </w:t>
      </w:r>
      <w:r>
        <w:rPr>
          <w:rFonts w:ascii="Times New Roman" w:cs="Times New Roman" w:eastAsia="Times New Roman" w:hAnsi="Times New Roman"/>
          <w:sz w:val="19"/>
          <w:szCs w:val="19"/>
          <w:color w:val="000000"/>
        </w:rPr>
        <w:t>Cancellation. All Notes surrendered for payment, registration of transfer, exchange or redemption shall, if</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surrendered to any Person other than the Indenture Trustee, be delivered to the Indenture Trustee and shall be promptly canceled by the Indenture Trustee. The Issuer may at any time deliver to the Indenture Trustee for cancellation any Notes previously authenticated and delivered hereunder which the Issuer may have acquired in any manner whatsoever, and all Notes so delivered shall be promptly canceled by the Indenture Trustee. No Notes shall be authenticated in lieu of or in exchange for any Notes canceled as provided in this Section, except as expressly permitted by this Indenture. All canceled Notes may be held or disposed of by the Indenture Trustee in accordance with its standard retention or disposal policy as in effect at the time unless the Issuer shall timely direct by an Issuer Order that they be destroyed or returned to it;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that such Issuer Order is timely and the Notes have not been previously disposed of by the Indenture Trustee.</w:t>
      </w:r>
    </w:p>
    <w:p>
      <w:pPr>
        <w:spacing w:after="0" w:line="155" w:lineRule="exact"/>
        <w:rPr>
          <w:sz w:val="20"/>
          <w:szCs w:val="20"/>
          <w:color w:val="auto"/>
        </w:rPr>
      </w:pPr>
    </w:p>
    <w:p>
      <w:pPr>
        <w:ind w:right="40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II.9 </w:t>
      </w:r>
      <w:r>
        <w:rPr>
          <w:rFonts w:ascii="Times New Roman" w:cs="Times New Roman" w:eastAsia="Times New Roman" w:hAnsi="Times New Roman"/>
          <w:sz w:val="19"/>
          <w:szCs w:val="19"/>
          <w:color w:val="000000"/>
        </w:rPr>
        <w:t>Release of Collateral. The Indenture Trustee shall not release any portion of the Trust Estate from the lien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created by this Indenture except in accordance with Sections 8.2 and 10.1.</w:t>
      </w:r>
    </w:p>
    <w:p>
      <w:pPr>
        <w:spacing w:after="0" w:line="127" w:lineRule="exact"/>
        <w:rPr>
          <w:sz w:val="20"/>
          <w:szCs w:val="20"/>
          <w:color w:val="auto"/>
        </w:rPr>
      </w:pPr>
    </w:p>
    <w:p>
      <w:pPr>
        <w:ind w:right="18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II.10 </w:t>
      </w:r>
      <w:r>
        <w:rPr>
          <w:rFonts w:ascii="Times New Roman" w:cs="Times New Roman" w:eastAsia="Times New Roman" w:hAnsi="Times New Roman"/>
          <w:sz w:val="19"/>
          <w:szCs w:val="19"/>
          <w:color w:val="000000"/>
        </w:rPr>
        <w:t>Book-Entry Notes. The Notes, upon original issuance, will be issued in the form of typewritten Notes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representing the Book -Entry Notes, to be delivered to The Depository Trust Company, the initial Clearing Agency, by, or on behalf of, the Issuer. The Notes shall be represented by a global note for such Class, which shall be deposited with the Indenture Trustee as custodian for the initial Clearing Agency and registered in the name of Cede &amp; Co. as nominee of the initial Clearing Agency.</w:t>
      </w:r>
    </w:p>
    <w:p>
      <w:pPr>
        <w:spacing w:after="0" w:line="150" w:lineRule="exact"/>
        <w:rPr>
          <w:sz w:val="20"/>
          <w:szCs w:val="20"/>
          <w:color w:val="auto"/>
        </w:rPr>
      </w:pPr>
    </w:p>
    <w:p>
      <w:pPr>
        <w:ind w:right="500" w:firstLine="1404"/>
        <w:spacing w:after="0" w:line="268" w:lineRule="auto"/>
        <w:rPr>
          <w:sz w:val="20"/>
          <w:szCs w:val="20"/>
          <w:color w:val="auto"/>
        </w:rPr>
      </w:pPr>
      <w:r>
        <w:rPr>
          <w:rFonts w:ascii="Times New Roman" w:cs="Times New Roman" w:eastAsia="Times New Roman" w:hAnsi="Times New Roman"/>
          <w:sz w:val="19"/>
          <w:szCs w:val="19"/>
          <w:color w:val="auto"/>
        </w:rPr>
        <w:t>No Note Owner will receive a Definitive Note representing such Note Owner's interest in such Note, except as provided in Section 2.12. With respect to the Book -Entry Notes, unless and until definitive, fully registered Notes (the "Definitive Notes") have been issued to Note Owners pursuant to Section 2.12:</w:t>
      </w:r>
    </w:p>
    <w:p>
      <w:pPr>
        <w:spacing w:after="0" w:line="144" w:lineRule="exact"/>
        <w:rPr>
          <w:sz w:val="20"/>
          <w:szCs w:val="20"/>
          <w:color w:val="auto"/>
        </w:rPr>
      </w:pPr>
    </w:p>
    <w:p>
      <w:pPr>
        <w:ind w:left="1880" w:hanging="326"/>
        <w:spacing w:after="0"/>
        <w:tabs>
          <w:tab w:leader="none" w:pos="1880" w:val="left"/>
        </w:tabs>
        <w:numPr>
          <w:ilvl w:val="0"/>
          <w:numId w:val="2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provisions of this Section shall be in full force and effect;</w:t>
      </w:r>
    </w:p>
    <w:p>
      <w:pPr>
        <w:spacing w:after="0" w:line="201" w:lineRule="exact"/>
        <w:rPr>
          <w:rFonts w:ascii="Times New Roman" w:cs="Times New Roman" w:eastAsia="Times New Roman" w:hAnsi="Times New Roman"/>
          <w:sz w:val="19"/>
          <w:szCs w:val="19"/>
          <w:color w:val="1F3763"/>
        </w:rPr>
      </w:pPr>
    </w:p>
    <w:p>
      <w:pPr>
        <w:jc w:val="both"/>
        <w:ind w:left="800" w:right="80" w:firstLine="754"/>
        <w:spacing w:after="0" w:line="268" w:lineRule="auto"/>
        <w:tabs>
          <w:tab w:leader="none" w:pos="1940" w:val="left"/>
        </w:tabs>
        <w:numPr>
          <w:ilvl w:val="0"/>
          <w:numId w:val="2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Note Registrar and the Indenture Trustee shall be entitled to deal with the Clearing Agency for all purposes of this Indenture (including the payment of principal of and interest on the Book-Entry Notes and the giving of instructions or directions hereunder) as the sole Holder of the Book-Entry Notes, and shall have no obligation to the Note Owners;</w:t>
      </w:r>
    </w:p>
    <w:p>
      <w:pPr>
        <w:spacing w:after="0" w:line="144" w:lineRule="exact"/>
        <w:rPr>
          <w:rFonts w:ascii="Times New Roman" w:cs="Times New Roman" w:eastAsia="Times New Roman" w:hAnsi="Times New Roman"/>
          <w:sz w:val="19"/>
          <w:szCs w:val="19"/>
          <w:color w:val="1F3763"/>
        </w:rPr>
      </w:pPr>
    </w:p>
    <w:p>
      <w:pPr>
        <w:ind w:left="800" w:right="800" w:firstLine="754"/>
        <w:spacing w:after="0" w:line="286" w:lineRule="auto"/>
        <w:tabs>
          <w:tab w:leader="none" w:pos="1892" w:val="left"/>
        </w:tabs>
        <w:numPr>
          <w:ilvl w:val="0"/>
          <w:numId w:val="2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extent that the provisions of this Section conflict with any other provisions of this Indenture, the provisions of this Section shall control;</w:t>
      </w:r>
    </w:p>
    <w:p>
      <w:pPr>
        <w:spacing w:after="0" w:line="127" w:lineRule="exact"/>
        <w:rPr>
          <w:rFonts w:ascii="Times New Roman" w:cs="Times New Roman" w:eastAsia="Times New Roman" w:hAnsi="Times New Roman"/>
          <w:sz w:val="19"/>
          <w:szCs w:val="19"/>
          <w:color w:val="1F3763"/>
        </w:rPr>
      </w:pPr>
    </w:p>
    <w:p>
      <w:pPr>
        <w:ind w:left="800" w:firstLine="754"/>
        <w:spacing w:after="0" w:line="259" w:lineRule="auto"/>
        <w:tabs>
          <w:tab w:leader="none" w:pos="1880" w:val="left"/>
        </w:tabs>
        <w:numPr>
          <w:ilvl w:val="0"/>
          <w:numId w:val="2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rights of Note Owners shall be exercised only through the Clearing Agency and shall be limited to those established by law and agreements between such Note Owners and the Clearing Agency and/or the Clearing Agency Participants, unless and until Definitive Notes are issued pursuant to Section 2.12, the initial Clearing Agency will make book-entry transfers among the Clearing Agency Participants and receive and transmit payments of principal of and interest on the Notes to such Clearing Agency Participants;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12" w:name="page313"/>
    <w:bookmarkEnd w:id="312"/>
    <w:p>
      <w:pPr>
        <w:spacing w:after="0" w:line="269" w:lineRule="exact"/>
        <w:rPr>
          <w:sz w:val="20"/>
          <w:szCs w:val="20"/>
          <w:color w:val="auto"/>
        </w:rPr>
      </w:pPr>
    </w:p>
    <w:p>
      <w:pPr>
        <w:ind w:left="800" w:right="140" w:firstLine="754"/>
        <w:spacing w:after="0" w:line="259" w:lineRule="auto"/>
        <w:tabs>
          <w:tab w:leader="none" w:pos="1976" w:val="left"/>
        </w:tabs>
        <w:numPr>
          <w:ilvl w:val="0"/>
          <w:numId w:val="23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whenever this Indenture requires or permits actions to be taken based upon instructions or directions of Book-Entry Noteholders evidencing a specified percentage of the Outstanding Amount of the Book-Entry Notes, the Clearing Agency shall be deemed to represent such percentage only to the extent that it has received instructions to such effect from Note Owners and/or Clearing Agency Participants owning or representing, respectively, such required percentage of the beneficial interest in the Book-Entry Notes and has delivered such instructions to the Indenture Trustee; and</w:t>
      </w:r>
    </w:p>
    <w:p>
      <w:pPr>
        <w:spacing w:after="0" w:line="153" w:lineRule="exact"/>
        <w:rPr>
          <w:rFonts w:ascii="Times New Roman" w:cs="Times New Roman" w:eastAsia="Times New Roman" w:hAnsi="Times New Roman"/>
          <w:sz w:val="19"/>
          <w:szCs w:val="19"/>
          <w:color w:val="1F3763"/>
        </w:rPr>
      </w:pPr>
    </w:p>
    <w:p>
      <w:pPr>
        <w:ind w:left="800" w:right="120" w:firstLine="754"/>
        <w:spacing w:after="0" w:line="268" w:lineRule="auto"/>
        <w:tabs>
          <w:tab w:leader="none" w:pos="1880" w:val="left"/>
        </w:tabs>
        <w:numPr>
          <w:ilvl w:val="0"/>
          <w:numId w:val="23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Note Owners may receive copies of any reports sent to Noteholders pursuant to this Indenture, upon written request, together with a certification that they are Note Owners and payment of reproduction and postage expenses associated with the distribution of such reports, from the Indenture Trustee at the Corporate Trust Office.</w:t>
      </w:r>
    </w:p>
    <w:p>
      <w:pPr>
        <w:spacing w:after="0" w:line="144"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II.11 </w:t>
      </w:r>
      <w:r>
        <w:rPr>
          <w:rFonts w:ascii="Times New Roman" w:cs="Times New Roman" w:eastAsia="Times New Roman" w:hAnsi="Times New Roman"/>
          <w:sz w:val="19"/>
          <w:szCs w:val="19"/>
          <w:color w:val="000000"/>
        </w:rPr>
        <w:t>Notices to Clearing Agency. Whenever a notice or other communication to the Noteholders is required under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this Indenture, unless and until Definitive Notes shall have been issued to Note Owners pursuant to Section 2.12, the Indenture Trustee shall give all such notices and communications specified herein to be given to the Noteholders to the Clearing Agency, and shall have no obligation to the Note Owners.</w:t>
      </w:r>
    </w:p>
    <w:p>
      <w:pPr>
        <w:spacing w:after="0" w:line="150"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2F5496"/>
        </w:rPr>
        <w:t xml:space="preserve">SECTION II.12 </w:t>
      </w:r>
      <w:r>
        <w:rPr>
          <w:rFonts w:ascii="Times New Roman" w:cs="Times New Roman" w:eastAsia="Times New Roman" w:hAnsi="Times New Roman"/>
          <w:sz w:val="19"/>
          <w:szCs w:val="19"/>
          <w:color w:val="000000"/>
        </w:rPr>
        <w:t>Definitive Notes. With respect to any Class or Classes of Book-Entry Notes, if (i) the Servicer advises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Indenture Trustee in writing that the Clearing Agency is no longer willing or able to properly discharge its responsibilities with respect to such Book-Entry Notes, and the Servicer is unable to locate a qualified successor or (ii) after the occurrence and continuance of an Event of Default, owners of Book-Entry Notes representing not less than 51% of the Outstanding Amount of a Class of Notes advise the Indenture Trustee and the Clearing Agency Participant through the Clearing Agency in writing that the continuation of a book-entry system through the Clearing Agency is no longer in the best interests of such Note Owners, then the Indenture Trustee shall notify, in accordance with the Clearing Agency's procedures, all Clearing Agency Participants (as identified in a listing of Clearing Agency Participant accounts to which such Class of Book-Entry Notes is credited) and the Note Owners of such Class through the Clearing Agency of the occurrence of any such event and of the availability of Definitive Notes to Note Owners requesting the same. Upon surrender to the Indenture Trustee of the typewritten Note or Notes representing the Book-Entry Notes by the Clearing Agency, accompanied by registration instructions, the Issuer shall execute and the Indenture Trustee shall authenticate the Definitive Notes in accordance with the instructions of the Clearing Agency. None of the Issuer, the Note Registrar or the Indenture Trustee shall be liable for any delay in delivery of such instructions and may conclusively rely on, and shall be fully protected in relying on, such instructions. Upon the issuance of Definitive Notes, the Indenture Trustee shall recognize the Holders of the Definitive Notes as Noteholders. The Issuer represents that its indebtedness issued hereunder is a debt instrument that is excluded from the definition of "covered security" under Treasury Regulation 1.6045-1(a)(15) because such indebtedness is subject to Code Section 1272(a)(6).</w:t>
      </w:r>
    </w:p>
    <w:p>
      <w:pPr>
        <w:spacing w:after="0" w:line="171"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II.13 </w:t>
      </w:r>
      <w:r>
        <w:rPr>
          <w:rFonts w:ascii="Times New Roman" w:cs="Times New Roman" w:eastAsia="Times New Roman" w:hAnsi="Times New Roman"/>
          <w:sz w:val="19"/>
          <w:szCs w:val="19"/>
          <w:color w:val="000000"/>
        </w:rPr>
        <w:t>Tax Documentation and Withholding. All Noteholders shall deliver to the Indenture Trustee, the Issuer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any other applicable withholding agent, upon request and at any time or times required by applicable law, (a) a correct, complete and properly executed U.S. IRS Form W-9, W-8BEN, W-8BEN-E, W-8ECI, W-8IMY or W-8EXP (with appropriate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3" w:name="page314"/>
    <w:bookmarkEnd w:id="313"/>
    <w:p>
      <w:pPr>
        <w:spacing w:after="0" w:line="2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attachments to these forms), or any successor form, as applicable ("Noteholder Tax Identification Information"), and (b) any documentation that is required under FATCA or is otherwise necessary (in the reasonable determination of the recipient) to enable the recipient to comply with its obligations under FATCA and to determine that such Noteholder (or holder of any beneficial interest in a Note) has complied with its obligations under FATCA, or to determine the amount to deduct and withhold from a payment under FATCA ("Noteholder FATCA Information").</w:t>
      </w:r>
    </w:p>
    <w:p>
      <w:pPr>
        <w:spacing w:after="0" w:line="154" w:lineRule="exact"/>
        <w:rPr>
          <w:sz w:val="20"/>
          <w:szCs w:val="20"/>
          <w:color w:val="auto"/>
        </w:rPr>
      </w:pPr>
    </w:p>
    <w:p>
      <w:pPr>
        <w:ind w:right="60" w:firstLine="1404"/>
        <w:spacing w:after="0" w:line="256" w:lineRule="auto"/>
        <w:rPr>
          <w:sz w:val="20"/>
          <w:szCs w:val="20"/>
          <w:color w:val="auto"/>
        </w:rPr>
      </w:pPr>
      <w:r>
        <w:rPr>
          <w:rFonts w:ascii="Times New Roman" w:cs="Times New Roman" w:eastAsia="Times New Roman" w:hAnsi="Times New Roman"/>
          <w:sz w:val="19"/>
          <w:szCs w:val="19"/>
          <w:color w:val="auto"/>
        </w:rPr>
        <w:t>Each Holder of a Note or an interest therein, by acceptance of such Note or such interest in such Note, will be deemed to have agreed to provide the Indenture Trustee, the Issuer and any other applicable withholding agent with the Noteholder Tax Identification Information and, to the extent applicable, the Noteholder FATCA Information. In addition, each Holder of a Note or an interest therein will be deemed to understand that an applicable withholding agent may withhold interest and principal payable with respect to a Note (without any corresponding gross-up or indemnification) on any Noteholder or beneficial owner of an interest in a Note that fails to comply with the foregoing requirements, fails to provide Noteholder Tax Identification Information and Noteholder FATCA Information to an applicable withholding agent, or otherwise is subject to withholding tax with respect to a Note.</w:t>
      </w:r>
    </w:p>
    <w:p>
      <w:pPr>
        <w:spacing w:after="0" w:line="157" w:lineRule="exact"/>
        <w:rPr>
          <w:sz w:val="20"/>
          <w:szCs w:val="20"/>
          <w:color w:val="auto"/>
        </w:rPr>
      </w:pPr>
    </w:p>
    <w:p>
      <w:pPr>
        <w:ind w:right="120" w:firstLine="1404"/>
        <w:spacing w:after="0" w:line="259" w:lineRule="auto"/>
        <w:rPr>
          <w:sz w:val="20"/>
          <w:szCs w:val="20"/>
          <w:color w:val="auto"/>
        </w:rPr>
      </w:pPr>
      <w:r>
        <w:rPr>
          <w:rFonts w:ascii="Times New Roman" w:cs="Times New Roman" w:eastAsia="Times New Roman" w:hAnsi="Times New Roman"/>
          <w:sz w:val="19"/>
          <w:szCs w:val="19"/>
          <w:color w:val="auto"/>
        </w:rPr>
        <w:t>The Issuer represents, warrants and covenants to the Indenture Trustee that, the Issuer will provide, upon request, (i) tax forms and/or copies thereof to the Indenture Trustee, and (ii) information necessary for the Indenture Trustee to determine the nature of the income contemplated hereunder. The Issuer shall determine whether any tax or withholding obligations apply. The Indenture Trustee shall withhold from any such payments as required by applicable law. The parties agree that the Indenture Trustee shall be released of any liability relating to its actions and compliance under this Section 2.13 and FATCA.</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F5496"/>
        </w:rPr>
        <w:t>ARTICLE III</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Covenants</w:t>
      </w:r>
    </w:p>
    <w:p>
      <w:pPr>
        <w:spacing w:after="0" w:line="202" w:lineRule="exact"/>
        <w:rPr>
          <w:sz w:val="20"/>
          <w:szCs w:val="20"/>
          <w:color w:val="auto"/>
        </w:rPr>
      </w:pPr>
    </w:p>
    <w:p>
      <w:pPr>
        <w:ind w:right="6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III.1 </w:t>
      </w:r>
      <w:r>
        <w:rPr>
          <w:rFonts w:ascii="Times New Roman" w:cs="Times New Roman" w:eastAsia="Times New Roman" w:hAnsi="Times New Roman"/>
          <w:sz w:val="19"/>
          <w:szCs w:val="19"/>
          <w:color w:val="000000"/>
        </w:rPr>
        <w:t>Payment to Noteholders and Certificateholders. In accordance with the terms of this Indenture, the Issuer will</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duly and punctually (i) pay the principal of and interest on the Notes in accordance with the terms of the Notes and (ii) pay amounts due in respect of the Certificates in accordance with the terms of the Certificates (on a pro rata basis, based on the Percentage Interest of each Certificateholder). Without limiting the foregoing, the Issuer will cause to be distributed (a) all amounts on deposit in the Note Distribution Account on a Distribution Date deposited therein pursuant to the Sale and Servicing Agreement (i) for the benefit of the Class A Notes, to the Class A Noteholders, (ii) for the benefit of the Class B Notes, to the Class B Noteholders, (iii) for the benefit of the Class C Notes, to the Class C Noteholders, (iv) for the benefit of the Class D Notes, to the Class D Noteholders and (v) for the benefit of the Class E Notes, to the Class E Noteholders and (b) all amounts on deposit in the Certificate Distribution Account on a Distribution Date deposited therein pursuant to the Sale and Servicing Agreement for the benefit of the Certificateholders, to the Certificateholders, pro rata, according to their Percentage Interests. Amounts properly withheld under the Code by any Person from a payment to any Noteholder of interest and/or principal shall be considered as having been paid by the Issuer to such Noteholder for all purposes of this Indenture.</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14" w:name="page315"/>
    <w:bookmarkEnd w:id="314"/>
    <w:p>
      <w:pPr>
        <w:spacing w:after="0" w:line="269" w:lineRule="exact"/>
        <w:rPr>
          <w:sz w:val="20"/>
          <w:szCs w:val="20"/>
          <w:color w:val="auto"/>
        </w:rPr>
      </w:pPr>
    </w:p>
    <w:p>
      <w:pPr>
        <w:ind w:right="60" w:firstLine="696"/>
        <w:spacing w:after="0" w:line="256" w:lineRule="auto"/>
        <w:rPr>
          <w:sz w:val="20"/>
          <w:szCs w:val="20"/>
          <w:color w:val="auto"/>
        </w:rPr>
      </w:pPr>
      <w:r>
        <w:rPr>
          <w:rFonts w:ascii="Times New Roman" w:cs="Times New Roman" w:eastAsia="Times New Roman" w:hAnsi="Times New Roman"/>
          <w:sz w:val="19"/>
          <w:szCs w:val="19"/>
          <w:color w:val="2F5496"/>
        </w:rPr>
        <w:t xml:space="preserve">SECTION III.2 </w:t>
      </w:r>
      <w:r>
        <w:rPr>
          <w:rFonts w:ascii="Times New Roman" w:cs="Times New Roman" w:eastAsia="Times New Roman" w:hAnsi="Times New Roman"/>
          <w:sz w:val="19"/>
          <w:szCs w:val="19"/>
          <w:color w:val="000000"/>
        </w:rPr>
        <w:t>Maintenance of Office or Agency. The Issuer will maintain in St. Paul, Minnesota, an office or agency where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Notes may be surrendered for registration of transfer or exchange, and where notices and demands to or upon the Issuer in respect of the Notes and this Indenture may be served. The Issuer hereby initially appoints the Indenture Trustee to serve as its agent for the foregoing purposes. The Issuer will give prompt written notice to the Indenture Trustee of the location, and of any change in the location, of any such office or agency. If at any time the Issuer shall fail to maintain any such office or agency or shall fail to furnish the Indenture Trustee with the address thereof, such surrenders, notices and demands may be made or served at the Corporate Trust Office, and the Issuer hereby appoints the Indenture Trustee as its agent to receive all such surrenders, notices and demands.</w:t>
      </w:r>
    </w:p>
    <w:p>
      <w:pPr>
        <w:spacing w:after="0" w:line="15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III.3 </w:t>
      </w:r>
      <w:r>
        <w:rPr>
          <w:rFonts w:ascii="Times New Roman" w:cs="Times New Roman" w:eastAsia="Times New Roman" w:hAnsi="Times New Roman"/>
          <w:sz w:val="19"/>
          <w:szCs w:val="19"/>
          <w:color w:val="000000"/>
        </w:rPr>
        <w:t>Money for Payments to be Held in Trust. On or before each Distribution Date and Redemption Date,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Issuer shall deposit or cause to be deposited in the Note Distribution Account from the Collection Account an aggregate sum sufficient to pay the amounts then becoming due under the Notes, such sum to be held in trust for the benefit of the Persons entitled thereto and (unless the Note Paying Agent is the Indenture Trustee) shall promptly notify the Indenture Trustee of its action or failure so to act.</w:t>
      </w:r>
    </w:p>
    <w:p>
      <w:pPr>
        <w:spacing w:after="0" w:line="150" w:lineRule="exact"/>
        <w:rPr>
          <w:sz w:val="20"/>
          <w:szCs w:val="20"/>
          <w:color w:val="auto"/>
        </w:rPr>
      </w:pPr>
    </w:p>
    <w:p>
      <w:pPr>
        <w:jc w:val="both"/>
        <w:ind w:right="80" w:firstLine="1404"/>
        <w:spacing w:after="0" w:line="268" w:lineRule="auto"/>
        <w:rPr>
          <w:sz w:val="20"/>
          <w:szCs w:val="20"/>
          <w:color w:val="auto"/>
        </w:rPr>
      </w:pPr>
      <w:r>
        <w:rPr>
          <w:rFonts w:ascii="Times New Roman" w:cs="Times New Roman" w:eastAsia="Times New Roman" w:hAnsi="Times New Roman"/>
          <w:sz w:val="19"/>
          <w:szCs w:val="19"/>
          <w:color w:val="auto"/>
        </w:rPr>
        <w:t>The Issuer will cause each Note Paying Agent other than the Indenture Trustee to execute and deliver to the Indenture Trustee an instrument in which such Note Paying Agent shall agree with the Indenture Trustee (and if the Indenture Trustee acts as Note Paying Agent, it hereby so agrees), subject to the provisions of this Section, that such Note Paying Agent will:</w:t>
      </w:r>
    </w:p>
    <w:p>
      <w:pPr>
        <w:spacing w:after="0" w:line="144" w:lineRule="exact"/>
        <w:rPr>
          <w:sz w:val="20"/>
          <w:szCs w:val="20"/>
          <w:color w:val="auto"/>
        </w:rPr>
      </w:pPr>
    </w:p>
    <w:p>
      <w:pPr>
        <w:ind w:left="800" w:right="20" w:firstLine="754"/>
        <w:spacing w:after="0" w:line="268" w:lineRule="auto"/>
        <w:tabs>
          <w:tab w:leader="none" w:pos="1880" w:val="left"/>
        </w:tabs>
        <w:numPr>
          <w:ilvl w:val="0"/>
          <w:numId w:val="23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w:t>
      </w:r>
    </w:p>
    <w:p>
      <w:pPr>
        <w:spacing w:after="0" w:line="144" w:lineRule="exact"/>
        <w:rPr>
          <w:rFonts w:ascii="Times New Roman" w:cs="Times New Roman" w:eastAsia="Times New Roman" w:hAnsi="Times New Roman"/>
          <w:sz w:val="19"/>
          <w:szCs w:val="19"/>
          <w:color w:val="1F3763"/>
        </w:rPr>
      </w:pPr>
    </w:p>
    <w:p>
      <w:pPr>
        <w:ind w:left="800" w:right="140" w:firstLine="754"/>
        <w:spacing w:after="0" w:line="286" w:lineRule="auto"/>
        <w:tabs>
          <w:tab w:leader="none" w:pos="1940" w:val="left"/>
        </w:tabs>
        <w:numPr>
          <w:ilvl w:val="0"/>
          <w:numId w:val="23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give the Indenture Trustee notice of any default by the Issuer (or any other obligor upon the Notes) of which it has actual knowledge in the making of any payment required to be made with respect to the Notes;</w:t>
      </w:r>
    </w:p>
    <w:p>
      <w:pPr>
        <w:spacing w:after="0" w:line="127" w:lineRule="exact"/>
        <w:rPr>
          <w:rFonts w:ascii="Times New Roman" w:cs="Times New Roman" w:eastAsia="Times New Roman" w:hAnsi="Times New Roman"/>
          <w:sz w:val="19"/>
          <w:szCs w:val="19"/>
          <w:color w:val="1F3763"/>
        </w:rPr>
      </w:pPr>
    </w:p>
    <w:p>
      <w:pPr>
        <w:ind w:left="800" w:right="600" w:firstLine="754"/>
        <w:spacing w:after="0" w:line="286" w:lineRule="auto"/>
        <w:tabs>
          <w:tab w:leader="none" w:pos="1892" w:val="left"/>
        </w:tabs>
        <w:numPr>
          <w:ilvl w:val="0"/>
          <w:numId w:val="23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at any time during the continuance of any such default, upon the written request of the Indenture Trustee, forthwith pay to the Indenture Trustee all sums so held in trust by such Note Paying Agent;</w:t>
      </w:r>
    </w:p>
    <w:p>
      <w:pPr>
        <w:spacing w:after="0" w:line="127" w:lineRule="exact"/>
        <w:rPr>
          <w:rFonts w:ascii="Times New Roman" w:cs="Times New Roman" w:eastAsia="Times New Roman" w:hAnsi="Times New Roman"/>
          <w:sz w:val="19"/>
          <w:szCs w:val="19"/>
          <w:color w:val="1F3763"/>
        </w:rPr>
      </w:pPr>
    </w:p>
    <w:p>
      <w:pPr>
        <w:jc w:val="both"/>
        <w:ind w:left="800" w:firstLine="754"/>
        <w:spacing w:after="0" w:line="268" w:lineRule="auto"/>
        <w:tabs>
          <w:tab w:leader="none" w:pos="1880" w:val="left"/>
        </w:tabs>
        <w:numPr>
          <w:ilvl w:val="0"/>
          <w:numId w:val="23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immediately resign as a Note Paying Agent and forthwith pay to the Indenture Trustee all sums held by it in trust for the payment of Notes if at any time it ceases to meet the standards required to be met by a Note Paying Agent at the time of its appointment; and</w:t>
      </w:r>
    </w:p>
    <w:p>
      <w:pPr>
        <w:spacing w:after="0" w:line="144" w:lineRule="exact"/>
        <w:rPr>
          <w:rFonts w:ascii="Times New Roman" w:cs="Times New Roman" w:eastAsia="Times New Roman" w:hAnsi="Times New Roman"/>
          <w:sz w:val="19"/>
          <w:szCs w:val="19"/>
          <w:color w:val="1F3763"/>
        </w:rPr>
      </w:pPr>
    </w:p>
    <w:p>
      <w:pPr>
        <w:ind w:left="800" w:right="40" w:firstLine="754"/>
        <w:spacing w:after="0" w:line="268" w:lineRule="auto"/>
        <w:tabs>
          <w:tab w:leader="none" w:pos="1928" w:val="left"/>
        </w:tabs>
        <w:numPr>
          <w:ilvl w:val="0"/>
          <w:numId w:val="23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comply with all requirements of the Code with respect to the withholding from any payments made by it on any Notes of any applicable withholding taxes imposed thereon and with respect to any applicable reporting requirements in connection therewith.</w:t>
      </w:r>
    </w:p>
    <w:p>
      <w:pPr>
        <w:spacing w:after="0" w:line="144"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The Issuer may at any time, for the purpose of obtaining the satisfaction and discharge of this Indenture or for any other purpose, by Issuer Order direct any Note Paying Agent to pay to the Indenture Trustee all sums held in trust by such Note Paying Agent, such sums to be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5" w:name="page316"/>
    <w:bookmarkEnd w:id="315"/>
    <w:p>
      <w:pPr>
        <w:spacing w:after="0" w:line="2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held by the Indenture Trustee upon the same trusts as those upon which the sums were held by such Note Paying Agent; and upon such a payment by any Note Paying Agent to the Indenture Trustee, such Note Paying Agent shall be released from all further liability with respect to such money.</w:t>
      </w:r>
    </w:p>
    <w:p>
      <w:pPr>
        <w:spacing w:after="0" w:line="144"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Subject to applicable laws with respect to the escheat of funds, any money held by the Indenture Trustee or any Note Paying Agent in trust for the payment of any amount due with respect to any Note and remaining unclaimed for two years after such amount has become due and payable shall be discharged from such trust and be paid to the Issuer on Issuer Request and shall be deposited by the Indenture Trustee in the Collection Account; and the Holder of such Note shall thereafter, as an unsecured general creditor, look only to the Issuer for payment thereof (but only to the extent of the amounts so paid to the Issuer), and all liability of the Indenture Trustee or such Note Paying Agent with respect to such trust money shall thereupon cease;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Indenture Trustee or such Note Paying Agent, before being required to make any such repayment, shall at the expense of the Issuer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Issuer. The Indenture Trustee shall also adopt and employ, at the expense of the Issuer, any other reasonable means of notification of such repayment (including mailing notice of such repayment to Holders whose Notes have been called but have not been surrendered for redemption or whose right to or interest in moneys due and payable but not claimed is determinable from the records of the Indenture Trustee or of any Note Paying Agent, at the last address of record for each such Holder).</w:t>
      </w:r>
    </w:p>
    <w:p>
      <w:pPr>
        <w:spacing w:after="0" w:line="161"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III.4 </w:t>
      </w:r>
      <w:r>
        <w:rPr>
          <w:rFonts w:ascii="Times New Roman" w:cs="Times New Roman" w:eastAsia="Times New Roman" w:hAnsi="Times New Roman"/>
          <w:sz w:val="19"/>
          <w:szCs w:val="19"/>
          <w:color w:val="000000"/>
        </w:rPr>
        <w:t>Existence. Except as otherwise permitted by the provisions of Section 3.10, the Issuer will keep in full effect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its existence, rights and franchises as a statutory trust under the laws of the State of Delaware (unless it becomes, or any successor Issuer hereunder is or becomes, organized under the laws of any other State or of the United States of America, in which case the Issuer will keep in full effect its existence, rights and franchises under the laws of such other jurisdiction) and will obtain and preserve its qualification to do business in each jurisdiction in which such qualification is or shall be necessary to protect the validity and enforceability of this Indenture, the Notes, the Collateral and each other instrument or agreement included in the Trust Estate.</w:t>
      </w:r>
    </w:p>
    <w:p>
      <w:pPr>
        <w:spacing w:after="0" w:line="157"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III.5 </w:t>
      </w:r>
      <w:r>
        <w:rPr>
          <w:rFonts w:ascii="Times New Roman" w:cs="Times New Roman" w:eastAsia="Times New Roman" w:hAnsi="Times New Roman"/>
          <w:sz w:val="19"/>
          <w:szCs w:val="19"/>
          <w:color w:val="000000"/>
        </w:rPr>
        <w:t>Protection of Trust Estate. The Issuer intends the security interest Granted pursuant to this Indenture in favor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of the Noteholders to be prior to all other liens in respect of the Trust Estate, and the Issuer shall take all actions necessary to obtain and maintain, in favor of the Indenture Trustee, for the benefit of the Noteholders, a first lien on and a first priority, perfected security interest in the Trust Estate. The Issuer will from time to time prepare (or shall cause to be prepared), execute and deliver all such supplements and amendments hereto and all such financing statements, continuation statements, instruments of further assurance and other instruments, and will take such other action necessary or advisable to:</w:t>
      </w:r>
    </w:p>
    <w:p>
      <w:pPr>
        <w:spacing w:after="0" w:line="157" w:lineRule="exact"/>
        <w:rPr>
          <w:sz w:val="20"/>
          <w:szCs w:val="20"/>
          <w:color w:val="auto"/>
        </w:rPr>
      </w:pPr>
    </w:p>
    <w:p>
      <w:pPr>
        <w:ind w:left="5200" w:right="4180" w:hanging="3790"/>
        <w:spacing w:after="0" w:line="497" w:lineRule="auto"/>
        <w:tabs>
          <w:tab w:leader="none" w:pos="1779" w:val="left"/>
        </w:tabs>
        <w:numPr>
          <w:ilvl w:val="0"/>
          <w:numId w:val="2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Grant more effectively all or any portion of the Trust Estate;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480695</wp:posOffset>
            </wp:positionV>
            <wp:extent cx="673290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6" w:name="page317"/>
    <w:bookmarkEnd w:id="316"/>
    <w:p>
      <w:pPr>
        <w:spacing w:after="0" w:line="269" w:lineRule="exact"/>
        <w:rPr>
          <w:sz w:val="20"/>
          <w:szCs w:val="20"/>
          <w:color w:val="auto"/>
        </w:rPr>
      </w:pPr>
    </w:p>
    <w:p>
      <w:pPr>
        <w:ind w:right="220" w:firstLine="1410"/>
        <w:spacing w:after="0" w:line="286" w:lineRule="auto"/>
        <w:tabs>
          <w:tab w:leader="none" w:pos="1777" w:val="left"/>
        </w:tabs>
        <w:numPr>
          <w:ilvl w:val="0"/>
          <w:numId w:val="2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maintain or preserve the lien and security interest (and the priority thereof) in favor of the Indenture Trustee for the benefit of the Noteholders created by this Indenture or carry out more effectively the purposes hereof;</w:t>
      </w:r>
    </w:p>
    <w:p>
      <w:pPr>
        <w:spacing w:after="0" w:line="127"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perfect, publish notice of or protect the validity of any Grant made or to be made by this Indenture;</w:t>
      </w:r>
    </w:p>
    <w:p>
      <w:pPr>
        <w:spacing w:after="0" w:line="201"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enforce any of the Collateral;</w:t>
      </w:r>
    </w:p>
    <w:p>
      <w:pPr>
        <w:spacing w:after="0" w:line="201" w:lineRule="exact"/>
        <w:rPr>
          <w:rFonts w:ascii="Times New Roman" w:cs="Times New Roman" w:eastAsia="Times New Roman" w:hAnsi="Times New Roman"/>
          <w:sz w:val="19"/>
          <w:szCs w:val="19"/>
          <w:color w:val="1F3763"/>
        </w:rPr>
      </w:pPr>
    </w:p>
    <w:p>
      <w:pPr>
        <w:ind w:right="20" w:firstLine="1410"/>
        <w:spacing w:after="0" w:line="286" w:lineRule="auto"/>
        <w:tabs>
          <w:tab w:leader="none" w:pos="1765" w:val="left"/>
        </w:tabs>
        <w:numPr>
          <w:ilvl w:val="0"/>
          <w:numId w:val="2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preserve and defend title to the Trust Estate and the rights of the Indenture Trustee in such Trust Estate against the claims of all Persons and parties; and</w:t>
      </w:r>
    </w:p>
    <w:p>
      <w:pPr>
        <w:spacing w:after="0" w:line="127" w:lineRule="exact"/>
        <w:rPr>
          <w:rFonts w:ascii="Times New Roman" w:cs="Times New Roman" w:eastAsia="Times New Roman" w:hAnsi="Times New Roman"/>
          <w:sz w:val="19"/>
          <w:szCs w:val="19"/>
          <w:color w:val="1F3763"/>
        </w:rPr>
      </w:pPr>
    </w:p>
    <w:p>
      <w:pPr>
        <w:ind w:left="1740" w:hanging="330"/>
        <w:spacing w:after="0"/>
        <w:tabs>
          <w:tab w:leader="none" w:pos="1740" w:val="left"/>
        </w:tabs>
        <w:numPr>
          <w:ilvl w:val="0"/>
          <w:numId w:val="2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pay all taxes or assessments levied or assessed upon the Trust Estate when due.</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 xml:space="preserve">The Issuer hereby designates the Indenture Trustee its agent and attorney-in-fact to execute or authorize any financing statement, continuation statement or other instrument pursuant to this Section;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Indenture Trustee shall not be obligated to execute or authorize such instruments except upon the written direction of the Servicer or the Issuer. The Issuer authorizes such financing statements to describe the Collateral in such financing statements as "all assets of the Debtor, whether now owned and existing or hereafter arising or acquired and all proceeds thereof," or using words of similar effect.</w:t>
      </w:r>
    </w:p>
    <w:p>
      <w:pPr>
        <w:spacing w:after="0" w:line="154"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9"/>
          <w:szCs w:val="19"/>
          <w:color w:val="2F5496"/>
        </w:rPr>
        <w:t>SECTION III.6</w:t>
      </w:r>
      <w:r>
        <w:rPr>
          <w:rFonts w:ascii="Times New Roman" w:cs="Times New Roman" w:eastAsia="Times New Roman" w:hAnsi="Times New Roman"/>
          <w:sz w:val="19"/>
          <w:szCs w:val="19"/>
          <w:color w:val="auto"/>
        </w:rPr>
        <w:tab/>
        <w:t>Opinions as to Trust Estate.</w:t>
      </w:r>
    </w:p>
    <w:p>
      <w:pPr>
        <w:spacing w:after="0" w:line="202" w:lineRule="exact"/>
        <w:rPr>
          <w:sz w:val="20"/>
          <w:szCs w:val="20"/>
          <w:color w:val="auto"/>
        </w:rPr>
      </w:pPr>
    </w:p>
    <w:p>
      <w:pPr>
        <w:ind w:right="320" w:firstLine="1410"/>
        <w:spacing w:after="0" w:line="257" w:lineRule="auto"/>
        <w:tabs>
          <w:tab w:leader="none" w:pos="1765" w:val="left"/>
        </w:tabs>
        <w:numPr>
          <w:ilvl w:val="0"/>
          <w:numId w:val="2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the Closing Date, the Issuer shall furnish to the Indenture Trustee and the Backup Servicer an Opinion of Counsel either stating that, in the opinion of such counsel, such action has been taken with respect to the recording and filing of this Indenture, any indentures supplemental hereto, and any other requisite documents, and with respect to the execution and filing of any financing statements and continuation statements, as are necessary to perfect and make effective the first priority lien and security interest in favor of the Indenture Trustee, for the benefit of the Noteholders, created by this Indenture and reciting the details of such action, or stating that, in the opinion of such counsel, no such action is necessary to make such lien and security interest effective.</w:t>
      </w:r>
    </w:p>
    <w:p>
      <w:pPr>
        <w:spacing w:after="0" w:line="156" w:lineRule="exact"/>
        <w:rPr>
          <w:rFonts w:ascii="Times New Roman" w:cs="Times New Roman" w:eastAsia="Times New Roman" w:hAnsi="Times New Roman"/>
          <w:sz w:val="19"/>
          <w:szCs w:val="19"/>
          <w:color w:val="1F3763"/>
        </w:rPr>
      </w:pPr>
    </w:p>
    <w:p>
      <w:pPr>
        <w:ind w:firstLine="1410"/>
        <w:spacing w:after="0" w:line="255" w:lineRule="auto"/>
        <w:tabs>
          <w:tab w:leader="none" w:pos="1777" w:val="left"/>
        </w:tabs>
        <w:numPr>
          <w:ilvl w:val="0"/>
          <w:numId w:val="2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Within 120 days after the beginning of each calendar year, beginning with the first calendar year beginning more than six months after the Closing Date, the Issuer shall furnish to the Indenture Trustee and the Backup Servicer an Opinion of Counsel either stating that, in the opinion of such counsel, such action has been taken with respect to the recording, filing, re-recording and refiling of this Indenture, any indentures supplemental hereto and any other requisite documents and with respect to the execution and filing of any financing statements and continuation statements as are necessary to maintain the lien and security interest created by this Indenture and reciting the details of such action or stating that in the opinion of such counsel no such action is necessary to maintain such lien and security interest. Such Opinion of Counsel shall also describe the recording, filing, re-recording and refiling of this Indenture, any indentures supplemental hereto and any other requisite documents and the execution and filing of any financing statements and continuation statements that will, in the opinion of such counsel, be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7" w:name="page318"/>
    <w:bookmarkEnd w:id="317"/>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required to maintain the lien and security interest of this Indenture until March 31 in the following calendar year.</w:t>
      </w:r>
    </w:p>
    <w:p>
      <w:pPr>
        <w:spacing w:after="0" w:line="202"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9"/>
          <w:szCs w:val="19"/>
          <w:color w:val="2F5496"/>
        </w:rPr>
        <w:t>SECTION III.7</w:t>
      </w:r>
      <w:r>
        <w:rPr>
          <w:rFonts w:ascii="Times New Roman" w:cs="Times New Roman" w:eastAsia="Times New Roman" w:hAnsi="Times New Roman"/>
          <w:sz w:val="19"/>
          <w:szCs w:val="19"/>
          <w:color w:val="auto"/>
        </w:rPr>
        <w:tab/>
        <w:t>Performance of Obligations; Servicing of Receivables.</w:t>
      </w:r>
    </w:p>
    <w:p>
      <w:pPr>
        <w:spacing w:after="0" w:line="202" w:lineRule="exact"/>
        <w:rPr>
          <w:sz w:val="20"/>
          <w:szCs w:val="20"/>
          <w:color w:val="auto"/>
        </w:rPr>
      </w:pPr>
    </w:p>
    <w:p>
      <w:pPr>
        <w:ind w:right="40" w:firstLine="1410"/>
        <w:spacing w:after="0" w:line="259" w:lineRule="auto"/>
        <w:tabs>
          <w:tab w:leader="none" w:pos="1765" w:val="left"/>
        </w:tabs>
        <w:numPr>
          <w:ilvl w:val="0"/>
          <w:numId w:val="24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will not take any action and will use its best efforts not to permit any action to be taken by others that would release any Person from any of such Person's material covenants or obligations under any instrument or agreement included in the Trust Estate or that would result in the amendment, hypothecation, subordination, termination or discharge of, or impair the validity or effectiveness of, any such instrument or agreement, except as ordered by any bankruptcy or other court or as expressly provided in this Indenture, the other Basic Documents or such other instrument or agreement.</w:t>
      </w:r>
    </w:p>
    <w:p>
      <w:pPr>
        <w:spacing w:after="0" w:line="153" w:lineRule="exact"/>
        <w:rPr>
          <w:rFonts w:ascii="Times New Roman" w:cs="Times New Roman" w:eastAsia="Times New Roman" w:hAnsi="Times New Roman"/>
          <w:sz w:val="19"/>
          <w:szCs w:val="19"/>
          <w:color w:val="1F3763"/>
        </w:rPr>
      </w:pPr>
    </w:p>
    <w:p>
      <w:pPr>
        <w:ind w:right="160" w:firstLine="1410"/>
        <w:spacing w:after="0" w:line="262" w:lineRule="auto"/>
        <w:tabs>
          <w:tab w:leader="none" w:pos="1777" w:val="left"/>
        </w:tabs>
        <w:numPr>
          <w:ilvl w:val="0"/>
          <w:numId w:val="24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may contract with other Persons to assist it in performing its duties under this Indenture, and any performance of such duties by a Person identified to the Indenture Trustee in an Officer's Certificate of the Issuer shall be deemed to be action taken by the Issuer. Initially, the Issuer has contracted with the Servicer to assist the Issuer in performing its duties under this Indenture.</w:t>
      </w:r>
    </w:p>
    <w:p>
      <w:pPr>
        <w:spacing w:after="0" w:line="150" w:lineRule="exact"/>
        <w:rPr>
          <w:rFonts w:ascii="Times New Roman" w:cs="Times New Roman" w:eastAsia="Times New Roman" w:hAnsi="Times New Roman"/>
          <w:sz w:val="19"/>
          <w:szCs w:val="19"/>
          <w:color w:val="1F3763"/>
        </w:rPr>
      </w:pPr>
    </w:p>
    <w:p>
      <w:pPr>
        <w:ind w:right="20" w:firstLine="1410"/>
        <w:spacing w:after="0" w:line="257" w:lineRule="auto"/>
        <w:tabs>
          <w:tab w:leader="none" w:pos="1765" w:val="left"/>
        </w:tabs>
        <w:numPr>
          <w:ilvl w:val="0"/>
          <w:numId w:val="24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will punctually perform and observe all of its obligations and agreements contained in this Indenture, the other Basic Documents and in the instruments and agreements included in the Trust Estate, including preparing (or causing to prepared) and filing (or causing to be filed) all UCC financing statements and continuation statements required to be filed by the terms of this Indenture and the Sale and Servicing Agreement in accordance with and within the time periods provided for herein and therein. Except as otherwise expressly provided therein, the Issuer shall not waive, amend, modify, supplement or terminate any Basic Document or any provision thereof without the consent of the Indenture Trustee (acting pursuant to direction from the Majority Noteholders).</w:t>
      </w:r>
    </w:p>
    <w:p>
      <w:pPr>
        <w:spacing w:after="0" w:line="156" w:lineRule="exact"/>
        <w:rPr>
          <w:rFonts w:ascii="Times New Roman" w:cs="Times New Roman" w:eastAsia="Times New Roman" w:hAnsi="Times New Roman"/>
          <w:sz w:val="19"/>
          <w:szCs w:val="19"/>
          <w:color w:val="1F3763"/>
        </w:rPr>
      </w:pPr>
    </w:p>
    <w:p>
      <w:pPr>
        <w:ind w:firstLine="1410"/>
        <w:spacing w:after="0" w:line="257" w:lineRule="auto"/>
        <w:tabs>
          <w:tab w:leader="none" w:pos="1777" w:val="left"/>
        </w:tabs>
        <w:numPr>
          <w:ilvl w:val="0"/>
          <w:numId w:val="24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a Responsible Officer of the Owner Trustee shall have actual knowledge of the occurrence of a Servicer Termination Event, the Owner Trustee shall notify the Servicer and the Servicer, on behalf of the Issuer, shall promptly notify the Indenture Trustee and the Rating Agencies thereof in accordance with Section 11.4, and shall specify in such notice the action, if any, the Issuer is taking in respect of such default. If a Servicer Termination Event shall arise from the failure of the Servicer to perform any of its duties or obligations under the Sale and Servicing Agreement, the Issuer shall take all reasonable steps available to it to remedy such failure.</w:t>
      </w:r>
    </w:p>
    <w:p>
      <w:pPr>
        <w:spacing w:after="0" w:line="156" w:lineRule="exact"/>
        <w:rPr>
          <w:rFonts w:ascii="Times New Roman" w:cs="Times New Roman" w:eastAsia="Times New Roman" w:hAnsi="Times New Roman"/>
          <w:sz w:val="19"/>
          <w:szCs w:val="19"/>
          <w:color w:val="1F3763"/>
        </w:rPr>
      </w:pPr>
    </w:p>
    <w:p>
      <w:pPr>
        <w:jc w:val="both"/>
        <w:ind w:right="360" w:firstLine="1410"/>
        <w:spacing w:after="0" w:line="286" w:lineRule="auto"/>
        <w:tabs>
          <w:tab w:leader="none" w:pos="1765" w:val="left"/>
        </w:tabs>
        <w:numPr>
          <w:ilvl w:val="0"/>
          <w:numId w:val="24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agrees that it will not waive timely performance or observance by the Servicer, United Auto or the Depositor of their respective duties under the Basic Documents if the effect thereof would adversely affect any Holders of the Notes.</w:t>
      </w:r>
    </w:p>
    <w:p>
      <w:pPr>
        <w:spacing w:after="0" w:line="127"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9"/>
          <w:szCs w:val="19"/>
          <w:color w:val="2F5496"/>
        </w:rPr>
        <w:t>SECTION III.8</w:t>
      </w:r>
      <w:r>
        <w:rPr>
          <w:rFonts w:ascii="Times New Roman" w:cs="Times New Roman" w:eastAsia="Times New Roman" w:hAnsi="Times New Roman"/>
          <w:sz w:val="19"/>
          <w:szCs w:val="19"/>
          <w:color w:val="auto"/>
        </w:rPr>
        <w:tab/>
        <w:t>Negative Covenants. So long as any Notes are Outstanding, the Issuer shall not:</w:t>
      </w:r>
    </w:p>
    <w:p>
      <w:pPr>
        <w:spacing w:after="0" w:line="202" w:lineRule="exact"/>
        <w:rPr>
          <w:sz w:val="20"/>
          <w:szCs w:val="20"/>
          <w:color w:val="auto"/>
        </w:rPr>
      </w:pPr>
    </w:p>
    <w:p>
      <w:pPr>
        <w:ind w:left="1880" w:hanging="326"/>
        <w:spacing w:after="0"/>
        <w:tabs>
          <w:tab w:leader="none" w:pos="1880" w:val="left"/>
        </w:tabs>
        <w:numPr>
          <w:ilvl w:val="0"/>
          <w:numId w:val="24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dissolve or liquidate in whole or in part;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8" w:name="page319"/>
    <w:bookmarkEnd w:id="318"/>
    <w:p>
      <w:pPr>
        <w:spacing w:after="0" w:line="269" w:lineRule="exact"/>
        <w:rPr>
          <w:sz w:val="20"/>
          <w:szCs w:val="20"/>
          <w:color w:val="auto"/>
        </w:rPr>
      </w:pPr>
    </w:p>
    <w:p>
      <w:pPr>
        <w:ind w:left="800" w:right="640" w:firstLine="754"/>
        <w:spacing w:after="0" w:line="286" w:lineRule="auto"/>
        <w:tabs>
          <w:tab w:leader="none" w:pos="1940" w:val="left"/>
        </w:tabs>
        <w:numPr>
          <w:ilvl w:val="0"/>
          <w:numId w:val="2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as expressly permitted by this Indenture or the other Basic Documents, sell, transfer, exchange or otherwise dispose of any of the properties or assets of the Issuer, including those included in the Trust Estate;</w:t>
      </w:r>
    </w:p>
    <w:p>
      <w:pPr>
        <w:spacing w:after="0" w:line="127" w:lineRule="exact"/>
        <w:rPr>
          <w:rFonts w:ascii="Times New Roman" w:cs="Times New Roman" w:eastAsia="Times New Roman" w:hAnsi="Times New Roman"/>
          <w:sz w:val="19"/>
          <w:szCs w:val="19"/>
          <w:color w:val="1F3763"/>
        </w:rPr>
      </w:pPr>
    </w:p>
    <w:p>
      <w:pPr>
        <w:ind w:left="800" w:right="160" w:firstLine="754"/>
        <w:spacing w:after="0" w:line="268" w:lineRule="auto"/>
        <w:tabs>
          <w:tab w:leader="none" w:pos="1892" w:val="left"/>
        </w:tabs>
        <w:numPr>
          <w:ilvl w:val="0"/>
          <w:numId w:val="2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claim any credit on, or make any deduction from the principal or interest payable in respect of, the Notes (other than amounts properly withheld from such payments under the Code) or assert any claim against any present or former Noteholder by reason of the payment of the taxes levied or assessed upon any part of the Trust Estate; or</w:t>
      </w:r>
    </w:p>
    <w:p>
      <w:pPr>
        <w:spacing w:after="0" w:line="144" w:lineRule="exact"/>
        <w:rPr>
          <w:rFonts w:ascii="Times New Roman" w:cs="Times New Roman" w:eastAsia="Times New Roman" w:hAnsi="Times New Roman"/>
          <w:sz w:val="19"/>
          <w:szCs w:val="19"/>
          <w:color w:val="1F3763"/>
        </w:rPr>
      </w:pPr>
    </w:p>
    <w:p>
      <w:pPr>
        <w:ind w:left="800" w:firstLine="754"/>
        <w:spacing w:after="0" w:line="254" w:lineRule="auto"/>
        <w:tabs>
          <w:tab w:leader="none" w:pos="1880" w:val="left"/>
        </w:tabs>
        <w:numPr>
          <w:ilvl w:val="0"/>
          <w:numId w:val="2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permit the validity or effectiveness of this Indenture to be impaired, or permit the lien in favor of the Indenture Trustee created by this Indenture to be amended, hypothecated, subordinated, terminated or discharged, or permit any Person to be released from any covenants or obligations with respect to the Notes under this Indenture except as may be expressly permitted hereby, (B) permit any lien, charge, excise, claim, security interest, mortgage or other encumbrance (other than the lien of this Indenture or any lien created under the other Basic Documents) to be created on or extend to or otherwise arise upon or burden the Trust Estate or any part thereof or any interest therein or the proceeds thereof (other than tax liens, mechanics' liens and other liens that arise by operation of law, in each case on a Financed Vehicle and arising solely as a result of an action or omission of the related Obligor), (C) permit the lien of this Indenture not to constitute a valid first priority (other than with respect to any such tax, mechanics' or other lien) security interest in the Trust Estate, (D) amend or modify the Basic Documents except in accordance with the provisions thereof permitting amendment or modification or (E) fail to comply with the provisions of the Basic Documents.</w:t>
      </w:r>
    </w:p>
    <w:p>
      <w:pPr>
        <w:spacing w:after="0" w:line="157" w:lineRule="exact"/>
        <w:rPr>
          <w:sz w:val="20"/>
          <w:szCs w:val="20"/>
          <w:color w:val="auto"/>
        </w:rPr>
      </w:pPr>
    </w:p>
    <w:p>
      <w:pPr>
        <w:ind w:right="2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III.9 </w:t>
      </w:r>
      <w:r>
        <w:rPr>
          <w:rFonts w:ascii="Times New Roman" w:cs="Times New Roman" w:eastAsia="Times New Roman" w:hAnsi="Times New Roman"/>
          <w:sz w:val="19"/>
          <w:szCs w:val="19"/>
          <w:color w:val="000000"/>
        </w:rPr>
        <w:t>Annual Statement as to Compliance. The Issuer will deliver to the Indenture Trustee, within 120 days after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end of each fiscal year of the Issuer (commencing with the fiscal year ended December 31, 2025), an Officer's Certificate stating, as to the Authorized Officer signing such Officer's Certificate, that:</w:t>
      </w:r>
    </w:p>
    <w:p>
      <w:pPr>
        <w:spacing w:after="0" w:line="144" w:lineRule="exact"/>
        <w:rPr>
          <w:sz w:val="20"/>
          <w:szCs w:val="20"/>
          <w:color w:val="auto"/>
        </w:rPr>
      </w:pPr>
    </w:p>
    <w:p>
      <w:pPr>
        <w:ind w:left="800" w:right="180" w:firstLine="754"/>
        <w:spacing w:after="0" w:line="286" w:lineRule="auto"/>
        <w:tabs>
          <w:tab w:leader="none" w:pos="1880" w:val="left"/>
        </w:tabs>
        <w:numPr>
          <w:ilvl w:val="0"/>
          <w:numId w:val="2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review of the activities of the Issuer during such year and of performance under this Indenture has been made under such Authorized Officer's supervision; and</w:t>
      </w:r>
    </w:p>
    <w:p>
      <w:pPr>
        <w:spacing w:after="0" w:line="127" w:lineRule="exact"/>
        <w:rPr>
          <w:rFonts w:ascii="Times New Roman" w:cs="Times New Roman" w:eastAsia="Times New Roman" w:hAnsi="Times New Roman"/>
          <w:sz w:val="19"/>
          <w:szCs w:val="19"/>
          <w:color w:val="1F3763"/>
        </w:rPr>
      </w:pPr>
    </w:p>
    <w:p>
      <w:pPr>
        <w:ind w:left="800" w:right="240" w:firstLine="754"/>
        <w:spacing w:after="0" w:line="262" w:lineRule="auto"/>
        <w:tabs>
          <w:tab w:leader="none" w:pos="1892" w:val="left"/>
        </w:tabs>
        <w:numPr>
          <w:ilvl w:val="0"/>
          <w:numId w:val="2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best of such Authorized Officer's knowledge, based on such review, the Issuer has complied with all conditions and covenants under this Indenture and the other Basic Documents throughout such year, or, if there has been a default in the compliance of any such condition or covenant, specifying each such default known to such Authorized Officer and the nature and status thereof.</w:t>
      </w:r>
    </w:p>
    <w:p>
      <w:pPr>
        <w:spacing w:after="0" w:line="150"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19"/>
          <w:szCs w:val="19"/>
          <w:color w:val="2F5496"/>
        </w:rPr>
        <w:t>SECTION III.10</w:t>
      </w:r>
      <w:r>
        <w:rPr>
          <w:rFonts w:ascii="Times New Roman" w:cs="Times New Roman" w:eastAsia="Times New Roman" w:hAnsi="Times New Roman"/>
          <w:sz w:val="19"/>
          <w:szCs w:val="19"/>
          <w:color w:val="auto"/>
        </w:rPr>
        <w:tab/>
        <w:t>Issuer May Consolidate, Etc. Only on Certain Terms.</w:t>
      </w:r>
    </w:p>
    <w:p>
      <w:pPr>
        <w:spacing w:after="0" w:line="202" w:lineRule="exact"/>
        <w:rPr>
          <w:sz w:val="20"/>
          <w:szCs w:val="20"/>
          <w:color w:val="auto"/>
        </w:rPr>
      </w:pPr>
    </w:p>
    <w:p>
      <w:pPr>
        <w:ind w:left="1780" w:hanging="370"/>
        <w:spacing w:after="0"/>
        <w:tabs>
          <w:tab w:leader="none" w:pos="1780" w:val="left"/>
        </w:tabs>
        <w:numPr>
          <w:ilvl w:val="0"/>
          <w:numId w:val="2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not consolidate or merge with or into any other Person, unless:</w:t>
      </w:r>
    </w:p>
    <w:p>
      <w:pPr>
        <w:spacing w:after="0" w:line="201" w:lineRule="exact"/>
        <w:rPr>
          <w:rFonts w:ascii="Times New Roman" w:cs="Times New Roman" w:eastAsia="Times New Roman" w:hAnsi="Times New Roman"/>
          <w:sz w:val="19"/>
          <w:szCs w:val="19"/>
          <w:color w:val="1F3763"/>
        </w:rPr>
      </w:pPr>
    </w:p>
    <w:p>
      <w:pPr>
        <w:ind w:left="800" w:right="40" w:firstLine="754"/>
        <w:spacing w:after="0" w:line="268" w:lineRule="auto"/>
        <w:tabs>
          <w:tab w:leader="none" w:pos="1880" w:val="left"/>
        </w:tabs>
        <w:numPr>
          <w:ilvl w:val="1"/>
          <w:numId w:val="2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Person (if other than the Issuer) formed by or surviving such consolidation or merger shall be a Person organized and existing under the laws of the United States of America or any State and shall expressly assume, by an indenture supplemental hereto, executed and delivered to the Indenture Trustee, in form satisfactory</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19" w:name="page320"/>
    <w:bookmarkEnd w:id="319"/>
    <w:p>
      <w:pPr>
        <w:spacing w:after="0" w:line="269" w:lineRule="exact"/>
        <w:rPr>
          <w:sz w:val="20"/>
          <w:szCs w:val="20"/>
          <w:color w:val="auto"/>
        </w:rPr>
      </w:pPr>
    </w:p>
    <w:p>
      <w:pPr>
        <w:jc w:val="both"/>
        <w:ind w:left="800" w:right="360"/>
        <w:spacing w:after="0" w:line="268" w:lineRule="auto"/>
        <w:rPr>
          <w:sz w:val="20"/>
          <w:szCs w:val="20"/>
          <w:color w:val="auto"/>
        </w:rPr>
      </w:pPr>
      <w:r>
        <w:rPr>
          <w:rFonts w:ascii="Times New Roman" w:cs="Times New Roman" w:eastAsia="Times New Roman" w:hAnsi="Times New Roman"/>
          <w:sz w:val="19"/>
          <w:szCs w:val="19"/>
          <w:color w:val="auto"/>
        </w:rPr>
        <w:t>to the Indenture Trustee, the due and punctual payment of the principal of and interest on all Notes and the performance or observance of every agreement and covenant of this Indenture on the part of the Issuer to be performed or observed, all as provided herein;</w:t>
      </w:r>
    </w:p>
    <w:p>
      <w:pPr>
        <w:spacing w:after="0" w:line="144" w:lineRule="exact"/>
        <w:rPr>
          <w:sz w:val="20"/>
          <w:szCs w:val="20"/>
          <w:color w:val="auto"/>
        </w:rPr>
      </w:pPr>
    </w:p>
    <w:p>
      <w:pPr>
        <w:ind w:left="1900" w:hanging="346"/>
        <w:spacing w:after="0"/>
        <w:tabs>
          <w:tab w:leader="none" w:pos="1900" w:val="left"/>
        </w:tabs>
        <w:numPr>
          <w:ilvl w:val="2"/>
          <w:numId w:val="24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immediately after giving effect to such transaction, no Default or Event of Default shall have occurred and be</w:t>
      </w:r>
    </w:p>
    <w:p>
      <w:pPr>
        <w:spacing w:after="0" w:line="31" w:lineRule="exact"/>
        <w:rPr>
          <w:rFonts w:ascii="Times New Roman" w:cs="Times New Roman" w:eastAsia="Times New Roman" w:hAnsi="Times New Roman"/>
          <w:sz w:val="19"/>
          <w:szCs w:val="19"/>
          <w:color w:val="1F3763"/>
        </w:rPr>
      </w:pPr>
    </w:p>
    <w:p>
      <w:pPr>
        <w:ind w:left="80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continuing;</w:t>
      </w:r>
    </w:p>
    <w:p>
      <w:pPr>
        <w:spacing w:after="0" w:line="179" w:lineRule="exact"/>
        <w:rPr>
          <w:rFonts w:ascii="Times New Roman" w:cs="Times New Roman" w:eastAsia="Times New Roman" w:hAnsi="Times New Roman"/>
          <w:sz w:val="19"/>
          <w:szCs w:val="19"/>
          <w:color w:val="1F3763"/>
        </w:rPr>
      </w:pPr>
    </w:p>
    <w:p>
      <w:pPr>
        <w:ind w:left="1900" w:hanging="346"/>
        <w:spacing w:after="0"/>
        <w:tabs>
          <w:tab w:leader="none" w:pos="1900" w:val="left"/>
        </w:tabs>
        <w:numPr>
          <w:ilvl w:val="2"/>
          <w:numId w:val="24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Rating Agency shall be provided with notice of such transaction;</w:t>
      </w:r>
    </w:p>
    <w:p>
      <w:pPr>
        <w:spacing w:after="0" w:line="201" w:lineRule="exact"/>
        <w:rPr>
          <w:rFonts w:ascii="Times New Roman" w:cs="Times New Roman" w:eastAsia="Times New Roman" w:hAnsi="Times New Roman"/>
          <w:sz w:val="19"/>
          <w:szCs w:val="19"/>
          <w:color w:val="1F3763"/>
        </w:rPr>
      </w:pPr>
    </w:p>
    <w:p>
      <w:pPr>
        <w:ind w:left="800" w:right="160" w:firstLine="754"/>
        <w:spacing w:after="0" w:line="257" w:lineRule="auto"/>
        <w:tabs>
          <w:tab w:leader="none" w:pos="1880" w:val="left"/>
        </w:tabs>
        <w:numPr>
          <w:ilvl w:val="2"/>
          <w:numId w:val="24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have received an Opinion of Counsel (and shall have delivered copies thereof to the Indenture Trustee) to the effect that such transaction will not, for U.S. federal income tax purposes, (A) cause the Issuer to be treated as an association (or publicly traded partnership) taxable as a corporation, (B) cause the Issuer to fail to qualify as a fixed investment trust described in Treasury Regulation Section 301.7701-4(c) that is treated as a grantor trust under subtitle A, chapter 1, subchapter J, part I, subpart E of the Code, (C) create a reissuance of the Notes or (D) cause the Notes that were characterized as debt at the time of their issuance to fail to qualify as debt;</w:t>
      </w:r>
    </w:p>
    <w:p>
      <w:pPr>
        <w:spacing w:after="0" w:line="156" w:lineRule="exact"/>
        <w:rPr>
          <w:rFonts w:ascii="Times New Roman" w:cs="Times New Roman" w:eastAsia="Times New Roman" w:hAnsi="Times New Roman"/>
          <w:sz w:val="19"/>
          <w:szCs w:val="19"/>
          <w:color w:val="1F3763"/>
        </w:rPr>
      </w:pPr>
    </w:p>
    <w:p>
      <w:pPr>
        <w:ind w:left="1960" w:hanging="418"/>
        <w:spacing w:after="0"/>
        <w:tabs>
          <w:tab w:leader="none" w:pos="1960" w:val="left"/>
        </w:tabs>
        <w:numPr>
          <w:ilvl w:val="1"/>
          <w:numId w:val="2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action as is necessary to maintain the lien and security interest created by this Indenture shall have been</w:t>
      </w:r>
    </w:p>
    <w:p>
      <w:pPr>
        <w:spacing w:after="0" w:line="31" w:lineRule="exact"/>
        <w:rPr>
          <w:rFonts w:ascii="Times New Roman" w:cs="Times New Roman" w:eastAsia="Times New Roman" w:hAnsi="Times New Roman"/>
          <w:sz w:val="19"/>
          <w:szCs w:val="19"/>
          <w:color w:val="1F3763"/>
        </w:rPr>
      </w:pPr>
    </w:p>
    <w:p>
      <w:pPr>
        <w:ind w:left="78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taken;</w:t>
      </w:r>
    </w:p>
    <w:p>
      <w:pPr>
        <w:spacing w:after="0" w:line="179" w:lineRule="exact"/>
        <w:rPr>
          <w:rFonts w:ascii="Times New Roman" w:cs="Times New Roman" w:eastAsia="Times New Roman" w:hAnsi="Times New Roman"/>
          <w:sz w:val="19"/>
          <w:szCs w:val="19"/>
          <w:color w:val="1F3763"/>
        </w:rPr>
      </w:pPr>
    </w:p>
    <w:p>
      <w:pPr>
        <w:jc w:val="both"/>
        <w:ind w:left="800" w:right="180" w:firstLine="754"/>
        <w:spacing w:after="0" w:line="268" w:lineRule="auto"/>
        <w:tabs>
          <w:tab w:leader="none" w:pos="1880" w:val="left"/>
        </w:tabs>
        <w:numPr>
          <w:ilvl w:val="2"/>
          <w:numId w:val="2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have delivered to the Indenture Trustee an Officer's Certificate and an Opinion of Counsel each stating that such consolidation or merger and such supplemental indenture comply with this Article III and that all conditions precedent herein provided for relating to such transaction have been complied with; and</w:t>
      </w:r>
    </w:p>
    <w:p>
      <w:pPr>
        <w:spacing w:after="0" w:line="144" w:lineRule="exact"/>
        <w:rPr>
          <w:rFonts w:ascii="Times New Roman" w:cs="Times New Roman" w:eastAsia="Times New Roman" w:hAnsi="Times New Roman"/>
          <w:sz w:val="19"/>
          <w:szCs w:val="19"/>
          <w:color w:val="1F3763"/>
        </w:rPr>
      </w:pPr>
    </w:p>
    <w:p>
      <w:pPr>
        <w:ind w:left="800" w:right="120" w:firstLine="754"/>
        <w:spacing w:after="0" w:line="268" w:lineRule="auto"/>
        <w:tabs>
          <w:tab w:leader="none" w:pos="1940" w:val="left"/>
        </w:tabs>
        <w:numPr>
          <w:ilvl w:val="2"/>
          <w:numId w:val="2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or the Person (if other than the Issuer) formed by or surviving such consolidation or merger has a net worth, immediately after such consolidation or merger, that is (a) greater than zero and (b) not less than the net worth of the Issuer immediately prior to giving effect to such consolidation or merger.</w:t>
      </w:r>
    </w:p>
    <w:p>
      <w:pPr>
        <w:spacing w:after="0" w:line="144" w:lineRule="exact"/>
        <w:rPr>
          <w:rFonts w:ascii="Times New Roman" w:cs="Times New Roman" w:eastAsia="Times New Roman" w:hAnsi="Times New Roman"/>
          <w:sz w:val="19"/>
          <w:szCs w:val="19"/>
          <w:color w:val="1F3763"/>
        </w:rPr>
      </w:pPr>
    </w:p>
    <w:p>
      <w:pPr>
        <w:ind w:firstLine="1410"/>
        <w:spacing w:after="0" w:line="286" w:lineRule="auto"/>
        <w:tabs>
          <w:tab w:leader="none" w:pos="1777" w:val="left"/>
        </w:tabs>
        <w:numPr>
          <w:ilvl w:val="0"/>
          <w:numId w:val="24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not convey or transfer all or substantially all of its properties or assets, including those included in the Trust Estate, to any Person, unless:</w:t>
      </w:r>
    </w:p>
    <w:p>
      <w:pPr>
        <w:spacing w:after="0" w:line="127" w:lineRule="exact"/>
        <w:rPr>
          <w:rFonts w:ascii="Times New Roman" w:cs="Times New Roman" w:eastAsia="Times New Roman" w:hAnsi="Times New Roman"/>
          <w:sz w:val="19"/>
          <w:szCs w:val="19"/>
          <w:color w:val="1F3763"/>
        </w:rPr>
      </w:pPr>
    </w:p>
    <w:p>
      <w:pPr>
        <w:ind w:left="800" w:right="80" w:firstLine="754"/>
        <w:spacing w:after="0" w:line="254" w:lineRule="auto"/>
        <w:tabs>
          <w:tab w:leader="none" w:pos="1880" w:val="left"/>
        </w:tabs>
        <w:numPr>
          <w:ilvl w:val="2"/>
          <w:numId w:val="24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Person that acquires by conveyance or transfer the properties and assets of the Issuer the conveyance or transfer of which is hereby restricted shall (A) be a United States citizen or a Person organized and existing under the laws of the United States of America or any State, (B) expressly assume, by an indenture supplemental hereto, executed and delivered to the Indenture Trustee, in form satisfactory to the Indenture Trustee, the due and punctual payment of the principal of and interest on all Notes and the performance or observance of every agreement and covenant of this Indenture and each of the other Basic Documents on the part of the Issuer to be performed or observed, all as provided herein, (C) expressly agree by means of such supplemental indenture that all right, title and interest so conveyed or transferred shall be subject and subordinate to the rights of Holders of the Notes, (D) unless otherwise provided in such supplemental indenture, expressly agree to indemnify, defend and hold harmless the Issuer against and from any loss, liability or expense arising under or related to this Indenture and the Notes and (E) expressly agree by means of such supplemental indenture that such Person (or if</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0" w:name="page321"/>
    <w:bookmarkEnd w:id="320"/>
    <w:p>
      <w:pPr>
        <w:spacing w:after="0" w:line="269" w:lineRule="exact"/>
        <w:rPr>
          <w:sz w:val="20"/>
          <w:szCs w:val="20"/>
          <w:color w:val="auto"/>
        </w:rPr>
      </w:pPr>
    </w:p>
    <w:p>
      <w:pPr>
        <w:ind w:left="800" w:right="400"/>
        <w:spacing w:after="0" w:line="286" w:lineRule="auto"/>
        <w:rPr>
          <w:sz w:val="20"/>
          <w:szCs w:val="20"/>
          <w:color w:val="auto"/>
        </w:rPr>
      </w:pPr>
      <w:r>
        <w:rPr>
          <w:rFonts w:ascii="Times New Roman" w:cs="Times New Roman" w:eastAsia="Times New Roman" w:hAnsi="Times New Roman"/>
          <w:sz w:val="19"/>
          <w:szCs w:val="19"/>
          <w:color w:val="auto"/>
        </w:rPr>
        <w:t>a group of Persons, then one specified Person) shall prepare (or cause to be prepared) and make all filings, if any, with the Commission (and any other appropriate Person) required by the Exchange Act in connection with the Notes;</w:t>
      </w:r>
    </w:p>
    <w:p>
      <w:pPr>
        <w:spacing w:after="0" w:line="127" w:lineRule="exact"/>
        <w:rPr>
          <w:sz w:val="20"/>
          <w:szCs w:val="20"/>
          <w:color w:val="auto"/>
        </w:rPr>
      </w:pPr>
    </w:p>
    <w:p>
      <w:pPr>
        <w:ind w:left="1900" w:hanging="346"/>
        <w:spacing w:after="0"/>
        <w:tabs>
          <w:tab w:leader="none" w:pos="1900" w:val="left"/>
        </w:tabs>
        <w:numPr>
          <w:ilvl w:val="0"/>
          <w:numId w:val="2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immediately after giving effect to such transaction, no Default or Event of Default shall have occurred and be</w:t>
      </w:r>
    </w:p>
    <w:p>
      <w:pPr>
        <w:spacing w:after="0" w:line="31" w:lineRule="exact"/>
        <w:rPr>
          <w:rFonts w:ascii="Times New Roman" w:cs="Times New Roman" w:eastAsia="Times New Roman" w:hAnsi="Times New Roman"/>
          <w:sz w:val="19"/>
          <w:szCs w:val="19"/>
          <w:color w:val="1F3763"/>
        </w:rPr>
      </w:pPr>
    </w:p>
    <w:p>
      <w:pPr>
        <w:ind w:left="80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continuing;</w:t>
      </w:r>
    </w:p>
    <w:p>
      <w:pPr>
        <w:spacing w:after="0" w:line="179" w:lineRule="exact"/>
        <w:rPr>
          <w:rFonts w:ascii="Times New Roman" w:cs="Times New Roman" w:eastAsia="Times New Roman" w:hAnsi="Times New Roman"/>
          <w:sz w:val="19"/>
          <w:szCs w:val="19"/>
          <w:color w:val="1F3763"/>
        </w:rPr>
      </w:pPr>
    </w:p>
    <w:p>
      <w:pPr>
        <w:ind w:left="1900" w:hanging="346"/>
        <w:spacing w:after="0"/>
        <w:tabs>
          <w:tab w:leader="none" w:pos="1900" w:val="left"/>
        </w:tabs>
        <w:numPr>
          <w:ilvl w:val="0"/>
          <w:numId w:val="2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Rating Agency shall be provided with notice of such transaction;</w:t>
      </w:r>
    </w:p>
    <w:p>
      <w:pPr>
        <w:spacing w:after="0" w:line="201" w:lineRule="exact"/>
        <w:rPr>
          <w:rFonts w:ascii="Times New Roman" w:cs="Times New Roman" w:eastAsia="Times New Roman" w:hAnsi="Times New Roman"/>
          <w:sz w:val="19"/>
          <w:szCs w:val="19"/>
          <w:color w:val="1F3763"/>
        </w:rPr>
      </w:pPr>
    </w:p>
    <w:p>
      <w:pPr>
        <w:ind w:left="800" w:right="160" w:firstLine="754"/>
        <w:spacing w:after="0" w:line="257" w:lineRule="auto"/>
        <w:tabs>
          <w:tab w:leader="none" w:pos="1880" w:val="left"/>
        </w:tabs>
        <w:numPr>
          <w:ilvl w:val="0"/>
          <w:numId w:val="2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have received an Opinion of Counsel (and shall have delivered copies thereof to the Indenture Trustee) to the effect that such transaction will not, for U.S. federal income tax purposes, (A) cause the Issuer to be treated as an association (or publicly traded partnership) taxable as a corporation, (B) cause the Issuer to fail to qualify as a fixed investment trust described in Treasury Regulation Section 301.7701-4(c) that is treated as a grantor trust under subtitle A, chapter 1, subchapter J, part I, subpart E of the Code, (C) create a reissuance of the Notes or (D) cause the Notes that were characterized as debt at the time of their issuance to fail to qualify as debt;</w:t>
      </w:r>
    </w:p>
    <w:p>
      <w:pPr>
        <w:spacing w:after="0" w:line="156" w:lineRule="exact"/>
        <w:rPr>
          <w:rFonts w:ascii="Times New Roman" w:cs="Times New Roman" w:eastAsia="Times New Roman" w:hAnsi="Times New Roman"/>
          <w:sz w:val="19"/>
          <w:szCs w:val="19"/>
          <w:color w:val="1F3763"/>
        </w:rPr>
      </w:pPr>
    </w:p>
    <w:p>
      <w:pPr>
        <w:ind w:left="1920" w:hanging="366"/>
        <w:spacing w:after="0"/>
        <w:tabs>
          <w:tab w:leader="none" w:pos="1920" w:val="left"/>
        </w:tabs>
        <w:numPr>
          <w:ilvl w:val="0"/>
          <w:numId w:val="2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action as is necessary to maintain the lien and security interest created by this Indenture shall have been</w:t>
      </w:r>
    </w:p>
    <w:p>
      <w:pPr>
        <w:spacing w:after="0" w:line="31" w:lineRule="exact"/>
        <w:rPr>
          <w:rFonts w:ascii="Times New Roman" w:cs="Times New Roman" w:eastAsia="Times New Roman" w:hAnsi="Times New Roman"/>
          <w:sz w:val="19"/>
          <w:szCs w:val="19"/>
          <w:color w:val="1F3763"/>
        </w:rPr>
      </w:pPr>
    </w:p>
    <w:p>
      <w:pPr>
        <w:ind w:left="80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taken;</w:t>
      </w:r>
    </w:p>
    <w:p>
      <w:pPr>
        <w:spacing w:after="0" w:line="179" w:lineRule="exact"/>
        <w:rPr>
          <w:rFonts w:ascii="Times New Roman" w:cs="Times New Roman" w:eastAsia="Times New Roman" w:hAnsi="Times New Roman"/>
          <w:sz w:val="19"/>
          <w:szCs w:val="19"/>
          <w:color w:val="1F3763"/>
        </w:rPr>
      </w:pPr>
    </w:p>
    <w:p>
      <w:pPr>
        <w:ind w:left="800" w:right="180" w:firstLine="754"/>
        <w:spacing w:after="0" w:line="262" w:lineRule="auto"/>
        <w:tabs>
          <w:tab w:leader="none" w:pos="1880" w:val="left"/>
        </w:tabs>
        <w:numPr>
          <w:ilvl w:val="0"/>
          <w:numId w:val="2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have delivered to the Indenture Trustee an Officer's Certificate and an Opinion of Counsel each stating that such conveyance or transfer and such supplemental indenture comply with this Article III and that all conditions precedent herein provided for relating to such transaction have been complied with (including any filing required by the Exchange Act); and</w:t>
      </w:r>
    </w:p>
    <w:p>
      <w:pPr>
        <w:spacing w:after="0" w:line="150" w:lineRule="exact"/>
        <w:rPr>
          <w:rFonts w:ascii="Times New Roman" w:cs="Times New Roman" w:eastAsia="Times New Roman" w:hAnsi="Times New Roman"/>
          <w:sz w:val="19"/>
          <w:szCs w:val="19"/>
          <w:color w:val="1F3763"/>
        </w:rPr>
      </w:pPr>
    </w:p>
    <w:p>
      <w:pPr>
        <w:ind w:left="800" w:right="200" w:firstLine="754"/>
        <w:spacing w:after="0" w:line="268" w:lineRule="auto"/>
        <w:tabs>
          <w:tab w:leader="none" w:pos="1940" w:val="left"/>
        </w:tabs>
        <w:numPr>
          <w:ilvl w:val="0"/>
          <w:numId w:val="2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or the Person (if other than the Issuer) formed by or surviving such conveyance or transfer has a net worth, immediately after such conveyance or transfer, that is (a) greater than zero and (b) not less than the net worth of the Issuer immediately prior to giving effect to such conveyance or transfer.</w:t>
      </w:r>
    </w:p>
    <w:p>
      <w:pPr>
        <w:spacing w:after="0" w:line="144"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19"/>
          <w:szCs w:val="19"/>
          <w:color w:val="2F5496"/>
        </w:rPr>
        <w:t>SECTION III.11</w:t>
      </w:r>
      <w:r>
        <w:rPr>
          <w:rFonts w:ascii="Times New Roman" w:cs="Times New Roman" w:eastAsia="Times New Roman" w:hAnsi="Times New Roman"/>
          <w:sz w:val="19"/>
          <w:szCs w:val="19"/>
          <w:color w:val="auto"/>
        </w:rPr>
        <w:tab/>
        <w:t>Successor or Transferee.</w:t>
      </w:r>
    </w:p>
    <w:p>
      <w:pPr>
        <w:spacing w:after="0" w:line="202" w:lineRule="exact"/>
        <w:rPr>
          <w:sz w:val="20"/>
          <w:szCs w:val="20"/>
          <w:color w:val="auto"/>
        </w:rPr>
      </w:pPr>
    </w:p>
    <w:p>
      <w:pPr>
        <w:ind w:firstLine="1410"/>
        <w:spacing w:after="0" w:line="268" w:lineRule="auto"/>
        <w:tabs>
          <w:tab w:leader="none" w:pos="1765" w:val="left"/>
        </w:tabs>
        <w:numPr>
          <w:ilvl w:val="0"/>
          <w:numId w:val="25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any consolidation or merger of the Issuer in accordance with Section 3.10(a), the Person formed by or surviving such consolidation or merger (if other than the Issuer) shall succeed to, and be substituted for, and may exercise every right and power of, the Issuer under this Indenture with the same effect as if such Person had been named as the Issuer herein.</w:t>
      </w:r>
    </w:p>
    <w:p>
      <w:pPr>
        <w:spacing w:after="0" w:line="144" w:lineRule="exact"/>
        <w:rPr>
          <w:rFonts w:ascii="Times New Roman" w:cs="Times New Roman" w:eastAsia="Times New Roman" w:hAnsi="Times New Roman"/>
          <w:sz w:val="19"/>
          <w:szCs w:val="19"/>
          <w:color w:val="1F3763"/>
        </w:rPr>
      </w:pPr>
    </w:p>
    <w:p>
      <w:pPr>
        <w:ind w:right="320" w:firstLine="1410"/>
        <w:spacing w:after="0" w:line="262" w:lineRule="auto"/>
        <w:tabs>
          <w:tab w:leader="none" w:pos="1777" w:val="left"/>
        </w:tabs>
        <w:numPr>
          <w:ilvl w:val="0"/>
          <w:numId w:val="25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a conveyance or transfer of all the assets and properties of the Issuer pursuant to Section 3.10(b), United Auto Credit Securitization Trust 2025-1 will be released from every covenant and agreement of this Indenture to be observed or performed on the part of the Issuer with respect to the Notes immediately upon the delivery of written notice to the Indenture Trustee stating that United Auto Credit Securitization Trust 2025-1 is to be so released.</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1" w:name="page322"/>
    <w:bookmarkEnd w:id="321"/>
    <w:p>
      <w:pPr>
        <w:spacing w:after="0" w:line="269" w:lineRule="exact"/>
        <w:rPr>
          <w:sz w:val="20"/>
          <w:szCs w:val="20"/>
          <w:color w:val="auto"/>
        </w:rPr>
      </w:pPr>
    </w:p>
    <w:p>
      <w:pPr>
        <w:ind w:right="26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III.12 </w:t>
      </w:r>
      <w:r>
        <w:rPr>
          <w:rFonts w:ascii="Times New Roman" w:cs="Times New Roman" w:eastAsia="Times New Roman" w:hAnsi="Times New Roman"/>
          <w:sz w:val="19"/>
          <w:szCs w:val="19"/>
          <w:color w:val="000000"/>
        </w:rPr>
        <w:t>No Other Business. The Issuer shall not engage in any business other than financing, purchasing, owning,</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selling and managing the Receivables in the manner contemplated by this Indenture and the other Basic Documents and activities incidental thereto.</w:t>
      </w:r>
    </w:p>
    <w:p>
      <w:pPr>
        <w:spacing w:after="0" w:line="144" w:lineRule="exact"/>
        <w:rPr>
          <w:sz w:val="20"/>
          <w:szCs w:val="20"/>
          <w:color w:val="auto"/>
        </w:rPr>
      </w:pPr>
    </w:p>
    <w:p>
      <w:pPr>
        <w:ind w:right="24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III.13 </w:t>
      </w:r>
      <w:r>
        <w:rPr>
          <w:rFonts w:ascii="Times New Roman" w:cs="Times New Roman" w:eastAsia="Times New Roman" w:hAnsi="Times New Roman"/>
          <w:sz w:val="19"/>
          <w:szCs w:val="19"/>
          <w:color w:val="000000"/>
        </w:rPr>
        <w:t>No Borrowing. The Issuer shall not issue, incur, assume, guarantee or otherwise become liable, directly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indirectly, for any Indebtedness except for (i) the Notes and (ii) any other Indebtedness permitted by or arising under the Basic Documents. The proceeds of the Notes shall be used exclusively to fund the Issuer's purchase of the Receivables and the other assets specified in the Sale and Servicing Agreement, to fund the Reserve Account and to pay the Issuer's organizational, transactional and start-up expenses.</w:t>
      </w:r>
    </w:p>
    <w:p>
      <w:pPr>
        <w:sectPr>
          <w:pgSz w:w="11900" w:h="16840" w:orient="portrait"/>
          <w:cols w:equalWidth="0" w:num="1">
            <w:col w:w="10580"/>
          </w:cols>
          <w:pgMar w:left="660" w:top="1440" w:right="660" w:bottom="1440" w:gutter="0" w:footer="0" w:header="0"/>
        </w:sectPr>
      </w:pP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SECTION III.14</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Servicer's Obligations. The Issuer shall cause the Servicer to comply with the Sale and Servicing Agreement.</w:t>
      </w:r>
    </w:p>
    <w:p>
      <w:pPr>
        <w:spacing w:after="0" w:line="200" w:lineRule="exact"/>
        <w:rPr>
          <w:sz w:val="20"/>
          <w:szCs w:val="20"/>
          <w:color w:val="auto"/>
        </w:rPr>
      </w:pPr>
    </w:p>
    <w:p>
      <w:pPr>
        <w:sectPr>
          <w:pgSz w:w="11900" w:h="16840" w:orient="portrait"/>
          <w:cols w:equalWidth="0" w:num="2">
            <w:col w:w="2000" w:space="140"/>
            <w:col w:w="8440"/>
          </w:cols>
          <w:pgMar w:left="660" w:top="1440" w:right="660" w:bottom="1440" w:gutter="0" w:footer="0" w:header="0"/>
          <w:type w:val="continuous"/>
        </w:sectPr>
      </w:pPr>
    </w:p>
    <w:p>
      <w:pPr>
        <w:spacing w:after="0" w:line="2"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19"/>
          <w:szCs w:val="19"/>
          <w:color w:val="2F5496"/>
        </w:rPr>
        <w:t>SECTION III.15</w:t>
      </w:r>
      <w:r>
        <w:rPr>
          <w:rFonts w:ascii="Times New Roman" w:cs="Times New Roman" w:eastAsia="Times New Roman" w:hAnsi="Times New Roman"/>
          <w:sz w:val="19"/>
          <w:szCs w:val="19"/>
          <w:color w:val="auto"/>
        </w:rPr>
        <w:tab/>
        <w:t>Guarantees, Loans, Advances and Other Liabilities. Except as contemplated by the Sale and Servicing</w:t>
      </w:r>
    </w:p>
    <w:p>
      <w:pPr>
        <w:sectPr>
          <w:pgSz w:w="11900" w:h="16840" w:orient="portrait"/>
          <w:cols w:equalWidth="0" w:num="1">
            <w:col w:w="10580"/>
          </w:cols>
          <w:pgMar w:left="660" w:top="1440" w:right="660" w:bottom="1440" w:gutter="0" w:footer="0" w:header="0"/>
          <w:type w:val="continuous"/>
        </w:sectPr>
      </w:pPr>
    </w:p>
    <w:p>
      <w:pPr>
        <w:spacing w:after="0" w:line="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Agreement or this Indenture, the Issuer shall not make any loan or advance or credit to, or guarantee (directly or indirectly or by an instrument having the effect of assuring another's payment or performance on any obligation or capability of so doing or otherwise), endorse or otherwise become contingently liable, directly or indirectly, in connection with the obligations, stocks or dividends of, or own, purchase, repurchase or acquire (or agree contingently to do so) any stock, obligations, assets or securities of, or any other interest in, or make any capital contribution to, any other Person (other than Permitted Investments).</w:t>
      </w:r>
    </w:p>
    <w:p>
      <w:pPr>
        <w:spacing w:after="0" w:line="158" w:lineRule="exact"/>
        <w:rPr>
          <w:sz w:val="20"/>
          <w:szCs w:val="20"/>
          <w:color w:val="auto"/>
        </w:rPr>
      </w:pPr>
    </w:p>
    <w:p>
      <w:pPr>
        <w:ind w:right="70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III.16 </w:t>
      </w:r>
      <w:r>
        <w:rPr>
          <w:rFonts w:ascii="Times New Roman" w:cs="Times New Roman" w:eastAsia="Times New Roman" w:hAnsi="Times New Roman"/>
          <w:sz w:val="19"/>
          <w:szCs w:val="19"/>
          <w:color w:val="000000"/>
        </w:rPr>
        <w:t>Capital Expenditures. The Issuer shall not make any expenditure (by long-term or operating lease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otherwise) for capital assets (either realty or personalty).</w:t>
      </w:r>
    </w:p>
    <w:p>
      <w:pPr>
        <w:spacing w:after="0" w:line="127" w:lineRule="exact"/>
        <w:rPr>
          <w:sz w:val="20"/>
          <w:szCs w:val="20"/>
          <w:color w:val="auto"/>
        </w:rPr>
      </w:pPr>
    </w:p>
    <w:p>
      <w:pPr>
        <w:ind w:right="38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III.17 </w:t>
      </w:r>
      <w:r>
        <w:rPr>
          <w:rFonts w:ascii="Times New Roman" w:cs="Times New Roman" w:eastAsia="Times New Roman" w:hAnsi="Times New Roman"/>
          <w:sz w:val="19"/>
          <w:szCs w:val="19"/>
          <w:color w:val="000000"/>
        </w:rPr>
        <w:t>Compliance with Laws. The Issuer shall comply with the requirements of all applicable laws, the non-compliance with which would, individually or in the aggregate, materially and adversely affect the ability of the Issuer to perform its obligations under the Notes, this Indenture or any other Basic Document.</w:t>
      </w:r>
    </w:p>
    <w:p>
      <w:pPr>
        <w:spacing w:after="0" w:line="144"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2F5496"/>
        </w:rPr>
        <w:t xml:space="preserve">SECTION III.18 </w:t>
      </w:r>
      <w:r>
        <w:rPr>
          <w:rFonts w:ascii="Times New Roman" w:cs="Times New Roman" w:eastAsia="Times New Roman" w:hAnsi="Times New Roman"/>
          <w:sz w:val="19"/>
          <w:szCs w:val="19"/>
          <w:color w:val="000000"/>
        </w:rPr>
        <w:t>Restricted Payments. The Issuer shall not, directly or indirectly, (i) pay any dividend or make 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distribution (by reduction of capital or otherwise), whether in cash, property, securities or a combination thereof, to the Owner Trustee or any owner of a beneficial interest in the Issuer or otherwise with respect to any ownership or equity interest or security in or of the Issuer or to the Servicer, (ii) redeem, purchase, retire or otherwise acquire for value any such ownership or equity interest or security or (iii) set aside or otherwise segregate any amounts for any such purpose;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the Issuer may make, or cause to be made, distributions to the Servicer, the Owner Trustee, the Indenture Trustee, the Noteholders and the Certificateholders as permitted by, and to the extent funds are available for such purpose under, the Sale and Servicing Agreement or Trust Agreement. The Issuer will not, directly or indirectly, make payments to or distributions from the Collection Account except in accordance with this Indenture and the other Basic Documents.</w:t>
      </w:r>
    </w:p>
    <w:p>
      <w:pPr>
        <w:spacing w:after="0" w:line="388" w:lineRule="exact"/>
        <w:rPr>
          <w:sz w:val="20"/>
          <w:szCs w:val="20"/>
          <w:color w:val="auto"/>
        </w:rPr>
      </w:pPr>
    </w:p>
    <w:p>
      <w:pPr>
        <w:ind w:right="6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III.19 </w:t>
      </w:r>
      <w:r>
        <w:rPr>
          <w:rFonts w:ascii="Times New Roman" w:cs="Times New Roman" w:eastAsia="Times New Roman" w:hAnsi="Times New Roman"/>
          <w:sz w:val="19"/>
          <w:szCs w:val="19"/>
          <w:color w:val="000000"/>
        </w:rPr>
        <w:t>Notice of Events of Default. Upon a Responsible Officer of the Owner Trustee having actual knowledge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thereof, the Owner Trustee shall notify the Servicer and the Servicer, on behalf of the Issuer, agrees to give the Indenture Trustee and the Rating Agencies</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322" w:name="page323"/>
    <w:bookmarkEnd w:id="322"/>
    <w:p>
      <w:pPr>
        <w:spacing w:after="0" w:line="26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prompt written notice of each Event of Default or Default hereunder and each default on the part of the Servicer or the Depositor of its obligations under the Sale and Servicing Agreement.</w:t>
      </w:r>
    </w:p>
    <w:p>
      <w:pPr>
        <w:spacing w:after="0" w:line="127"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III.20 </w:t>
      </w:r>
      <w:r>
        <w:rPr>
          <w:rFonts w:ascii="Times New Roman" w:cs="Times New Roman" w:eastAsia="Times New Roman" w:hAnsi="Times New Roman"/>
          <w:sz w:val="19"/>
          <w:szCs w:val="19"/>
          <w:color w:val="000000"/>
        </w:rPr>
        <w:t>Further Instruments and Acts. Upon request of the Indenture Trustee, the Issuer will execute and deliver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such further instruments and do such further acts as may be reasonably necessary or proper to carry out more effectively the purpose of this Indenture.</w:t>
      </w:r>
    </w:p>
    <w:p>
      <w:pPr>
        <w:spacing w:after="0" w:line="144" w:lineRule="exact"/>
        <w:rPr>
          <w:sz w:val="20"/>
          <w:szCs w:val="20"/>
          <w:color w:val="auto"/>
        </w:rPr>
      </w:pPr>
    </w:p>
    <w:p>
      <w:pPr>
        <w:ind w:right="1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III.21 </w:t>
      </w:r>
      <w:r>
        <w:rPr>
          <w:rFonts w:ascii="Times New Roman" w:cs="Times New Roman" w:eastAsia="Times New Roman" w:hAnsi="Times New Roman"/>
          <w:sz w:val="19"/>
          <w:szCs w:val="19"/>
          <w:color w:val="000000"/>
        </w:rPr>
        <w:t>Amendments of Sale and Servicing Agreement and Trust Agreement. The Issuer shall not agree to 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amendment to Section 12.1 of the Sale and Servicing Agreement or Section 10.1 of the Trust Agreement to eliminate the requirements thereunder that the Indenture Trustee or the Holders of the Notes or the Owner Trustee or the Certificateholders consent to amendments thereto as provided therein.</w:t>
      </w:r>
    </w:p>
    <w:p>
      <w:pPr>
        <w:spacing w:after="0" w:line="150" w:lineRule="exact"/>
        <w:rPr>
          <w:sz w:val="20"/>
          <w:szCs w:val="20"/>
          <w:color w:val="auto"/>
        </w:rPr>
      </w:pPr>
    </w:p>
    <w:p>
      <w:pPr>
        <w:ind w:right="10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III.22 </w:t>
      </w:r>
      <w:r>
        <w:rPr>
          <w:rFonts w:ascii="Times New Roman" w:cs="Times New Roman" w:eastAsia="Times New Roman" w:hAnsi="Times New Roman"/>
          <w:sz w:val="19"/>
          <w:szCs w:val="19"/>
          <w:color w:val="000000"/>
        </w:rPr>
        <w:t>Income Tax Characterization. For purposes of federal income, State and local income and franchise and 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other income taxes, the Issuer will treat the Notes that are owned or beneficially owned by a Person other than the Depositor or its Affiliates as indebtedness and hereby instructs the Indenture Trustee, and each Noteholder and owner of an interest therein shall be deemed, by virtue of acquisition of an interest in such Note, to have agreed, to treat such Notes as indebtedness for all applicable tax reporting purposes.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F5496"/>
        </w:rPr>
        <w:t>ARTICLE IV</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Satisfaction and Discharge</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2F5496"/>
        </w:rPr>
        <w:t xml:space="preserve">SECTION IV.1 </w:t>
      </w:r>
      <w:r>
        <w:rPr>
          <w:rFonts w:ascii="Times New Roman" w:cs="Times New Roman" w:eastAsia="Times New Roman" w:hAnsi="Times New Roman"/>
          <w:sz w:val="19"/>
          <w:szCs w:val="19"/>
          <w:color w:val="000000"/>
        </w:rPr>
        <w:t>Satisfaction and Discharge of Indenture. This Indenture shall cease to be of further effect with respect to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Notes except as to (i) rights of registration of transfer and exchange, (ii) substitution of mutilated, destroyed, lost or stolen Notes, (iii) rights of Noteholders to receive payments of principal thereof and interest thereon, (iv) Sections 3.3, 3.4, 3.5, 3.8, 3.10, 3.12, 3.13, 3.15, 3.16, 3.17, 3.18, 3.20, 3.21 and 3.22, (v) the rights, obligations and immunities of the Indenture Trustee hereunder (including the rights of the Indenture Trustee under Section 6.7 and the obligations of the Indenture Trustee under Section 4.2) and (vi) the rights of Noteholders as beneficiaries hereof with respect to the property so deposited with the Indenture Trustee payable to all or any of them, and the Indenture Trustee, on the express demand of and at the expense of the Issuer (in its sole discretion), shall execute proper instruments acknowledging satisfaction and discharge of this Indenture with respect to the Notes, when:</w:t>
      </w:r>
    </w:p>
    <w:p>
      <w:pPr>
        <w:spacing w:after="0" w:line="160" w:lineRule="exact"/>
        <w:rPr>
          <w:sz w:val="20"/>
          <w:szCs w:val="20"/>
          <w:color w:val="auto"/>
        </w:rPr>
      </w:pPr>
    </w:p>
    <w:p>
      <w:pPr>
        <w:ind w:right="120" w:firstLine="1410"/>
        <w:spacing w:after="0" w:line="262" w:lineRule="auto"/>
        <w:tabs>
          <w:tab w:leader="none" w:pos="1668" w:val="left"/>
        </w:tabs>
        <w:numPr>
          <w:ilvl w:val="0"/>
          <w:numId w:val="2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Notes theretofore authenticated and delivered (other than (i) Notes that have been destroyed, lost or stolen and that have been replaced or paid as provided in Section 2.5 and (ii) Notes for whose payment money has theretofore been deposited in trust or segregated and held in trust by the Issuer and thereafter repaid to the Issuer or discharged from such trust, as provided in Section 3.3) have been delivered to the Indenture Trustee for cancellation;</w:t>
      </w:r>
    </w:p>
    <w:p>
      <w:pPr>
        <w:spacing w:after="0" w:line="150" w:lineRule="exact"/>
        <w:rPr>
          <w:rFonts w:ascii="Times New Roman" w:cs="Times New Roman" w:eastAsia="Times New Roman" w:hAnsi="Times New Roman"/>
          <w:sz w:val="19"/>
          <w:szCs w:val="19"/>
          <w:color w:val="1F3763"/>
        </w:rPr>
      </w:pPr>
    </w:p>
    <w:p>
      <w:pPr>
        <w:ind w:right="580" w:firstLine="1410"/>
        <w:spacing w:after="0" w:line="286" w:lineRule="auto"/>
        <w:tabs>
          <w:tab w:leader="none" w:pos="1680" w:val="left"/>
        </w:tabs>
        <w:numPr>
          <w:ilvl w:val="0"/>
          <w:numId w:val="2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has paid or caused to be paid all Indenture Trustee Issuer Secured Obligations and any other sums payable hereunder by the Issuer; and</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3" w:name="page324"/>
    <w:bookmarkEnd w:id="323"/>
    <w:p>
      <w:pPr>
        <w:spacing w:after="0" w:line="269" w:lineRule="exact"/>
        <w:rPr>
          <w:sz w:val="20"/>
          <w:szCs w:val="20"/>
          <w:color w:val="auto"/>
        </w:rPr>
      </w:pPr>
    </w:p>
    <w:p>
      <w:pPr>
        <w:ind w:firstLine="1410"/>
        <w:spacing w:after="0" w:line="262" w:lineRule="auto"/>
        <w:tabs>
          <w:tab w:leader="none" w:pos="1668" w:val="left"/>
        </w:tabs>
        <w:numPr>
          <w:ilvl w:val="0"/>
          <w:numId w:val="25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has delivered to the Indenture Trustee an Officer's Certificate, an Opinion of Counsel and, if required by the Indenture Trustee, an Independent Certificate from a firm of certified public accountants, each meeting the applicable requirements of Section 11.1(a) and each stating that all conditions precedent herein provided for relating to the satisfaction and discharge of this Indenture have been complied with.</w:t>
      </w:r>
    </w:p>
    <w:p>
      <w:pPr>
        <w:spacing w:after="0" w:line="15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color w:val="auto"/>
        </w:rPr>
        <w:t>For the avoidance of doubt, this Indenture shall only be satisfied and discharged with respect to the Notes upon the Indenture Trustee's execution of proper instruments acknowledging satisfaction and discharge upon the express demand and in the sole discretion of the Issuer in accordance with this Section 4.1.</w:t>
      </w:r>
    </w:p>
    <w:p>
      <w:pPr>
        <w:spacing w:after="0" w:line="144"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IV.2 </w:t>
      </w:r>
      <w:r>
        <w:rPr>
          <w:rFonts w:ascii="Times New Roman" w:cs="Times New Roman" w:eastAsia="Times New Roman" w:hAnsi="Times New Roman"/>
          <w:sz w:val="19"/>
          <w:szCs w:val="19"/>
          <w:color w:val="000000"/>
        </w:rPr>
        <w:t>Application of Trust Money. All moneys deposited with the Indenture Trustee pursuant to Section 4.1 shall be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held in trust and applied by it, in accordance with the provisions of the Notes, this Indenture and the other Basic Documents, to the payment, either directly or through any Note Paying Agent, as the Indenture Trustee may determine, to the Holders of the particular Notes for the payment or redemption of which such moneys have been deposited with the Indenture Trustee, of all sums due and to become due thereon for principal and interest; but such moneys need not be segregated from other funds except to the extent required herein or in the Sale and Servicing Agreement or required by law.</w:t>
      </w:r>
    </w:p>
    <w:p>
      <w:pPr>
        <w:spacing w:after="0" w:line="157" w:lineRule="exact"/>
        <w:rPr>
          <w:sz w:val="20"/>
          <w:szCs w:val="20"/>
          <w:color w:val="auto"/>
        </w:rPr>
      </w:pPr>
    </w:p>
    <w:p>
      <w:pPr>
        <w:ind w:right="16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IV.3 </w:t>
      </w:r>
      <w:r>
        <w:rPr>
          <w:rFonts w:ascii="Times New Roman" w:cs="Times New Roman" w:eastAsia="Times New Roman" w:hAnsi="Times New Roman"/>
          <w:sz w:val="19"/>
          <w:szCs w:val="19"/>
          <w:color w:val="000000"/>
        </w:rPr>
        <w:t>Repayment of Moneys Held by Note Paying Agent. In connection with the satisfaction and discharge of this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Indenture with respect to the Notes, all moneys then held by any Note Paying Agent other than the Indenture Trustee under the provisions of this Indenture with respect to such Notes shall, upon demand of the Issuer, be paid to the Indenture Trustee to be held and applied according to Section 3.3 and thereupon such Note Paying Agent shall be released from all further liability with respect to such moneys.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F5496"/>
        </w:rPr>
        <w:t>ARTICLE V</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Remedies</w:t>
      </w:r>
    </w:p>
    <w:p>
      <w:pPr>
        <w:spacing w:after="0" w:line="202" w:lineRule="exact"/>
        <w:rPr>
          <w:sz w:val="20"/>
          <w:szCs w:val="20"/>
          <w:color w:val="auto"/>
        </w:rPr>
      </w:pPr>
    </w:p>
    <w:p>
      <w:pPr>
        <w:jc w:val="both"/>
        <w:ind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V.1 </w:t>
      </w:r>
      <w:r>
        <w:rPr>
          <w:rFonts w:ascii="Times New Roman" w:cs="Times New Roman" w:eastAsia="Times New Roman" w:hAnsi="Times New Roman"/>
          <w:sz w:val="19"/>
          <w:szCs w:val="19"/>
          <w:color w:val="000000"/>
        </w:rPr>
        <w:t>Events of Default. "Event of Default," wherever used herein, means any one of the following events (whatever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44" w:lineRule="exact"/>
        <w:rPr>
          <w:sz w:val="20"/>
          <w:szCs w:val="20"/>
          <w:color w:val="auto"/>
        </w:rPr>
      </w:pPr>
    </w:p>
    <w:p>
      <w:pPr>
        <w:ind w:left="800" w:right="40" w:firstLine="754"/>
        <w:spacing w:after="0" w:line="259" w:lineRule="auto"/>
        <w:tabs>
          <w:tab w:leader="none" w:pos="1784" w:val="left"/>
        </w:tabs>
        <w:numPr>
          <w:ilvl w:val="0"/>
          <w:numId w:val="2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default in the payment of any interest when it becomes due and payable on (A) any Class of Class A Notes, (B) if no Class A Notes are Outstanding, the Class B Notes, (C) if no Class A Notes or Class B Notes are Outstanding, the Class C Notes, (D) if no Class A Notes, Class B Notes or Class C Notes are Outstanding, the Class D Notes or (E) if no Class A Notes, Class B Notes, Class C Notes or Class D Notes are Outstanding, the Class E Notes, and such default shall continue for a period of five days; or</w:t>
      </w:r>
    </w:p>
    <w:p>
      <w:pPr>
        <w:spacing w:after="0" w:line="153" w:lineRule="exact"/>
        <w:rPr>
          <w:rFonts w:ascii="Times New Roman" w:cs="Times New Roman" w:eastAsia="Times New Roman" w:hAnsi="Times New Roman"/>
          <w:sz w:val="19"/>
          <w:szCs w:val="19"/>
          <w:color w:val="1F3763"/>
        </w:rPr>
      </w:pPr>
    </w:p>
    <w:p>
      <w:pPr>
        <w:ind w:left="1840" w:hanging="286"/>
        <w:spacing w:after="0"/>
        <w:tabs>
          <w:tab w:leader="none" w:pos="1840" w:val="left"/>
        </w:tabs>
        <w:numPr>
          <w:ilvl w:val="0"/>
          <w:numId w:val="2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default in the payment of the Note Balance of any Note on the applicable Final Scheduled Distribution Date</w:t>
      </w:r>
    </w:p>
    <w:p>
      <w:pPr>
        <w:spacing w:after="0" w:line="31" w:lineRule="exact"/>
        <w:rPr>
          <w:rFonts w:ascii="Times New Roman" w:cs="Times New Roman" w:eastAsia="Times New Roman" w:hAnsi="Times New Roman"/>
          <w:sz w:val="19"/>
          <w:szCs w:val="19"/>
          <w:color w:val="1F3763"/>
        </w:rPr>
      </w:pPr>
    </w:p>
    <w:p>
      <w:pPr>
        <w:ind w:left="80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therefor; or</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4" w:name="page325"/>
    <w:bookmarkEnd w:id="324"/>
    <w:p>
      <w:pPr>
        <w:spacing w:after="0" w:line="200" w:lineRule="exact"/>
        <w:rPr>
          <w:sz w:val="20"/>
          <w:szCs w:val="20"/>
          <w:color w:val="auto"/>
        </w:rPr>
      </w:pPr>
    </w:p>
    <w:p>
      <w:pPr>
        <w:spacing w:after="0" w:line="261" w:lineRule="exact"/>
        <w:rPr>
          <w:sz w:val="20"/>
          <w:szCs w:val="20"/>
          <w:color w:val="auto"/>
        </w:rPr>
      </w:pPr>
    </w:p>
    <w:p>
      <w:pPr>
        <w:ind w:left="780" w:firstLine="762"/>
        <w:spacing w:after="0" w:line="253" w:lineRule="auto"/>
        <w:tabs>
          <w:tab w:leader="none" w:pos="1872" w:val="left"/>
        </w:tabs>
        <w:numPr>
          <w:ilvl w:val="1"/>
          <w:numId w:val="25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default in the observance or performance of any covenant or agreement of the Issuer made in this Indenture (other than a default in the payment of the interest or principal on any Note when due), or any representation or warranty of the Issuer made in this Indenture, in any other Basic Document or in any certificate or any other writing delivered pursuant hereto or in connection herewith proving to have been incorrect in any material respect as of the time when the same shall have been made, and such default shall continue or not be cured, or the circumstance or condition in respect of which the representation or warranty was incorrect shall not have been eliminated or otherwise cured, for a period of 45 days (or for such longer period, not in excess of 90 days, as may be reasonably necessary to remedy such default;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default is capable of remedy within 90 days and the Servicer on behalf of the Issuer delivers an Officer's Certificate to the Indenture Trustee to the effect that such default is capable of remedy within 90 days and that the Issuer has commenced, or will promptly commence and diligently pursue, all reasonable efforts to remedy such default) after the giving of written notice, by registered or certified mail, to the Issuer and the Indenture Trustee by the Holders of at least 25% of the Outstanding Amount of the Notes of the Controlling Class or to the Issuer by the Depositor or the Indenture Trustee (acting at the direction of at least 25% of the Outstanding Amount of the Notes of the Controlling Class), specifying such default or incorrect representation or warranty and requiring it to be remedied and stating that such notice is a notice of default as required hereunder; or</w:t>
      </w:r>
    </w:p>
    <w:p>
      <w:pPr>
        <w:spacing w:after="0" w:line="160" w:lineRule="exact"/>
        <w:rPr>
          <w:rFonts w:ascii="Times New Roman" w:cs="Times New Roman" w:eastAsia="Times New Roman" w:hAnsi="Times New Roman"/>
          <w:sz w:val="19"/>
          <w:szCs w:val="19"/>
          <w:color w:val="1F3763"/>
        </w:rPr>
      </w:pPr>
    </w:p>
    <w:p>
      <w:pPr>
        <w:ind w:left="800" w:right="200" w:firstLine="754"/>
        <w:spacing w:after="0" w:line="259" w:lineRule="auto"/>
        <w:tabs>
          <w:tab w:leader="none" w:pos="1880" w:val="left"/>
        </w:tabs>
        <w:numPr>
          <w:ilvl w:val="1"/>
          <w:numId w:val="25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filing of a decree or order for relief by a court having jurisdiction in the premises in respect of the Issuer or any substantial part of the Trust Estate in an involuntary case under any applicable federal or State bankruptcy, insolvency or other similar law now or hereafter in effect, or appointing a receiver, liquidator, assignee, custodian, trustee, sequestrator or similar official of the Issuer or for any substantial part of the Trust Estate, or ordering the winding-up or liquidation of the Issuer's affairs, and such decree or order shall remain unstayed and in effect for a period of 60 consecutive days; or</w:t>
      </w:r>
    </w:p>
    <w:p>
      <w:pPr>
        <w:spacing w:after="0" w:line="153" w:lineRule="exact"/>
        <w:rPr>
          <w:rFonts w:ascii="Times New Roman" w:cs="Times New Roman" w:eastAsia="Times New Roman" w:hAnsi="Times New Roman"/>
          <w:sz w:val="19"/>
          <w:szCs w:val="19"/>
          <w:color w:val="1F3763"/>
        </w:rPr>
      </w:pPr>
    </w:p>
    <w:p>
      <w:pPr>
        <w:ind w:left="800" w:right="40" w:firstLine="754"/>
        <w:spacing w:after="0" w:line="257" w:lineRule="auto"/>
        <w:tabs>
          <w:tab w:leader="none" w:pos="1832" w:val="left"/>
        </w:tabs>
        <w:numPr>
          <w:ilvl w:val="0"/>
          <w:numId w:val="25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commencement by the Issuer of a voluntary case under any applicable federal or State bankruptcy, insolvency or other similar law now or hereafter in effect, or the consent by the Issuer to the entry of an order for relief in an involuntary case under any such law, or the consent by the Issuer to the appointment or taking possession by a receiver, liquidator, assignee, custodian, trustee, sequestrator or similar official of the Issuer or for any substantial part of the Trust Estate, or the making by the Issuer of any general assignment for the benefit of creditors, or the failure by the Issuer generally to pay its debts as such debts become due, or the taking of action by the Issuer in furtherance of any of the foregoing.</w:t>
      </w:r>
    </w:p>
    <w:p>
      <w:pPr>
        <w:spacing w:after="0" w:line="157" w:lineRule="exact"/>
        <w:rPr>
          <w:sz w:val="20"/>
          <w:szCs w:val="20"/>
          <w:color w:val="auto"/>
        </w:rPr>
      </w:pPr>
    </w:p>
    <w:p>
      <w:pPr>
        <w:jc w:val="both"/>
        <w:ind w:right="380" w:firstLine="1404"/>
        <w:spacing w:after="0" w:line="258" w:lineRule="auto"/>
        <w:rPr>
          <w:sz w:val="20"/>
          <w:szCs w:val="20"/>
          <w:color w:val="auto"/>
        </w:rPr>
      </w:pPr>
      <w:r>
        <w:rPr>
          <w:rFonts w:ascii="Times New Roman" w:cs="Times New Roman" w:eastAsia="Times New Roman" w:hAnsi="Times New Roman"/>
          <w:sz w:val="19"/>
          <w:szCs w:val="19"/>
          <w:color w:val="auto"/>
        </w:rPr>
        <w:t>The Issuer shall deliver to the Indenture Trustee, within five days after the occurrence thereof, written notice in the form of an Officer's Certificate of any event which with the giving of notice and the lapse of time would become an Event of Default under clause (iii), its status and what action the Issuer is taking or proposes to take with respect thereto.</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25" w:name="page326"/>
    <w:bookmarkEnd w:id="325"/>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V.2  </w:t>
      </w:r>
      <w:r>
        <w:rPr>
          <w:rFonts w:ascii="Times New Roman" w:cs="Times New Roman" w:eastAsia="Times New Roman" w:hAnsi="Times New Roman"/>
          <w:sz w:val="19"/>
          <w:szCs w:val="19"/>
          <w:color w:val="000000"/>
        </w:rPr>
        <w:t>Rights Upon Event of Default.</w:t>
      </w:r>
    </w:p>
    <w:p>
      <w:pPr>
        <w:spacing w:after="0" w:line="202" w:lineRule="exact"/>
        <w:rPr>
          <w:sz w:val="20"/>
          <w:szCs w:val="20"/>
          <w:color w:val="auto"/>
        </w:rPr>
      </w:pPr>
    </w:p>
    <w:p>
      <w:pPr>
        <w:ind w:firstLine="1410"/>
        <w:spacing w:after="0" w:line="268" w:lineRule="auto"/>
        <w:tabs>
          <w:tab w:leader="none" w:pos="1765" w:val="left"/>
        </w:tabs>
        <w:numPr>
          <w:ilvl w:val="0"/>
          <w:numId w:val="2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an Event of Default shall have occurred and be continuing, the Indenture Trustee, if so directed in writing by the Majority Noteholders, shall declare by written notice to the Issuer that the Notes become, whereupon they shall become, immediately due and payable at par, together with accrued interest thereon.</w:t>
      </w:r>
    </w:p>
    <w:p>
      <w:pPr>
        <w:spacing w:after="0" w:line="144" w:lineRule="exact"/>
        <w:rPr>
          <w:rFonts w:ascii="Times New Roman" w:cs="Times New Roman" w:eastAsia="Times New Roman" w:hAnsi="Times New Roman"/>
          <w:sz w:val="19"/>
          <w:szCs w:val="19"/>
          <w:color w:val="1F3763"/>
        </w:rPr>
      </w:pPr>
    </w:p>
    <w:p>
      <w:pPr>
        <w:ind w:right="120" w:firstLine="1410"/>
        <w:spacing w:after="0" w:line="268" w:lineRule="auto"/>
        <w:tabs>
          <w:tab w:leader="none" w:pos="1777" w:val="left"/>
        </w:tabs>
        <w:numPr>
          <w:ilvl w:val="0"/>
          <w:numId w:val="2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At any time after such declaration of acceleration of maturity has been made and before a judgment or decree for payment of the money due has been obtained by the Indenture Trustee as hereinafter in this Article V provided, the Majority Noteholders, by written notice to the Issuer and the Indenture Trustee, may rescind and annul such declaration and its consequences if:</w:t>
      </w:r>
    </w:p>
    <w:p>
      <w:pPr>
        <w:spacing w:after="0" w:line="144" w:lineRule="exact"/>
        <w:rPr>
          <w:rFonts w:ascii="Times New Roman" w:cs="Times New Roman" w:eastAsia="Times New Roman" w:hAnsi="Times New Roman"/>
          <w:sz w:val="19"/>
          <w:szCs w:val="19"/>
          <w:color w:val="1F3763"/>
        </w:rPr>
      </w:pPr>
    </w:p>
    <w:p>
      <w:pPr>
        <w:ind w:left="1780" w:hanging="226"/>
        <w:spacing w:after="0"/>
        <w:tabs>
          <w:tab w:leader="none" w:pos="1780" w:val="left"/>
        </w:tabs>
        <w:numPr>
          <w:ilvl w:val="1"/>
          <w:numId w:val="2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has paid or deposited with the Indenture Trustee a sum sufficient to pay:</w:t>
      </w:r>
    </w:p>
    <w:p>
      <w:pPr>
        <w:spacing w:after="0" w:line="201" w:lineRule="exact"/>
        <w:rPr>
          <w:rFonts w:ascii="Times New Roman" w:cs="Times New Roman" w:eastAsia="Times New Roman" w:hAnsi="Times New Roman"/>
          <w:sz w:val="19"/>
          <w:szCs w:val="19"/>
          <w:color w:val="1F3763"/>
        </w:rPr>
      </w:pPr>
    </w:p>
    <w:p>
      <w:pPr>
        <w:ind w:left="1420" w:right="420" w:firstLine="795"/>
        <w:spacing w:after="0" w:line="286" w:lineRule="auto"/>
        <w:tabs>
          <w:tab w:leader="none" w:pos="2632" w:val="left"/>
        </w:tabs>
        <w:numPr>
          <w:ilvl w:val="2"/>
          <w:numId w:val="25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all payments of principal of and interest on all Notes and all other amounts that would then be due hereunder or upon such Notes and if the Event of Default giving rise to such acceleration had not occurred;</w:t>
      </w:r>
    </w:p>
    <w:p>
      <w:pPr>
        <w:spacing w:after="0" w:line="127" w:lineRule="exact"/>
        <w:rPr>
          <w:rFonts w:ascii="Times New Roman" w:cs="Times New Roman" w:eastAsia="Times New Roman" w:hAnsi="Times New Roman"/>
          <w:sz w:val="19"/>
          <w:szCs w:val="19"/>
          <w:color w:val="2F5496"/>
        </w:rPr>
      </w:pPr>
    </w:p>
    <w:p>
      <w:pPr>
        <w:ind w:left="1420" w:right="600" w:firstLine="795"/>
        <w:spacing w:after="0" w:line="286" w:lineRule="auto"/>
        <w:tabs>
          <w:tab w:leader="none" w:pos="2620" w:val="left"/>
        </w:tabs>
        <w:numPr>
          <w:ilvl w:val="2"/>
          <w:numId w:val="25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all sums paid or advanced by the Indenture Trustee hereunder and the reasonable compensation, expenses, disbursements and advances of the Indenture Trustee and its agents and counsel; and</w:t>
      </w:r>
    </w:p>
    <w:p>
      <w:pPr>
        <w:spacing w:after="0" w:line="127" w:lineRule="exact"/>
        <w:rPr>
          <w:rFonts w:ascii="Times New Roman" w:cs="Times New Roman" w:eastAsia="Times New Roman" w:hAnsi="Times New Roman"/>
          <w:sz w:val="19"/>
          <w:szCs w:val="19"/>
          <w:color w:val="2F5496"/>
        </w:rPr>
      </w:pPr>
    </w:p>
    <w:p>
      <w:pPr>
        <w:ind w:left="2620" w:hanging="405"/>
        <w:spacing w:after="0"/>
        <w:tabs>
          <w:tab w:leader="none" w:pos="2620" w:val="left"/>
        </w:tabs>
        <w:numPr>
          <w:ilvl w:val="2"/>
          <w:numId w:val="25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all other outstanding fees and expenses of the Issuer; and</w:t>
      </w:r>
    </w:p>
    <w:p>
      <w:pPr>
        <w:spacing w:after="0" w:line="201" w:lineRule="exact"/>
        <w:rPr>
          <w:rFonts w:ascii="Times New Roman" w:cs="Times New Roman" w:eastAsia="Times New Roman" w:hAnsi="Times New Roman"/>
          <w:sz w:val="19"/>
          <w:szCs w:val="19"/>
          <w:color w:val="2F5496"/>
        </w:rPr>
      </w:pPr>
    </w:p>
    <w:p>
      <w:pPr>
        <w:ind w:left="800" w:right="40" w:firstLine="754"/>
        <w:spacing w:after="0" w:line="286" w:lineRule="auto"/>
        <w:tabs>
          <w:tab w:leader="none" w:pos="1844" w:val="left"/>
        </w:tabs>
        <w:numPr>
          <w:ilvl w:val="1"/>
          <w:numId w:val="25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all Events of Default, other than the nonpayment of the principal of the Notes that has become due solely by such acceleration, have been cured or waived as provided in Section 5.13.</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 such rescission shall affect any subsequent default or impair any right consequent thereto.</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V.3  </w:t>
      </w:r>
      <w:r>
        <w:rPr>
          <w:rFonts w:ascii="Times New Roman" w:cs="Times New Roman" w:eastAsia="Times New Roman" w:hAnsi="Times New Roman"/>
          <w:sz w:val="19"/>
          <w:szCs w:val="19"/>
          <w:color w:val="000000"/>
        </w:rPr>
        <w:t>Collection of Indebtedness and Suits for Enforcement by Indenture Trustee.</w:t>
      </w:r>
    </w:p>
    <w:p>
      <w:pPr>
        <w:spacing w:after="0" w:line="202" w:lineRule="exact"/>
        <w:rPr>
          <w:sz w:val="20"/>
          <w:szCs w:val="20"/>
          <w:color w:val="auto"/>
        </w:rPr>
      </w:pPr>
    </w:p>
    <w:p>
      <w:pPr>
        <w:ind w:right="100" w:firstLine="1410"/>
        <w:spacing w:after="0" w:line="253" w:lineRule="auto"/>
        <w:tabs>
          <w:tab w:leader="none" w:pos="1765" w:val="left"/>
        </w:tabs>
        <w:numPr>
          <w:ilvl w:val="0"/>
          <w:numId w:val="25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covenants that if (i) default is made in the payment of any interest on any Note when the same becomes due and payable, and such default continues for a period of five days, or (ii) default is made in the payment of the principal of or any installment of the principal of any Note when the same becomes due and payable, the Issuer will pay to the Indenture Trustee, for the benefit of the Holders of the Notes, the whole amount then due and payable on such Notes for principal and interest, with interest upon the overdue principal, and, to the extent payment at such rate of interest shall be legally enforceable, upon overdue installments of interest, at the applicable Interest Rate and in addition thereto such further amount as shall be sufficient to cover the costs and expenses of collection, including the reasonable compensation, expenses, disbursements and advances of the Indenture Trustee and its agents and counsel.</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6" w:name="page327"/>
    <w:bookmarkEnd w:id="326"/>
    <w:p>
      <w:pPr>
        <w:spacing w:after="0" w:line="200" w:lineRule="exact"/>
        <w:rPr>
          <w:sz w:val="20"/>
          <w:szCs w:val="20"/>
          <w:color w:val="auto"/>
        </w:rPr>
      </w:pPr>
    </w:p>
    <w:p>
      <w:pPr>
        <w:spacing w:after="0" w:line="261" w:lineRule="exact"/>
        <w:rPr>
          <w:sz w:val="20"/>
          <w:szCs w:val="20"/>
          <w:color w:val="auto"/>
        </w:rPr>
      </w:pPr>
    </w:p>
    <w:p>
      <w:pPr>
        <w:ind w:right="20" w:firstLine="1410"/>
        <w:spacing w:after="0" w:line="255" w:lineRule="auto"/>
        <w:tabs>
          <w:tab w:leader="none" w:pos="1777" w:val="left"/>
        </w:tabs>
        <w:numPr>
          <w:ilvl w:val="0"/>
          <w:numId w:val="2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Noteholder hereby irrevocably and unconditionally appoints the Indenture Trustee as the true and lawful attorney-in-fact of such Noteholder for so long as such Noteholder is not the Indenture Trustee, with full power of substitution, to execute, acknowledge and deliver any notice, document, certificate, paper, pleading or instrument and to do in the name of the Indenture Trustee as well as in the name, place and stead of such Noteholder such acts, things and deeds for or on behalf of and in the name of such Noteholder under this Indenture (including specifically under Section 5.4) and under the other Basic Documents which such Noteholder could or might do or which may be necessary, desirable or convenient in such Indenture Trustee's (acting on behalf of the Noteholders) sole discretion to effect the purposes contemplated hereunder and under the other Basic Documents and, without limitation, following the occurrence of an Event of Default, exercise full right, power and authority to take, or defer from taking, any and all acts with respect to the administration, maintenance or disposition of the Trust Estate.</w:t>
      </w:r>
    </w:p>
    <w:p>
      <w:pPr>
        <w:spacing w:after="0" w:line="155"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an Event of Default occurs and is continuing, the Indenture Trustee, as more particularly provided in Section</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5.4, at the direction of the Majority Noteholders, shall proceed to protect and enforce its rights and the rights of the Noteholders, by such appropriate Proceedings as the Indenture Trustee or the Indenture Trustee at the direction of such Majority Noteholders shall deem most effective to protect and enforce any such rights, whether for the specific enforcement of any covenant or agreement in this Indenture or in aid of the exercise of any power granted herein, or to enforce any other proper remedy or legal or equitable right vested in the Indenture Trustee by this Indenture or by law.</w:t>
      </w:r>
    </w:p>
    <w:p>
      <w:pPr>
        <w:spacing w:after="0" w:line="159" w:lineRule="exact"/>
        <w:rPr>
          <w:sz w:val="20"/>
          <w:szCs w:val="20"/>
          <w:color w:val="auto"/>
        </w:rPr>
      </w:pPr>
    </w:p>
    <w:p>
      <w:pPr>
        <w:ind w:right="80" w:firstLine="1410"/>
        <w:spacing w:after="0" w:line="255" w:lineRule="auto"/>
        <w:tabs>
          <w:tab w:leader="none" w:pos="1777" w:val="left"/>
        </w:tabs>
        <w:numPr>
          <w:ilvl w:val="0"/>
          <w:numId w:val="26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case there shall be pending, relative to the Issuer or any other obligor upon the Notes or any Person having or claiming an ownership interest in the Trust Estate, proceedings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Person, or in case of any other comparable Proceedings relative to the Issuer or other obligor upon the Notes, or to the creditors or property of the Issuer or such other obligor, the Indenture Trustee, irrespective of whether the principal of any Notes shall then be due and payable as therein expressed or by declaration or otherwise and irrespective of whether the Indenture Trustee shall have made any demand pursuant to the provisions of this Section, shall be entitled and empowered, by intervention in such proceedings or otherwise:</w:t>
      </w:r>
    </w:p>
    <w:p>
      <w:pPr>
        <w:spacing w:after="0" w:line="159" w:lineRule="exact"/>
        <w:rPr>
          <w:rFonts w:ascii="Times New Roman" w:cs="Times New Roman" w:eastAsia="Times New Roman" w:hAnsi="Times New Roman"/>
          <w:sz w:val="19"/>
          <w:szCs w:val="19"/>
          <w:color w:val="1F3763"/>
        </w:rPr>
      </w:pPr>
    </w:p>
    <w:p>
      <w:pPr>
        <w:ind w:left="800" w:right="40" w:firstLine="754"/>
        <w:spacing w:after="0" w:line="254" w:lineRule="auto"/>
        <w:tabs>
          <w:tab w:leader="none" w:pos="1784" w:val="left"/>
        </w:tabs>
        <w:numPr>
          <w:ilvl w:val="1"/>
          <w:numId w:val="26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file and prove a claim or claims for the whole amount of principal and interest owing and unpaid in respect of the Notes and to file such other papers or documents as may be necessary or advisable in order to have the claims of the Indenture Trustee (including any claim for reasonable compensation to the Indenture Trustee and each predecessor Indenture Trustee, and their respective agents, attorneys and counsel, and for reimbursement of all expenses and liabilities incurred, and all advances made, by the Indenture Trustee and each predecessor Indenture Trustee, except as a result of negligence, bad faith or willful misconduct) and of the Noteholders allowed in such Proceedings;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7" w:name="page328"/>
    <w:bookmarkEnd w:id="327"/>
    <w:p>
      <w:pPr>
        <w:spacing w:after="0" w:line="200" w:lineRule="exact"/>
        <w:rPr>
          <w:sz w:val="20"/>
          <w:szCs w:val="20"/>
          <w:color w:val="auto"/>
        </w:rPr>
      </w:pPr>
    </w:p>
    <w:p>
      <w:pPr>
        <w:spacing w:after="0" w:line="261" w:lineRule="exact"/>
        <w:rPr>
          <w:sz w:val="20"/>
          <w:szCs w:val="20"/>
          <w:color w:val="auto"/>
        </w:rPr>
      </w:pPr>
    </w:p>
    <w:p>
      <w:pPr>
        <w:ind w:left="800" w:right="400" w:firstLine="754"/>
        <w:spacing w:after="0" w:line="286" w:lineRule="auto"/>
        <w:tabs>
          <w:tab w:leader="none" w:pos="1844" w:val="left"/>
        </w:tabs>
        <w:numPr>
          <w:ilvl w:val="0"/>
          <w:numId w:val="26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unless prohibited by applicable law and regulations, to vote on behalf of the Noteholders in any election of a trustee, a standby trustee or person performing similar functions in any such Proceedings;</w:t>
      </w:r>
    </w:p>
    <w:p>
      <w:pPr>
        <w:spacing w:after="0" w:line="127" w:lineRule="exact"/>
        <w:rPr>
          <w:rFonts w:ascii="Times New Roman" w:cs="Times New Roman" w:eastAsia="Times New Roman" w:hAnsi="Times New Roman"/>
          <w:sz w:val="19"/>
          <w:szCs w:val="19"/>
          <w:color w:val="2F5496"/>
        </w:rPr>
      </w:pPr>
    </w:p>
    <w:p>
      <w:pPr>
        <w:ind w:left="800" w:right="180" w:firstLine="754"/>
        <w:spacing w:after="0" w:line="286" w:lineRule="auto"/>
        <w:tabs>
          <w:tab w:leader="none" w:pos="1892" w:val="left"/>
        </w:tabs>
        <w:numPr>
          <w:ilvl w:val="0"/>
          <w:numId w:val="26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collect and receive any moneys or other property payable or deliverable on any such claims and to distribute all amounts received with respect to the claims of the Noteholders and of the Indenture Trustee on their behalf; and</w:t>
      </w:r>
    </w:p>
    <w:p>
      <w:pPr>
        <w:spacing w:after="0" w:line="127" w:lineRule="exact"/>
        <w:rPr>
          <w:rFonts w:ascii="Times New Roman" w:cs="Times New Roman" w:eastAsia="Times New Roman" w:hAnsi="Times New Roman"/>
          <w:sz w:val="19"/>
          <w:szCs w:val="19"/>
          <w:color w:val="2F5496"/>
        </w:rPr>
      </w:pPr>
    </w:p>
    <w:p>
      <w:pPr>
        <w:ind w:left="800" w:right="100" w:firstLine="754"/>
        <w:spacing w:after="0" w:line="268" w:lineRule="auto"/>
        <w:tabs>
          <w:tab w:leader="none" w:pos="1880" w:val="left"/>
        </w:tabs>
        <w:numPr>
          <w:ilvl w:val="0"/>
          <w:numId w:val="26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file such proofs of claim and other papers or documents as may be necessary or advisable in order to have the claims of the Indenture Trustee or the Noteholders allowed in any Proceedings relative to the Issuer, its creditors and its property;</w:t>
      </w:r>
    </w:p>
    <w:p>
      <w:pPr>
        <w:spacing w:after="0" w:line="14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and any trustee, receiver, liquidator, custodian or other similar official in any such Proceeding is hereby authorized by each of such Noteholders to make payments to the Indenture Trustee, and, in the event that the Indenture Trustee shall consent to the making of payments directly to such Noteholders, to pay to the Indenture Trustee such amounts as shall be sufficient to cover reasonable compensation to the Indenture Trustee, each predecessor Indenture Trustee and their respective agents, attorneys and counsel, and all other expenses and liabilities incurred, and all advances made, by the Indenture Trustee and each predecessor Indenture Trustee except as a result of negligence or bad faith.</w:t>
      </w:r>
    </w:p>
    <w:p>
      <w:pPr>
        <w:spacing w:after="0" w:line="157" w:lineRule="exact"/>
        <w:rPr>
          <w:sz w:val="20"/>
          <w:szCs w:val="20"/>
          <w:color w:val="auto"/>
        </w:rPr>
      </w:pPr>
    </w:p>
    <w:p>
      <w:pPr>
        <w:ind w:firstLine="1410"/>
        <w:spacing w:after="0" w:line="262" w:lineRule="auto"/>
        <w:tabs>
          <w:tab w:leader="none" w:pos="1765" w:val="left"/>
        </w:tabs>
        <w:numPr>
          <w:ilvl w:val="0"/>
          <w:numId w:val="26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Nothing herein contained shall be deemed to authorize the Indenture Trustee to authorize or consent to or vote for or accept or adopt on behalf of any Noteholder any plan of reorganization, arrangement, adjustment or composition affecting the Notes or the rights of any Holder thereof or to authorize the Indenture Trustee to vote in respect of the claim of any Noteholder in any such Proceeding except, as aforesaid, to vote for the election of a trustee in bankruptcy or similar person.</w:t>
      </w:r>
    </w:p>
    <w:p>
      <w:pPr>
        <w:spacing w:after="0" w:line="150" w:lineRule="exact"/>
        <w:rPr>
          <w:rFonts w:ascii="Times New Roman" w:cs="Times New Roman" w:eastAsia="Times New Roman" w:hAnsi="Times New Roman"/>
          <w:sz w:val="19"/>
          <w:szCs w:val="19"/>
          <w:color w:val="1F3763"/>
        </w:rPr>
      </w:pPr>
    </w:p>
    <w:p>
      <w:pPr>
        <w:ind w:right="20" w:firstLine="1410"/>
        <w:spacing w:after="0" w:line="259" w:lineRule="auto"/>
        <w:tabs>
          <w:tab w:leader="none" w:pos="1741" w:val="left"/>
        </w:tabs>
        <w:numPr>
          <w:ilvl w:val="0"/>
          <w:numId w:val="26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rights of action and of asserting claims under this Indenture or under any of the Notes, may be enforced by the Indenture Trustee without the possession of any of the Notes or the production thereof in any trial or other proceedings relative thereto, and any such action or Proceedings instituted by the Indenture Trustee shall be brought in its own name as trustee of an express trust, and any recovery of judgment, subject to the payment of the expenses, disbursements and compensation of the Indenture Trustee, each predecessor Indenture Trustee and their respective agents and attorneys, shall be for the ratable benefit of the Holders of the Notes.</w:t>
      </w:r>
    </w:p>
    <w:p>
      <w:pPr>
        <w:spacing w:after="0" w:line="153" w:lineRule="exact"/>
        <w:rPr>
          <w:rFonts w:ascii="Times New Roman" w:cs="Times New Roman" w:eastAsia="Times New Roman" w:hAnsi="Times New Roman"/>
          <w:sz w:val="19"/>
          <w:szCs w:val="19"/>
          <w:color w:val="1F3763"/>
        </w:rPr>
      </w:pPr>
    </w:p>
    <w:p>
      <w:pPr>
        <w:ind w:right="20" w:firstLine="1410"/>
        <w:spacing w:after="0" w:line="268" w:lineRule="auto"/>
        <w:tabs>
          <w:tab w:leader="none" w:pos="1777" w:val="left"/>
        </w:tabs>
        <w:numPr>
          <w:ilvl w:val="0"/>
          <w:numId w:val="26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any Proceedings brought by the Indenture Trustee (and also any Proceedings involving the interpretation of any provision of this Indenture), the Indenture Trustee shall be held to represent all the Holders of the Notes, and it shall not be necessary to make any Noteholder a party to any such proceedings.</w:t>
      </w:r>
    </w:p>
    <w:p>
      <w:pPr>
        <w:spacing w:after="0" w:line="144" w:lineRule="exact"/>
        <w:rPr>
          <w:sz w:val="20"/>
          <w:szCs w:val="20"/>
          <w:color w:val="auto"/>
        </w:rPr>
      </w:pPr>
    </w:p>
    <w:p>
      <w:pPr>
        <w:ind w:right="20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V.4 </w:t>
      </w:r>
      <w:r>
        <w:rPr>
          <w:rFonts w:ascii="Times New Roman" w:cs="Times New Roman" w:eastAsia="Times New Roman" w:hAnsi="Times New Roman"/>
          <w:sz w:val="19"/>
          <w:szCs w:val="19"/>
          <w:color w:val="000000"/>
        </w:rPr>
        <w:t>Remedies. If an Event of Default shall have occurred and be continuing, the Indenture Trustee, at the written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direction of the Majority Noteholders shall, do one or more of the following (subject to Section 5.5):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8" w:name="page329"/>
    <w:bookmarkEnd w:id="328"/>
    <w:p>
      <w:pPr>
        <w:spacing w:after="0" w:line="200" w:lineRule="exact"/>
        <w:rPr>
          <w:sz w:val="20"/>
          <w:szCs w:val="20"/>
          <w:color w:val="auto"/>
        </w:rPr>
      </w:pPr>
    </w:p>
    <w:p>
      <w:pPr>
        <w:spacing w:after="0" w:line="261" w:lineRule="exact"/>
        <w:rPr>
          <w:sz w:val="20"/>
          <w:szCs w:val="20"/>
          <w:color w:val="auto"/>
        </w:rPr>
      </w:pPr>
    </w:p>
    <w:p>
      <w:pPr>
        <w:ind w:right="220" w:firstLine="1410"/>
        <w:spacing w:after="0" w:line="268" w:lineRule="auto"/>
        <w:tabs>
          <w:tab w:leader="none" w:pos="1765" w:val="left"/>
        </w:tabs>
        <w:numPr>
          <w:ilvl w:val="0"/>
          <w:numId w:val="2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institute Proceedings in its own name and as trustee of an express trust for the collection of all amounts then payable on the Notes or under this Indenture with respect thereto, whether by declaration or otherwise, enforce any judgment obtained, and collect from the Issuer and any other obligor upon such moneys adjudged due;</w:t>
      </w:r>
    </w:p>
    <w:p>
      <w:pPr>
        <w:spacing w:after="0" w:line="144"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institute Proceedings from time to time for the complete or partial foreclosure of this Indenture with respect to the</w:t>
      </w:r>
    </w:p>
    <w:p>
      <w:pPr>
        <w:spacing w:after="0" w:line="31" w:lineRule="exact"/>
        <w:rPr>
          <w:rFonts w:ascii="Times New Roman" w:cs="Times New Roman" w:eastAsia="Times New Roman" w:hAnsi="Times New Roman"/>
          <w:sz w:val="19"/>
          <w:szCs w:val="19"/>
          <w:color w:val="1F3763"/>
        </w:rPr>
      </w:pPr>
    </w:p>
    <w:p>
      <w:pPr>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Trust Estate;</w:t>
      </w:r>
    </w:p>
    <w:p>
      <w:pPr>
        <w:spacing w:after="0" w:line="179" w:lineRule="exact"/>
        <w:rPr>
          <w:rFonts w:ascii="Times New Roman" w:cs="Times New Roman" w:eastAsia="Times New Roman" w:hAnsi="Times New Roman"/>
          <w:sz w:val="19"/>
          <w:szCs w:val="19"/>
          <w:color w:val="1F3763"/>
        </w:rPr>
      </w:pPr>
    </w:p>
    <w:p>
      <w:pPr>
        <w:ind w:right="480" w:firstLine="1410"/>
        <w:spacing w:after="0" w:line="286" w:lineRule="auto"/>
        <w:tabs>
          <w:tab w:leader="none" w:pos="1765" w:val="left"/>
        </w:tabs>
        <w:numPr>
          <w:ilvl w:val="0"/>
          <w:numId w:val="2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exercise any remedies of a secured party under the UCC and take any other appropriate action to protect and enforce the rights and remedies of the Indenture Trustee and the Holders of the Notes; and</w:t>
      </w:r>
    </w:p>
    <w:p>
      <w:pPr>
        <w:spacing w:after="0" w:line="127" w:lineRule="exact"/>
        <w:rPr>
          <w:rFonts w:ascii="Times New Roman" w:cs="Times New Roman" w:eastAsia="Times New Roman" w:hAnsi="Times New Roman"/>
          <w:sz w:val="19"/>
          <w:szCs w:val="19"/>
          <w:color w:val="1F3763"/>
        </w:rPr>
      </w:pPr>
    </w:p>
    <w:p>
      <w:pPr>
        <w:ind w:firstLine="1410"/>
        <w:spacing w:after="0" w:line="268" w:lineRule="auto"/>
        <w:tabs>
          <w:tab w:leader="none" w:pos="1777" w:val="left"/>
        </w:tabs>
        <w:numPr>
          <w:ilvl w:val="0"/>
          <w:numId w:val="2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sell the Trust Estate or any portion thereof or rights or interest therein, at one or more public or private sales called and conducted in any manner permitted by law;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Indenture Trustee may not sell or otherwise liquidate the Trust Estate following an Event of Default unless:</w:t>
      </w:r>
    </w:p>
    <w:p>
      <w:pPr>
        <w:spacing w:after="0" w:line="144" w:lineRule="exact"/>
        <w:rPr>
          <w:rFonts w:ascii="Times New Roman" w:cs="Times New Roman" w:eastAsia="Times New Roman" w:hAnsi="Times New Roman"/>
          <w:sz w:val="19"/>
          <w:szCs w:val="19"/>
          <w:color w:val="1F3763"/>
        </w:rPr>
      </w:pPr>
    </w:p>
    <w:p>
      <w:pPr>
        <w:ind w:left="1780" w:hanging="226"/>
        <w:spacing w:after="0"/>
        <w:tabs>
          <w:tab w:leader="none" w:pos="1780" w:val="left"/>
        </w:tabs>
        <w:numPr>
          <w:ilvl w:val="1"/>
          <w:numId w:val="26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such Event of Default is of the type described in Section 5.1(i) or (ii), or</w:t>
      </w:r>
    </w:p>
    <w:p>
      <w:pPr>
        <w:spacing w:after="0" w:line="201" w:lineRule="exact"/>
        <w:rPr>
          <w:rFonts w:ascii="Times New Roman" w:cs="Times New Roman" w:eastAsia="Times New Roman" w:hAnsi="Times New Roman"/>
          <w:sz w:val="19"/>
          <w:szCs w:val="19"/>
          <w:color w:val="2F5496"/>
        </w:rPr>
      </w:pPr>
    </w:p>
    <w:p>
      <w:pPr>
        <w:ind w:left="1840" w:hanging="286"/>
        <w:spacing w:after="0"/>
        <w:tabs>
          <w:tab w:leader="none" w:pos="1840" w:val="left"/>
        </w:tabs>
        <w:numPr>
          <w:ilvl w:val="1"/>
          <w:numId w:val="26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any of:</w:t>
      </w:r>
    </w:p>
    <w:p>
      <w:pPr>
        <w:spacing w:after="0" w:line="201" w:lineRule="exact"/>
        <w:rPr>
          <w:rFonts w:ascii="Times New Roman" w:cs="Times New Roman" w:eastAsia="Times New Roman" w:hAnsi="Times New Roman"/>
          <w:sz w:val="19"/>
          <w:szCs w:val="19"/>
          <w:color w:val="2F5496"/>
        </w:rPr>
      </w:pPr>
    </w:p>
    <w:p>
      <w:pPr>
        <w:ind w:left="3240" w:hanging="245"/>
        <w:spacing w:after="0"/>
        <w:tabs>
          <w:tab w:leader="none" w:pos="3240" w:val="left"/>
        </w:tabs>
        <w:numPr>
          <w:ilvl w:val="2"/>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Holders of 100% of the Outstanding Amount of the Notes consent thereto,</w:t>
      </w:r>
    </w:p>
    <w:p>
      <w:pPr>
        <w:spacing w:after="0" w:line="202" w:lineRule="exact"/>
        <w:rPr>
          <w:sz w:val="20"/>
          <w:szCs w:val="20"/>
          <w:color w:val="auto"/>
        </w:rPr>
      </w:pPr>
    </w:p>
    <w:p>
      <w:pPr>
        <w:ind w:left="2120" w:right="560" w:firstLine="875"/>
        <w:spacing w:after="0" w:line="286" w:lineRule="auto"/>
        <w:tabs>
          <w:tab w:leader="none" w:pos="330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such sale or liquidation distributable to the Noteholders are sufficient to discharge in full all amounts then due and unpaid upon such Notes for principal and interest, or</w:t>
      </w:r>
    </w:p>
    <w:p>
      <w:pPr>
        <w:spacing w:after="0" w:line="127" w:lineRule="exact"/>
        <w:rPr>
          <w:sz w:val="20"/>
          <w:szCs w:val="20"/>
          <w:color w:val="auto"/>
        </w:rPr>
      </w:pPr>
    </w:p>
    <w:p>
      <w:pPr>
        <w:ind w:left="2120" w:right="140" w:firstLine="875"/>
        <w:spacing w:after="0" w:line="262" w:lineRule="auto"/>
        <w:tabs>
          <w:tab w:leader="none" w:pos="3364"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Indenture Trustee determines that the Trust Estate will not continue to provide sufficient funds for the payment of principal of and interest on the Notes as they would have become due if the Notes had not been declared due and payable, and the Indenture Trustee provides prior written notice to the Issuer and obtains the consent of Holders of 66-2/3% of the Outstanding Amount of the Notes.</w:t>
      </w:r>
    </w:p>
    <w:p>
      <w:pPr>
        <w:spacing w:after="0" w:line="150" w:lineRule="exact"/>
        <w:rPr>
          <w:sz w:val="20"/>
          <w:szCs w:val="20"/>
          <w:color w:val="auto"/>
        </w:rPr>
      </w:pPr>
    </w:p>
    <w:p>
      <w:pPr>
        <w:jc w:val="both"/>
        <w:ind w:right="180" w:firstLine="1404"/>
        <w:spacing w:after="0" w:line="268" w:lineRule="auto"/>
        <w:rPr>
          <w:sz w:val="20"/>
          <w:szCs w:val="20"/>
          <w:color w:val="auto"/>
        </w:rPr>
      </w:pPr>
      <w:r>
        <w:rPr>
          <w:rFonts w:ascii="Times New Roman" w:cs="Times New Roman" w:eastAsia="Times New Roman" w:hAnsi="Times New Roman"/>
          <w:sz w:val="19"/>
          <w:szCs w:val="19"/>
          <w:color w:val="auto"/>
        </w:rPr>
        <w:t>In determining such sufficiency or insufficiency with respect to clauses (II) and (III), the Indenture Trustee may, but need not, obtain and conclusively rely upon an opinion of an Independent investment banking or accounting firm of national reputation as to the feasibility of such proposed action and as to the sufficiency of the Trust Estate for such purpose.</w:t>
      </w:r>
    </w:p>
    <w:p>
      <w:pPr>
        <w:spacing w:after="0" w:line="144"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9"/>
          <w:szCs w:val="19"/>
          <w:color w:val="2F5496"/>
        </w:rPr>
        <w:t xml:space="preserve">SECTION V.5 </w:t>
      </w:r>
      <w:r>
        <w:rPr>
          <w:rFonts w:ascii="Times New Roman" w:cs="Times New Roman" w:eastAsia="Times New Roman" w:hAnsi="Times New Roman"/>
          <w:sz w:val="19"/>
          <w:szCs w:val="19"/>
          <w:color w:val="000000"/>
        </w:rPr>
        <w:t>Optional Preservation of the Receivables. If the Notes have been declared to be due and payable under Section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5.2 following an Event of Default and such declaration and its consequences have not been rescinded and annulled, the Indenture Trustee may, but need not, elect to maintain possession of the Trust Estate. It is the desire of the parties hereto and the Noteholders that there be at all times sufficient funds for the payment of principal of and interest on the Notes, and the Indenture Trustee shall take such desire into account when determining whether or not to maintain possession of the Trust Estate. In determining whether to maintain possession of the Trust Estate, the Indenture Trustee may, but need not, obtain and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9" w:name="page330"/>
    <w:bookmarkEnd w:id="329"/>
    <w:p>
      <w:pPr>
        <w:spacing w:after="0" w:line="200" w:lineRule="exact"/>
        <w:rPr>
          <w:sz w:val="20"/>
          <w:szCs w:val="20"/>
          <w:color w:val="auto"/>
        </w:rPr>
      </w:pPr>
    </w:p>
    <w:p>
      <w:pPr>
        <w:spacing w:after="0" w:line="26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conclusively rely upon an opinion of an Independent investment banking or accounting firm of national reputation as to the feasibility of such proposed action and as to the sufficiency of the Trust Estate for such purpose.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V.6  </w:t>
      </w:r>
      <w:r>
        <w:rPr>
          <w:rFonts w:ascii="Times New Roman" w:cs="Times New Roman" w:eastAsia="Times New Roman" w:hAnsi="Times New Roman"/>
          <w:sz w:val="19"/>
          <w:szCs w:val="19"/>
          <w:color w:val="000000"/>
        </w:rPr>
        <w:t>Priorities.</w:t>
      </w:r>
    </w:p>
    <w:p>
      <w:pPr>
        <w:spacing w:after="0" w:line="202" w:lineRule="exact"/>
        <w:rPr>
          <w:sz w:val="20"/>
          <w:szCs w:val="20"/>
          <w:color w:val="auto"/>
        </w:rPr>
      </w:pPr>
    </w:p>
    <w:p>
      <w:pPr>
        <w:ind w:right="20" w:firstLine="1410"/>
        <w:spacing w:after="0" w:line="259" w:lineRule="auto"/>
        <w:tabs>
          <w:tab w:leader="none" w:pos="1765" w:val="left"/>
        </w:tabs>
        <w:numPr>
          <w:ilvl w:val="0"/>
          <w:numId w:val="2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Following (1) the declaration of an Event of Default pursuant to Sections 5.1(i), 5.1(ii), 5.1(iv) or 5.1(v) and acceleration of the Notes or (2) the receipt of Termination Proceeds pursuant to Section 10.1(b) of the Sale and Servicing Agreement, the Available Funds, plus any amounts on deposit in the Reserve Account, including any money or property collected pursuant to Section 5.4 of this Indenture and any such Termination Proceeds, shall be applied by the Indenture Trustee on the related Distribution Date in the following order of priority:</w:t>
      </w:r>
    </w:p>
    <w:p>
      <w:pPr>
        <w:spacing w:after="0" w:line="154" w:lineRule="exact"/>
        <w:rPr>
          <w:sz w:val="20"/>
          <w:szCs w:val="20"/>
          <w:color w:val="auto"/>
        </w:rPr>
      </w:pPr>
    </w:p>
    <w:p>
      <w:pPr>
        <w:jc w:val="both"/>
        <w:ind w:right="140" w:firstLine="1404"/>
        <w:spacing w:after="0" w:line="262" w:lineRule="auto"/>
        <w:rPr>
          <w:sz w:val="20"/>
          <w:szCs w:val="20"/>
          <w:color w:val="auto"/>
        </w:rPr>
      </w:pPr>
      <w:r>
        <w:rPr>
          <w:rFonts w:ascii="Times New Roman" w:cs="Times New Roman" w:eastAsia="Times New Roman" w:hAnsi="Times New Roman"/>
          <w:sz w:val="19"/>
          <w:szCs w:val="19"/>
          <w:color w:val="auto"/>
        </w:rPr>
        <w:t>FIRST: amounts due and owing and required to be distributed to the Servicer, the Lockbox Bank, the Owner Trustee, the Indenture Trustee, any successor Custodian and the Backup Servicer, respectively, pursuant to priorities (i) and (ii) of Section 5.7(b) of the Sale and Servicing Agreement and not previously distributed, in the order of such priorities and without preference or priority of any kind without regard to any caps set forth in clause (ii) of Section 5.7(b) of the Sale and Servicing Agreement;</w:t>
      </w:r>
    </w:p>
    <w:p>
      <w:pPr>
        <w:spacing w:after="0" w:line="150"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SECOND: to the Class A Noteholders for amounts due and unpaid on the Class A Notes in respect of interest, ratably, without preference or priority of any kind, according to the amounts due and payable on the Class A Notes in respect of interest;</w:t>
      </w:r>
    </w:p>
    <w:p>
      <w:pPr>
        <w:spacing w:after="0" w:line="127"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THIRD: to the Class A Noteholders, for amounts due and unpaid on the Class A Notes in respect of principal, ratably, without preference or priority of any kind, according to the amounts due and payable on the Class A Notes in respect of principal, until the Note Balance of the Class A Notes is reduced to zero;</w:t>
      </w:r>
    </w:p>
    <w:p>
      <w:pPr>
        <w:spacing w:after="0" w:line="144"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FOURTH: to the Class B Noteholders for amounts due and unpaid on the Class B Notes in respect of interest, ratably, without preference or priority of any kind, according to the amounts due and payable on the Class B Notes in respect of interest;</w:t>
      </w:r>
    </w:p>
    <w:p>
      <w:pPr>
        <w:spacing w:after="0" w:line="127" w:lineRule="exact"/>
        <w:rPr>
          <w:sz w:val="20"/>
          <w:szCs w:val="20"/>
          <w:color w:val="auto"/>
        </w:rPr>
      </w:pPr>
    </w:p>
    <w:p>
      <w:pPr>
        <w:jc w:val="both"/>
        <w:ind w:right="240" w:firstLine="1404"/>
        <w:spacing w:after="0" w:line="268" w:lineRule="auto"/>
        <w:rPr>
          <w:sz w:val="20"/>
          <w:szCs w:val="20"/>
          <w:color w:val="auto"/>
        </w:rPr>
      </w:pPr>
      <w:r>
        <w:rPr>
          <w:rFonts w:ascii="Times New Roman" w:cs="Times New Roman" w:eastAsia="Times New Roman" w:hAnsi="Times New Roman"/>
          <w:sz w:val="19"/>
          <w:szCs w:val="19"/>
          <w:color w:val="auto"/>
        </w:rPr>
        <w:t>FIFTH: to the Class B Noteholders for amounts due and unpaid on the Class B Notes in respect of principal, ratably, without preference or priority of any kind, according to the amounts due and payable on the Class B Notes in respect of principal, until the Note Balance of the Class B Notes is reduced to zero;</w:t>
      </w:r>
    </w:p>
    <w:p>
      <w:pPr>
        <w:spacing w:after="0" w:line="144"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SIXTH: to the Class C Noteholders for amounts due and unpaid on the Class C Notes in respect of interest, ratably, without preference or priority of any kind, according to the amounts due and payable on the Class C Notes in respect of interest;</w:t>
      </w:r>
    </w:p>
    <w:p>
      <w:pPr>
        <w:spacing w:after="0" w:line="127" w:lineRule="exact"/>
        <w:rPr>
          <w:sz w:val="20"/>
          <w:szCs w:val="20"/>
          <w:color w:val="auto"/>
        </w:rPr>
      </w:pPr>
    </w:p>
    <w:p>
      <w:pPr>
        <w:ind w:firstLine="1404"/>
        <w:spacing w:after="0" w:line="258" w:lineRule="auto"/>
        <w:rPr>
          <w:sz w:val="20"/>
          <w:szCs w:val="20"/>
          <w:color w:val="auto"/>
        </w:rPr>
      </w:pPr>
      <w:r>
        <w:rPr>
          <w:rFonts w:ascii="Times New Roman" w:cs="Times New Roman" w:eastAsia="Times New Roman" w:hAnsi="Times New Roman"/>
          <w:sz w:val="19"/>
          <w:szCs w:val="19"/>
          <w:color w:val="auto"/>
        </w:rPr>
        <w:t>SEVENTH: to the Class C Noteholders for amounts due and unpaid on the Class C Notes in respect of principal, ratably, without preference or priority of any kind, according to the amounts due and payable on the Class C Notes in respect of principal, until the Note Balance of the Class C Notes is reduced to zero;</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30" w:name="page331"/>
    <w:bookmarkEnd w:id="330"/>
    <w:p>
      <w:pPr>
        <w:spacing w:after="0" w:line="200" w:lineRule="exact"/>
        <w:rPr>
          <w:sz w:val="20"/>
          <w:szCs w:val="20"/>
          <w:color w:val="auto"/>
        </w:rPr>
      </w:pPr>
    </w:p>
    <w:p>
      <w:pPr>
        <w:spacing w:after="0" w:line="261" w:lineRule="exact"/>
        <w:rPr>
          <w:sz w:val="20"/>
          <w:szCs w:val="20"/>
          <w:color w:val="auto"/>
        </w:rPr>
      </w:pPr>
    </w:p>
    <w:p>
      <w:pPr>
        <w:jc w:val="both"/>
        <w:ind w:right="140" w:firstLine="1404"/>
        <w:spacing w:after="0" w:line="286" w:lineRule="auto"/>
        <w:rPr>
          <w:sz w:val="20"/>
          <w:szCs w:val="20"/>
          <w:color w:val="auto"/>
        </w:rPr>
      </w:pPr>
      <w:r>
        <w:rPr>
          <w:rFonts w:ascii="Times New Roman" w:cs="Times New Roman" w:eastAsia="Times New Roman" w:hAnsi="Times New Roman"/>
          <w:sz w:val="19"/>
          <w:szCs w:val="19"/>
          <w:color w:val="auto"/>
        </w:rPr>
        <w:t>EIGHTH: to the Class D Noteholders for amounts due and unpaid on the Class D Notes in respect of interest, ratably, without preference or priority of any kind, according to the amounts due and payable on the Class D Notes in respect of interest;</w:t>
      </w:r>
    </w:p>
    <w:p>
      <w:pPr>
        <w:spacing w:after="0" w:line="127" w:lineRule="exact"/>
        <w:rPr>
          <w:sz w:val="20"/>
          <w:szCs w:val="20"/>
          <w:color w:val="auto"/>
        </w:rPr>
      </w:pPr>
    </w:p>
    <w:p>
      <w:pPr>
        <w:jc w:val="both"/>
        <w:ind w:right="140" w:firstLine="1404"/>
        <w:spacing w:after="0" w:line="268" w:lineRule="auto"/>
        <w:rPr>
          <w:sz w:val="20"/>
          <w:szCs w:val="20"/>
          <w:color w:val="auto"/>
        </w:rPr>
      </w:pPr>
      <w:r>
        <w:rPr>
          <w:rFonts w:ascii="Times New Roman" w:cs="Times New Roman" w:eastAsia="Times New Roman" w:hAnsi="Times New Roman"/>
          <w:sz w:val="19"/>
          <w:szCs w:val="19"/>
          <w:color w:val="auto"/>
        </w:rPr>
        <w:t>NINTH: to the Class D Noteholders for amounts due and unpaid on the Class D Notes in respect of principal, ratably, without preference or priority of any kind, according to the amounts due and payable on the Class D Notes in respect of principal, until the Note Balance of the Class D Notes is reduced to zero;</w:t>
      </w:r>
    </w:p>
    <w:p>
      <w:pPr>
        <w:spacing w:after="0" w:line="144"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TENTH: to the Class E Noteholders for amounts due and unpaid on the Class E Notes in respect of interest, ratably, without preference or priority of any kind, according to the amounts due and payable on the Class E Notes in respect of interest;</w:t>
      </w:r>
    </w:p>
    <w:p>
      <w:pPr>
        <w:spacing w:after="0" w:line="127"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ELEVENTH: to the Class E Noteholders for amounts due and unpaid on the Class E Notes in respect of principal, ratably, without preference or priority of any kind, according to the amounts due and payable on the Class E Notes in respect of principal, until the Note Balance of the Class E Notes is reduced to zero; and</w:t>
      </w:r>
    </w:p>
    <w:p>
      <w:pPr>
        <w:spacing w:after="0" w:line="144"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TWELFTH: to the Servicer, the amounts due and owing to the Servicer pursuant to the priority set forth in clause (xvi) of Section 5.7(b) of the Sale and Servicing Agreement.</w:t>
      </w:r>
    </w:p>
    <w:p>
      <w:pPr>
        <w:spacing w:after="0" w:line="125" w:lineRule="exact"/>
        <w:rPr>
          <w:sz w:val="20"/>
          <w:szCs w:val="20"/>
          <w:color w:val="auto"/>
        </w:rPr>
      </w:pPr>
    </w:p>
    <w:p>
      <w:pPr>
        <w:ind w:right="160" w:firstLine="1404"/>
        <w:spacing w:after="0" w:line="288" w:lineRule="auto"/>
        <w:rPr>
          <w:sz w:val="20"/>
          <w:szCs w:val="20"/>
          <w:color w:val="auto"/>
        </w:rPr>
      </w:pPr>
      <w:r>
        <w:rPr>
          <w:rFonts w:ascii="Times New Roman" w:cs="Times New Roman" w:eastAsia="Times New Roman" w:hAnsi="Times New Roman"/>
          <w:sz w:val="19"/>
          <w:szCs w:val="19"/>
          <w:color w:val="auto"/>
        </w:rPr>
        <w:t xml:space="preserve">THIRTEENTH: to the Certificate Distribution Account for distribution to,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the Certificateholders, according to their Percentage Interests in accordance with the Trust Agreement;</w:t>
      </w:r>
    </w:p>
    <w:p>
      <w:pPr>
        <w:spacing w:after="0" w:line="126" w:lineRule="exact"/>
        <w:rPr>
          <w:sz w:val="20"/>
          <w:szCs w:val="20"/>
          <w:color w:val="auto"/>
        </w:rPr>
      </w:pPr>
    </w:p>
    <w:p>
      <w:pPr>
        <w:ind w:right="40" w:firstLine="1410"/>
        <w:spacing w:after="0" w:line="262" w:lineRule="auto"/>
        <w:tabs>
          <w:tab w:leader="none" w:pos="1777" w:val="left"/>
        </w:tabs>
        <w:numPr>
          <w:ilvl w:val="1"/>
          <w:numId w:val="26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Following the occurrence of an Event of Default pursuant to 5.1(iii), payments on the Notes shall be made in the order and priority set forth in Section 5.7 of the Sale and Servicing Agreement, except that (i) the amounts distributed pursuant to clauses</w:t>
      </w:r>
    </w:p>
    <w:p>
      <w:pPr>
        <w:spacing w:after="0" w:line="1" w:lineRule="exact"/>
        <w:rPr>
          <w:rFonts w:ascii="Times New Roman" w:cs="Times New Roman" w:eastAsia="Times New Roman" w:hAnsi="Times New Roman"/>
          <w:sz w:val="19"/>
          <w:szCs w:val="19"/>
          <w:color w:val="1F3763"/>
        </w:rPr>
      </w:pPr>
    </w:p>
    <w:p>
      <w:pPr>
        <w:ind w:right="20" w:firstLine="6"/>
        <w:spacing w:after="0" w:line="256" w:lineRule="auto"/>
        <w:tabs>
          <w:tab w:leader="none" w:pos="229"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(ii) of Section 5.7(b) of the Sale and Servicing Agreement shall not be subject to a cap or annual limit and (ii) the amount of principal distributed pursuant to clause (xiv) of Section 5.7(b) of the Sale and Servicing Agreement shall also include all Available Funds until all Notes have been paid in full.</w:t>
      </w:r>
    </w:p>
    <w:p>
      <w:pPr>
        <w:spacing w:after="0" w:line="155" w:lineRule="exact"/>
        <w:rPr>
          <w:rFonts w:ascii="Times New Roman" w:cs="Times New Roman" w:eastAsia="Times New Roman" w:hAnsi="Times New Roman"/>
          <w:sz w:val="19"/>
          <w:szCs w:val="19"/>
          <w:color w:val="auto"/>
        </w:rPr>
      </w:pPr>
    </w:p>
    <w:p>
      <w:pPr>
        <w:ind w:right="300" w:firstLine="1410"/>
        <w:spacing w:after="0" w:line="268" w:lineRule="auto"/>
        <w:tabs>
          <w:tab w:leader="none" w:pos="1765" w:val="left"/>
        </w:tabs>
        <w:numPr>
          <w:ilvl w:val="1"/>
          <w:numId w:val="26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may fix a record date and payment date for any payment to Noteholders pursuant to this Section 5.6. At least 15 days before such record date the Issuer shall mail to each Noteholder and the Indenture Trustee a notice that states the record date, the payment date and the amount to be paid.</w:t>
      </w:r>
    </w:p>
    <w:p>
      <w:pPr>
        <w:spacing w:after="0" w:line="144" w:lineRule="exact"/>
        <w:rPr>
          <w:sz w:val="20"/>
          <w:szCs w:val="20"/>
          <w:color w:val="auto"/>
        </w:rPr>
      </w:pPr>
    </w:p>
    <w:p>
      <w:pPr>
        <w:ind w:right="54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V.7 </w:t>
      </w:r>
      <w:r>
        <w:rPr>
          <w:rFonts w:ascii="Times New Roman" w:cs="Times New Roman" w:eastAsia="Times New Roman" w:hAnsi="Times New Roman"/>
          <w:sz w:val="19"/>
          <w:szCs w:val="19"/>
          <w:color w:val="000000"/>
        </w:rPr>
        <w:t>Limitation of Suits. No Holder of any Note shall have any right to institute any proceeding, judicial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otherwise, with respect to this Indenture, or for the appointment of a receiver or trustee, or for any other remedy hereunder, unless:</w:t>
      </w:r>
    </w:p>
    <w:p>
      <w:pPr>
        <w:spacing w:after="0" w:line="127" w:lineRule="exact"/>
        <w:rPr>
          <w:sz w:val="20"/>
          <w:szCs w:val="20"/>
          <w:color w:val="auto"/>
        </w:rPr>
      </w:pPr>
    </w:p>
    <w:p>
      <w:pPr>
        <w:ind w:left="1780" w:hanging="226"/>
        <w:spacing w:after="0"/>
        <w:tabs>
          <w:tab w:leader="none" w:pos="1780" w:val="left"/>
        </w:tabs>
        <w:numPr>
          <w:ilvl w:val="0"/>
          <w:numId w:val="26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such Holder has previously given written notice to the Indenture Trustee of a continuing Event of Default;</w:t>
      </w:r>
    </w:p>
    <w:p>
      <w:pPr>
        <w:spacing w:after="0" w:line="201" w:lineRule="exact"/>
        <w:rPr>
          <w:rFonts w:ascii="Times New Roman" w:cs="Times New Roman" w:eastAsia="Times New Roman" w:hAnsi="Times New Roman"/>
          <w:sz w:val="19"/>
          <w:szCs w:val="19"/>
          <w:color w:val="1F3763"/>
        </w:rPr>
      </w:pPr>
    </w:p>
    <w:p>
      <w:pPr>
        <w:ind w:left="800" w:right="200" w:firstLine="754"/>
        <w:spacing w:after="0" w:line="262" w:lineRule="auto"/>
        <w:tabs>
          <w:tab w:leader="none" w:pos="1844" w:val="left"/>
        </w:tabs>
        <w:numPr>
          <w:ilvl w:val="0"/>
          <w:numId w:val="26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Holders of not less than 25% of the Controlling Class have made written request to the Indenture Trustee to institute such Proceeding in respect of such Event of Default in its own name as Indenture Trustee hereunder;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31" w:name="page332"/>
    <w:bookmarkEnd w:id="331"/>
    <w:p>
      <w:pPr>
        <w:spacing w:after="0" w:line="200" w:lineRule="exact"/>
        <w:rPr>
          <w:sz w:val="20"/>
          <w:szCs w:val="20"/>
          <w:color w:val="auto"/>
        </w:rPr>
      </w:pPr>
    </w:p>
    <w:p>
      <w:pPr>
        <w:spacing w:after="0" w:line="261" w:lineRule="exact"/>
        <w:rPr>
          <w:sz w:val="20"/>
          <w:szCs w:val="20"/>
          <w:color w:val="auto"/>
        </w:rPr>
      </w:pPr>
    </w:p>
    <w:p>
      <w:pPr>
        <w:ind w:left="800" w:right="120" w:firstLine="754"/>
        <w:spacing w:after="0" w:line="286" w:lineRule="auto"/>
        <w:tabs>
          <w:tab w:leader="none" w:pos="1892" w:val="left"/>
        </w:tabs>
        <w:numPr>
          <w:ilvl w:val="0"/>
          <w:numId w:val="2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such Holder or Holders have offered to the Indenture Trustee indemnity reasonably satisfactory to it against the costs, expenses and liabilities to be incurred in complying with such request;</w:t>
      </w:r>
    </w:p>
    <w:p>
      <w:pPr>
        <w:spacing w:after="0" w:line="127" w:lineRule="exact"/>
        <w:rPr>
          <w:rFonts w:ascii="Times New Roman" w:cs="Times New Roman" w:eastAsia="Times New Roman" w:hAnsi="Times New Roman"/>
          <w:sz w:val="19"/>
          <w:szCs w:val="19"/>
          <w:color w:val="1F3763"/>
        </w:rPr>
      </w:pPr>
    </w:p>
    <w:p>
      <w:pPr>
        <w:ind w:left="800" w:right="400" w:firstLine="754"/>
        <w:spacing w:after="0" w:line="286" w:lineRule="auto"/>
        <w:tabs>
          <w:tab w:leader="none" w:pos="1880" w:val="left"/>
        </w:tabs>
        <w:numPr>
          <w:ilvl w:val="0"/>
          <w:numId w:val="2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for 60 days after its receipt of such notice, request and offer of indemnity has failed to institute such Proceedings; and</w:t>
      </w:r>
    </w:p>
    <w:p>
      <w:pPr>
        <w:spacing w:after="0" w:line="127" w:lineRule="exact"/>
        <w:rPr>
          <w:rFonts w:ascii="Times New Roman" w:cs="Times New Roman" w:eastAsia="Times New Roman" w:hAnsi="Times New Roman"/>
          <w:sz w:val="19"/>
          <w:szCs w:val="19"/>
          <w:color w:val="1F3763"/>
        </w:rPr>
      </w:pPr>
    </w:p>
    <w:p>
      <w:pPr>
        <w:ind w:left="800" w:right="280" w:firstLine="754"/>
        <w:spacing w:after="0" w:line="286" w:lineRule="auto"/>
        <w:tabs>
          <w:tab w:leader="none" w:pos="1832" w:val="left"/>
        </w:tabs>
        <w:numPr>
          <w:ilvl w:val="0"/>
          <w:numId w:val="2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direction inconsistent with such written request has been given to the Indenture Trustee during such 60-day period by the Majority Noteholders;</w:t>
      </w:r>
    </w:p>
    <w:p>
      <w:pPr>
        <w:spacing w:after="0" w:line="12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9"/>
          <w:szCs w:val="19"/>
          <w:color w:val="auto"/>
        </w:rPr>
        <w:t>it being understood and intended that no one or more Noteholders shall have any right in any manner whatever by virtue of, or by availing of, any provision of this Indenture to affect, disturb or prejudice the rights of any other Noteholders or to obtain or to seek to obtain priority or preference over any other Holders or to enforce any right under this Indenture, except in the manner herein provided.</w:t>
      </w:r>
    </w:p>
    <w:p>
      <w:pPr>
        <w:spacing w:after="0" w:line="144"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V.8 </w:t>
      </w:r>
      <w:r>
        <w:rPr>
          <w:rFonts w:ascii="Times New Roman" w:cs="Times New Roman" w:eastAsia="Times New Roman" w:hAnsi="Times New Roman"/>
          <w:sz w:val="19"/>
          <w:szCs w:val="19"/>
          <w:color w:val="000000"/>
        </w:rPr>
        <w:t>Unconditional Rights of Noteholders To Receive Principal and Interest. Notwithstanding any other provisions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 this Indenture, the Holder of any Note shall have the right, which is absolute and unconditional, to receive payment of the principal of and interest, if any, on such Note on or after the respective due dates thereof expressed in such Note or in this Indenture (or, in the case of redemption, on or after the Redemption Date) and to institute suit for the enforcement of any such payment, and such right shall not be impaired without the consent of such Holder.</w:t>
      </w:r>
    </w:p>
    <w:p>
      <w:pPr>
        <w:spacing w:after="0" w:line="154" w:lineRule="exact"/>
        <w:rPr>
          <w:sz w:val="20"/>
          <w:szCs w:val="20"/>
          <w:color w:val="auto"/>
        </w:rPr>
      </w:pPr>
    </w:p>
    <w:p>
      <w:pPr>
        <w:ind w:right="12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V.9 </w:t>
      </w:r>
      <w:r>
        <w:rPr>
          <w:rFonts w:ascii="Times New Roman" w:cs="Times New Roman" w:eastAsia="Times New Roman" w:hAnsi="Times New Roman"/>
          <w:sz w:val="19"/>
          <w:szCs w:val="19"/>
          <w:color w:val="000000"/>
        </w:rPr>
        <w:t>Restoration of Rights and Remedies. If the Indenture Trustee or any Noteholder has instituted any Proceeding</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to enforce any right or remedy under this Indenture and such proceeding has been discontinued or abandoned for any reason or has been determined adversely to the Indenture Trustee or to such Noteholder, then and in every such case the Issuer, the Indenture Trustee and the Noteholders shall, subject to any determination in such Proceeding, be restored severally and respectively to their former positions hereunder, and thereafter all rights and remedies of the Indenture Trustee and the Noteholders shall continue as though no such Proceeding had been instituted.</w:t>
      </w:r>
    </w:p>
    <w:p>
      <w:pPr>
        <w:spacing w:after="0" w:line="157"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V.10 </w:t>
      </w:r>
      <w:r>
        <w:rPr>
          <w:rFonts w:ascii="Times New Roman" w:cs="Times New Roman" w:eastAsia="Times New Roman" w:hAnsi="Times New Roman"/>
          <w:sz w:val="19"/>
          <w:szCs w:val="19"/>
          <w:color w:val="000000"/>
        </w:rPr>
        <w:t>Rights and Remedies Cumulative. No right or remedy herein conferred upon or reserved to the Indenture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Trustee or to the Noteholders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4" w:lineRule="exact"/>
        <w:rPr>
          <w:sz w:val="20"/>
          <w:szCs w:val="20"/>
          <w:color w:val="auto"/>
        </w:rPr>
      </w:pPr>
    </w:p>
    <w:p>
      <w:pPr>
        <w:ind w:right="140" w:firstLine="696"/>
        <w:spacing w:after="0" w:line="256" w:lineRule="auto"/>
        <w:rPr>
          <w:sz w:val="20"/>
          <w:szCs w:val="20"/>
          <w:color w:val="auto"/>
        </w:rPr>
      </w:pPr>
      <w:r>
        <w:rPr>
          <w:rFonts w:ascii="Times New Roman" w:cs="Times New Roman" w:eastAsia="Times New Roman" w:hAnsi="Times New Roman"/>
          <w:sz w:val="19"/>
          <w:szCs w:val="19"/>
          <w:color w:val="2F5496"/>
        </w:rPr>
        <w:t xml:space="preserve">SECTION V.11 </w:t>
      </w:r>
      <w:r>
        <w:rPr>
          <w:rFonts w:ascii="Times New Roman" w:cs="Times New Roman" w:eastAsia="Times New Roman" w:hAnsi="Times New Roman"/>
          <w:sz w:val="19"/>
          <w:szCs w:val="19"/>
          <w:color w:val="000000"/>
        </w:rPr>
        <w:t>Delay or Omission Not a Waiver. No delay or omission of the Indenture Trustee or any Holder of any Note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to exercise any right or remedy accruing upon any Default or Event of Default shall impair any such right or remedy or constitute a waiver of any such Default or Event of Default or an acquiescence therein. Every right and remedy given by this Article V or by law to the Indenture Trustee or to the Noteholders may be exercised from time to</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32" w:name="page333"/>
    <w:bookmarkEnd w:id="332"/>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and as often as may be deemed expedient, by the Indenture Trustee or by the Noteholders, as the case may be.</w:t>
      </w:r>
    </w:p>
    <w:p>
      <w:pPr>
        <w:spacing w:after="0" w:line="202"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V.12 </w:t>
      </w:r>
      <w:r>
        <w:rPr>
          <w:rFonts w:ascii="Times New Roman" w:cs="Times New Roman" w:eastAsia="Times New Roman" w:hAnsi="Times New Roman"/>
          <w:sz w:val="19"/>
          <w:szCs w:val="19"/>
          <w:color w:val="000000"/>
        </w:rPr>
        <w:t>Control by Noteholders. The Majority Noteholders shall have the right to direct the time, method and place of</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conducting any Proceeding for any remedy available to the Indenture Trustee with respect to the Notes or exercising any trust or power conferred on the Indenture Trustee;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that:</w:t>
      </w:r>
    </w:p>
    <w:p>
      <w:pPr>
        <w:spacing w:after="0" w:line="144" w:lineRule="exact"/>
        <w:rPr>
          <w:sz w:val="20"/>
          <w:szCs w:val="20"/>
          <w:color w:val="auto"/>
        </w:rPr>
      </w:pPr>
    </w:p>
    <w:p>
      <w:pPr>
        <w:ind w:left="1780" w:hanging="226"/>
        <w:spacing w:after="0"/>
        <w:tabs>
          <w:tab w:leader="none" w:pos="1780" w:val="left"/>
        </w:tabs>
        <w:numPr>
          <w:ilvl w:val="0"/>
          <w:numId w:val="2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such direction shall not be in conflict with any rule of law or with this Indenture;</w:t>
      </w:r>
    </w:p>
    <w:p>
      <w:pPr>
        <w:spacing w:after="0" w:line="201" w:lineRule="exact"/>
        <w:rPr>
          <w:rFonts w:ascii="Times New Roman" w:cs="Times New Roman" w:eastAsia="Times New Roman" w:hAnsi="Times New Roman"/>
          <w:sz w:val="19"/>
          <w:szCs w:val="19"/>
          <w:color w:val="1F3763"/>
        </w:rPr>
      </w:pPr>
    </w:p>
    <w:p>
      <w:pPr>
        <w:ind w:left="800" w:right="320" w:firstLine="754"/>
        <w:spacing w:after="0" w:line="286" w:lineRule="auto"/>
        <w:tabs>
          <w:tab w:leader="none" w:pos="1844" w:val="left"/>
        </w:tabs>
        <w:numPr>
          <w:ilvl w:val="0"/>
          <w:numId w:val="2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subject to the express terms of Section 5.4, any direction to the Indenture Trustee to sell or liquidate the Trust Estate shall be by the Noteholders representing not less than 100% of the Outstanding Amount of the Notes;</w:t>
      </w:r>
    </w:p>
    <w:p>
      <w:pPr>
        <w:spacing w:after="0" w:line="127" w:lineRule="exact"/>
        <w:rPr>
          <w:rFonts w:ascii="Times New Roman" w:cs="Times New Roman" w:eastAsia="Times New Roman" w:hAnsi="Times New Roman"/>
          <w:sz w:val="19"/>
          <w:szCs w:val="19"/>
          <w:color w:val="1F3763"/>
        </w:rPr>
      </w:pPr>
    </w:p>
    <w:p>
      <w:pPr>
        <w:ind w:left="800" w:right="80" w:firstLine="754"/>
        <w:spacing w:after="0" w:line="268" w:lineRule="auto"/>
        <w:tabs>
          <w:tab w:leader="none" w:pos="1892" w:val="left"/>
        </w:tabs>
        <w:numPr>
          <w:ilvl w:val="0"/>
          <w:numId w:val="2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the conditions set forth in Section 5.5 have been satisfied and the Indenture Trustee elects to retain the Trust Estate pursuant to such Section, then any direction to the Indenture Trustee by Noteholders representing less than 100% of the Outstanding Amount of the Notes to sell or liquidate the Trust Estate shall be of no force and effect; and</w:t>
      </w:r>
    </w:p>
    <w:p>
      <w:pPr>
        <w:spacing w:after="0" w:line="144" w:lineRule="exact"/>
        <w:rPr>
          <w:rFonts w:ascii="Times New Roman" w:cs="Times New Roman" w:eastAsia="Times New Roman" w:hAnsi="Times New Roman"/>
          <w:sz w:val="19"/>
          <w:szCs w:val="19"/>
          <w:color w:val="1F3763"/>
        </w:rPr>
      </w:pPr>
    </w:p>
    <w:p>
      <w:pPr>
        <w:ind w:left="800" w:right="120" w:firstLine="754"/>
        <w:spacing w:after="0" w:line="286" w:lineRule="auto"/>
        <w:tabs>
          <w:tab w:leader="none" w:pos="1880" w:val="left"/>
        </w:tabs>
        <w:numPr>
          <w:ilvl w:val="0"/>
          <w:numId w:val="2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may take any other action deemed proper by the Indenture Trustee that is not inconsistent with such direction;</w:t>
      </w:r>
    </w:p>
    <w:p>
      <w:pPr>
        <w:spacing w:after="0" w:line="125" w:lineRule="exact"/>
        <w:rPr>
          <w:sz w:val="20"/>
          <w:szCs w:val="20"/>
          <w:color w:val="auto"/>
        </w:rPr>
      </w:pPr>
    </w:p>
    <w:p>
      <w:pPr>
        <w:jc w:val="both"/>
        <w:ind w:right="48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subject to Article VI, the Indenture Trustee need not take any action that it determines might involve it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liability, financial or otherwise, without receiving indemnity satisfactory to it, or might materially adversely affect the rights of any Noteholders not consenting to such action.</w:t>
      </w:r>
    </w:p>
    <w:p>
      <w:pPr>
        <w:spacing w:after="0" w:line="144"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V.13 </w:t>
      </w:r>
      <w:r>
        <w:rPr>
          <w:rFonts w:ascii="Times New Roman" w:cs="Times New Roman" w:eastAsia="Times New Roman" w:hAnsi="Times New Roman"/>
          <w:sz w:val="19"/>
          <w:szCs w:val="19"/>
          <w:color w:val="000000"/>
        </w:rPr>
        <w:t>Waiver of Past Defaults. Prior to the declaration of the acceleration of the maturity of the Notes as provided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 Section 5.2(a), the Majority Noteholders may waive any past Default or Event of Default and its consequences except a Default or Event of Default (a) in payment of principal of or interest on any of the Notes or (b) in respect of a covenant or provision hereof which cannot be modified or amended without the consent of the Holder of each Note. In the case of any such waiver, the Issuer, the Indenture Trustee and the Holders of the Notes shall be restored to their former positions and rights hereunder, respectively; but no such waiver shall extend to any subsequent or other Default or impair any right consequent thereto.</w:t>
      </w:r>
    </w:p>
    <w:p>
      <w:pPr>
        <w:spacing w:after="0" w:line="157"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thereto.</w:t>
      </w:r>
    </w:p>
    <w:p>
      <w:pPr>
        <w:spacing w:after="0" w:line="144" w:lineRule="exact"/>
        <w:rPr>
          <w:sz w:val="20"/>
          <w:szCs w:val="20"/>
          <w:color w:val="auto"/>
        </w:rPr>
      </w:pPr>
    </w:p>
    <w:p>
      <w:pPr>
        <w:jc w:val="both"/>
        <w:ind w:right="320" w:firstLine="696"/>
        <w:spacing w:after="0" w:line="258" w:lineRule="auto"/>
        <w:rPr>
          <w:sz w:val="20"/>
          <w:szCs w:val="20"/>
          <w:color w:val="auto"/>
        </w:rPr>
      </w:pPr>
      <w:r>
        <w:rPr>
          <w:rFonts w:ascii="Times New Roman" w:cs="Times New Roman" w:eastAsia="Times New Roman" w:hAnsi="Times New Roman"/>
          <w:sz w:val="19"/>
          <w:szCs w:val="19"/>
          <w:color w:val="2F5496"/>
        </w:rPr>
        <w:t xml:space="preserve">SECTION V.14 </w:t>
      </w:r>
      <w:r>
        <w:rPr>
          <w:rFonts w:ascii="Times New Roman" w:cs="Times New Roman" w:eastAsia="Times New Roman" w:hAnsi="Times New Roman"/>
          <w:sz w:val="19"/>
          <w:szCs w:val="19"/>
          <w:color w:val="000000"/>
        </w:rPr>
        <w:t>Undertaking for Costs. All parties to this Indenture agree, and each Holder of any Note by such Holder's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acceptance thereof shall be deemed to have agreed, that any court may in its discretion require, in any suit for the enforcement of any right or remedy under this Indenture, or in any suit against the Indenture Trustee for any action taken, suffered or omitted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3" w:name="page334"/>
    <w:bookmarkEnd w:id="333"/>
    <w:p>
      <w:pPr>
        <w:spacing w:after="0" w:line="200" w:lineRule="exact"/>
        <w:rPr>
          <w:sz w:val="20"/>
          <w:szCs w:val="20"/>
          <w:color w:val="auto"/>
        </w:rPr>
      </w:pPr>
    </w:p>
    <w:p>
      <w:pPr>
        <w:spacing w:after="0" w:line="26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by it as Indenture Trustee, the filing by any party litigant in such suit of an undertaking to pay the costs of such suit, and that such court may in its discretion assess reasonable costs and expenses, including reasonable attorneys' fees and expenses, against any party litigant in such suit, having due regard to the merits and good faith of the claims or defenses made by such party litigant; but the provisions of this Section shall not apply to (a) any suit instituted by the Indenture Trustee, (b) any suit instituted by any Noteholder, or group of Noteholders, in each case holding in the aggregate more than 10% of the Outstanding Amount of the Notes or (c) any suit instituted by any Noteholder for the enforcement of the payment of principal of or interest on any Note on or after the respective due dates expressed in such Note and in this Indenture (or, in the case of redemption, on or after the Redemption Date).</w:t>
      </w:r>
    </w:p>
    <w:p>
      <w:pPr>
        <w:spacing w:after="0" w:line="157"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V.15 </w:t>
      </w:r>
      <w:r>
        <w:rPr>
          <w:rFonts w:ascii="Times New Roman" w:cs="Times New Roman" w:eastAsia="Times New Roman" w:hAnsi="Times New Roman"/>
          <w:sz w:val="19"/>
          <w:szCs w:val="19"/>
          <w:color w:val="000000"/>
        </w:rPr>
        <w:t>Waiver of Stay or Extension Laws. The Issuer covenants (to the extent that it may lawfully do so) that it will</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not at any time insist upon, or plead or in any manner whatsoever, claim or take the benefit or advantage of, any stay or extension law wherever enacted, now or at any time hereafter in force, that may affect the covenants or the performance of this Indenture or any other Basic Document; and the Issuer (to the extent that it may lawfully do so) hereby expressly waives all benefit or advantage of any such law, and covenants that it will not hinder, delay or impede the execution of any power herein granted to the Indenture Trustee, but will suffer and permit the execution of every such power as though no such law had been enacted.</w:t>
      </w:r>
    </w:p>
    <w:p>
      <w:pPr>
        <w:spacing w:after="0" w:line="157"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V.16 </w:t>
      </w:r>
      <w:r>
        <w:rPr>
          <w:rFonts w:ascii="Times New Roman" w:cs="Times New Roman" w:eastAsia="Times New Roman" w:hAnsi="Times New Roman"/>
          <w:sz w:val="19"/>
          <w:szCs w:val="19"/>
          <w:color w:val="000000"/>
        </w:rPr>
        <w:t>Action on Notes. The Indenture Trustee's right to seek and recover judgment on the Notes or under this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Indenture shall not be affected by the seeking, obtaining or application of any other relief under or with respect to this Indenture. Neither the lien of this Indenture nor any rights or remedies of the Indenture Trustee or the Noteholders shall be impaired by the recovery of any judgment by the Indenture Trustee against the Issuer or by the levy of any execution under such judgment upon any portion of the Trust Estate or upon any of the assets of the Issuer.</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V.17  </w:t>
      </w:r>
      <w:r>
        <w:rPr>
          <w:rFonts w:ascii="Times New Roman" w:cs="Times New Roman" w:eastAsia="Times New Roman" w:hAnsi="Times New Roman"/>
          <w:sz w:val="19"/>
          <w:szCs w:val="19"/>
          <w:color w:val="000000"/>
        </w:rPr>
        <w:t>Performance and Enforcement of Certain Obligations.</w:t>
      </w:r>
    </w:p>
    <w:p>
      <w:pPr>
        <w:spacing w:after="0" w:line="202" w:lineRule="exact"/>
        <w:rPr>
          <w:sz w:val="20"/>
          <w:szCs w:val="20"/>
          <w:color w:val="auto"/>
        </w:rPr>
      </w:pPr>
    </w:p>
    <w:p>
      <w:pPr>
        <w:ind w:right="20" w:firstLine="1410"/>
        <w:spacing w:after="0" w:line="255" w:lineRule="auto"/>
        <w:tabs>
          <w:tab w:leader="none" w:pos="1765" w:val="left"/>
        </w:tabs>
        <w:numPr>
          <w:ilvl w:val="0"/>
          <w:numId w:val="27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Promptly following a request from the Indenture Trustee to do so and at the Servicer's expense, the Issuer agrees to take all such lawful action as the Indenture Trustee may request to compel or secure the performance and observance by the Depositor and the Servicer, as applicable, of each of their obligations to the Issuer under or in connection with the Sale and Servicing Agreement or by the Seller of its obligations under or in connection with the Purchase Agreement, each in accordance with the terms thereof, and to exercise any and all rights, remedies, powers and privileges lawfully available to the Issuer under or in connection with the Sale and Servicing Agreement to the extent and in the manner directed by the Indenture Trustee, including the transmission of notices of default on the part of the Depositor or the Servicer thereunder and the institution of legal or administrative actions or Proceedings to compel or secure performance by the Depositor or the Servicer of each of their obligations under the Sale and Servicing Agreement, or the Seller of its obligations under the Purchase Agreement.</w:t>
      </w:r>
    </w:p>
    <w:p>
      <w:pPr>
        <w:spacing w:after="0" w:line="155" w:lineRule="exact"/>
        <w:rPr>
          <w:rFonts w:ascii="Times New Roman" w:cs="Times New Roman" w:eastAsia="Times New Roman" w:hAnsi="Times New Roman"/>
          <w:sz w:val="19"/>
          <w:szCs w:val="19"/>
          <w:color w:val="1F3763"/>
        </w:rPr>
      </w:pPr>
    </w:p>
    <w:p>
      <w:pPr>
        <w:ind w:right="40" w:firstLine="1410"/>
        <w:spacing w:after="0" w:line="262" w:lineRule="auto"/>
        <w:tabs>
          <w:tab w:leader="none" w:pos="1777" w:val="left"/>
        </w:tabs>
        <w:numPr>
          <w:ilvl w:val="0"/>
          <w:numId w:val="27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an Event of Default has occurred and is continuing, the Indenture Trustee may, and, at the written direction of the Majority Noteholders shall, subject to Article VI, exercise all rights, remedies, powers, privileges and claims of the Issuer against the</w:t>
      </w:r>
    </w:p>
    <w:p>
      <w:pPr>
        <w:spacing w:after="0" w:line="1" w:lineRule="exact"/>
        <w:rPr>
          <w:sz w:val="20"/>
          <w:szCs w:val="20"/>
          <w:color w:val="auto"/>
        </w:rPr>
      </w:pPr>
    </w:p>
    <w:p>
      <w:pPr>
        <w:ind w:left="5200" w:right="2060" w:hanging="5184"/>
        <w:spacing w:after="0" w:line="262" w:lineRule="auto"/>
        <w:rPr>
          <w:sz w:val="20"/>
          <w:szCs w:val="20"/>
          <w:color w:val="auto"/>
        </w:rPr>
      </w:pPr>
      <w:r>
        <w:rPr>
          <w:rFonts w:ascii="Times New Roman" w:cs="Times New Roman" w:eastAsia="Times New Roman" w:hAnsi="Times New Roman"/>
          <w:sz w:val="19"/>
          <w:szCs w:val="19"/>
          <w:color w:val="auto"/>
        </w:rPr>
        <w:t>Depositor or the Servicer under or in connection with the Sale and Servicing Agreement, including the right or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4" w:name="page335"/>
    <w:bookmarkEnd w:id="334"/>
    <w:p>
      <w:pPr>
        <w:spacing w:after="0" w:line="200" w:lineRule="exact"/>
        <w:rPr>
          <w:sz w:val="20"/>
          <w:szCs w:val="20"/>
          <w:color w:val="auto"/>
        </w:rPr>
      </w:pPr>
    </w:p>
    <w:p>
      <w:pPr>
        <w:spacing w:after="0" w:line="26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power to take any action to compel or secure performance or observance by the Depositor or the Servicer of each of their obligations to the Issuer thereunder and to give any consent, request, notice, direction, approval, extension or waiver under the Sale and Servicing Agreement, and any right of the Issuer to take such action shall be suspended.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F5496"/>
        </w:rPr>
        <w:t>ARTICLE VI</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The Indenture Trustee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VI.1  </w:t>
      </w:r>
      <w:r>
        <w:rPr>
          <w:rFonts w:ascii="Times New Roman" w:cs="Times New Roman" w:eastAsia="Times New Roman" w:hAnsi="Times New Roman"/>
          <w:sz w:val="19"/>
          <w:szCs w:val="19"/>
          <w:color w:val="000000"/>
        </w:rPr>
        <w:t>Duties of Indenture Trustee.</w:t>
      </w:r>
    </w:p>
    <w:p>
      <w:pPr>
        <w:spacing w:after="0" w:line="202" w:lineRule="exact"/>
        <w:rPr>
          <w:sz w:val="20"/>
          <w:szCs w:val="20"/>
          <w:color w:val="auto"/>
        </w:rPr>
      </w:pPr>
    </w:p>
    <w:p>
      <w:pPr>
        <w:jc w:val="both"/>
        <w:ind w:right="40" w:firstLine="1410"/>
        <w:spacing w:after="0" w:line="262" w:lineRule="auto"/>
        <w:tabs>
          <w:tab w:leader="none" w:pos="1765" w:val="left"/>
        </w:tabs>
        <w:numPr>
          <w:ilvl w:val="0"/>
          <w:numId w:val="2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an Event of Default has occurred and is continuing of which a Responsible Officer of the Indenture Trustee has actual knowledge or received written notice, the Indenture Trustee shall exercise the rights and powers vested in it by this Indenture and the other Basic Documents to which it is a party and use the same degree of care and skill in its exercise as a prudent person would exercise or use under the circumstances in the conduct of such person's own affairs.</w:t>
      </w:r>
    </w:p>
    <w:p>
      <w:pPr>
        <w:spacing w:after="0" w:line="150" w:lineRule="exact"/>
        <w:rPr>
          <w:rFonts w:ascii="Times New Roman" w:cs="Times New Roman" w:eastAsia="Times New Roman" w:hAnsi="Times New Roman"/>
          <w:sz w:val="19"/>
          <w:szCs w:val="19"/>
          <w:color w:val="1F3763"/>
        </w:rPr>
      </w:pPr>
    </w:p>
    <w:p>
      <w:pPr>
        <w:ind w:firstLine="1410"/>
        <w:spacing w:after="0" w:line="286" w:lineRule="auto"/>
        <w:tabs>
          <w:tab w:leader="none" w:pos="1777" w:val="left"/>
        </w:tabs>
        <w:numPr>
          <w:ilvl w:val="0"/>
          <w:numId w:val="2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during the continuance of an Event of Default of which a Responsible Officer of the Indenture Trustee has actual knowledge or received written notice:</w:t>
      </w:r>
    </w:p>
    <w:p>
      <w:pPr>
        <w:spacing w:after="0" w:line="127" w:lineRule="exact"/>
        <w:rPr>
          <w:rFonts w:ascii="Times New Roman" w:cs="Times New Roman" w:eastAsia="Times New Roman" w:hAnsi="Times New Roman"/>
          <w:sz w:val="19"/>
          <w:szCs w:val="19"/>
          <w:color w:val="1F3763"/>
        </w:rPr>
      </w:pPr>
    </w:p>
    <w:p>
      <w:pPr>
        <w:ind w:left="800" w:right="60" w:firstLine="754"/>
        <w:spacing w:after="0" w:line="262" w:lineRule="auto"/>
        <w:tabs>
          <w:tab w:leader="none" w:pos="1784" w:val="left"/>
        </w:tabs>
        <w:numPr>
          <w:ilvl w:val="1"/>
          <w:numId w:val="2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undertakes to perform such duties and only such duties as are expressly and specifically set forth in this Indenture and no implied covenants or obligations (including any implied duty to enforce another party’s obligations if the Transaction Documents have not assigned such responsibility to a party) shall be read into this Indenture against the Indenture Trustee; and</w:t>
      </w:r>
    </w:p>
    <w:p>
      <w:pPr>
        <w:spacing w:after="0" w:line="150" w:lineRule="exact"/>
        <w:rPr>
          <w:rFonts w:ascii="Times New Roman" w:cs="Times New Roman" w:eastAsia="Times New Roman" w:hAnsi="Times New Roman"/>
          <w:sz w:val="19"/>
          <w:szCs w:val="19"/>
          <w:color w:val="1F3763"/>
        </w:rPr>
      </w:pPr>
    </w:p>
    <w:p>
      <w:pPr>
        <w:ind w:left="800" w:right="400" w:firstLine="754"/>
        <w:spacing w:after="0" w:line="262" w:lineRule="auto"/>
        <w:tabs>
          <w:tab w:leader="none" w:pos="1844" w:val="left"/>
        </w:tabs>
        <w:numPr>
          <w:ilvl w:val="1"/>
          <w:numId w:val="2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in the absence of bad faith on its part, the Indenture Trustee may conclusively rely, as to the truth of the statements and the correctness of the opinions expressed therein, upon certificates or opinions furnished to the Indenture Trustee and conforming to the requirements of this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the Indenture Trustee shall examine the certificates and opinions to determine whether or not they conform on their face to the requirements of this Indenture.</w:t>
      </w:r>
    </w:p>
    <w:p>
      <w:pPr>
        <w:spacing w:after="0" w:line="150"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may not be relieved from liability for its own willful misconduct, bad faith or negligence,</w:t>
      </w:r>
    </w:p>
    <w:p>
      <w:pPr>
        <w:spacing w:after="0" w:line="31" w:lineRule="exact"/>
        <w:rPr>
          <w:rFonts w:ascii="Times New Roman" w:cs="Times New Roman" w:eastAsia="Times New Roman" w:hAnsi="Times New Roman"/>
          <w:sz w:val="19"/>
          <w:szCs w:val="19"/>
          <w:color w:val="1F3763"/>
        </w:rPr>
      </w:pPr>
    </w:p>
    <w:p>
      <w:pPr>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that:</w:t>
      </w:r>
    </w:p>
    <w:p>
      <w:pPr>
        <w:spacing w:after="0" w:line="179" w:lineRule="exact"/>
        <w:rPr>
          <w:rFonts w:ascii="Times New Roman" w:cs="Times New Roman" w:eastAsia="Times New Roman" w:hAnsi="Times New Roman"/>
          <w:sz w:val="19"/>
          <w:szCs w:val="19"/>
          <w:color w:val="1F3763"/>
        </w:rPr>
      </w:pPr>
    </w:p>
    <w:p>
      <w:pPr>
        <w:ind w:left="1780" w:hanging="226"/>
        <w:spacing w:after="0"/>
        <w:tabs>
          <w:tab w:leader="none" w:pos="1780" w:val="left"/>
        </w:tabs>
        <w:numPr>
          <w:ilvl w:val="1"/>
          <w:numId w:val="2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this paragraph does not limit the effect of paragraph (b) of this Section;</w:t>
      </w:r>
    </w:p>
    <w:p>
      <w:pPr>
        <w:spacing w:after="0" w:line="201" w:lineRule="exact"/>
        <w:rPr>
          <w:rFonts w:ascii="Times New Roman" w:cs="Times New Roman" w:eastAsia="Times New Roman" w:hAnsi="Times New Roman"/>
          <w:sz w:val="19"/>
          <w:szCs w:val="19"/>
          <w:color w:val="1F3763"/>
        </w:rPr>
      </w:pPr>
    </w:p>
    <w:p>
      <w:pPr>
        <w:ind w:left="1840" w:hanging="286"/>
        <w:spacing w:after="0"/>
        <w:tabs>
          <w:tab w:leader="none" w:pos="1840" w:val="left"/>
        </w:tabs>
        <w:numPr>
          <w:ilvl w:val="1"/>
          <w:numId w:val="2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not be liable for any error of judgment made in good faith by a Responsible Officer</w:t>
      </w:r>
    </w:p>
    <w:p>
      <w:pPr>
        <w:spacing w:after="0" w:line="32" w:lineRule="exact"/>
        <w:rPr>
          <w:sz w:val="20"/>
          <w:szCs w:val="20"/>
          <w:color w:val="auto"/>
        </w:rPr>
      </w:pPr>
    </w:p>
    <w:p>
      <w:pPr>
        <w:ind w:left="800" w:right="80"/>
        <w:spacing w:after="0" w:line="250" w:lineRule="auto"/>
        <w:rPr>
          <w:sz w:val="20"/>
          <w:szCs w:val="20"/>
          <w:color w:val="auto"/>
        </w:rPr>
      </w:pPr>
      <w:r>
        <w:rPr>
          <w:rFonts w:ascii="Times New Roman" w:cs="Times New Roman" w:eastAsia="Times New Roman" w:hAnsi="Times New Roman"/>
          <w:sz w:val="19"/>
          <w:szCs w:val="19"/>
          <w:color w:val="auto"/>
        </w:rPr>
        <w:t>unless it is proved that the Indenture Trustee was negligent in ascertaining the pertinent facts or acted with willful misconduct or bad faith; and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35" w:name="page336"/>
    <w:bookmarkEnd w:id="335"/>
    <w:p>
      <w:pPr>
        <w:spacing w:after="0" w:line="200" w:lineRule="exact"/>
        <w:rPr>
          <w:sz w:val="20"/>
          <w:szCs w:val="20"/>
          <w:color w:val="auto"/>
        </w:rPr>
      </w:pPr>
    </w:p>
    <w:p>
      <w:pPr>
        <w:spacing w:after="0" w:line="261" w:lineRule="exact"/>
        <w:rPr>
          <w:sz w:val="20"/>
          <w:szCs w:val="20"/>
          <w:color w:val="auto"/>
        </w:rPr>
      </w:pPr>
    </w:p>
    <w:p>
      <w:pPr>
        <w:ind w:left="780" w:right="580" w:firstLine="762"/>
        <w:spacing w:after="0" w:line="286" w:lineRule="auto"/>
        <w:tabs>
          <w:tab w:leader="none" w:pos="1872" w:val="left"/>
        </w:tabs>
        <w:numPr>
          <w:ilvl w:val="2"/>
          <w:numId w:val="2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not be liable with respect to any action it takes or omits to take in good faith in accordance with a direction received by it in accordance with the Basic Documents.</w:t>
      </w:r>
    </w:p>
    <w:p>
      <w:pPr>
        <w:spacing w:after="0" w:line="127" w:lineRule="exact"/>
        <w:rPr>
          <w:rFonts w:ascii="Times New Roman" w:cs="Times New Roman" w:eastAsia="Times New Roman" w:hAnsi="Times New Roman"/>
          <w:sz w:val="19"/>
          <w:szCs w:val="19"/>
          <w:color w:val="1F3763"/>
        </w:rPr>
      </w:pPr>
    </w:p>
    <w:p>
      <w:pPr>
        <w:ind w:right="140" w:firstLine="1410"/>
        <w:spacing w:after="0" w:line="286" w:lineRule="auto"/>
        <w:tabs>
          <w:tab w:leader="none" w:pos="1777" w:val="left"/>
        </w:tabs>
        <w:numPr>
          <w:ilvl w:val="1"/>
          <w:numId w:val="2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not be liable for interest on any money received by it except as the Indenture Trustee may agree in writing with the Issuer.</w:t>
      </w:r>
    </w:p>
    <w:p>
      <w:pPr>
        <w:spacing w:after="0" w:line="127" w:lineRule="exact"/>
        <w:rPr>
          <w:rFonts w:ascii="Times New Roman" w:cs="Times New Roman" w:eastAsia="Times New Roman" w:hAnsi="Times New Roman"/>
          <w:sz w:val="19"/>
          <w:szCs w:val="19"/>
          <w:color w:val="1F3763"/>
        </w:rPr>
      </w:pPr>
    </w:p>
    <w:p>
      <w:pPr>
        <w:ind w:right="20" w:firstLine="1410"/>
        <w:spacing w:after="0" w:line="286" w:lineRule="auto"/>
        <w:tabs>
          <w:tab w:leader="none" w:pos="1765" w:val="left"/>
        </w:tabs>
        <w:numPr>
          <w:ilvl w:val="1"/>
          <w:numId w:val="2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Money held in trust by the Indenture Trustee need not be segregated from other funds except to the extent required by law or the terms of this Indenture or the Sale and Servicing Agreement.</w:t>
      </w:r>
    </w:p>
    <w:p>
      <w:pPr>
        <w:spacing w:after="0" w:line="127" w:lineRule="exact"/>
        <w:rPr>
          <w:rFonts w:ascii="Times New Roman" w:cs="Times New Roman" w:eastAsia="Times New Roman" w:hAnsi="Times New Roman"/>
          <w:sz w:val="19"/>
          <w:szCs w:val="19"/>
          <w:color w:val="1F3763"/>
        </w:rPr>
      </w:pPr>
    </w:p>
    <w:p>
      <w:pPr>
        <w:ind w:right="220" w:firstLine="1410"/>
        <w:spacing w:after="0" w:line="268" w:lineRule="auto"/>
        <w:tabs>
          <w:tab w:leader="none" w:pos="1741" w:val="left"/>
        </w:tabs>
        <w:numPr>
          <w:ilvl w:val="1"/>
          <w:numId w:val="2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provision of this Indenture shall require the Indenture Trustee to expend or risk its own funds or otherwise incur financial liability in the performance of any of its duties hereunder or in the exercise of any of its rights or powers, if it shall have reasonable grounds to believe that repayment of such funds or indemnity adequate against such risk or liability is not assured to it.</w:t>
      </w:r>
    </w:p>
    <w:p>
      <w:pPr>
        <w:spacing w:after="0" w:line="144" w:lineRule="exact"/>
        <w:rPr>
          <w:rFonts w:ascii="Times New Roman" w:cs="Times New Roman" w:eastAsia="Times New Roman" w:hAnsi="Times New Roman"/>
          <w:sz w:val="19"/>
          <w:szCs w:val="19"/>
          <w:color w:val="1F3763"/>
        </w:rPr>
      </w:pPr>
    </w:p>
    <w:p>
      <w:pPr>
        <w:ind w:right="160" w:firstLine="1410"/>
        <w:spacing w:after="0" w:line="286" w:lineRule="auto"/>
        <w:tabs>
          <w:tab w:leader="none" w:pos="1777" w:val="left"/>
        </w:tabs>
        <w:numPr>
          <w:ilvl w:val="1"/>
          <w:numId w:val="2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Every provision of this Indenture relating to the conduct or affecting the liability of or affording protection to the Indenture Trustee shall be subject to the provisions of this Section 6.1.</w:t>
      </w:r>
    </w:p>
    <w:p>
      <w:pPr>
        <w:spacing w:after="0" w:line="127" w:lineRule="exact"/>
        <w:rPr>
          <w:rFonts w:ascii="Times New Roman" w:cs="Times New Roman" w:eastAsia="Times New Roman" w:hAnsi="Times New Roman"/>
          <w:sz w:val="19"/>
          <w:szCs w:val="19"/>
          <w:color w:val="1F3763"/>
        </w:rPr>
      </w:pPr>
    </w:p>
    <w:p>
      <w:pPr>
        <w:ind w:right="160" w:firstLine="1410"/>
        <w:spacing w:after="0" w:line="286" w:lineRule="auto"/>
        <w:tabs>
          <w:tab w:leader="none" w:pos="1777" w:val="left"/>
        </w:tabs>
        <w:numPr>
          <w:ilvl w:val="1"/>
          <w:numId w:val="2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and hereby agrees that it will, perform all of the obligations and duties required of it under the Sale and Servicing Agreement.</w:t>
      </w:r>
    </w:p>
    <w:p>
      <w:pPr>
        <w:spacing w:after="0" w:line="127" w:lineRule="exact"/>
        <w:rPr>
          <w:rFonts w:ascii="Times New Roman" w:cs="Times New Roman" w:eastAsia="Times New Roman" w:hAnsi="Times New Roman"/>
          <w:sz w:val="19"/>
          <w:szCs w:val="19"/>
          <w:color w:val="1F3763"/>
        </w:rPr>
      </w:pPr>
    </w:p>
    <w:p>
      <w:pPr>
        <w:ind w:firstLine="1410"/>
        <w:spacing w:after="0" w:line="256" w:lineRule="auto"/>
        <w:tabs>
          <w:tab w:leader="none" w:pos="1729" w:val="left"/>
        </w:tabs>
        <w:numPr>
          <w:ilvl w:val="1"/>
          <w:numId w:val="2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Without limiting the generality of this Section 6.1, the Indenture Trustee shall have no duty (i) to see to any recording, filing or depositing of this Indenture or any agreement referred to herein or any financing statement evidencing a security interest in the Financed Vehicles, or to see to the maintenance of any such recording or filing or depositing or to any recording, refiling or redepositing of any thereof, (ii) to see to any insurance of the Financed Vehicles or Obligors or to effect or maintain any such insurance,</w:t>
      </w:r>
    </w:p>
    <w:p>
      <w:pPr>
        <w:spacing w:after="0" w:line="2" w:lineRule="exact"/>
        <w:rPr>
          <w:rFonts w:ascii="Times New Roman" w:cs="Times New Roman" w:eastAsia="Times New Roman" w:hAnsi="Times New Roman"/>
          <w:sz w:val="19"/>
          <w:szCs w:val="19"/>
          <w:color w:val="1F3763"/>
        </w:rPr>
      </w:pPr>
    </w:p>
    <w:p>
      <w:pPr>
        <w:ind w:right="40" w:firstLine="6"/>
        <w:spacing w:after="0" w:line="250" w:lineRule="auto"/>
        <w:tabs>
          <w:tab w:leader="none" w:pos="336"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see to the payment or discharge of any tax, assessment or other governmental charge or any Lien or encumbrance of any kind owing with respect to, assessed or levied against any part of the Trust, (iv) to confirm or verify the contents of any reports or certificates delivered to the Indenture Trustee pursuant to this Indenture or the Sale and Servicing Agreement believed by the Indenture Trustee to be genuine and to have been signed or presented by the proper party or parties, (v) to monitor the status of any lien hereunder or the performance of the collateral or (vi) to inspect the Financed Vehicles at any time or ascertain or inquire as to the performance of observance of any of the Issuer's, the Depositor's or the Servicer's representations, warranties or covenants or the Servicer's duties and obligations as Servicer and as custodian of the Receivable Files under the Sale and Servicing Agreement. Neither the Indenture Trustee nor any of its officers, directors, employees, attorneys or agents will be responsible or liable for the existence, genuineness, value or protection of any collateral securing the Notes, for the legality, enforceability, effectiveness or sufficiency of the Basic Documents for the creation, perfection, continuation, priority or sufficiency of any of the liens, or for any defect or deficiency as to any such matters.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36" w:name="page337"/>
    <w:bookmarkEnd w:id="336"/>
    <w:p>
      <w:pPr>
        <w:spacing w:after="0" w:line="200" w:lineRule="exact"/>
        <w:rPr>
          <w:sz w:val="20"/>
          <w:szCs w:val="20"/>
          <w:color w:val="auto"/>
        </w:rPr>
      </w:pPr>
    </w:p>
    <w:p>
      <w:pPr>
        <w:spacing w:after="0" w:line="261" w:lineRule="exact"/>
        <w:rPr>
          <w:sz w:val="20"/>
          <w:szCs w:val="20"/>
          <w:color w:val="auto"/>
        </w:rPr>
      </w:pPr>
    </w:p>
    <w:p>
      <w:pPr>
        <w:ind w:right="160" w:firstLine="1410"/>
        <w:spacing w:after="0" w:line="286" w:lineRule="auto"/>
        <w:tabs>
          <w:tab w:leader="none" w:pos="1729" w:val="left"/>
        </w:tabs>
        <w:numPr>
          <w:ilvl w:val="0"/>
          <w:numId w:val="27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no event shall Computershare, in any of its capacities hereunder, be deemed to have assumed any duties of the Owner Trustee under the Statutory Trust Statute, common law, or the Trust Agreement.</w:t>
      </w:r>
    </w:p>
    <w:p>
      <w:pPr>
        <w:spacing w:after="0" w:line="127" w:lineRule="exact"/>
        <w:rPr>
          <w:rFonts w:ascii="Times New Roman" w:cs="Times New Roman" w:eastAsia="Times New Roman" w:hAnsi="Times New Roman"/>
          <w:sz w:val="19"/>
          <w:szCs w:val="19"/>
          <w:color w:val="1F3763"/>
        </w:rPr>
      </w:pPr>
    </w:p>
    <w:p>
      <w:pPr>
        <w:ind w:right="40" w:firstLine="1410"/>
        <w:spacing w:after="0" w:line="262" w:lineRule="auto"/>
        <w:tabs>
          <w:tab w:leader="none" w:pos="1777" w:val="left"/>
        </w:tabs>
        <w:numPr>
          <w:ilvl w:val="0"/>
          <w:numId w:val="27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For purposes of this Section 6.1, the Indenture Trustee, or a Responsible Officer thereof, shall be charged with actual knowledge of an Event of Default if a Responsible Officer actually knows of such Event of Default or receives written notice of such Event of Default from the Issuer, the Servicer, the Backup Servicer or the Holders of at least 25% of the Outstanding Amount of the Notes of the Controlling Class or the Notes of an affected Class.</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VI.2  </w:t>
      </w:r>
      <w:r>
        <w:rPr>
          <w:rFonts w:ascii="Times New Roman" w:cs="Times New Roman" w:eastAsia="Times New Roman" w:hAnsi="Times New Roman"/>
          <w:sz w:val="19"/>
          <w:szCs w:val="19"/>
          <w:color w:val="000000"/>
        </w:rPr>
        <w:t>Rights of Indenture Trustee.</w:t>
      </w:r>
    </w:p>
    <w:p>
      <w:pPr>
        <w:spacing w:after="0" w:line="202" w:lineRule="exact"/>
        <w:rPr>
          <w:sz w:val="20"/>
          <w:szCs w:val="20"/>
          <w:color w:val="auto"/>
        </w:rPr>
      </w:pPr>
    </w:p>
    <w:p>
      <w:pPr>
        <w:ind w:firstLine="1410"/>
        <w:spacing w:after="0" w:line="255" w:lineRule="auto"/>
        <w:tabs>
          <w:tab w:leader="none" w:pos="1765" w:val="left"/>
        </w:tabs>
        <w:numPr>
          <w:ilvl w:val="0"/>
          <w:numId w:val="27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may conclusively rely on any document believed by it to be genuine and to have been signed or presented by the proper Person. The Indenture Trustee is not responsible for any document provided to it, and it need not investigate or re-calculate, evaluate, verify or independently determine the accuracy of any report, certificate, information, statement, representation or warranty or any fact or matter stated in such document and may conclusively rely as to the truth of the statements and the correctness of the opinions expressed therein. Notwithstanding the foregoing, the Indenture Trustee, upon receipt of all resolutions, certificates, statements, opinions, reports, documents, orders or other instruments furnished to the Indenture Trustee that shall be specifically required to be furnished pursuant to any provision of this Indenture, shall examine them to determine whether they comply as to form to the requirements of this Indenture.</w:t>
      </w:r>
    </w:p>
    <w:p>
      <w:pPr>
        <w:spacing w:after="0" w:line="159" w:lineRule="exact"/>
        <w:rPr>
          <w:rFonts w:ascii="Times New Roman" w:cs="Times New Roman" w:eastAsia="Times New Roman" w:hAnsi="Times New Roman"/>
          <w:sz w:val="19"/>
          <w:szCs w:val="19"/>
          <w:color w:val="1F3763"/>
        </w:rPr>
      </w:pPr>
    </w:p>
    <w:p>
      <w:pPr>
        <w:ind w:right="20" w:firstLine="1410"/>
        <w:spacing w:after="0" w:line="257" w:lineRule="auto"/>
        <w:tabs>
          <w:tab w:leader="none" w:pos="1777" w:val="left"/>
        </w:tabs>
        <w:numPr>
          <w:ilvl w:val="0"/>
          <w:numId w:val="27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as to actions expressly required to be taken by the Indenture Trustee pursuant to this Indenture or any Basic Document to which it is a party, before the Indenture Trustee acts or refrains from acting, it may require an Officer's Certificate or an Opinion of Counsel, the costs of which (including the Indenture Trustee's reasonable attorney's fees and expenses) shall be paid by the party requesting that the Indenture Trustee act or refrain from acting; absent such payment, the Indenture Trustee shall have no obligation to act. The Indenture Trustee shall not be liable for any action it takes or omits to take in good faith in reliance on the Officer's Certificate or Opinion of Counsel.</w:t>
      </w:r>
    </w:p>
    <w:p>
      <w:pPr>
        <w:spacing w:after="0" w:line="156" w:lineRule="exact"/>
        <w:rPr>
          <w:rFonts w:ascii="Times New Roman" w:cs="Times New Roman" w:eastAsia="Times New Roman" w:hAnsi="Times New Roman"/>
          <w:sz w:val="19"/>
          <w:szCs w:val="19"/>
          <w:color w:val="1F3763"/>
        </w:rPr>
      </w:pPr>
    </w:p>
    <w:p>
      <w:pPr>
        <w:ind w:right="40" w:firstLine="1410"/>
        <w:spacing w:after="0" w:line="262" w:lineRule="auto"/>
        <w:tabs>
          <w:tab w:leader="none" w:pos="1765" w:val="left"/>
        </w:tabs>
        <w:numPr>
          <w:ilvl w:val="0"/>
          <w:numId w:val="27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may execute any of the trusts or powers hereunder or perform any duties hereunder either directly or by or through agents or attorneys or a custodian or nominee or affiliates, and the Indenture Trustee shall not be responsible for any misconduct or negligence on the part of, or for the supervision of, United Auto or any other party to the Basic Documents, or any other such agent, attorney, custodian or nominee appointed with due care by it hereunder.</w:t>
      </w:r>
    </w:p>
    <w:p>
      <w:pPr>
        <w:spacing w:after="0" w:line="150" w:lineRule="exact"/>
        <w:rPr>
          <w:rFonts w:ascii="Times New Roman" w:cs="Times New Roman" w:eastAsia="Times New Roman" w:hAnsi="Times New Roman"/>
          <w:sz w:val="19"/>
          <w:szCs w:val="19"/>
          <w:color w:val="1F3763"/>
        </w:rPr>
      </w:pPr>
    </w:p>
    <w:p>
      <w:pPr>
        <w:ind w:right="160" w:firstLine="1410"/>
        <w:spacing w:after="0" w:line="268" w:lineRule="auto"/>
        <w:tabs>
          <w:tab w:leader="none" w:pos="1777" w:val="left"/>
        </w:tabs>
        <w:numPr>
          <w:ilvl w:val="0"/>
          <w:numId w:val="27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Indenture Trustee shall not be liable for any action it takes or omits to take in good faith which it believes to be authorized or within its rights or powers;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Indenture Trustee's conduct does not constitute willful misconduct, negligence or bad faith.</w:t>
      </w:r>
    </w:p>
    <w:p>
      <w:pPr>
        <w:spacing w:after="0" w:line="144"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27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may consult with counsel of its choice, and the advice or opinion of counsel (written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oral) with respect to legal matters relating to this Indenture and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37" w:name="page338"/>
    <w:bookmarkEnd w:id="337"/>
    <w:p>
      <w:pPr>
        <w:spacing w:after="0" w:line="200" w:lineRule="exact"/>
        <w:rPr>
          <w:sz w:val="20"/>
          <w:szCs w:val="20"/>
          <w:color w:val="auto"/>
        </w:rPr>
      </w:pPr>
    </w:p>
    <w:p>
      <w:pPr>
        <w:spacing w:after="0" w:line="26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9"/>
          <w:szCs w:val="19"/>
          <w:color w:val="auto"/>
        </w:rPr>
        <w:t>the Notes shall be full and complete authorization and protection from liability in respect to any action taken, omitted or suffered by it hereunder in good faith and in accordance with the advice or opinion of such counsel.</w:t>
      </w:r>
    </w:p>
    <w:p>
      <w:pPr>
        <w:spacing w:after="0" w:line="127" w:lineRule="exact"/>
        <w:rPr>
          <w:sz w:val="20"/>
          <w:szCs w:val="20"/>
          <w:color w:val="auto"/>
        </w:rPr>
      </w:pPr>
    </w:p>
    <w:p>
      <w:pPr>
        <w:ind w:right="40" w:firstLine="1410"/>
        <w:spacing w:after="0" w:line="257" w:lineRule="auto"/>
        <w:tabs>
          <w:tab w:leader="none" w:pos="1741" w:val="left"/>
        </w:tabs>
        <w:numPr>
          <w:ilvl w:val="0"/>
          <w:numId w:val="27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Indenture Trustee shall be under no obligation to institute, conduct or defend any litigation under this Indenture or in relation to this Indenture at the request, order or direction of any of the Noteholders pursuant to the provisions of this Indenture, unless such Noteholders shall have offered to the Indenture Trustee security or indemnity reasonably satisfactory to it against the costs, expenses and liabilities that may be incurred therein or thereby;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Indenture Trustee shall, upon the occurrence of an Event of Default (that has not been cured), exercise the rights and powers vested in it by this Indenture with reasonable care and skill.</w:t>
      </w:r>
    </w:p>
    <w:p>
      <w:pPr>
        <w:spacing w:after="0" w:line="156" w:lineRule="exact"/>
        <w:rPr>
          <w:rFonts w:ascii="Times New Roman" w:cs="Times New Roman" w:eastAsia="Times New Roman" w:hAnsi="Times New Roman"/>
          <w:sz w:val="19"/>
          <w:szCs w:val="19"/>
          <w:color w:val="1F3763"/>
        </w:rPr>
      </w:pPr>
    </w:p>
    <w:p>
      <w:pPr>
        <w:ind w:firstLine="1410"/>
        <w:spacing w:after="0" w:line="254" w:lineRule="auto"/>
        <w:tabs>
          <w:tab w:leader="none" w:pos="1777" w:val="left"/>
        </w:tabs>
        <w:numPr>
          <w:ilvl w:val="0"/>
          <w:numId w:val="27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Indenture Trustee shall not be bound to make any investigation into the facts or matters stated in any claims of breach of representations and warranties, resolution, certificate, statement, instrument, opinion, report, notice, request, consent, order, approval, bond or other paper or document and the Indenture Trustee shall be deemed not to have any actual or constructive knowledge of the facts or matters that such investigation could potentially reveal, unless requested in writing to do so by the Noteholders evidencing not less than 25% of the Outstanding Amount thereof;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the payment within a reasonable time to the Indenture Trustee of the costs, expenses or liabilities likely to be incurred by it in the making of such investigation is, in the opinion of the Indenture Trustee, not reasonably assured to the Indenture Trustee by the security afforded to it by the terms of this Indenture or the Sale and Servicing Agreement, the Indenture Trustee may require indemnity reasonably satisfactory to it against such cost, expense or liability as a condition to so proceeding with such investigation. The reasonable expense of every such examination shall be paid by the Person making such request, or, if paid by the Indenture Trustee, shall be reimbursed by the Person making such request upon demand.</w:t>
      </w:r>
    </w:p>
    <w:p>
      <w:pPr>
        <w:spacing w:after="0" w:line="160" w:lineRule="exact"/>
        <w:rPr>
          <w:rFonts w:ascii="Times New Roman" w:cs="Times New Roman" w:eastAsia="Times New Roman" w:hAnsi="Times New Roman"/>
          <w:sz w:val="19"/>
          <w:szCs w:val="19"/>
          <w:color w:val="1F3763"/>
        </w:rPr>
      </w:pPr>
    </w:p>
    <w:p>
      <w:pPr>
        <w:ind w:right="40" w:firstLine="1410"/>
        <w:spacing w:after="0" w:line="256" w:lineRule="auto"/>
        <w:tabs>
          <w:tab w:leader="none" w:pos="1777" w:val="left"/>
        </w:tabs>
        <w:numPr>
          <w:ilvl w:val="0"/>
          <w:numId w:val="27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not be liable for any losses on investments except for losses attributable to the failure of the Indenture Trustee to make an investment in accordance with instructions given in accordance with Section 5.1(b) of the Sale and Servicing Agreement, the Indenture Trustee's negligence or bad faith or its failure to make payments on such investments issued by the Indenture Trustee, in its commercial capacity as principal obligor and not as trustee, in accordance with their terms. If the Indenture Trustee acts as the Note Paying Agent or Note Registrar, the rights and protections afforded to the Indenture Trustee shall be afforded to the Note Paying Agent and Note Registrar. The Indenture Trustee shall be entitled to the rights and protections afforded to it hereunder in any role under any Basic Document.</w:t>
      </w:r>
    </w:p>
    <w:p>
      <w:pPr>
        <w:spacing w:after="0" w:line="157" w:lineRule="exact"/>
        <w:rPr>
          <w:rFonts w:ascii="Times New Roman" w:cs="Times New Roman" w:eastAsia="Times New Roman" w:hAnsi="Times New Roman"/>
          <w:sz w:val="19"/>
          <w:szCs w:val="19"/>
          <w:color w:val="1F3763"/>
        </w:rPr>
      </w:pPr>
    </w:p>
    <w:p>
      <w:pPr>
        <w:ind w:right="60" w:firstLine="1410"/>
        <w:spacing w:after="0" w:line="262" w:lineRule="auto"/>
        <w:tabs>
          <w:tab w:leader="none" w:pos="1729" w:val="left"/>
        </w:tabs>
        <w:numPr>
          <w:ilvl w:val="0"/>
          <w:numId w:val="27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Anything in this Indenture to the contrary notwithstanding, in no event shall the Indenture Trustee be liable for special, indirect, incidental, punitive or consequential loss or damage of any kind whatsoever (including lost profits), whether or not any</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such damages were foreseeable or contemplated, even if the Indenture Trustee has been advised of the likelihood of such loss or damage and regardless of the form of action.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38" w:name="page339"/>
    <w:bookmarkEnd w:id="338"/>
    <w:p>
      <w:pPr>
        <w:spacing w:after="0" w:line="200" w:lineRule="exact"/>
        <w:rPr>
          <w:sz w:val="20"/>
          <w:szCs w:val="20"/>
          <w:color w:val="auto"/>
        </w:rPr>
      </w:pPr>
    </w:p>
    <w:p>
      <w:pPr>
        <w:spacing w:after="0" w:line="261" w:lineRule="exact"/>
        <w:rPr>
          <w:sz w:val="20"/>
          <w:szCs w:val="20"/>
          <w:color w:val="auto"/>
        </w:rPr>
      </w:pPr>
    </w:p>
    <w:p>
      <w:pPr>
        <w:ind w:right="20" w:firstLine="1410"/>
        <w:spacing w:after="0" w:line="254" w:lineRule="auto"/>
        <w:tabs>
          <w:tab w:leader="none" w:pos="1729" w:val="left"/>
        </w:tabs>
        <w:numPr>
          <w:ilvl w:val="0"/>
          <w:numId w:val="2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not be charged with knowledge of any event or information, including any Default or Event of Default, or be required to act upon any event or information, including any Default or Event of Default (including the sending of any notice), unless a Responsible Officer of the Indenture Trustee actually knows of or receives written notice of such event or information. Absent a Responsible Officer actually knowing of or receiving written notice in accordance with this Section, the Indenture Trustee may conclusively assume that no such event, Default or Event of Default has occurred. The Indenture Trustee shall have no obligation to inquire into, or investigate as to, the occurrence of any such event (including any Event of Default). For purposes of determining the Indenture Trustee's responsibility and liability hereunder, whenever reference is made in this Indenture to any event (including an Event of Default), such reference shall be construed to refer only to such event of which the Indenture Trustee has received notice as described in this Section. The Indenture Trustee's receipt of delivery of any reports or other information publicly available does not constitute actual or constructive knowledge or notice to the Indenture Trustee unless the Indenture Trustee has an obligation under this Indenture or any of the other Basic Documents to review its content.</w:t>
      </w:r>
    </w:p>
    <w:p>
      <w:pPr>
        <w:spacing w:after="0" w:line="157" w:lineRule="exact"/>
        <w:rPr>
          <w:rFonts w:ascii="Times New Roman" w:cs="Times New Roman" w:eastAsia="Times New Roman" w:hAnsi="Times New Roman"/>
          <w:sz w:val="19"/>
          <w:szCs w:val="19"/>
          <w:color w:val="1F3763"/>
        </w:rPr>
      </w:pPr>
    </w:p>
    <w:p>
      <w:pPr>
        <w:ind w:right="320" w:firstLine="1410"/>
        <w:spacing w:after="0" w:line="262" w:lineRule="auto"/>
        <w:tabs>
          <w:tab w:leader="none" w:pos="1777" w:val="left"/>
        </w:tabs>
        <w:numPr>
          <w:ilvl w:val="0"/>
          <w:numId w:val="2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Responsible Officer of the Indenture Trustee shall not be imputed with any knowledge of, or information possessed or obtained by, another Responsible Officer of the Backup Servicer or any other Affiliate, other business line or division of Computershare and vice versa (other than in instances where such roles are performed by the same group or division within Computershare or otherwise include common Responsible Officers).</w:t>
      </w:r>
    </w:p>
    <w:p>
      <w:pPr>
        <w:spacing w:after="0" w:line="150" w:lineRule="exact"/>
        <w:rPr>
          <w:rFonts w:ascii="Times New Roman" w:cs="Times New Roman" w:eastAsia="Times New Roman" w:hAnsi="Times New Roman"/>
          <w:sz w:val="19"/>
          <w:szCs w:val="19"/>
          <w:color w:val="1F3763"/>
        </w:rPr>
      </w:pPr>
    </w:p>
    <w:p>
      <w:pPr>
        <w:ind w:right="140" w:firstLine="1410"/>
        <w:spacing w:after="0" w:line="259" w:lineRule="auto"/>
        <w:tabs>
          <w:tab w:leader="none" w:pos="1729" w:val="left"/>
        </w:tabs>
        <w:numPr>
          <w:ilvl w:val="0"/>
          <w:numId w:val="2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extent the Indenture Trustee is requested to act upon a Noteholder's or other party's instruction under the Basic Documents, the Indenture Trustee may require indemnity reasonably satisfactory to it from the instructing Noteholder or other party against the costs, expenses, and liabilities that may be incurred relating to such request. The Indenture Trustee shall not be liable for any action or inaction taken at the direction of the Noteholders or the Issuer, in either case, given in accordance with the terms of the Basic Documents.</w:t>
      </w:r>
    </w:p>
    <w:p>
      <w:pPr>
        <w:spacing w:after="0" w:line="153" w:lineRule="exact"/>
        <w:rPr>
          <w:rFonts w:ascii="Times New Roman" w:cs="Times New Roman" w:eastAsia="Times New Roman" w:hAnsi="Times New Roman"/>
          <w:sz w:val="19"/>
          <w:szCs w:val="19"/>
          <w:color w:val="1F3763"/>
        </w:rPr>
      </w:pPr>
    </w:p>
    <w:p>
      <w:pPr>
        <w:ind w:right="240" w:firstLine="1410"/>
        <w:spacing w:after="0" w:line="286" w:lineRule="auto"/>
        <w:tabs>
          <w:tab w:leader="none" w:pos="1825" w:val="left"/>
        </w:tabs>
        <w:numPr>
          <w:ilvl w:val="0"/>
          <w:numId w:val="2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have no responsibility for the enforceability of the Note or the recitals contained in the Notes or this Indenture.</w:t>
      </w:r>
    </w:p>
    <w:p>
      <w:pPr>
        <w:spacing w:after="0" w:line="127" w:lineRule="exact"/>
        <w:rPr>
          <w:rFonts w:ascii="Times New Roman" w:cs="Times New Roman" w:eastAsia="Times New Roman" w:hAnsi="Times New Roman"/>
          <w:sz w:val="19"/>
          <w:szCs w:val="19"/>
          <w:color w:val="1F3763"/>
        </w:rPr>
      </w:pPr>
    </w:p>
    <w:p>
      <w:pPr>
        <w:ind w:firstLine="1410"/>
        <w:spacing w:after="0" w:line="255" w:lineRule="auto"/>
        <w:tabs>
          <w:tab w:leader="none" w:pos="1777" w:val="left"/>
        </w:tabs>
        <w:numPr>
          <w:ilvl w:val="0"/>
          <w:numId w:val="2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as otherwise expressly set forth in the Basic Documents, the Indenture Trustee shall not be held responsible for the acts or omissions of the Seller, the Servicer, the Issuer, the Backup Servicer, the Owner Trustee, or any other party to the Basic Documents, and may assume performance of such parties absent written notice or actual knowledge of a Responsible Officer to the contrary. The Indenture Trustee shall not be responsible or liable for any misconduct or negligence on the part of, or for the supervision of, United Auto or any of its Affiliates or any other party to the Basic Documents. Further, the Indenture Trustee shall not have any duty, responsibility or obligation to (or liability for failing to) monitor, supervise, confirm, verify, notify regarding or otherwise enforce the requirements or commitments applicable to any Person arising under, related to or otherwise in connection with any provision of this Indenture.</w:t>
      </w:r>
    </w:p>
    <w:p>
      <w:pPr>
        <w:spacing w:after="0" w:line="159" w:lineRule="exact"/>
        <w:rPr>
          <w:rFonts w:ascii="Times New Roman" w:cs="Times New Roman" w:eastAsia="Times New Roman" w:hAnsi="Times New Roman"/>
          <w:sz w:val="19"/>
          <w:szCs w:val="19"/>
          <w:color w:val="1F3763"/>
        </w:rPr>
      </w:pPr>
    </w:p>
    <w:p>
      <w:pPr>
        <w:ind w:right="680" w:firstLine="1410"/>
        <w:spacing w:after="0" w:line="286" w:lineRule="auto"/>
        <w:tabs>
          <w:tab w:leader="none" w:pos="1777" w:val="left"/>
        </w:tabs>
        <w:numPr>
          <w:ilvl w:val="0"/>
          <w:numId w:val="2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delays in or failure by the Indenture Trustee in the performance of any obligations hereunder shall be excused if and to the extent caused by any force majeure event.</w:t>
      </w:r>
    </w:p>
    <w:p>
      <w:pPr>
        <w:spacing w:after="0" w:line="127" w:lineRule="exact"/>
        <w:rPr>
          <w:rFonts w:ascii="Times New Roman" w:cs="Times New Roman" w:eastAsia="Times New Roman" w:hAnsi="Times New Roman"/>
          <w:sz w:val="19"/>
          <w:szCs w:val="19"/>
          <w:color w:val="1F3763"/>
        </w:rPr>
      </w:pPr>
    </w:p>
    <w:p>
      <w:pPr>
        <w:ind w:right="80" w:firstLine="1410"/>
        <w:spacing w:after="0" w:line="262" w:lineRule="auto"/>
        <w:tabs>
          <w:tab w:leader="none" w:pos="1777" w:val="left"/>
        </w:tabs>
        <w:numPr>
          <w:ilvl w:val="0"/>
          <w:numId w:val="2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anything to the contrary in this Indenture, the Indenture Trustee shall not be required to take any action that is not in accordance with applicable law.</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39" w:name="page340"/>
    <w:bookmarkEnd w:id="339"/>
    <w:p>
      <w:pPr>
        <w:spacing w:after="0" w:line="200" w:lineRule="exact"/>
        <w:rPr>
          <w:sz w:val="20"/>
          <w:szCs w:val="20"/>
          <w:color w:val="auto"/>
        </w:rPr>
      </w:pPr>
    </w:p>
    <w:p>
      <w:pPr>
        <w:spacing w:after="0" w:line="261" w:lineRule="exact"/>
        <w:rPr>
          <w:sz w:val="20"/>
          <w:szCs w:val="20"/>
          <w:color w:val="auto"/>
        </w:rPr>
      </w:pPr>
    </w:p>
    <w:p>
      <w:pPr>
        <w:ind w:left="1780" w:hanging="370"/>
        <w:spacing w:after="0"/>
        <w:tabs>
          <w:tab w:leader="none" w:pos="1780" w:val="left"/>
        </w:tabs>
        <w:numPr>
          <w:ilvl w:val="0"/>
          <w:numId w:val="28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discretionary, permissive right, nor privilege of the Indenture Trustee shall be deemed or construed as a duty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obligation.</w:t>
      </w:r>
    </w:p>
    <w:p>
      <w:pPr>
        <w:spacing w:after="0" w:line="180" w:lineRule="exact"/>
        <w:rPr>
          <w:sz w:val="20"/>
          <w:szCs w:val="20"/>
          <w:color w:val="auto"/>
        </w:rPr>
      </w:pPr>
    </w:p>
    <w:p>
      <w:pPr>
        <w:ind w:right="140" w:firstLine="1410"/>
        <w:spacing w:after="0" w:line="259" w:lineRule="auto"/>
        <w:tabs>
          <w:tab w:leader="none" w:pos="1741" w:val="left"/>
        </w:tabs>
        <w:numPr>
          <w:ilvl w:val="0"/>
          <w:numId w:val="28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For the avoidance of doubt, none of the Owner Trustee, Indenture Trustee nor the Backup Servicer shall be responsible for determining whether any breach of representations or warranty or document defect constitutes a breach or defect or the materiality thereof or any repurchase-related liabilities. The Issuer shall determine if any such breach materially and adversely affects the interests of the Noteholders therein or is deemed a material breach and shall enforce the repurchase obligations pursuant to the Basic Documents.</w:t>
      </w:r>
    </w:p>
    <w:p>
      <w:pPr>
        <w:spacing w:after="0" w:line="154" w:lineRule="exact"/>
        <w:rPr>
          <w:sz w:val="20"/>
          <w:szCs w:val="20"/>
          <w:color w:val="auto"/>
        </w:rPr>
      </w:pPr>
    </w:p>
    <w:p>
      <w:pPr>
        <w:jc w:val="both"/>
        <w:ind w:right="28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VI.3 </w:t>
      </w:r>
      <w:r>
        <w:rPr>
          <w:rFonts w:ascii="Times New Roman" w:cs="Times New Roman" w:eastAsia="Times New Roman" w:hAnsi="Times New Roman"/>
          <w:sz w:val="19"/>
          <w:szCs w:val="19"/>
          <w:color w:val="000000"/>
        </w:rPr>
        <w:t>Individual Rights of Indenture Trustee. The Indenture Trustee in its individual or any other capacity may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become the owner or pledgee of Notes and may otherwise deal with the Issuer or its Affiliates with the same rights it would have if it were not Indenture Trustee. Any Note Paying Agent, Note Registrar, co-registrar or co-Note Paying Agent may do the same with like rights. However, the Indenture Trustee must comply with Sections 6.11.</w:t>
      </w:r>
    </w:p>
    <w:p>
      <w:pPr>
        <w:spacing w:after="0" w:line="150"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VI.4 </w:t>
      </w:r>
      <w:r>
        <w:rPr>
          <w:rFonts w:ascii="Times New Roman" w:cs="Times New Roman" w:eastAsia="Times New Roman" w:hAnsi="Times New Roman"/>
          <w:sz w:val="19"/>
          <w:szCs w:val="19"/>
          <w:color w:val="000000"/>
        </w:rPr>
        <w:t>Indenture Trustee's Disclaimer. The Indenture Trustee shall not be responsible for and makes no</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representation as to the validity or adequacy of this Indenture, the Trust Estate or the Notes, it shall not be accountable for the Issuer's use of the proceeds from the Notes, and it shall not be responsible for any statement of the Issuer in this Indenture or in any document issued in connection with the sale of the Notes or in the Notes other than the Indenture Trustee's certificate of authentication.</w:t>
      </w:r>
    </w:p>
    <w:p>
      <w:pPr>
        <w:spacing w:after="0" w:line="150"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VI.5 </w:t>
      </w:r>
      <w:r>
        <w:rPr>
          <w:rFonts w:ascii="Times New Roman" w:cs="Times New Roman" w:eastAsia="Times New Roman" w:hAnsi="Times New Roman"/>
          <w:sz w:val="19"/>
          <w:szCs w:val="19"/>
          <w:color w:val="000000"/>
        </w:rPr>
        <w:t>Notice of Events of Default. If an Event of Default occurs and is continuing and if it is either known by,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written notice of the existence thereof has been delivered to, a Responsible Officer of the Indenture Trustee, the Indenture Trustee shall mail to each Noteholder notice of the Event of Default within 90 days after such knowledge or notice occurs. Except in the case of an Event of Default in payment of principal of or interest on any Note (including payments pursuant to the mandatory redemption provisions of such Note), the Indenture Trustee may withhold the notice to the Noteholders if and so long as it in good faith determines that withholding the notice is in the interests of Noteholders.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VI.6  </w:t>
      </w:r>
      <w:r>
        <w:rPr>
          <w:rFonts w:ascii="Times New Roman" w:cs="Times New Roman" w:eastAsia="Times New Roman" w:hAnsi="Times New Roman"/>
          <w:sz w:val="19"/>
          <w:szCs w:val="19"/>
          <w:color w:val="000000"/>
        </w:rPr>
        <w:t>Reports by Indenture Trustee to Holders.</w:t>
      </w:r>
    </w:p>
    <w:p>
      <w:pPr>
        <w:spacing w:after="0" w:line="202" w:lineRule="exact"/>
        <w:rPr>
          <w:sz w:val="20"/>
          <w:szCs w:val="20"/>
          <w:color w:val="auto"/>
        </w:rPr>
      </w:pPr>
    </w:p>
    <w:p>
      <w:pPr>
        <w:ind w:right="340" w:firstLine="1410"/>
        <w:spacing w:after="0" w:line="262" w:lineRule="auto"/>
        <w:tabs>
          <w:tab w:leader="none" w:pos="1765" w:val="left"/>
        </w:tabs>
        <w:numPr>
          <w:ilvl w:val="0"/>
          <w:numId w:val="28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At the end of each calendar year, the Indenture Trustee shall deliver to each Person who at any time during the calendar year was a Noteholder a statement as to the aggregate amounts of interest and principal paid to the Noteholder to the extent required by the Code and any other information as may be reasonably required to enable such Holder to prepare its federal and State income tax returns.</w:t>
      </w:r>
    </w:p>
    <w:p>
      <w:pPr>
        <w:spacing w:after="0" w:line="150" w:lineRule="exact"/>
        <w:rPr>
          <w:rFonts w:ascii="Times New Roman" w:cs="Times New Roman" w:eastAsia="Times New Roman" w:hAnsi="Times New Roman"/>
          <w:sz w:val="19"/>
          <w:szCs w:val="19"/>
          <w:color w:val="1F3763"/>
        </w:rPr>
      </w:pPr>
    </w:p>
    <w:p>
      <w:pPr>
        <w:ind w:right="300" w:firstLine="1410"/>
        <w:spacing w:after="0" w:line="258" w:lineRule="auto"/>
        <w:tabs>
          <w:tab w:leader="none" w:pos="1777" w:val="left"/>
        </w:tabs>
        <w:numPr>
          <w:ilvl w:val="0"/>
          <w:numId w:val="28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provide to each Noteholder or Note Owner upon request, copies of the Basic Documents, the Servicer’s compliance report and the accountants’ attestation delivered pursuant to Sections 4.10 and 4.11 of the Sale and Servicing Agreement, but only with the use of a password provided by the Indenture Trustee. The Indenture Trustee will make no</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representation or warranties as to the accuracy or completeness of such documents and will assume no responsibility therefor. In connection with providing access to the Indenture Trustee’s website, the Indenture Trustee may require registration and the acceptance of a</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0" w:name="page341"/>
    <w:bookmarkEnd w:id="340"/>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disclaimer. The Indenture Trustee shall not be liable for the dissemination of information in accordance with this Indenture.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VI.7  </w:t>
      </w:r>
      <w:r>
        <w:rPr>
          <w:rFonts w:ascii="Times New Roman" w:cs="Times New Roman" w:eastAsia="Times New Roman" w:hAnsi="Times New Roman"/>
          <w:sz w:val="19"/>
          <w:szCs w:val="19"/>
          <w:color w:val="000000"/>
        </w:rPr>
        <w:t>Compensation and Indemnity.</w:t>
      </w:r>
    </w:p>
    <w:p>
      <w:pPr>
        <w:spacing w:after="0" w:line="202" w:lineRule="exact"/>
        <w:rPr>
          <w:sz w:val="20"/>
          <w:szCs w:val="20"/>
          <w:color w:val="auto"/>
        </w:rPr>
      </w:pPr>
    </w:p>
    <w:p>
      <w:pPr>
        <w:ind w:right="20" w:firstLine="1410"/>
        <w:spacing w:after="0" w:line="252" w:lineRule="auto"/>
        <w:tabs>
          <w:tab w:leader="none" w:pos="1765" w:val="left"/>
        </w:tabs>
        <w:numPr>
          <w:ilvl w:val="1"/>
          <w:numId w:val="28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Pursuant to Section 5.7(b) of the Sale and Servicing Agreement and Section 5.6 of this Indenture, the Issuer shall, or shall cause the Servicer to, pay to the Indenture Trustee and the Backup Servicer (subject to any applicable caps) from time to time compensation for its services. The Indenture Trustee's compensation shall not be limited by any law on compensation of a trustee of an express trust. The Issuer shall, or shall cause the Servicer to, reimburse the Indenture Trustee and the Backup Servicer (subject to any applicable caps) for all reasonable out-of-pocket expenses incurred or made by it, including costs of collection, in addition to the compensation for its services. Such expenses shall include the reasonable compensation and expenses, disbursements and advances of the Indenture Trustee's and the Backup Servicer's agents, counsel, accountants and experts. The Issuer shall, or shall cause the Servicer to, indemnify the Indenture Trustee and the Backup Servicer and their respective officers, directors, employees and agents against any and all losses, liabilities or expenses, (including attorneys' fees and expenses) incurred by each of them in connection with the acceptance or the administration of this Trust and the performance of its duties under the Basic Documents (including any attorney's fees, costs (including court costs), and expenses incurred in connection with (i) investigating, preparing for, defending itself or the Issuer in any dispute or legal proceeding that is related directly or indirectly in any way to the Issuer, the Basic Documents, the Owner Trust Estate or the Certificates, (ii) any enforcement (including any action, claim, or suit brought) by the Indenture Trustee or the Backup Servicer of any indemnification or other obligation of the Issuer or the Servicer, any other party to the Basic Documents or any other Persons and</w:t>
      </w:r>
    </w:p>
    <w:p>
      <w:pPr>
        <w:spacing w:after="0" w:line="3" w:lineRule="exact"/>
        <w:rPr>
          <w:rFonts w:ascii="Times New Roman" w:cs="Times New Roman" w:eastAsia="Times New Roman" w:hAnsi="Times New Roman"/>
          <w:sz w:val="19"/>
          <w:szCs w:val="19"/>
          <w:color w:val="1F3763"/>
        </w:rPr>
      </w:pPr>
    </w:p>
    <w:p>
      <w:pPr>
        <w:ind w:left="340" w:hanging="334"/>
        <w:spacing w:after="0"/>
        <w:tabs>
          <w:tab w:leader="none" w:pos="340"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successful defense, in whole or in part, of any claim that the Indenture Trustee or the Backup Servicer breached its standard of</w:t>
      </w:r>
    </w:p>
    <w:p>
      <w:pPr>
        <w:spacing w:after="0" w:line="9" w:lineRule="exact"/>
        <w:rPr>
          <w:rFonts w:ascii="Times New Roman" w:cs="Times New Roman" w:eastAsia="Times New Roman" w:hAnsi="Times New Roman"/>
          <w:sz w:val="19"/>
          <w:szCs w:val="19"/>
          <w:color w:val="auto"/>
        </w:rPr>
      </w:pPr>
    </w:p>
    <w:p>
      <w:pPr>
        <w:ind w:right="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care). The Indenture Trustee or the Backup Servicer shall notify the Issuer and the Servicer promptly of any claim for which it may seek indemnity. Failure by the Indenture Trustee or the Backup Servicer to so notify the Issuer and the Servicer shall not relieve the Issuer of its obligations hereunder or the Servicer of its obligations under Article XI of the Sale and Servicing Agreement. The Issuer's payment obligations to the Indenture Trustee pursuant to this Section shall survive the discharge or termination of this Indenture and any assignment, resignation or removal of the Indenture Trustee. The Issuer shall cause the Servicer to defend the claim, and the Indenture Trustee or the Backup Servicer may have separate counsel and the Issuer shall cause the Servicer to pay the fees and expenses of such counsel. Neither the Issuer nor the Servicer is required to reimburse any expense or indemnify against any loss, liability or expense incurred by the Indenture Trustee or the Backup Servicer through the Indenture Trustee's or Back-up Servicer's own willful misconduct, negligence or bad faith.</w:t>
      </w:r>
    </w:p>
    <w:p>
      <w:pPr>
        <w:spacing w:after="0" w:line="166" w:lineRule="exact"/>
        <w:rPr>
          <w:rFonts w:ascii="Times New Roman" w:cs="Times New Roman" w:eastAsia="Times New Roman" w:hAnsi="Times New Roman"/>
          <w:sz w:val="19"/>
          <w:szCs w:val="19"/>
          <w:color w:val="auto"/>
        </w:rPr>
      </w:pPr>
    </w:p>
    <w:p>
      <w:pPr>
        <w:ind w:firstLine="1410"/>
        <w:spacing w:after="0" w:line="255" w:lineRule="auto"/>
        <w:tabs>
          <w:tab w:leader="none" w:pos="1777" w:val="left"/>
        </w:tabs>
        <w:numPr>
          <w:ilvl w:val="1"/>
          <w:numId w:val="28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Issuer's and Servicer's payment obligations to the Indenture Trustee or the Backup Servicer pursuant to this Section shall survive the discharge or assignment of this Indenture or the earlier resignation or removal of the Indenture Trustee or the Backup Servicer. When the Indenture Trustee or the Backup Servicer incurs expenses after the occurrence of an Event of Default specified in Section 5.1(iv) or (v) with respect to the Issuer, the expenses are intended to constitute expenses of administration under Title 11 of the United States Code or any other applicable federal or State bankruptcy, insolvency or similar law. Notwithstanding anything</w:t>
      </w:r>
    </w:p>
    <w:p>
      <w:pPr>
        <w:spacing w:after="0" w:line="2" w:lineRule="exact"/>
        <w:rPr>
          <w:sz w:val="20"/>
          <w:szCs w:val="20"/>
          <w:color w:val="auto"/>
        </w:rPr>
      </w:pPr>
    </w:p>
    <w:p>
      <w:pPr>
        <w:ind w:left="5200" w:right="3060" w:hanging="5184"/>
        <w:spacing w:after="0" w:line="262" w:lineRule="auto"/>
        <w:rPr>
          <w:sz w:val="20"/>
          <w:szCs w:val="20"/>
          <w:color w:val="auto"/>
        </w:rPr>
      </w:pPr>
      <w:r>
        <w:rPr>
          <w:rFonts w:ascii="Times New Roman" w:cs="Times New Roman" w:eastAsia="Times New Roman" w:hAnsi="Times New Roman"/>
          <w:sz w:val="19"/>
          <w:szCs w:val="19"/>
          <w:color w:val="auto"/>
        </w:rPr>
        <w:t>else set forth in this Indenture or the other Basic Documents, the Indenture Trustee agrees that the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1" w:name="page342"/>
    <w:bookmarkEnd w:id="341"/>
    <w:p>
      <w:pPr>
        <w:spacing w:after="0" w:line="200" w:lineRule="exact"/>
        <w:rPr>
          <w:sz w:val="20"/>
          <w:szCs w:val="20"/>
          <w:color w:val="auto"/>
        </w:rPr>
      </w:pPr>
    </w:p>
    <w:p>
      <w:pPr>
        <w:spacing w:after="0" w:line="26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obligations of the Issuer (but not the Servicer) to the Indenture Trustee hereunder and under the other Basic Documents shall be recourse to the Trust Estate only and specifically shall not be recourse to the assets of any Certificateholder or any Noteholder. In addition, the Indenture Trustee agrees that its recourse (for its own account or the account of the Backup Servicer) to the Issuer, the Trust Estate and the Depositor shall be limited to the right to receive the distributions referred to in Section 5.7(b) of the Sale and Servicing Agreement or Section 5.6 of this Indenture, as applicable.</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VI.8  </w:t>
      </w:r>
      <w:r>
        <w:rPr>
          <w:rFonts w:ascii="Times New Roman" w:cs="Times New Roman" w:eastAsia="Times New Roman" w:hAnsi="Times New Roman"/>
          <w:sz w:val="19"/>
          <w:szCs w:val="19"/>
          <w:color w:val="000000"/>
        </w:rPr>
        <w:t>Replacement of Indenture Trustee. The Indenture Trustee may resign at any time by so notifying the Issuer.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Issuer shall remove the Indenture Trustee, if:</w:t>
      </w:r>
    </w:p>
    <w:p>
      <w:pPr>
        <w:spacing w:after="0" w:line="180" w:lineRule="exact"/>
        <w:rPr>
          <w:sz w:val="20"/>
          <w:szCs w:val="20"/>
          <w:color w:val="auto"/>
        </w:rPr>
      </w:pPr>
    </w:p>
    <w:p>
      <w:pPr>
        <w:ind w:left="1780" w:hanging="226"/>
        <w:spacing w:after="0"/>
        <w:tabs>
          <w:tab w:leader="none" w:pos="1780" w:val="left"/>
        </w:tabs>
        <w:numPr>
          <w:ilvl w:val="0"/>
          <w:numId w:val="28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fails to comply with Section 6.11;</w:t>
      </w:r>
    </w:p>
    <w:p>
      <w:pPr>
        <w:spacing w:after="0" w:line="201" w:lineRule="exact"/>
        <w:rPr>
          <w:rFonts w:ascii="Times New Roman" w:cs="Times New Roman" w:eastAsia="Times New Roman" w:hAnsi="Times New Roman"/>
          <w:sz w:val="19"/>
          <w:szCs w:val="19"/>
          <w:color w:val="1F3763"/>
        </w:rPr>
      </w:pPr>
    </w:p>
    <w:p>
      <w:pPr>
        <w:ind w:left="800" w:right="160" w:firstLine="754"/>
        <w:spacing w:after="0" w:line="257" w:lineRule="auto"/>
        <w:tabs>
          <w:tab w:leader="none" w:pos="1844" w:val="left"/>
        </w:tabs>
        <w:numPr>
          <w:ilvl w:val="0"/>
          <w:numId w:val="28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court having jurisdiction in the premises in respect of the Indenture Trustee in an involuntary case or proceeding under federal or State banking or bankruptcy laws, as now or hereafter constituted, or any other applicable federal or State bankruptcy, insolvency or other similar law, shall have entered a decree or order granting relief or appointing a receiver, liquidator, assignee, custodian, trustee, conservator, sequestrator (or similar official) for the Indenture Trustee or for any substantial part of the Indenture Trustee's property, or ordering the winding-up or liquidation of the Indenture Trustee's affairs;</w:t>
      </w:r>
    </w:p>
    <w:p>
      <w:pPr>
        <w:spacing w:after="0" w:line="156" w:lineRule="exact"/>
        <w:rPr>
          <w:rFonts w:ascii="Times New Roman" w:cs="Times New Roman" w:eastAsia="Times New Roman" w:hAnsi="Times New Roman"/>
          <w:sz w:val="19"/>
          <w:szCs w:val="19"/>
          <w:color w:val="1F3763"/>
        </w:rPr>
      </w:pPr>
    </w:p>
    <w:p>
      <w:pPr>
        <w:jc w:val="both"/>
        <w:ind w:left="800" w:right="80" w:firstLine="754"/>
        <w:spacing w:after="0" w:line="268" w:lineRule="auto"/>
        <w:tabs>
          <w:tab w:leader="none" w:pos="1892" w:val="left"/>
        </w:tabs>
        <w:numPr>
          <w:ilvl w:val="0"/>
          <w:numId w:val="28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 involuntary case under the federal bankruptcy laws, as now or hereafter in effect, or another present or future federal or State bankruptcy, insolvency or similar law is commenced with respect to the Indenture Trustee and such case is not dismissed within 60 days;</w:t>
      </w:r>
    </w:p>
    <w:p>
      <w:pPr>
        <w:spacing w:after="0" w:line="144" w:lineRule="exact"/>
        <w:rPr>
          <w:rFonts w:ascii="Times New Roman" w:cs="Times New Roman" w:eastAsia="Times New Roman" w:hAnsi="Times New Roman"/>
          <w:sz w:val="19"/>
          <w:szCs w:val="19"/>
          <w:color w:val="1F3763"/>
        </w:rPr>
      </w:pPr>
    </w:p>
    <w:p>
      <w:pPr>
        <w:ind w:left="800" w:firstLine="754"/>
        <w:spacing w:after="0" w:line="257" w:lineRule="auto"/>
        <w:tabs>
          <w:tab w:leader="none" w:pos="1880" w:val="left"/>
        </w:tabs>
        <w:numPr>
          <w:ilvl w:val="0"/>
          <w:numId w:val="28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commences a voluntary case under any federal or State banking or bankruptcy laws, as now or hereafter constituted, or any other applicable federal or State bankruptcy, insolvency or other similar law, or consents to the appointment of or taking possession by a receiver, liquidator, assignee, custodian, trustee, conservator, sequestrator (or other similar official) for the Indenture Trustee or for any substantial part of the Indenture Trustee's property, or makes any assignment for the benefit of creditors or fails generally to pay its debts as such debts become due or takes any action in furtherance of any of the foregoing; or</w:t>
      </w:r>
    </w:p>
    <w:p>
      <w:pPr>
        <w:spacing w:after="0" w:line="156" w:lineRule="exact"/>
        <w:rPr>
          <w:rFonts w:ascii="Times New Roman" w:cs="Times New Roman" w:eastAsia="Times New Roman" w:hAnsi="Times New Roman"/>
          <w:sz w:val="19"/>
          <w:szCs w:val="19"/>
          <w:color w:val="1F3763"/>
        </w:rPr>
      </w:pPr>
    </w:p>
    <w:p>
      <w:pPr>
        <w:ind w:left="1840" w:hanging="286"/>
        <w:spacing w:after="0"/>
        <w:tabs>
          <w:tab w:leader="none" w:pos="1840" w:val="left"/>
        </w:tabs>
        <w:numPr>
          <w:ilvl w:val="0"/>
          <w:numId w:val="28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otherwise becomes incapable of acting.</w:t>
      </w:r>
    </w:p>
    <w:p>
      <w:pPr>
        <w:spacing w:after="0" w:line="202" w:lineRule="exact"/>
        <w:rPr>
          <w:sz w:val="20"/>
          <w:szCs w:val="20"/>
          <w:color w:val="auto"/>
        </w:rPr>
      </w:pPr>
    </w:p>
    <w:p>
      <w:pPr>
        <w:ind w:right="280" w:firstLine="1404"/>
        <w:spacing w:after="0" w:line="258" w:lineRule="auto"/>
        <w:rPr>
          <w:sz w:val="20"/>
          <w:szCs w:val="20"/>
          <w:color w:val="auto"/>
        </w:rPr>
      </w:pPr>
      <w:r>
        <w:rPr>
          <w:rFonts w:ascii="Times New Roman" w:cs="Times New Roman" w:eastAsia="Times New Roman" w:hAnsi="Times New Roman"/>
          <w:sz w:val="19"/>
          <w:szCs w:val="19"/>
          <w:color w:val="auto"/>
        </w:rPr>
        <w:t>If the Indenture Trustee resigns or is removed or if a vacancy exists in the office of Indenture Trustee for any reason (the Indenture Trustee in such event being referred to herein as the retiring Indenture Trustee), the Issuer shall promptly appoint a successor Indenture Trustee.</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2" w:name="page343"/>
    <w:bookmarkEnd w:id="342"/>
    <w:p>
      <w:pPr>
        <w:spacing w:after="0" w:line="200" w:lineRule="exact"/>
        <w:rPr>
          <w:sz w:val="20"/>
          <w:szCs w:val="20"/>
          <w:color w:val="auto"/>
        </w:rPr>
      </w:pPr>
    </w:p>
    <w:p>
      <w:pPr>
        <w:spacing w:after="0" w:line="261" w:lineRule="exact"/>
        <w:rPr>
          <w:sz w:val="20"/>
          <w:szCs w:val="20"/>
          <w:color w:val="auto"/>
        </w:rPr>
      </w:pPr>
    </w:p>
    <w:p>
      <w:pPr>
        <w:ind w:right="300" w:firstLine="1404"/>
        <w:spacing w:after="0" w:line="259" w:lineRule="auto"/>
        <w:rPr>
          <w:sz w:val="20"/>
          <w:szCs w:val="20"/>
          <w:color w:val="auto"/>
        </w:rPr>
      </w:pPr>
      <w:r>
        <w:rPr>
          <w:rFonts w:ascii="Times New Roman" w:cs="Times New Roman" w:eastAsia="Times New Roman" w:hAnsi="Times New Roman"/>
          <w:sz w:val="19"/>
          <w:szCs w:val="19"/>
          <w:color w:val="auto"/>
        </w:rPr>
        <w:t>A successor Indenture Trustee shall deliver a written acceptance of its appointment to the retiring Indenture Trustee and to the Issuer. Thereupon the resignation or removal of the retiring Indenture Trustee shall become effective, and the successor Indenture Trustee shall have all the rights, powers and duties of the retiring Indenture Trustee under this Indenture. The successor Indenture Trustee shall mail a notice of its succession to the Noteholders. The retiring Indenture Trustee shall promptly transfer all property held by it as Indenture Trustee to the successor Indenture Trustee.</w:t>
      </w:r>
    </w:p>
    <w:p>
      <w:pPr>
        <w:spacing w:after="0" w:line="154" w:lineRule="exact"/>
        <w:rPr>
          <w:sz w:val="20"/>
          <w:szCs w:val="20"/>
          <w:color w:val="auto"/>
        </w:rPr>
      </w:pPr>
    </w:p>
    <w:p>
      <w:pPr>
        <w:jc w:val="both"/>
        <w:ind w:right="180" w:firstLine="1404"/>
        <w:spacing w:after="0" w:line="259" w:lineRule="auto"/>
        <w:rPr>
          <w:sz w:val="20"/>
          <w:szCs w:val="20"/>
          <w:color w:val="auto"/>
        </w:rPr>
      </w:pPr>
      <w:r>
        <w:rPr>
          <w:rFonts w:ascii="Times New Roman" w:cs="Times New Roman" w:eastAsia="Times New Roman" w:hAnsi="Times New Roman"/>
          <w:sz w:val="19"/>
          <w:szCs w:val="19"/>
          <w:color w:val="auto"/>
        </w:rPr>
        <w:t>If a successor Indenture Trustee does not take office within 60 days after the retiring Indenture Trustee resigns or is removed, the retiring Indenture Trustee, the Issuer or the Majority Noteholders may petition any court of competent jurisdiction for the appointment of a successor Indenture Trustee; all fees, costs and expenses (including reasonable attorneys' fees and expenses) incurred by the Indenture Trustee in connection with such petition will be paid by the Issuer pursuant to Section 5.7(b) of the Sale and Servicing Agreement or Section 5.6 of this Indenture, and to the extent not paid thereby, by the initial Servicer.</w:t>
      </w:r>
    </w:p>
    <w:p>
      <w:pPr>
        <w:spacing w:after="0" w:line="154"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If the Indenture Trustee fails to comply with Section 6.11, any Noteholder may petition any court of competent jurisdiction for the removal of the Indenture Trustee and the appointment of a successor Indenture Trustee.</w:t>
      </w:r>
    </w:p>
    <w:p>
      <w:pPr>
        <w:spacing w:after="0" w:line="127" w:lineRule="exact"/>
        <w:rPr>
          <w:sz w:val="20"/>
          <w:szCs w:val="20"/>
          <w:color w:val="auto"/>
        </w:rPr>
      </w:pPr>
    </w:p>
    <w:p>
      <w:pPr>
        <w:jc w:val="both"/>
        <w:ind w:right="60" w:firstLine="1404"/>
        <w:spacing w:after="0" w:line="268" w:lineRule="auto"/>
        <w:rPr>
          <w:sz w:val="20"/>
          <w:szCs w:val="20"/>
          <w:color w:val="auto"/>
        </w:rPr>
      </w:pPr>
      <w:r>
        <w:rPr>
          <w:rFonts w:ascii="Times New Roman" w:cs="Times New Roman" w:eastAsia="Times New Roman" w:hAnsi="Times New Roman"/>
          <w:sz w:val="19"/>
          <w:szCs w:val="19"/>
          <w:color w:val="auto"/>
        </w:rPr>
        <w:t>Any resignation or removal of the Indenture Trustee and appointment of a successor Indenture Trustee pursuant to any of the provisions of this Section shall not become effective until acceptance of appointment by the successor Indenture Trustee pursuant to this Section 6.8 and payment of all fees and expenses owed to the outgoing Indenture Trustee.</w:t>
      </w:r>
    </w:p>
    <w:p>
      <w:pPr>
        <w:spacing w:after="0" w:line="144" w:lineRule="exact"/>
        <w:rPr>
          <w:sz w:val="20"/>
          <w:szCs w:val="20"/>
          <w:color w:val="auto"/>
        </w:rPr>
      </w:pPr>
    </w:p>
    <w:p>
      <w:pPr>
        <w:ind w:right="520" w:firstLine="1404"/>
        <w:spacing w:after="0" w:line="286" w:lineRule="auto"/>
        <w:rPr>
          <w:sz w:val="20"/>
          <w:szCs w:val="20"/>
          <w:color w:val="auto"/>
        </w:rPr>
      </w:pPr>
      <w:r>
        <w:rPr>
          <w:rFonts w:ascii="Times New Roman" w:cs="Times New Roman" w:eastAsia="Times New Roman" w:hAnsi="Times New Roman"/>
          <w:sz w:val="19"/>
          <w:szCs w:val="19"/>
          <w:color w:val="auto"/>
        </w:rPr>
        <w:t>Notwithstanding the replacement of the Indenture Trustee pursuant to this Section, the Issuer's and the Servicer's obligations under Section 6.7 shall continue for the benefit of the retiring Indenture Trustee.</w:t>
      </w:r>
    </w:p>
    <w:p>
      <w:pPr>
        <w:spacing w:after="0" w:line="127"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VI.9 </w:t>
      </w:r>
      <w:r>
        <w:rPr>
          <w:rFonts w:ascii="Times New Roman" w:cs="Times New Roman" w:eastAsia="Times New Roman" w:hAnsi="Times New Roman"/>
          <w:sz w:val="19"/>
          <w:szCs w:val="19"/>
          <w:color w:val="000000"/>
        </w:rPr>
        <w:t>Successor Indenture Trustee by Merger. The Indenture Trustee may merge with any other corporation,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banking association or other entity. If the Indenture Trustee consolidates with, merges or converts into, or transfers all or substantially all its corporate trust business or assets to, another corporation, banking association or other entity, the resulting, surviving or transferee corporation or banking association, without any further act shall be the successor Indenture Trustee. The Indenture Trustee shall provide written notice of any such transaction to the Issuer (who shall deliver such notice to the Rating Agencies).</w:t>
      </w:r>
    </w:p>
    <w:p>
      <w:pPr>
        <w:spacing w:after="0" w:line="154" w:lineRule="exact"/>
        <w:rPr>
          <w:sz w:val="20"/>
          <w:szCs w:val="20"/>
          <w:color w:val="auto"/>
        </w:rPr>
      </w:pPr>
    </w:p>
    <w:p>
      <w:pPr>
        <w:ind w:right="80" w:firstLine="1404"/>
        <w:spacing w:after="0" w:line="253" w:lineRule="auto"/>
        <w:rPr>
          <w:sz w:val="20"/>
          <w:szCs w:val="20"/>
          <w:color w:val="auto"/>
        </w:rPr>
      </w:pPr>
      <w:r>
        <w:rPr>
          <w:rFonts w:ascii="Times New Roman" w:cs="Times New Roman" w:eastAsia="Times New Roman" w:hAnsi="Times New Roman"/>
          <w:sz w:val="19"/>
          <w:szCs w:val="19"/>
          <w:color w:val="auto"/>
        </w:rPr>
        <w:t>In case at the time such successor or successors by merger, conversion or consolidation to the Indenture Trustee shall succeed to the trusts created by this Indenture any of the Notes shall have been authenticated but not delivered, any such successor to the Indenture Trustee may adopt the certificate of authentication of any predecessor trustee, and deliver such Notes so authenticated; and in case at that time any of the Notes shall not have been authenticated, any successor to the Indenture Trustee may authenticate such Notes either in the name of any predecessor hereunder or in the name of the successor to the Indenture Trustee; and in all such cases such certificates shall have the full force which it is anywhere in the Notes or in this Indenture provided that the certificate of the Indenture Trustee shall have.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3" w:name="page344"/>
    <w:bookmarkEnd w:id="343"/>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VI.10  </w:t>
      </w:r>
      <w:r>
        <w:rPr>
          <w:rFonts w:ascii="Times New Roman" w:cs="Times New Roman" w:eastAsia="Times New Roman" w:hAnsi="Times New Roman"/>
          <w:sz w:val="19"/>
          <w:szCs w:val="19"/>
          <w:color w:val="000000"/>
        </w:rPr>
        <w:t>Appointment of Co-Trustee or Separate Trustee.</w:t>
      </w:r>
    </w:p>
    <w:p>
      <w:pPr>
        <w:spacing w:after="0" w:line="202" w:lineRule="exact"/>
        <w:rPr>
          <w:sz w:val="20"/>
          <w:szCs w:val="20"/>
          <w:color w:val="auto"/>
        </w:rPr>
      </w:pPr>
    </w:p>
    <w:p>
      <w:pPr>
        <w:ind w:right="140" w:firstLine="1410"/>
        <w:spacing w:after="0" w:line="262" w:lineRule="auto"/>
        <w:tabs>
          <w:tab w:leader="none" w:pos="1765" w:val="left"/>
        </w:tabs>
        <w:numPr>
          <w:ilvl w:val="1"/>
          <w:numId w:val="28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any other provisions of this Indenture, at any time, for the purpose of (i) meeting any legal requirement of any jurisdiction in which any part of the Trust Estate may at the time be located, (ii) engaging in enforcement actions or</w:t>
      </w:r>
    </w:p>
    <w:p>
      <w:pPr>
        <w:spacing w:after="0" w:line="1" w:lineRule="exact"/>
        <w:rPr>
          <w:rFonts w:ascii="Times New Roman" w:cs="Times New Roman" w:eastAsia="Times New Roman" w:hAnsi="Times New Roman"/>
          <w:sz w:val="19"/>
          <w:szCs w:val="19"/>
          <w:color w:val="1F3763"/>
        </w:rPr>
      </w:pPr>
    </w:p>
    <w:p>
      <w:pPr>
        <w:ind w:right="160" w:firstLine="6"/>
        <w:spacing w:after="0" w:line="252" w:lineRule="auto"/>
        <w:tabs>
          <w:tab w:leader="none" w:pos="336"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potential conflict of interest matters on behalf of the Indenture Trustee, the Indenture Trustee shall have the power and may execute and deliver all instruments to appoint one or more Persons to act as a co-trustee or co-trustees, or separate trustee or separate trustees, of all or any part of the Trust Estate, and to vest in such Person or Persons, in such capacity and for the benefit of the Noteholders, such title to the Trust Estate, or any part hereof, and, subject to the other provisions of this Section, such powers, duties, obligations, rights and trusts as the Indenture Trustee may consider necessary or desirable. No co-trustee or separate trustee hereunder shall be required to meet the terms of eligibility as a successor indenture trustee under Section 6.11 and no notice to Noteholders of the appointment of any co-trustee or separate trustee shall be required under Section 6.8.</w:t>
      </w:r>
    </w:p>
    <w:p>
      <w:pPr>
        <w:spacing w:after="0" w:line="160" w:lineRule="exact"/>
        <w:rPr>
          <w:rFonts w:ascii="Times New Roman" w:cs="Times New Roman" w:eastAsia="Times New Roman" w:hAnsi="Times New Roman"/>
          <w:sz w:val="19"/>
          <w:szCs w:val="19"/>
          <w:color w:val="auto"/>
        </w:rPr>
      </w:pPr>
    </w:p>
    <w:p>
      <w:pPr>
        <w:ind w:right="360" w:firstLine="1410"/>
        <w:spacing w:after="0" w:line="286" w:lineRule="auto"/>
        <w:tabs>
          <w:tab w:leader="none" w:pos="1777" w:val="left"/>
        </w:tabs>
        <w:numPr>
          <w:ilvl w:val="1"/>
          <w:numId w:val="28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Every separate trustee and co-trustee shall, to the extent permitted by law, be appointed and act subject to the following provisions and conditions:</w:t>
      </w:r>
    </w:p>
    <w:p>
      <w:pPr>
        <w:spacing w:after="0" w:line="127" w:lineRule="exact"/>
        <w:rPr>
          <w:rFonts w:ascii="Times New Roman" w:cs="Times New Roman" w:eastAsia="Times New Roman" w:hAnsi="Times New Roman"/>
          <w:sz w:val="19"/>
          <w:szCs w:val="19"/>
          <w:color w:val="1F3763"/>
        </w:rPr>
      </w:pPr>
    </w:p>
    <w:p>
      <w:pPr>
        <w:ind w:left="800" w:right="20" w:firstLine="754"/>
        <w:spacing w:after="0" w:line="256" w:lineRule="auto"/>
        <w:tabs>
          <w:tab w:leader="none" w:pos="1784" w:val="left"/>
        </w:tabs>
        <w:numPr>
          <w:ilvl w:val="2"/>
          <w:numId w:val="28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rights, powers, duties and obligations conferred or imposed upon the Indenture Trustee shall be conferred or imposed upon and exercised or performed by the Indenture Trustee and such separate trustee or co-trustee jointly (it being understood that such separate trustee or co-trustee is not authorized to act separately without the Indenture Trustee joining in such act), except to the extent that under any law of any jurisdiction in which any particular act or acts are to be performed the Indenture Trustee shall be incompetent or unqualified to perform such act or acts, in which event such rights, powers, duties and obligations (including the holding of title to the Trust Estate or any portion thereof in any such jurisdiction) shall be exercised and performed singly by such separate trustee or co-trustee, but solely at the direction of the Indenture Trustee;</w:t>
      </w:r>
    </w:p>
    <w:p>
      <w:pPr>
        <w:spacing w:after="0" w:line="157" w:lineRule="exact"/>
        <w:rPr>
          <w:rFonts w:ascii="Times New Roman" w:cs="Times New Roman" w:eastAsia="Times New Roman" w:hAnsi="Times New Roman"/>
          <w:sz w:val="19"/>
          <w:szCs w:val="19"/>
          <w:color w:val="1F3763"/>
        </w:rPr>
      </w:pPr>
    </w:p>
    <w:p>
      <w:pPr>
        <w:ind w:left="800" w:right="200" w:firstLine="754"/>
        <w:spacing w:after="0" w:line="268" w:lineRule="auto"/>
        <w:tabs>
          <w:tab w:leader="none" w:pos="1844" w:val="left"/>
        </w:tabs>
        <w:numPr>
          <w:ilvl w:val="2"/>
          <w:numId w:val="28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trustee hereunder shall be personally liable by reason of any act or omission of any other trustee hereunder, including acts or omissions of predecessor or successor trustees, and the Indenture Trustee shall not be liable for the appointment of any other trustee hereunder;</w:t>
      </w:r>
    </w:p>
    <w:p>
      <w:pPr>
        <w:spacing w:after="0" w:line="144" w:lineRule="exact"/>
        <w:rPr>
          <w:rFonts w:ascii="Times New Roman" w:cs="Times New Roman" w:eastAsia="Times New Roman" w:hAnsi="Times New Roman"/>
          <w:sz w:val="19"/>
          <w:szCs w:val="19"/>
          <w:color w:val="1F3763"/>
        </w:rPr>
      </w:pPr>
    </w:p>
    <w:p>
      <w:pPr>
        <w:ind w:left="1900" w:hanging="346"/>
        <w:spacing w:after="0"/>
        <w:tabs>
          <w:tab w:leader="none" w:pos="1900" w:val="left"/>
        </w:tabs>
        <w:numPr>
          <w:ilvl w:val="2"/>
          <w:numId w:val="28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may at any time accept the resignation of or remove any separate trustee or co-trustee; and</w:t>
      </w:r>
    </w:p>
    <w:p>
      <w:pPr>
        <w:spacing w:after="0" w:line="201" w:lineRule="exact"/>
        <w:rPr>
          <w:rFonts w:ascii="Times New Roman" w:cs="Times New Roman" w:eastAsia="Times New Roman" w:hAnsi="Times New Roman"/>
          <w:sz w:val="19"/>
          <w:szCs w:val="19"/>
          <w:color w:val="1F3763"/>
        </w:rPr>
      </w:pPr>
    </w:p>
    <w:p>
      <w:pPr>
        <w:ind w:left="1880" w:hanging="326"/>
        <w:spacing w:after="0"/>
        <w:tabs>
          <w:tab w:leader="none" w:pos="1880" w:val="left"/>
        </w:tabs>
        <w:numPr>
          <w:ilvl w:val="2"/>
          <w:numId w:val="28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separate trustee or co-trustee shall be deemed to be an agent of the Indenture Trustee.</w:t>
      </w:r>
    </w:p>
    <w:p>
      <w:pPr>
        <w:spacing w:after="0" w:line="201" w:lineRule="exact"/>
        <w:rPr>
          <w:rFonts w:ascii="Times New Roman" w:cs="Times New Roman" w:eastAsia="Times New Roman" w:hAnsi="Times New Roman"/>
          <w:sz w:val="19"/>
          <w:szCs w:val="19"/>
          <w:color w:val="1F3763"/>
        </w:rPr>
      </w:pPr>
    </w:p>
    <w:p>
      <w:pPr>
        <w:jc w:val="both"/>
        <w:ind w:right="60" w:firstLine="1410"/>
        <w:spacing w:after="0" w:line="256" w:lineRule="auto"/>
        <w:tabs>
          <w:tab w:leader="none" w:pos="1765" w:val="left"/>
        </w:tabs>
        <w:numPr>
          <w:ilvl w:val="1"/>
          <w:numId w:val="28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notice, request or other writing given to the Indenture Trustee shall be deemed to have been given to each of the then separate trustees and co-trustees, as effectively as if given to each of them. Every instrument appointing any separate trustee or co-trustee shall refer to this Indenture and the conditions of this Article VI. Each separate trustee and co-trustee, upon its acceptance of the trusts conferred, shall be vested with the estates or property specified in its instrument of appointment, either jointly with the</w:t>
      </w:r>
    </w:p>
    <w:p>
      <w:pPr>
        <w:spacing w:after="0" w:line="2" w:lineRule="exact"/>
        <w:rPr>
          <w:sz w:val="20"/>
          <w:szCs w:val="20"/>
          <w:color w:val="auto"/>
        </w:rPr>
      </w:pPr>
    </w:p>
    <w:p>
      <w:pPr>
        <w:jc w:val="center"/>
        <w:ind w:right="200"/>
        <w:spacing w:after="0" w:line="262" w:lineRule="auto"/>
        <w:rPr>
          <w:sz w:val="20"/>
          <w:szCs w:val="20"/>
          <w:color w:val="auto"/>
        </w:rPr>
      </w:pPr>
      <w:r>
        <w:rPr>
          <w:rFonts w:ascii="Times New Roman" w:cs="Times New Roman" w:eastAsia="Times New Roman" w:hAnsi="Times New Roman"/>
          <w:sz w:val="19"/>
          <w:szCs w:val="19"/>
          <w:color w:val="auto"/>
        </w:rPr>
        <w:t>Indenture Trustee or separately, as may be provided therein, subject to all the provisions of this Indenture, specifically including every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44" w:name="page345"/>
    <w:bookmarkEnd w:id="344"/>
    <w:p>
      <w:pPr>
        <w:spacing w:after="0" w:line="200" w:lineRule="exact"/>
        <w:rPr>
          <w:sz w:val="20"/>
          <w:szCs w:val="20"/>
          <w:color w:val="auto"/>
        </w:rPr>
      </w:pPr>
    </w:p>
    <w:p>
      <w:pPr>
        <w:spacing w:after="0" w:line="26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color w:val="auto"/>
        </w:rPr>
        <w:t>provision of this Indenture relating to the conduct of, affecting the liability of, or affording protection to, the Indenture Trustee. Every such instrument shall be filed with the Indenture Trustee.</w:t>
      </w:r>
    </w:p>
    <w:p>
      <w:pPr>
        <w:spacing w:after="0" w:line="127" w:lineRule="exact"/>
        <w:rPr>
          <w:sz w:val="20"/>
          <w:szCs w:val="20"/>
          <w:color w:val="auto"/>
        </w:rPr>
      </w:pPr>
    </w:p>
    <w:p>
      <w:pPr>
        <w:jc w:val="both"/>
        <w:ind w:right="60" w:firstLine="1410"/>
        <w:spacing w:after="0" w:line="259" w:lineRule="auto"/>
        <w:tabs>
          <w:tab w:leader="none" w:pos="1777" w:val="left"/>
        </w:tabs>
        <w:numPr>
          <w:ilvl w:val="0"/>
          <w:numId w:val="28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separate trustee or co-trustee may at any time constitute an attorney-in-fact of the Indenture Trustee with full power and authority, to the extent not prohibited by law, to do any lawful act under or in respect of this Indenture on its behalf and in its name. If any separate trustee or co-trustee shall die, dissolve, become insolvent, become incapable of acting, resign or be removed, all of its estates, properties, rights, remedies and trusts shall invest in and be exercised by the Indenture Trustee, to the extent permitted by law, without the appointment of a new or successor trustee.</w:t>
      </w:r>
    </w:p>
    <w:p>
      <w:pPr>
        <w:spacing w:after="0" w:line="153" w:lineRule="exact"/>
        <w:rPr>
          <w:rFonts w:ascii="Times New Roman" w:cs="Times New Roman" w:eastAsia="Times New Roman" w:hAnsi="Times New Roman"/>
          <w:sz w:val="19"/>
          <w:szCs w:val="19"/>
          <w:color w:val="1F3763"/>
        </w:rPr>
      </w:pPr>
    </w:p>
    <w:p>
      <w:pPr>
        <w:ind w:right="140" w:firstLine="1410"/>
        <w:spacing w:after="0" w:line="268" w:lineRule="auto"/>
        <w:tabs>
          <w:tab w:leader="none" w:pos="1765" w:val="left"/>
        </w:tabs>
        <w:numPr>
          <w:ilvl w:val="0"/>
          <w:numId w:val="28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and all amounts relating to the fees and expenses of the co-trustee or separate trustee will be borne by the Trust Estate and shall be payable as an expense of the Indenture Trustee pursuant to Section 5.7(b) of the Sale and Servicing Agreement or Section 5.6 hereof.</w:t>
      </w:r>
    </w:p>
    <w:p>
      <w:pPr>
        <w:spacing w:after="0" w:line="144" w:lineRule="exact"/>
        <w:rPr>
          <w:sz w:val="20"/>
          <w:szCs w:val="20"/>
          <w:color w:val="auto"/>
        </w:rPr>
      </w:pPr>
    </w:p>
    <w:p>
      <w:pPr>
        <w:ind w:right="30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VI.11 </w:t>
      </w:r>
      <w:r>
        <w:rPr>
          <w:rFonts w:ascii="Times New Roman" w:cs="Times New Roman" w:eastAsia="Times New Roman" w:hAnsi="Times New Roman"/>
          <w:sz w:val="19"/>
          <w:szCs w:val="19"/>
          <w:color w:val="000000"/>
        </w:rPr>
        <w:t>Eligibility; Disqualification. The Indenture Trustee shall have a combined capital and surplus of at least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$50,000,000 as set forth in its most recent published annual report of condition and it shall have a long-term debt rating of BBB, or an equivalent rating, or better by the Rating Agencies (to the extent rated by a Rating Agency), unless otherwise approved by the Rating Agencies. The Indenture Trustee shall provide copies of such reports to the Issuer upon request.</w:t>
      </w:r>
    </w:p>
    <w:p>
      <w:pPr>
        <w:spacing w:after="0" w:line="150" w:lineRule="exact"/>
        <w:rPr>
          <w:sz w:val="20"/>
          <w:szCs w:val="20"/>
          <w:color w:val="auto"/>
        </w:rPr>
      </w:pPr>
    </w:p>
    <w:p>
      <w:pPr>
        <w:ind w:right="40" w:firstLine="1404"/>
        <w:spacing w:after="0" w:line="259" w:lineRule="auto"/>
        <w:rPr>
          <w:sz w:val="20"/>
          <w:szCs w:val="20"/>
          <w:color w:val="auto"/>
        </w:rPr>
      </w:pPr>
      <w:r>
        <w:rPr>
          <w:rFonts w:ascii="Times New Roman" w:cs="Times New Roman" w:eastAsia="Times New Roman" w:hAnsi="Times New Roman"/>
          <w:sz w:val="19"/>
          <w:szCs w:val="19"/>
          <w:color w:val="auto"/>
        </w:rPr>
        <w:t>Within 90 days after ascertaining the occurrence of an Event of Default which shall not have been cured or waived, the Indenture Trustee may resign with respect to the Class A Notes, the Class B Notes, the Class C Notes, the Class D Notes and/or the Class E Notes in accordance with Section 6.8, and the Issuer shall appoint a successor Indenture Trustee for each of such Classes, as applicable, so that there will be separate Indenture Trustees for the Class A Notes, the Class B Notes, the Class C Notes, the Class D Notes and the Class E Notes.</w:t>
      </w:r>
    </w:p>
    <w:p>
      <w:pPr>
        <w:spacing w:after="0" w:line="154" w:lineRule="exact"/>
        <w:rPr>
          <w:sz w:val="20"/>
          <w:szCs w:val="20"/>
          <w:color w:val="auto"/>
        </w:rPr>
      </w:pPr>
    </w:p>
    <w:p>
      <w:pPr>
        <w:ind w:firstLine="1404"/>
        <w:spacing w:after="0" w:line="230" w:lineRule="exact"/>
        <w:rPr>
          <w:sz w:val="20"/>
          <w:szCs w:val="20"/>
          <w:color w:val="auto"/>
        </w:rPr>
      </w:pPr>
      <w:r>
        <w:rPr>
          <w:rFonts w:ascii="Times New Roman" w:cs="Times New Roman" w:eastAsia="Times New Roman" w:hAnsi="Times New Roman"/>
          <w:sz w:val="19"/>
          <w:szCs w:val="19"/>
          <w:color w:val="auto"/>
        </w:rPr>
        <w:t>In the case of the appointment hereunder of a successor Indenture Trustee with respect to any Class of Notes pursuant to this Section 6.11, the Issuer, the retiring Indenture Trustee and the successor Indenture Trustee with respect to such Class of Notes shall execute and deliver an indenture supplemental hereto wherein each successor Indenture Trustee shall accept such appointment and which (i) shall contain such provisions as shall be necessary or desirable to transfer and confirm to, and to vest in, the successor Indenture Trustee all the rights, powers, trusts and duties of the retiring Indenture Trustee with respect to the Notes of the Class to which the appointment of such successor Indenture Trustee relates, (ii) if the retiring Indenture Trustee is not retiring with respect to all Classes of Notes, shall contain such provisions as shall be deemed necessary or desirable to confirm that all the rights, powers, trusts and duties of the retiring Indenture Trustee with respect to the Notes of each Class as to which the retiring Indenture Trustee is not retiring shall continue to be vested in the Indenture Trustee and (iii) shall add to or change any of the provisions of this Indenture as shall be necessary to provide for or facilitate the administration of the trusts hereunder by more than one Indenture Trustee, it being understood that nothing herein or in such supplemental indenture shall constitute such Indenture Trustees co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trustees of the same trust and that each such Indenture Trustee shall be a trustee of a trust or</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5" w:name="page346"/>
    <w:bookmarkEnd w:id="345"/>
    <w:p>
      <w:pPr>
        <w:spacing w:after="0" w:line="200" w:lineRule="exact"/>
        <w:rPr>
          <w:sz w:val="20"/>
          <w:szCs w:val="20"/>
          <w:color w:val="auto"/>
        </w:rPr>
      </w:pPr>
    </w:p>
    <w:p>
      <w:pPr>
        <w:spacing w:after="0" w:line="26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9"/>
          <w:szCs w:val="19"/>
          <w:color w:val="auto"/>
        </w:rPr>
        <w:t>trusts hereunder separate and apart from any trust or trusts hereunder administered by any other such Indenture Trustee; and upon the removal of the retiring Indenture Trustee shall become effective to the extent provided herein.</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VI.12  </w:t>
      </w:r>
      <w:r>
        <w:rPr>
          <w:rFonts w:ascii="Times New Roman" w:cs="Times New Roman" w:eastAsia="Times New Roman" w:hAnsi="Times New Roman"/>
          <w:sz w:val="19"/>
          <w:szCs w:val="19"/>
          <w:color w:val="000000"/>
        </w:rPr>
        <w:t>[Reserved].</w:t>
      </w:r>
    </w:p>
    <w:p>
      <w:pPr>
        <w:spacing w:after="0" w:line="202"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VI.13 </w:t>
      </w:r>
      <w:r>
        <w:rPr>
          <w:rFonts w:ascii="Times New Roman" w:cs="Times New Roman" w:eastAsia="Times New Roman" w:hAnsi="Times New Roman"/>
          <w:sz w:val="19"/>
          <w:szCs w:val="19"/>
          <w:color w:val="000000"/>
        </w:rPr>
        <w:t>Appointment and Powers. Subject to the terms and conditions hereof, each of the Noteholders hereby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appoint Computershare, as the Indenture Trustee with respect to the Collateral, and Computershare hereby accepts such appointment and agrees to act as Indenture Trustee with respect to the Collateral for the benefit of the Noteholders, to maintain custody and possession of such Collateral (except as otherwise provided hereunder or under the Custodian Agreement) and to perform the other duties of the Indenture Trustee in accordance with the provisions of this Indenture and the other Basic Documents. The Noteholders hereby authorize the Indenture Trustee to take such action on their behalf, and to exercise such rights, remedies, powers and privileges hereunder, as are specifically authorized to be exercised by the Indenture Trustee by the terms hereof, together with such actions, rights, remedies, powers and privileges as are reasonably incidental thereto, including the execution of any powers of attorney. The Indenture Trustee shall act upon and in compliance with the written instructions of the Majority Noteholders delivered pursuant to this Indenture promptly following receipt of such written instructions;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that the Indenture Trustee shall act upon its own accord or in accordance with any instructions (i) if such actions are not authorized by, or in violation of the provisions of, this Indenture, (ii) if such actions are in violation of any applicable law, rule or regulation or (iii) with respect to actions for which the Indenture Trustee has been directed to act but for which the Indenture Trustee has not received indemnity reasonably satisfactory to it. Receipt of such instructions shall not be a condition to the exercise by the Indenture Trustee of its express duties hereunder, except where this Indenture provides that the Indenture Trustee is permitted to act only following and in accordance with such instructions.</w:t>
      </w:r>
    </w:p>
    <w:p>
      <w:pPr>
        <w:spacing w:after="0" w:line="158"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VI.14 </w:t>
      </w:r>
      <w:r>
        <w:rPr>
          <w:rFonts w:ascii="Times New Roman" w:cs="Times New Roman" w:eastAsia="Times New Roman" w:hAnsi="Times New Roman"/>
          <w:sz w:val="19"/>
          <w:szCs w:val="19"/>
          <w:color w:val="000000"/>
        </w:rPr>
        <w:t>Performance of Duties. The Indenture Trustee shall have no duties or responsibilities except those expressly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set forth in this Indenture and the other Basic Documents to which the Indenture Trustee is a party in accordance with this Indenture. The Indenture Trustee shall not be required to take any discretionary actions hereunder except at the written direction and with security and indemnity reasonably satisfactory to the Indenture Trustee. The Indenture Trustee shall, and hereby agrees that it will, subject to this Article, perform all of the duties and obligations required of it under the Sale and Servicing Agreement.</w:t>
      </w:r>
    </w:p>
    <w:p>
      <w:pPr>
        <w:spacing w:after="0" w:line="154" w:lineRule="exact"/>
        <w:rPr>
          <w:sz w:val="20"/>
          <w:szCs w:val="20"/>
          <w:color w:val="auto"/>
        </w:rPr>
      </w:pPr>
    </w:p>
    <w:p>
      <w:pPr>
        <w:ind w:right="6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VI.15 </w:t>
      </w:r>
      <w:r>
        <w:rPr>
          <w:rFonts w:ascii="Times New Roman" w:cs="Times New Roman" w:eastAsia="Times New Roman" w:hAnsi="Times New Roman"/>
          <w:sz w:val="19"/>
          <w:szCs w:val="19"/>
          <w:color w:val="000000"/>
        </w:rPr>
        <w:t>Limitation on Liability. Neither the Indenture Trustee nor any of its directors, officers or employees shall be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liable for any action taken or omitted to be taken by it or them hereunder, or in connection herewith, except that the Indenture Trustee shall be liable for its negligence, bad faith or willful misconduct; nor shall the Indenture Trustee be responsible for (a) any omissions or misstatements in the disclosure language in the Offering Memorandum (other than any such disclosure language provided by the Indenture Trustee in the Offering Memorandum under the heading "The Indenture Trustee and the Backup Servicer"), or (b) the validity, effectiveness, value, sufficiency or enforceability against the Issuer of this Indenture or any of the Collateral (or any part thereof). Notwithstanding any term or provision of this Indenture, the Indenture Trustee shall incur no liability to the Issuer or the Noteholders for any action taken or omitted by the Indenture Trustee in connection with the Collateral, except for the negligence, bad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6" w:name="page347"/>
    <w:bookmarkEnd w:id="346"/>
    <w:p>
      <w:pPr>
        <w:spacing w:after="0" w:line="200" w:lineRule="exact"/>
        <w:rPr>
          <w:sz w:val="20"/>
          <w:szCs w:val="20"/>
          <w:color w:val="auto"/>
        </w:rPr>
      </w:pPr>
    </w:p>
    <w:p>
      <w:pPr>
        <w:spacing w:after="0" w:line="2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faith or willful misconduct on the part of the Indenture Trustee, and, further, shall incur no liability to the Noteholders except for negligence, bad faith or willful misconduct in carrying out its duties to the Noteholders. The Indenture Trustee shall be protected and shall incur no liability to any such party in relying upon the accuracy, acting in reliance upon the contents, and assuming the genuineness of any notice, demand, certificate, signature, instrument or other document reasonably believed by the Indenture Trustee to be genuine and to have been duly executed by the appropriate signatory, and (absent actual knowledge to the contrary by a Responsible Officer of the Indenture Trustee) the Indenture Trustee shall not be required to make any independent investigation with respect thereto. The Indenture Trustee shall at all times be free independently to establish to its reasonable satisfaction, but shall have no duty to independently verify, the existence or nonexistence of facts that are a condition to the exercise or enforcement of any right or remedy hereunder or under any of the other Basic Documents. The Indenture Trustee may consult with counsel, and shall not be liable for any action taken or omitted to be taken by it hereunder in good faith and in accordance with the advice of such counsel. The Indenture Trustee shall not be under any obligation to exercise any of the remedial rights or powers vested in it by this Indenture or risk its own funds or otherwise incur financial liability in the performance of any of its duties hereunder unless it shall have received security or indemnity reasonably satisfactory to the Indenture Trustee against the costs, expenses and liabilities which might be incurred by it. This Section 6.15 shall survive the termination, assignment, resignation or removal of the Indenture Trustee in accordance with the terms of this Indenture.</w:t>
      </w:r>
    </w:p>
    <w:p>
      <w:pPr>
        <w:spacing w:after="0" w:line="3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VI.16  </w:t>
      </w:r>
      <w:r>
        <w:rPr>
          <w:rFonts w:ascii="Times New Roman" w:cs="Times New Roman" w:eastAsia="Times New Roman" w:hAnsi="Times New Roman"/>
          <w:sz w:val="19"/>
          <w:szCs w:val="19"/>
          <w:color w:val="000000"/>
        </w:rPr>
        <w:t>Representations and Warranties.</w:t>
      </w:r>
    </w:p>
    <w:p>
      <w:pPr>
        <w:spacing w:after="0" w:line="202" w:lineRule="exact"/>
        <w:rPr>
          <w:sz w:val="20"/>
          <w:szCs w:val="20"/>
          <w:color w:val="auto"/>
        </w:rPr>
      </w:pPr>
    </w:p>
    <w:p>
      <w:pPr>
        <w:ind w:left="1780" w:hanging="370"/>
        <w:spacing w:after="0"/>
        <w:tabs>
          <w:tab w:leader="none" w:pos="1780" w:val="left"/>
        </w:tabs>
        <w:numPr>
          <w:ilvl w:val="0"/>
          <w:numId w:val="29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represents and warrants to the Issuer and to each Noteholder as follows:</w:t>
      </w:r>
    </w:p>
    <w:p>
      <w:pPr>
        <w:spacing w:after="0" w:line="201" w:lineRule="exact"/>
        <w:rPr>
          <w:rFonts w:ascii="Times New Roman" w:cs="Times New Roman" w:eastAsia="Times New Roman" w:hAnsi="Times New Roman"/>
          <w:sz w:val="19"/>
          <w:szCs w:val="19"/>
          <w:color w:val="1F3763"/>
        </w:rPr>
      </w:pPr>
    </w:p>
    <w:p>
      <w:pPr>
        <w:ind w:left="800" w:right="220" w:firstLine="754"/>
        <w:spacing w:after="0" w:line="286" w:lineRule="auto"/>
        <w:tabs>
          <w:tab w:leader="none" w:pos="1784" w:val="left"/>
        </w:tabs>
        <w:numPr>
          <w:ilvl w:val="1"/>
          <w:numId w:val="29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Due Organization. The Indenture Trustee is a national banking association and is duly authorized and licensed under applicable law to conduct its business as presently conducted.</w:t>
      </w:r>
    </w:p>
    <w:p>
      <w:pPr>
        <w:spacing w:after="0" w:line="127" w:lineRule="exact"/>
        <w:rPr>
          <w:rFonts w:ascii="Times New Roman" w:cs="Times New Roman" w:eastAsia="Times New Roman" w:hAnsi="Times New Roman"/>
          <w:sz w:val="19"/>
          <w:szCs w:val="19"/>
          <w:color w:val="1F3763"/>
        </w:rPr>
      </w:pPr>
    </w:p>
    <w:p>
      <w:pPr>
        <w:ind w:left="800" w:right="60" w:firstLine="754"/>
        <w:spacing w:after="0" w:line="286" w:lineRule="auto"/>
        <w:tabs>
          <w:tab w:leader="none" w:pos="1844" w:val="left"/>
        </w:tabs>
        <w:numPr>
          <w:ilvl w:val="1"/>
          <w:numId w:val="29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Corporate Power. The Indenture Trustee has all requisite right, power and authority to execute and deliver this Indenture and the other Basic Documents to which it is a party and to perform all of its duties as Indenture Trustee hereunder.</w:t>
      </w:r>
    </w:p>
    <w:p>
      <w:pPr>
        <w:spacing w:after="0" w:line="127" w:lineRule="exact"/>
        <w:rPr>
          <w:rFonts w:ascii="Times New Roman" w:cs="Times New Roman" w:eastAsia="Times New Roman" w:hAnsi="Times New Roman"/>
          <w:sz w:val="19"/>
          <w:szCs w:val="19"/>
          <w:color w:val="1F3763"/>
        </w:rPr>
      </w:pPr>
    </w:p>
    <w:p>
      <w:pPr>
        <w:ind w:left="800" w:right="160" w:firstLine="754"/>
        <w:spacing w:after="0" w:line="259" w:lineRule="auto"/>
        <w:tabs>
          <w:tab w:leader="none" w:pos="1892" w:val="left"/>
        </w:tabs>
        <w:numPr>
          <w:ilvl w:val="1"/>
          <w:numId w:val="29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Due Authorization. The execution and delivery by the Indenture Trustee of this Indenture and the other Basic Documents to which it is a party, and the performance by the Indenture Trustee of its duties hereunder and thereunder, have been duly authorized by all necessary corporate proceedings and no further approvals or filings, including any governmental approvals, are required for the valid execution and delivery by the Indenture Trustee, or the performance by the Indenture Trustee, of this Indenture and such other Basic Documents.</w:t>
      </w:r>
    </w:p>
    <w:p>
      <w:pPr>
        <w:spacing w:after="0" w:line="153" w:lineRule="exact"/>
        <w:rPr>
          <w:rFonts w:ascii="Times New Roman" w:cs="Times New Roman" w:eastAsia="Times New Roman" w:hAnsi="Times New Roman"/>
          <w:sz w:val="19"/>
          <w:szCs w:val="19"/>
          <w:color w:val="1F3763"/>
        </w:rPr>
      </w:pPr>
    </w:p>
    <w:p>
      <w:pPr>
        <w:jc w:val="both"/>
        <w:ind w:left="800" w:right="180" w:firstLine="754"/>
        <w:spacing w:after="0" w:line="256" w:lineRule="auto"/>
        <w:tabs>
          <w:tab w:leader="none" w:pos="1880" w:val="left"/>
        </w:tabs>
        <w:numPr>
          <w:ilvl w:val="1"/>
          <w:numId w:val="29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Valid and Binding Indenture. The Indenture Trustee has duly executed and delivered this Indenture and each other Basic Document to which it is a party, and each of this Indenture and each such other Basic Document constitutes the legal, valid and binding obligation of the Indenture Trustee, enforceable against the Indenture Trustee in accordance with its terms, except as (A) such enforceability may be limited by bankruptcy,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47" w:name="page348"/>
    <w:bookmarkEnd w:id="347"/>
    <w:p>
      <w:pPr>
        <w:spacing w:after="0" w:line="200" w:lineRule="exact"/>
        <w:rPr>
          <w:sz w:val="20"/>
          <w:szCs w:val="20"/>
          <w:color w:val="auto"/>
        </w:rPr>
      </w:pPr>
    </w:p>
    <w:p>
      <w:pPr>
        <w:spacing w:after="0" w:line="261" w:lineRule="exact"/>
        <w:rPr>
          <w:sz w:val="20"/>
          <w:szCs w:val="20"/>
          <w:color w:val="auto"/>
        </w:rPr>
      </w:pPr>
    </w:p>
    <w:p>
      <w:pPr>
        <w:ind w:left="800" w:right="260"/>
        <w:spacing w:after="0" w:line="286" w:lineRule="auto"/>
        <w:rPr>
          <w:sz w:val="20"/>
          <w:szCs w:val="20"/>
          <w:color w:val="auto"/>
        </w:rPr>
      </w:pPr>
      <w:r>
        <w:rPr>
          <w:rFonts w:ascii="Times New Roman" w:cs="Times New Roman" w:eastAsia="Times New Roman" w:hAnsi="Times New Roman"/>
          <w:sz w:val="19"/>
          <w:szCs w:val="19"/>
          <w:color w:val="auto"/>
        </w:rPr>
        <w:t>insolvency, reorganization and similar laws relating to or affecting the enforcement of creditors' rights generally and (B) the availability of equitable remedies may be limited by equitable principles of general applicability.</w:t>
      </w:r>
    </w:p>
    <w:p>
      <w:pPr>
        <w:spacing w:after="0" w:line="127" w:lineRule="exact"/>
        <w:rPr>
          <w:sz w:val="20"/>
          <w:szCs w:val="20"/>
          <w:color w:val="auto"/>
        </w:rPr>
      </w:pPr>
    </w:p>
    <w:p>
      <w:pPr>
        <w:jc w:val="both"/>
        <w:ind w:left="800" w:firstLine="754"/>
        <w:spacing w:after="0" w:line="262" w:lineRule="auto"/>
        <w:tabs>
          <w:tab w:leader="none" w:pos="1832" w:val="left"/>
        </w:tabs>
        <w:numPr>
          <w:ilvl w:val="1"/>
          <w:numId w:val="29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Conflicts. The execution and delivery of each Basic Document to which it is a party by the Indenture Trustee and the performance by the Indenture Trustee of its obligations thereunder, in its capacity as Indenture Trustee or otherwise, do not conflict with or result in any violation of (A) any law or regulation of the United States of America governing the banking or trust powers of the Indenture Trustee or (B) the articles of incorporation and by-laws of the Indenture Trustee.</w:t>
      </w:r>
    </w:p>
    <w:p>
      <w:pPr>
        <w:spacing w:after="0" w:line="150" w:lineRule="exact"/>
        <w:rPr>
          <w:rFonts w:ascii="Times New Roman" w:cs="Times New Roman" w:eastAsia="Times New Roman" w:hAnsi="Times New Roman"/>
          <w:sz w:val="19"/>
          <w:szCs w:val="19"/>
          <w:color w:val="1F3763"/>
        </w:rPr>
      </w:pPr>
    </w:p>
    <w:p>
      <w:pPr>
        <w:ind w:left="800" w:right="40" w:firstLine="754"/>
        <w:spacing w:after="0" w:line="259" w:lineRule="auto"/>
        <w:tabs>
          <w:tab w:leader="none" w:pos="1880" w:val="left"/>
        </w:tabs>
        <w:numPr>
          <w:ilvl w:val="1"/>
          <w:numId w:val="29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Actions. To the best of the Indenture Trustee's knowledge, there are no actions, proceedings or investigations known to the Indenture Trustee, either pending or threatened in writing, before any court, regulatory body, administrative agency or other tribunal or governmental instrumentality which would, if adversely determined, affect in any material respect the consummation, validity or enforceability against the Indenture Trustee, in its capacity as Indenture Trustee or otherwise, of any Basic Document.</w:t>
      </w:r>
    </w:p>
    <w:p>
      <w:pPr>
        <w:spacing w:after="0" w:line="153" w:lineRule="exact"/>
        <w:rPr>
          <w:rFonts w:ascii="Times New Roman" w:cs="Times New Roman" w:eastAsia="Times New Roman" w:hAnsi="Times New Roman"/>
          <w:sz w:val="19"/>
          <w:szCs w:val="19"/>
          <w:color w:val="1F3763"/>
        </w:rPr>
      </w:pPr>
    </w:p>
    <w:p>
      <w:pPr>
        <w:ind w:right="140" w:firstLine="1410"/>
        <w:spacing w:after="0" w:line="262" w:lineRule="auto"/>
        <w:tabs>
          <w:tab w:leader="none" w:pos="1777" w:val="left"/>
        </w:tabs>
        <w:numPr>
          <w:ilvl w:val="0"/>
          <w:numId w:val="29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hereby represents and warrants that each of the representations and warranties set forth on the Schedule of Representations attached hereto as Schedule A is true and correct. Such representations and warranties speak as of the execution and delivery of this Indenture, as of the Closing Date, but shall survive the pledge of the Receivables to the Indenture Trustee and shall not be waived.</w:t>
      </w:r>
    </w:p>
    <w:p>
      <w:pPr>
        <w:spacing w:after="0" w:line="150" w:lineRule="exact"/>
        <w:rPr>
          <w:sz w:val="20"/>
          <w:szCs w:val="20"/>
          <w:color w:val="auto"/>
        </w:rPr>
      </w:pPr>
    </w:p>
    <w:p>
      <w:pPr>
        <w:ind w:right="60" w:firstLine="696"/>
        <w:spacing w:after="0" w:line="265" w:lineRule="auto"/>
        <w:rPr>
          <w:sz w:val="20"/>
          <w:szCs w:val="20"/>
          <w:color w:val="auto"/>
        </w:rPr>
      </w:pPr>
      <w:r>
        <w:rPr>
          <w:rFonts w:ascii="Times New Roman" w:cs="Times New Roman" w:eastAsia="Times New Roman" w:hAnsi="Times New Roman"/>
          <w:sz w:val="19"/>
          <w:szCs w:val="19"/>
          <w:color w:val="2F5496"/>
        </w:rPr>
        <w:t xml:space="preserve">SECTION VI.17 </w:t>
      </w:r>
      <w:r>
        <w:rPr>
          <w:rFonts w:ascii="Times New Roman" w:cs="Times New Roman" w:eastAsia="Times New Roman" w:hAnsi="Times New Roman"/>
          <w:sz w:val="19"/>
          <w:szCs w:val="19"/>
          <w:color w:val="000000"/>
        </w:rPr>
        <w:t>Waiver of Setoffs. The Indenture Trustee hereby expressly waives any and all rights of setoff that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Indenture Trustee may otherwise at any time have under applicable law with respect to any Trust Account and agrees that amounts in the Trust Accounts shall at all times be held and applied solely in accordance with the provisions hereof and the Sale and Servicing Agreement.</w:t>
      </w:r>
    </w:p>
    <w:p>
      <w:pPr>
        <w:spacing w:after="0" w:line="381" w:lineRule="exact"/>
        <w:rPr>
          <w:sz w:val="20"/>
          <w:szCs w:val="20"/>
          <w:color w:val="auto"/>
        </w:rPr>
      </w:pPr>
    </w:p>
    <w:p>
      <w:pPr>
        <w:ind w:right="12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VI.18 </w:t>
      </w:r>
      <w:r>
        <w:rPr>
          <w:rFonts w:ascii="Times New Roman" w:cs="Times New Roman" w:eastAsia="Times New Roman" w:hAnsi="Times New Roman"/>
          <w:sz w:val="19"/>
          <w:szCs w:val="19"/>
          <w:color w:val="000000"/>
        </w:rPr>
        <w:t>Reliance Upon Documents. In the absence of negligence, bad faith or willful misconduct on its part,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Indenture Trustee shall be entitled to conclusively rely on any communication, instrument, paper or other document reasonably believed by it to be genuine and correct and to have been signed or sent by the proper Person or Persons and shall have no liability in acting, or omitting to act, where such action or omission to act is in reasonable reliance upon any statement or opinion contained in any such document or instrument.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F5496"/>
        </w:rPr>
        <w:t>ARTICLE VII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Noteholders' Lists and Reports</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2F5496"/>
        </w:rPr>
        <w:t xml:space="preserve">SECTION VII.1 </w:t>
      </w:r>
      <w:r>
        <w:rPr>
          <w:rFonts w:ascii="Times New Roman" w:cs="Times New Roman" w:eastAsia="Times New Roman" w:hAnsi="Times New Roman"/>
          <w:sz w:val="19"/>
          <w:szCs w:val="19"/>
          <w:color w:val="000000"/>
        </w:rPr>
        <w:t>Issuer To Furnish To Indenture Trustee Names and Addresses of Noteholders. The Issuer will furnish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cause to be furnished to the Indenture Trustee (a) not more than five days after the earlier of (i) each Record Date and (ii) three months after the last Record Date, a list, in such form as the Indenture Trustee may reasonably require, of the names and addresses of the Holders as of such Record Date, (b) at such other times as the Indenture Trustee may request in writing, within 30 days after receipt by the Issuer of any such request, a list of similar form and content as of a date not more than ten days prior to the time such list is furnished;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8" w:name="page349"/>
    <w:bookmarkEnd w:id="348"/>
    <w:p>
      <w:pPr>
        <w:spacing w:after="0" w:line="200" w:lineRule="exact"/>
        <w:rPr>
          <w:sz w:val="20"/>
          <w:szCs w:val="20"/>
          <w:color w:val="auto"/>
        </w:rPr>
      </w:pPr>
    </w:p>
    <w:p>
      <w:pPr>
        <w:spacing w:after="0" w:line="259"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so long as the Indenture Trustee is the Note Registrar or the Notes are issued as Book-Entry Notes, no such list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be required to be furnished.</w:t>
      </w:r>
    </w:p>
    <w:p>
      <w:pPr>
        <w:spacing w:after="0" w:line="126"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VII.2 </w:t>
      </w:r>
      <w:r>
        <w:rPr>
          <w:rFonts w:ascii="Times New Roman" w:cs="Times New Roman" w:eastAsia="Times New Roman" w:hAnsi="Times New Roman"/>
          <w:sz w:val="19"/>
          <w:szCs w:val="19"/>
          <w:color w:val="000000"/>
        </w:rPr>
        <w:t>Preservation of Information; Communications to Noteholders. The Indenture Trustee shall preserve, in as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current a form as is reasonably practicable, the names and addresses of the Holders contained in the most recent list furnished to the Indenture Trustee as provided in Section 7.1 and the names and addresses of Holders received by the Indenture Trustee in its capacity as Note Registrar. The Indenture Trustee may destroy any list furnished to it as provided in such Section 7.1 upon receipt of a new list so furnished.</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F5496"/>
        </w:rPr>
        <w:t>ARTICLE VIII</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Accounts, Disbursements and Releases</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2F5496"/>
        </w:rPr>
        <w:t xml:space="preserve">SECTION VIII.1 </w:t>
      </w:r>
      <w:r>
        <w:rPr>
          <w:rFonts w:ascii="Times New Roman" w:cs="Times New Roman" w:eastAsia="Times New Roman" w:hAnsi="Times New Roman"/>
          <w:sz w:val="19"/>
          <w:szCs w:val="19"/>
          <w:color w:val="000000"/>
        </w:rPr>
        <w:t>Collection of Money. Except as otherwise expressly provided herein, the Indenture Trustee may demand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payment or delivery of, and shall receive and collect, directly and without intervention or assistance of any fiscal agent or other intermediary, all money and other property payable to or receivable by the Indenture Trustee pursuant to this Indenture and the Sale and Servicing Agreement. The Indenture Trustee shall apply all such money received by it as provided in this Indenture and the Sale and Servicing Agreement. Except as otherwise expressly provided in this Indenture or in the Sale and Servicing Agreement, if any default occurs in the making of any payment or performance under any agreement or instrument that is part of the Trust Estate, the Indenture Trustee may take such action as may be appropriate to enforce such payment or performance, including the institution and prosecution of appropriate proceedings. Any such action shall be without prejudice to any right to claim a Default or Event of Default under this Indenture and any right to proceed thereafter as provided in Article V.</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VIII.2  </w:t>
      </w:r>
      <w:r>
        <w:rPr>
          <w:rFonts w:ascii="Times New Roman" w:cs="Times New Roman" w:eastAsia="Times New Roman" w:hAnsi="Times New Roman"/>
          <w:sz w:val="19"/>
          <w:szCs w:val="19"/>
          <w:color w:val="000000"/>
        </w:rPr>
        <w:t>Release of Trust Estate.</w:t>
      </w:r>
    </w:p>
    <w:p>
      <w:pPr>
        <w:spacing w:after="0" w:line="202" w:lineRule="exact"/>
        <w:rPr>
          <w:sz w:val="20"/>
          <w:szCs w:val="20"/>
          <w:color w:val="auto"/>
        </w:rPr>
      </w:pPr>
    </w:p>
    <w:p>
      <w:pPr>
        <w:ind w:right="20" w:firstLine="1410"/>
        <w:spacing w:after="0" w:line="259" w:lineRule="auto"/>
        <w:tabs>
          <w:tab w:leader="none" w:pos="1765" w:val="left"/>
        </w:tabs>
        <w:numPr>
          <w:ilvl w:val="0"/>
          <w:numId w:val="29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Subject to the payment of its fees and expenses and other amounts pursuant to Section 6.7, the Indenture Trustee may, and when required by the provisions of this Indenture shall, execute instruments to release property from the lien of this Indenture, in a manner and under circumstances that are not inconsistent with the provisions of this Indenture. No party relying upon an instrument executed by the Indenture Trustee as provided in this Article VIII shall be bound to ascertain the Indenture Trustee's authority, inquire into the satisfaction of any conditions precedent or see to the application of any moneys.</w:t>
      </w:r>
    </w:p>
    <w:p>
      <w:pPr>
        <w:spacing w:after="0" w:line="153" w:lineRule="exact"/>
        <w:rPr>
          <w:rFonts w:ascii="Times New Roman" w:cs="Times New Roman" w:eastAsia="Times New Roman" w:hAnsi="Times New Roman"/>
          <w:sz w:val="19"/>
          <w:szCs w:val="19"/>
          <w:color w:val="1F3763"/>
        </w:rPr>
      </w:pPr>
    </w:p>
    <w:p>
      <w:pPr>
        <w:jc w:val="both"/>
        <w:ind w:right="100" w:firstLine="1410"/>
        <w:spacing w:after="0" w:line="258" w:lineRule="auto"/>
        <w:tabs>
          <w:tab w:leader="none" w:pos="1777" w:val="left"/>
        </w:tabs>
        <w:numPr>
          <w:ilvl w:val="0"/>
          <w:numId w:val="29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at such time as (i) there are no Notes Outstanding and all sums due the Noteholders, the Servicer, the Backup Servicer and the Owner Trustee under the Basic Documents and the Indenture Trustee pursuant to Section 6.7 have been paid and (ii) upon execution of proper instruments acknowledging satisfaction and discharge of the Indenture (at the express</w:t>
      </w:r>
    </w:p>
    <w:p>
      <w:pPr>
        <w:spacing w:after="0" w:line="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9"/>
          <w:szCs w:val="19"/>
          <w:color w:val="auto"/>
        </w:rPr>
        <w:t>demand of the Issuer) pursuant to Section 4.1, release any remaining portion of the Trust Estate that secured the Notes from the lien of this Indenture and release to the Issuer or any other Person entitled thereto any funds then on deposit in the Trust Accounts.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49" w:name="page350"/>
    <w:bookmarkEnd w:id="349"/>
    <w:p>
      <w:pPr>
        <w:spacing w:after="0" w:line="200" w:lineRule="exact"/>
        <w:rPr>
          <w:sz w:val="20"/>
          <w:szCs w:val="20"/>
          <w:color w:val="auto"/>
        </w:rPr>
      </w:pPr>
    </w:p>
    <w:p>
      <w:pPr>
        <w:spacing w:after="0" w:line="261"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VIII.3 </w:t>
      </w:r>
      <w:r>
        <w:rPr>
          <w:rFonts w:ascii="Times New Roman" w:cs="Times New Roman" w:eastAsia="Times New Roman" w:hAnsi="Times New Roman"/>
          <w:sz w:val="19"/>
          <w:szCs w:val="19"/>
          <w:color w:val="000000"/>
        </w:rPr>
        <w:t>Opinion of Counsel. The Indenture Trustee shall receive at least 7 days' notice when requested by the Issuer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to take any action pursuant to Section 8.2(a), accompanied by copies of any instruments involved, and the Indenture Trustee shall also require as a condition to such action, an Opinion of Counsel in form and substance satisfactory to the Indenture Trustee, stating the legal effect of any such action, outlining the steps required to complete the same, and concluding that all conditions precedent to the taking of such action have been complied with. Counsel rendering any such opinion may rely, without independent investigation, on the accuracy and validity of any certificate or other instrument delivered to the Indenture Trustee in connection with any such action.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F5496"/>
        </w:rPr>
        <w:t>ARTICLE IX</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Supplemental Indentures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IX.1  </w:t>
      </w:r>
      <w:r>
        <w:rPr>
          <w:rFonts w:ascii="Times New Roman" w:cs="Times New Roman" w:eastAsia="Times New Roman" w:hAnsi="Times New Roman"/>
          <w:sz w:val="19"/>
          <w:szCs w:val="19"/>
          <w:color w:val="000000"/>
        </w:rPr>
        <w:t>Supplemental Indentures Without Consent of Noteholders.</w:t>
      </w:r>
    </w:p>
    <w:p>
      <w:pPr>
        <w:spacing w:after="0" w:line="202"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Without the consent of the Holders of any Notes and with ten days' prior notice to the Rating Agencies (or such shorter period as shall be acceptable to the applicable Rating Agency) by the Issuer (as evidenced to the Indenture Trustee), the Issuer and the Indenture Trustee, when authorized by an Issuer Order, at any time and from time to time, may enter into one or more indentures supplemental hereto, in form satisfactory to the Indenture Trustee, for any of the following purposes:</w:t>
      </w:r>
    </w:p>
    <w:p>
      <w:pPr>
        <w:spacing w:after="0" w:line="150" w:lineRule="exact"/>
        <w:rPr>
          <w:sz w:val="20"/>
          <w:szCs w:val="20"/>
          <w:color w:val="auto"/>
        </w:rPr>
      </w:pPr>
    </w:p>
    <w:p>
      <w:pPr>
        <w:ind w:left="780" w:right="220" w:firstLine="762"/>
        <w:spacing w:after="0" w:line="268" w:lineRule="auto"/>
        <w:tabs>
          <w:tab w:leader="none" w:pos="1764" w:val="left"/>
        </w:tabs>
        <w:numPr>
          <w:ilvl w:val="0"/>
          <w:numId w:val="29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correct or amplify the description of any property at any time subject to the lien of this Indenture, or better to assure, convey and confirm unto the Indenture Trustee any property subject or required to be subjected to the lien of this Indenture, or to subject to the lien of this Indenture additional property;</w:t>
      </w:r>
    </w:p>
    <w:p>
      <w:pPr>
        <w:spacing w:after="0" w:line="144" w:lineRule="exact"/>
        <w:rPr>
          <w:rFonts w:ascii="Times New Roman" w:cs="Times New Roman" w:eastAsia="Times New Roman" w:hAnsi="Times New Roman"/>
          <w:sz w:val="19"/>
          <w:szCs w:val="19"/>
          <w:color w:val="1F3763"/>
        </w:rPr>
      </w:pPr>
    </w:p>
    <w:p>
      <w:pPr>
        <w:ind w:left="780" w:right="140" w:firstLine="762"/>
        <w:spacing w:after="0" w:line="286" w:lineRule="auto"/>
        <w:tabs>
          <w:tab w:leader="none" w:pos="1824" w:val="left"/>
        </w:tabs>
        <w:numPr>
          <w:ilvl w:val="0"/>
          <w:numId w:val="29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evidence the succession, in compliance with the applicable provisions hereof, of another Person to the Issuer, and the assumption by any such successor of the covenants of the Issuer herein and in the Notes contained;</w:t>
      </w:r>
    </w:p>
    <w:p>
      <w:pPr>
        <w:spacing w:after="0" w:line="127" w:lineRule="exact"/>
        <w:rPr>
          <w:rFonts w:ascii="Times New Roman" w:cs="Times New Roman" w:eastAsia="Times New Roman" w:hAnsi="Times New Roman"/>
          <w:sz w:val="19"/>
          <w:szCs w:val="19"/>
          <w:color w:val="1F3763"/>
        </w:rPr>
      </w:pPr>
    </w:p>
    <w:p>
      <w:pPr>
        <w:ind w:left="780" w:right="420" w:firstLine="762"/>
        <w:spacing w:after="0" w:line="286" w:lineRule="auto"/>
        <w:tabs>
          <w:tab w:leader="none" w:pos="1872" w:val="left"/>
        </w:tabs>
        <w:numPr>
          <w:ilvl w:val="0"/>
          <w:numId w:val="29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add to the covenants of the Issuer, for the benefit of the Holders of the Notes, or to surrender any right or power herein conferred upon the Issuer;</w:t>
      </w:r>
    </w:p>
    <w:p>
      <w:pPr>
        <w:spacing w:after="0" w:line="127" w:lineRule="exact"/>
        <w:rPr>
          <w:rFonts w:ascii="Times New Roman" w:cs="Times New Roman" w:eastAsia="Times New Roman" w:hAnsi="Times New Roman"/>
          <w:sz w:val="19"/>
          <w:szCs w:val="19"/>
          <w:color w:val="1F3763"/>
        </w:rPr>
      </w:pPr>
    </w:p>
    <w:p>
      <w:pPr>
        <w:ind w:left="1860" w:hanging="318"/>
        <w:spacing w:after="0"/>
        <w:tabs>
          <w:tab w:leader="none" w:pos="1860" w:val="left"/>
        </w:tabs>
        <w:numPr>
          <w:ilvl w:val="0"/>
          <w:numId w:val="29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convey, transfer, assign, mortgage or pledge any property to or with the Indenture Trustee;</w:t>
      </w:r>
    </w:p>
    <w:p>
      <w:pPr>
        <w:spacing w:after="0" w:line="201" w:lineRule="exact"/>
        <w:rPr>
          <w:rFonts w:ascii="Times New Roman" w:cs="Times New Roman" w:eastAsia="Times New Roman" w:hAnsi="Times New Roman"/>
          <w:sz w:val="19"/>
          <w:szCs w:val="19"/>
          <w:color w:val="1F3763"/>
        </w:rPr>
      </w:pPr>
    </w:p>
    <w:p>
      <w:pPr>
        <w:ind w:left="780" w:firstLine="762"/>
        <w:spacing w:after="0" w:line="268" w:lineRule="auto"/>
        <w:tabs>
          <w:tab w:leader="none" w:pos="1812" w:val="left"/>
        </w:tabs>
        <w:numPr>
          <w:ilvl w:val="0"/>
          <w:numId w:val="29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cure any ambiguity, to correct or supplement any provision herein or in any supplemental indenture which may be inconsistent with any other provision herein or in the Offering Memorandum or in any supplemental indenture, or to make any other provisions with respect to matters or questions arising under this Indenture or in any supplemental indenture; or</w:t>
      </w:r>
    </w:p>
    <w:p>
      <w:pPr>
        <w:spacing w:after="0" w:line="144" w:lineRule="exact"/>
        <w:rPr>
          <w:rFonts w:ascii="Times New Roman" w:cs="Times New Roman" w:eastAsia="Times New Roman" w:hAnsi="Times New Roman"/>
          <w:sz w:val="19"/>
          <w:szCs w:val="19"/>
          <w:color w:val="1F3763"/>
        </w:rPr>
      </w:pPr>
    </w:p>
    <w:p>
      <w:pPr>
        <w:ind w:left="780" w:right="20" w:firstLine="762"/>
        <w:spacing w:after="0" w:line="262" w:lineRule="auto"/>
        <w:tabs>
          <w:tab w:leader="none" w:pos="1860" w:val="left"/>
        </w:tabs>
        <w:numPr>
          <w:ilvl w:val="0"/>
          <w:numId w:val="29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evidence and provide for the acceptance of the appointment hereunder by a successor trustee with respect to the Notes and to add to or change any of the provisions of this Indenture as shall be necessary to facilitate the administration of</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the trusts hereunder by more than one indenture trustee, pursuant to the requirements of Article VI.</w:t>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0" w:name="page351"/>
    <w:bookmarkEnd w:id="350"/>
    <w:p>
      <w:pPr>
        <w:spacing w:after="0" w:line="269"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The Indenture Trustee is hereby authorized to join in the execution of any such supplemental indenture and to make any further appropriate agreements and stipulations that may be therein contained.</w:t>
      </w:r>
    </w:p>
    <w:p>
      <w:pPr>
        <w:spacing w:after="0" w:line="12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It shall be a condition precedent to each indenture or indentures supplemental hereto entered into pursuant to this Section that such action shall not adversely affect in any material respect the interests of any Noteholder, as evidenced by an Opinion of Counsel (which opinion shall be delivered by counsel that is not an employee of United Auto or its Affiliates) addressed to the Indenture Trustee to such effect.</w:t>
      </w:r>
    </w:p>
    <w:p>
      <w:pPr>
        <w:spacing w:after="0" w:line="150"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IX.2 </w:t>
      </w:r>
      <w:r>
        <w:rPr>
          <w:rFonts w:ascii="Times New Roman" w:cs="Times New Roman" w:eastAsia="Times New Roman" w:hAnsi="Times New Roman"/>
          <w:sz w:val="19"/>
          <w:szCs w:val="19"/>
          <w:color w:val="000000"/>
        </w:rPr>
        <w:t>Supplemental Indentures with Consent of Noteholders. The Issuer and the Indenture Trustee, when authorized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by an Issuer Order, also may, with prior notice to the Rating Agencies by the Issuer, and with the consent of the Majority Noteholders, by Act of such Holders delivered to the Issuer and the Indenture Trustee, enter into an indenture or indentures supplemental hereto for the purpose of adding any provisions to, or changing in any manner or eliminating any of the provisions of, this Indenture or of modifying in any manner the rights of the Holders of the Notes under this Indenture;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no such supplemental indenture shall, without the consent of the Holder of each Outstanding Note affected thereby:</w:t>
      </w:r>
    </w:p>
    <w:p>
      <w:pPr>
        <w:spacing w:after="0" w:line="157" w:lineRule="exact"/>
        <w:rPr>
          <w:sz w:val="20"/>
          <w:szCs w:val="20"/>
          <w:color w:val="auto"/>
        </w:rPr>
      </w:pPr>
    </w:p>
    <w:p>
      <w:pPr>
        <w:jc w:val="both"/>
        <w:ind w:left="780" w:right="100" w:firstLine="762"/>
        <w:spacing w:after="0" w:line="262" w:lineRule="auto"/>
        <w:tabs>
          <w:tab w:leader="none" w:pos="1764" w:val="left"/>
        </w:tabs>
        <w:numPr>
          <w:ilvl w:val="0"/>
          <w:numId w:val="29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change the date of payment of any installment of principal of or interest on any Note, or reduce the Note Balance thereof, the Interest Rate thereon or the Redemption Price with respect thereto, change the provision of this Indenture relating to the application of collections on, or the proceeds of the sale of, the Trust Estate to payment of principal of or interest on the Notes, or change any place of payment where, or the coin or currency in which, any Note or the interest thereon is payable;</w:t>
      </w:r>
    </w:p>
    <w:p>
      <w:pPr>
        <w:spacing w:after="0" w:line="150" w:lineRule="exact"/>
        <w:rPr>
          <w:rFonts w:ascii="Times New Roman" w:cs="Times New Roman" w:eastAsia="Times New Roman" w:hAnsi="Times New Roman"/>
          <w:sz w:val="19"/>
          <w:szCs w:val="19"/>
          <w:color w:val="1F3763"/>
        </w:rPr>
      </w:pPr>
    </w:p>
    <w:p>
      <w:pPr>
        <w:ind w:left="780" w:right="200" w:firstLine="762"/>
        <w:spacing w:after="0" w:line="268" w:lineRule="auto"/>
        <w:tabs>
          <w:tab w:leader="none" w:pos="1824" w:val="left"/>
        </w:tabs>
        <w:numPr>
          <w:ilvl w:val="0"/>
          <w:numId w:val="29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impair the right to institute suit for the enforcement of the provisions of this Indenture requiring the application of funds available therefor, as provided in Article V, to the payment of any such amount due on the Notes on or after the respective Distribution Dates (or, in the case of redemption, on or after the Redemption Date);</w:t>
      </w:r>
    </w:p>
    <w:p>
      <w:pPr>
        <w:spacing w:after="0" w:line="144" w:lineRule="exact"/>
        <w:rPr>
          <w:rFonts w:ascii="Times New Roman" w:cs="Times New Roman" w:eastAsia="Times New Roman" w:hAnsi="Times New Roman"/>
          <w:sz w:val="19"/>
          <w:szCs w:val="19"/>
          <w:color w:val="1F3763"/>
        </w:rPr>
      </w:pPr>
    </w:p>
    <w:p>
      <w:pPr>
        <w:ind w:left="780" w:right="160" w:firstLine="762"/>
        <w:spacing w:after="0" w:line="268" w:lineRule="auto"/>
        <w:tabs>
          <w:tab w:leader="none" w:pos="1872" w:val="left"/>
        </w:tabs>
        <w:numPr>
          <w:ilvl w:val="0"/>
          <w:numId w:val="29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reduce the percentage of the Outstanding Amount of the Notes, the consent of the Holders of which is required for any such supplemental indenture, or the consent of the Holders of which is required for any waiver of compliance with certain provisions of this Indenture or certain defaults hereunder and their consequences provided for in this Indenture;</w:t>
      </w:r>
    </w:p>
    <w:p>
      <w:pPr>
        <w:spacing w:after="0" w:line="144" w:lineRule="exact"/>
        <w:rPr>
          <w:rFonts w:ascii="Times New Roman" w:cs="Times New Roman" w:eastAsia="Times New Roman" w:hAnsi="Times New Roman"/>
          <w:sz w:val="19"/>
          <w:szCs w:val="19"/>
          <w:color w:val="1F3763"/>
        </w:rPr>
      </w:pPr>
    </w:p>
    <w:p>
      <w:pPr>
        <w:ind w:left="1860" w:hanging="318"/>
        <w:spacing w:after="0"/>
        <w:tabs>
          <w:tab w:leader="none" w:pos="1860" w:val="left"/>
        </w:tabs>
        <w:numPr>
          <w:ilvl w:val="0"/>
          <w:numId w:val="29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modify or alter the provisions of the proviso to the definition of the term "Outstanding" or the term "Majority</w:t>
      </w:r>
    </w:p>
    <w:p>
      <w:pPr>
        <w:spacing w:after="0" w:line="31" w:lineRule="exact"/>
        <w:rPr>
          <w:rFonts w:ascii="Times New Roman" w:cs="Times New Roman" w:eastAsia="Times New Roman" w:hAnsi="Times New Roman"/>
          <w:sz w:val="19"/>
          <w:szCs w:val="19"/>
          <w:color w:val="1F3763"/>
        </w:rPr>
      </w:pPr>
    </w:p>
    <w:p>
      <w:pPr>
        <w:ind w:left="78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Noteholders";</w:t>
      </w:r>
    </w:p>
    <w:p>
      <w:pPr>
        <w:spacing w:after="0" w:line="179" w:lineRule="exact"/>
        <w:rPr>
          <w:rFonts w:ascii="Times New Roman" w:cs="Times New Roman" w:eastAsia="Times New Roman" w:hAnsi="Times New Roman"/>
          <w:sz w:val="19"/>
          <w:szCs w:val="19"/>
          <w:color w:val="1F3763"/>
        </w:rPr>
      </w:pPr>
    </w:p>
    <w:p>
      <w:pPr>
        <w:ind w:left="780" w:right="180" w:firstLine="762"/>
        <w:spacing w:after="0" w:line="286" w:lineRule="auto"/>
        <w:tabs>
          <w:tab w:leader="none" w:pos="1812" w:val="left"/>
        </w:tabs>
        <w:numPr>
          <w:ilvl w:val="0"/>
          <w:numId w:val="29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reduce the percentage of the Outstanding Amount of the Notes required to direct the Indenture Trustee to direct the Issuer to sell or liquidate the Trust Estate pursuant to Section 5.4;</w:t>
      </w:r>
    </w:p>
    <w:p>
      <w:pPr>
        <w:spacing w:after="0" w:line="127" w:lineRule="exact"/>
        <w:rPr>
          <w:rFonts w:ascii="Times New Roman" w:cs="Times New Roman" w:eastAsia="Times New Roman" w:hAnsi="Times New Roman"/>
          <w:sz w:val="19"/>
          <w:szCs w:val="19"/>
          <w:color w:val="1F3763"/>
        </w:rPr>
      </w:pPr>
    </w:p>
    <w:p>
      <w:pPr>
        <w:ind w:left="1860" w:hanging="318"/>
        <w:spacing w:after="0"/>
        <w:tabs>
          <w:tab w:leader="none" w:pos="1860" w:val="left"/>
        </w:tabs>
        <w:numPr>
          <w:ilvl w:val="0"/>
          <w:numId w:val="29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modify any provision of this Section except to increase any percentage specified herein or to provide that certain</w:t>
      </w:r>
    </w:p>
    <w:p>
      <w:pPr>
        <w:spacing w:after="0" w:line="32" w:lineRule="exact"/>
        <w:rPr>
          <w:sz w:val="20"/>
          <w:szCs w:val="20"/>
          <w:color w:val="auto"/>
        </w:rPr>
      </w:pPr>
    </w:p>
    <w:p>
      <w:pPr>
        <w:ind w:left="780" w:right="140"/>
        <w:spacing w:after="0" w:line="250" w:lineRule="auto"/>
        <w:rPr>
          <w:sz w:val="20"/>
          <w:szCs w:val="20"/>
          <w:color w:val="auto"/>
        </w:rPr>
      </w:pPr>
      <w:r>
        <w:rPr>
          <w:rFonts w:ascii="Times New Roman" w:cs="Times New Roman" w:eastAsia="Times New Roman" w:hAnsi="Times New Roman"/>
          <w:sz w:val="19"/>
          <w:szCs w:val="19"/>
          <w:color w:val="auto"/>
        </w:rPr>
        <w:t>additional provisions of this Indenture or the other Basic Documents cannot be modified or waived without the consent of the Holder of each Outstanding Note affected thereby;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1" w:name="page352"/>
    <w:bookmarkEnd w:id="351"/>
    <w:p>
      <w:pPr>
        <w:spacing w:after="0" w:line="200" w:lineRule="exact"/>
        <w:rPr>
          <w:sz w:val="20"/>
          <w:szCs w:val="20"/>
          <w:color w:val="auto"/>
        </w:rPr>
      </w:pPr>
    </w:p>
    <w:p>
      <w:pPr>
        <w:spacing w:after="0" w:line="261" w:lineRule="exact"/>
        <w:rPr>
          <w:sz w:val="20"/>
          <w:szCs w:val="20"/>
          <w:color w:val="auto"/>
        </w:rPr>
      </w:pPr>
    </w:p>
    <w:p>
      <w:pPr>
        <w:jc w:val="both"/>
        <w:ind w:left="780" w:right="200" w:firstLine="762"/>
        <w:spacing w:after="0" w:line="262" w:lineRule="auto"/>
        <w:tabs>
          <w:tab w:leader="none" w:pos="1920" w:val="left"/>
        </w:tabs>
        <w:numPr>
          <w:ilvl w:val="0"/>
          <w:numId w:val="2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modify any of the provisions of this Indenture in such manner as to affect the calculation of the amount of any payment of interest or principal due on any Note on any Distribution Date (including the calculation of any of the individual components of such calculation) or to affect the rights of the Noteholders to the benefit of any provisions for the mandatory redemption of the Notes contained herein; or</w:t>
      </w:r>
    </w:p>
    <w:p>
      <w:pPr>
        <w:spacing w:after="0" w:line="150" w:lineRule="exact"/>
        <w:rPr>
          <w:rFonts w:ascii="Times New Roman" w:cs="Times New Roman" w:eastAsia="Times New Roman" w:hAnsi="Times New Roman"/>
          <w:sz w:val="19"/>
          <w:szCs w:val="19"/>
          <w:color w:val="1F3763"/>
        </w:rPr>
      </w:pPr>
    </w:p>
    <w:p>
      <w:pPr>
        <w:ind w:left="780" w:right="80" w:firstLine="762"/>
        <w:spacing w:after="0" w:line="262" w:lineRule="auto"/>
        <w:tabs>
          <w:tab w:leader="none" w:pos="1968" w:val="left"/>
        </w:tabs>
        <w:numPr>
          <w:ilvl w:val="0"/>
          <w:numId w:val="2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permit the creation of any lien ranking prior to or on a parity with the lien of this Indenture with respect to any part of the Trust Estate or, except as otherwise permitted or contemplated herein or in any of the other Basic Documents, terminate the lien of this Indenture on any property at any time subject hereto or deprive the Holder of any Note of the security provided by the lien of this Indenture.</w:t>
      </w:r>
    </w:p>
    <w:p>
      <w:pPr>
        <w:spacing w:after="0" w:line="150" w:lineRule="exact"/>
        <w:rPr>
          <w:sz w:val="20"/>
          <w:szCs w:val="20"/>
          <w:color w:val="auto"/>
        </w:rPr>
      </w:pPr>
    </w:p>
    <w:p>
      <w:pPr>
        <w:jc w:val="both"/>
        <w:ind w:right="140" w:firstLine="1404"/>
        <w:spacing w:after="0" w:line="268" w:lineRule="auto"/>
        <w:rPr>
          <w:sz w:val="20"/>
          <w:szCs w:val="20"/>
          <w:color w:val="auto"/>
        </w:rPr>
      </w:pPr>
      <w:r>
        <w:rPr>
          <w:rFonts w:ascii="Times New Roman" w:cs="Times New Roman" w:eastAsia="Times New Roman" w:hAnsi="Times New Roman"/>
          <w:sz w:val="19"/>
          <w:szCs w:val="19"/>
          <w:color w:val="auto"/>
        </w:rPr>
        <w:t>The Indenture Trustee may determine whether or not any Notes would be affected by any supplemental indenture and any such determination shall be conclusive upon the Holders of all Notes, whether theretofore or thereafter authenticated and delivered hereunder. The Indenture Trustee shall not be liable for any such determination made in good faith.</w:t>
      </w:r>
    </w:p>
    <w:p>
      <w:pPr>
        <w:spacing w:after="0" w:line="144" w:lineRule="exact"/>
        <w:rPr>
          <w:sz w:val="20"/>
          <w:szCs w:val="20"/>
          <w:color w:val="auto"/>
        </w:rPr>
      </w:pPr>
    </w:p>
    <w:p>
      <w:pPr>
        <w:jc w:val="both"/>
        <w:ind w:right="160" w:firstLine="1404"/>
        <w:spacing w:after="0" w:line="286" w:lineRule="auto"/>
        <w:rPr>
          <w:sz w:val="20"/>
          <w:szCs w:val="20"/>
          <w:color w:val="auto"/>
        </w:rPr>
      </w:pPr>
      <w:r>
        <w:rPr>
          <w:rFonts w:ascii="Times New Roman" w:cs="Times New Roman" w:eastAsia="Times New Roman" w:hAnsi="Times New Roman"/>
          <w:sz w:val="19"/>
          <w:szCs w:val="19"/>
          <w:color w:val="auto"/>
        </w:rPr>
        <w:t>It shall not be necessary for any Act of Noteholders under this Section to approve the particular form of any proposed supplemental indenture, but it shall be sufficient if such Act shall approve the substance thereof.</w:t>
      </w:r>
    </w:p>
    <w:p>
      <w:pPr>
        <w:spacing w:after="0" w:line="12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Promptly after the execution by the Issuer and the Indenture Trustee of any supplemental indenture pursuant to this Section, the Indenture Trustee shall mail to the Holders of the Notes a copy of such supplemental indenture. Any failure of the Indenture Trustee to mail such notice, or any defect therein, shall not, however, in any way impair or affect the validity of any such supplemental indenture.</w:t>
      </w:r>
    </w:p>
    <w:p>
      <w:pPr>
        <w:spacing w:after="0" w:line="150" w:lineRule="exact"/>
        <w:rPr>
          <w:sz w:val="20"/>
          <w:szCs w:val="20"/>
          <w:color w:val="auto"/>
        </w:rPr>
      </w:pPr>
    </w:p>
    <w:p>
      <w:pPr>
        <w:ind w:right="22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IX.3 </w:t>
      </w:r>
      <w:r>
        <w:rPr>
          <w:rFonts w:ascii="Times New Roman" w:cs="Times New Roman" w:eastAsia="Times New Roman" w:hAnsi="Times New Roman"/>
          <w:sz w:val="19"/>
          <w:szCs w:val="19"/>
          <w:color w:val="000000"/>
        </w:rPr>
        <w:t>Execution of Supplemental Indentures. In executing, or permitting the additional trusts created by, 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supplemental indenture permitted by this Article IX or the amendments or modifications thereby of the trusts created by this Indenture,</w:t>
      </w:r>
    </w:p>
    <w:p>
      <w:pPr>
        <w:spacing w:after="0" w:line="1" w:lineRule="exact"/>
        <w:rPr>
          <w:sz w:val="20"/>
          <w:szCs w:val="20"/>
          <w:color w:val="auto"/>
        </w:rPr>
      </w:pPr>
    </w:p>
    <w:p>
      <w:pPr>
        <w:ind w:left="260" w:hanging="254"/>
        <w:spacing w:after="0"/>
        <w:tabs>
          <w:tab w:leader="none" w:pos="260"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Indenture Trustee shall be entitled to receive and shall be fully protected in relying upon, an Opinion of Counsel stating that the</w:t>
      </w:r>
    </w:p>
    <w:p>
      <w:pPr>
        <w:spacing w:after="0" w:line="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execution of such supplemental indenture is authorized or permitted by this Indenture and that all conditions precedent have been met and</w:t>
      </w:r>
    </w:p>
    <w:p>
      <w:pPr>
        <w:spacing w:after="0" w:line="9" w:lineRule="exact"/>
        <w:rPr>
          <w:rFonts w:ascii="Times New Roman" w:cs="Times New Roman" w:eastAsia="Times New Roman" w:hAnsi="Times New Roman"/>
          <w:sz w:val="19"/>
          <w:szCs w:val="19"/>
          <w:color w:val="auto"/>
        </w:rPr>
      </w:pPr>
    </w:p>
    <w:p>
      <w:pPr>
        <w:ind w:right="140" w:firstLine="6"/>
        <w:spacing w:after="0" w:line="250" w:lineRule="auto"/>
        <w:tabs>
          <w:tab w:leader="none" w:pos="272"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Counsel is delivered to the Indenture Trustee and the Owner Trustee providing that such amendment will not result in or cause the Issuer (or any part thereof) to be classified, for United States federal income tax purposes, as an association (or a publicly traded partnership) taxable as a corporation or as other than a fixed investment trust described in Treasury Regulation section 301.7701-4(c) that is treated as a grantor trust under subpart E, Part I of subchapter J of the Code. The Indenture Trustee may, but shall not be obligated to, enter into any such supplemental indenture that affects the Indenture Trustee's own rights, duties, liabilities or immunities under this Indenture or otherwise. The Owner Trustee's and the Indenture Trustee's reasonable costs and expenses (including any reasonable attorney's fees and expenses) related to any supplemental indenture shall be paid by the Issuer pursuant to Section 5.7(a)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Sale and Servicing Agreement or Section 5.6 of this Indenture.</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52" w:name="page353"/>
    <w:bookmarkEnd w:id="352"/>
    <w:p>
      <w:pPr>
        <w:spacing w:after="0" w:line="200" w:lineRule="exact"/>
        <w:rPr>
          <w:sz w:val="20"/>
          <w:szCs w:val="20"/>
          <w:color w:val="auto"/>
        </w:rPr>
      </w:pPr>
    </w:p>
    <w:p>
      <w:pPr>
        <w:spacing w:after="0" w:line="261" w:lineRule="exact"/>
        <w:rPr>
          <w:sz w:val="20"/>
          <w:szCs w:val="20"/>
          <w:color w:val="auto"/>
        </w:rPr>
      </w:pPr>
    </w:p>
    <w:p>
      <w:pPr>
        <w:ind w:right="10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IX.4 </w:t>
      </w:r>
      <w:r>
        <w:rPr>
          <w:rFonts w:ascii="Times New Roman" w:cs="Times New Roman" w:eastAsia="Times New Roman" w:hAnsi="Times New Roman"/>
          <w:sz w:val="19"/>
          <w:szCs w:val="19"/>
          <w:color w:val="000000"/>
        </w:rPr>
        <w:t>Effect of Supplemental Indenture. Upon the execution of any supplemental indenture pursuant to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provisions hereof, this Indenture shall be and be deemed to be modified and amended in accordance therewith with respect to the Notes affected thereby, and the respective rights, limitations of rights, obligations, duties, liabilities and immunities under this Indenture of the Indenture Trustee, the Issuer and the Holders of the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7" w:lineRule="exact"/>
        <w:rPr>
          <w:sz w:val="20"/>
          <w:szCs w:val="20"/>
          <w:color w:val="auto"/>
        </w:rPr>
      </w:pPr>
    </w:p>
    <w:p>
      <w:pPr>
        <w:ind w:right="16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IX.5 </w:t>
      </w:r>
      <w:r>
        <w:rPr>
          <w:rFonts w:ascii="Times New Roman" w:cs="Times New Roman" w:eastAsia="Times New Roman" w:hAnsi="Times New Roman"/>
          <w:sz w:val="19"/>
          <w:szCs w:val="19"/>
          <w:color w:val="000000"/>
        </w:rPr>
        <w:t>Reference in Notes to Supplemental Indentures. Notes authenticated and delivered after the execution of 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supplemental indenture pursuant to this Article IX may, and if required by the Indenture Trustee shall, bear a notation in form approved by the Indenture Trustee as to any matter provided for in such supplemental indenture. If the Issuer or the Indenture Trustee shall so determine, new Notes so modified as to conform, in the opinion of the Indenture Trustee and the Issuer, to any such supplemental indenture may be prepared and executed by the Issuer and authenticated and delivered by the Indenture Trustee in exchange for Outstanding Notes.</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F5496"/>
        </w:rPr>
        <w:t>ARTICLE X</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Redemption of Notes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X.1  </w:t>
      </w:r>
      <w:r>
        <w:rPr>
          <w:rFonts w:ascii="Times New Roman" w:cs="Times New Roman" w:eastAsia="Times New Roman" w:hAnsi="Times New Roman"/>
          <w:sz w:val="19"/>
          <w:szCs w:val="19"/>
          <w:color w:val="000000"/>
        </w:rPr>
        <w:t>Redemption.</w:t>
      </w:r>
    </w:p>
    <w:p>
      <w:pPr>
        <w:spacing w:after="0" w:line="202" w:lineRule="exact"/>
        <w:rPr>
          <w:sz w:val="20"/>
          <w:szCs w:val="20"/>
          <w:color w:val="auto"/>
        </w:rPr>
      </w:pPr>
    </w:p>
    <w:p>
      <w:pPr>
        <w:ind w:firstLine="1410"/>
        <w:spacing w:after="0" w:line="254" w:lineRule="auto"/>
        <w:tabs>
          <w:tab w:leader="none" w:pos="1765" w:val="left"/>
        </w:tabs>
        <w:numPr>
          <w:ilvl w:val="0"/>
          <w:numId w:val="29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The Notes shall be redeemed in whole, but not in part, on any Distribution Date on which the Servicer exercises its option to purchase the Trust Estate pursuant to Section 10.1(a) of the Sale and Servicing Agreement, for a purchase price equal to the Redemption Price;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redemption may be effected unless the Issuer has available funds sufficient to pay the Redemption Price and all amounts owed by the Trust to the Servicer, the Indenture Trustee, the Backup Servicer, any successor Custodian, the Owner Trustee and the Lockbox Bank hereunder and under the Sale and Servicing Agreement on such Distribution Date. If the Notes are to be redeemed pursuant to this Section 10.1(a), the Servicer or the Issuer shall furnish notice of such election to the Indenture Trustee, the Depositor and the Rating Agencies, no later than five days prior to the Redemption Date, and the Issuer shall deposit with the Indenture Trustee in the Collection Account the amount required to be so deposited pursuant to Section 10.1(a) of the Sale and Servicing Agreement, whereupon all Outstanding Notes shall be due and payable on the Redemption Date subject to the furnishing of a notice complying with Section 10.2 to each Holder of Notes.</w:t>
      </w:r>
    </w:p>
    <w:p>
      <w:pPr>
        <w:spacing w:after="0" w:line="160" w:lineRule="exact"/>
        <w:rPr>
          <w:rFonts w:ascii="Times New Roman" w:cs="Times New Roman" w:eastAsia="Times New Roman" w:hAnsi="Times New Roman"/>
          <w:sz w:val="19"/>
          <w:szCs w:val="19"/>
          <w:color w:val="1F3763"/>
        </w:rPr>
      </w:pPr>
    </w:p>
    <w:p>
      <w:pPr>
        <w:ind w:right="60" w:firstLine="1410"/>
        <w:spacing w:after="0" w:line="256" w:lineRule="auto"/>
        <w:tabs>
          <w:tab w:leader="none" w:pos="1777" w:val="left"/>
        </w:tabs>
        <w:numPr>
          <w:ilvl w:val="0"/>
          <w:numId w:val="29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the assets of the Trust are distributed pursuant to Section 8.1 of the Trust Agreement, all amounts on deposit in the Note Distribution Account shall be paid to the Noteholders up to the Outstanding Amount of the Notes and all accrued and unpaid interest thereon. If amounts are to be paid to Noteholders pursuant to this Section 10.1(b), the Servicer or the Issuer shall, to the extent practicable, furnish notice of such event to the Depositor, the Indenture Trustee and the Rating Agencies not fewer than ten</w:t>
      </w:r>
    </w:p>
    <w:p>
      <w:pPr>
        <w:spacing w:after="0" w:line="2" w:lineRule="exact"/>
        <w:rPr>
          <w:sz w:val="20"/>
          <w:szCs w:val="20"/>
          <w:color w:val="auto"/>
        </w:rPr>
      </w:pPr>
    </w:p>
    <w:p>
      <w:pPr>
        <w:ind w:left="5200" w:right="680" w:hanging="5184"/>
        <w:spacing w:after="0" w:line="262" w:lineRule="auto"/>
        <w:rPr>
          <w:sz w:val="20"/>
          <w:szCs w:val="20"/>
          <w:color w:val="auto"/>
        </w:rPr>
      </w:pPr>
      <w:r>
        <w:rPr>
          <w:rFonts w:ascii="Times New Roman" w:cs="Times New Roman" w:eastAsia="Times New Roman" w:hAnsi="Times New Roman"/>
          <w:sz w:val="19"/>
          <w:szCs w:val="19"/>
          <w:color w:val="auto"/>
        </w:rPr>
        <w:t>days nor more than 45 days prior to the Redemption Date whereupon all such amounts shall be payable on the Redemption Date.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53" w:name="page354"/>
    <w:bookmarkEnd w:id="353"/>
    <w:p>
      <w:pPr>
        <w:spacing w:after="0" w:line="200" w:lineRule="exact"/>
        <w:rPr>
          <w:sz w:val="20"/>
          <w:szCs w:val="20"/>
          <w:color w:val="auto"/>
        </w:rPr>
      </w:pPr>
    </w:p>
    <w:p>
      <w:pPr>
        <w:spacing w:after="0" w:line="261" w:lineRule="exact"/>
        <w:rPr>
          <w:sz w:val="20"/>
          <w:szCs w:val="20"/>
          <w:color w:val="auto"/>
        </w:rPr>
      </w:pPr>
    </w:p>
    <w:p>
      <w:pPr>
        <w:jc w:val="both"/>
        <w:ind w:right="6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X.2 </w:t>
      </w:r>
      <w:r>
        <w:rPr>
          <w:rFonts w:ascii="Times New Roman" w:cs="Times New Roman" w:eastAsia="Times New Roman" w:hAnsi="Times New Roman"/>
          <w:sz w:val="19"/>
          <w:szCs w:val="19"/>
          <w:color w:val="000000"/>
        </w:rPr>
        <w:t>Form of Redemption. Notice of redemption under Section 10.1(a) shall be given by the Indenture Trustee by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facsimile or by first-class mail, postage prepaid, transmitted or mailed prior to the applicable Redemption Date to each Holder of Notes, as of the close of business on the Record Date preceding the applicable Redemption Date, at such Holder's address appearing in the Note Register.</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All notices of redemption shall state:</w:t>
      </w:r>
    </w:p>
    <w:p>
      <w:pPr>
        <w:spacing w:after="0" w:line="202" w:lineRule="exact"/>
        <w:rPr>
          <w:sz w:val="20"/>
          <w:szCs w:val="20"/>
          <w:color w:val="auto"/>
        </w:rPr>
      </w:pPr>
    </w:p>
    <w:p>
      <w:pPr>
        <w:ind w:left="1780" w:hanging="226"/>
        <w:spacing w:after="0"/>
        <w:tabs>
          <w:tab w:leader="none" w:pos="1780" w:val="left"/>
        </w:tabs>
        <w:numPr>
          <w:ilvl w:val="0"/>
          <w:numId w:val="29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Redemption Date;</w:t>
      </w:r>
    </w:p>
    <w:p>
      <w:pPr>
        <w:spacing w:after="0" w:line="201" w:lineRule="exact"/>
        <w:rPr>
          <w:rFonts w:ascii="Times New Roman" w:cs="Times New Roman" w:eastAsia="Times New Roman" w:hAnsi="Times New Roman"/>
          <w:sz w:val="19"/>
          <w:szCs w:val="19"/>
          <w:color w:val="1F3763"/>
        </w:rPr>
      </w:pPr>
    </w:p>
    <w:p>
      <w:pPr>
        <w:ind w:left="1840" w:hanging="286"/>
        <w:spacing w:after="0"/>
        <w:tabs>
          <w:tab w:leader="none" w:pos="1840" w:val="left"/>
        </w:tabs>
        <w:numPr>
          <w:ilvl w:val="0"/>
          <w:numId w:val="29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Redemption Price;</w:t>
      </w:r>
    </w:p>
    <w:p>
      <w:pPr>
        <w:spacing w:after="0" w:line="201" w:lineRule="exact"/>
        <w:rPr>
          <w:rFonts w:ascii="Times New Roman" w:cs="Times New Roman" w:eastAsia="Times New Roman" w:hAnsi="Times New Roman"/>
          <w:sz w:val="19"/>
          <w:szCs w:val="19"/>
          <w:color w:val="1F3763"/>
        </w:rPr>
      </w:pPr>
    </w:p>
    <w:p>
      <w:pPr>
        <w:jc w:val="both"/>
        <w:ind w:left="800" w:right="40" w:firstLine="754"/>
        <w:spacing w:after="0" w:line="268" w:lineRule="auto"/>
        <w:tabs>
          <w:tab w:leader="none" w:pos="1892" w:val="left"/>
        </w:tabs>
        <w:numPr>
          <w:ilvl w:val="0"/>
          <w:numId w:val="29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that the Record Date otherwise applicable to such Redemption Date is not applicable and that payments shall be made only upon presentation and surrender of such Notes and the place where such Notes are to be surrendered for payment of the Redemption Price (which shall be the office or agency of the Issuer to be maintained as provided in Section 3.2); and</w:t>
      </w:r>
    </w:p>
    <w:p>
      <w:pPr>
        <w:spacing w:after="0" w:line="144" w:lineRule="exact"/>
        <w:rPr>
          <w:rFonts w:ascii="Times New Roman" w:cs="Times New Roman" w:eastAsia="Times New Roman" w:hAnsi="Times New Roman"/>
          <w:sz w:val="19"/>
          <w:szCs w:val="19"/>
          <w:color w:val="1F3763"/>
        </w:rPr>
      </w:pPr>
    </w:p>
    <w:p>
      <w:pPr>
        <w:ind w:left="1880" w:hanging="326"/>
        <w:spacing w:after="0"/>
        <w:tabs>
          <w:tab w:leader="none" w:pos="1880" w:val="left"/>
        </w:tabs>
        <w:numPr>
          <w:ilvl w:val="0"/>
          <w:numId w:val="29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that interest on the Notes shall cease to accrue on the Redemption Date.</w:t>
      </w:r>
    </w:p>
    <w:p>
      <w:pPr>
        <w:spacing w:after="0" w:line="202"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Notice of redemption of the Notes shall be given by the Indenture Trustee in the name and at the expense of the Issuer. Failure to give notice of redemption, or any defect therein, to any Holder of any Note shall not impair or affect the validity of the redemption of any other Note.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Prior notice of redemption under Section 10.1(b) is not required to be given to the Noteholders.</w:t>
      </w:r>
    </w:p>
    <w:p>
      <w:pPr>
        <w:spacing w:after="0" w:line="202"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X.3 </w:t>
      </w:r>
      <w:r>
        <w:rPr>
          <w:rFonts w:ascii="Times New Roman" w:cs="Times New Roman" w:eastAsia="Times New Roman" w:hAnsi="Times New Roman"/>
          <w:sz w:val="19"/>
          <w:szCs w:val="19"/>
          <w:color w:val="000000"/>
        </w:rPr>
        <w:t>Notes Payable on Redemption Date. The Notes to be redeemed shall, following notice of redemption, as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required by Section 10.2 (in the case of redemption pursuant to Section 10.1(a)), on the Redemption Date become due and payable at the Redemption Price and (unless the Issuer shall default in the payment of the Redemption Price) no interest shall accrue on the Redemption Price for any period after the date to which accrued interest is calculated for purposes of calculating the Redemption Price.</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XI</w:t>
      </w:r>
    </w:p>
    <w:p>
      <w:pPr>
        <w:spacing w:after="0" w:line="20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XI.1  </w:t>
      </w:r>
      <w:r>
        <w:rPr>
          <w:rFonts w:ascii="Times New Roman" w:cs="Times New Roman" w:eastAsia="Times New Roman" w:hAnsi="Times New Roman"/>
          <w:sz w:val="19"/>
          <w:szCs w:val="19"/>
          <w:color w:val="000000"/>
        </w:rPr>
        <w:t>Compliance Certificates and Opinions, etc.</w:t>
      </w:r>
    </w:p>
    <w:p>
      <w:pPr>
        <w:spacing w:after="0" w:line="202" w:lineRule="exact"/>
        <w:rPr>
          <w:sz w:val="20"/>
          <w:szCs w:val="20"/>
          <w:color w:val="auto"/>
        </w:rPr>
      </w:pPr>
    </w:p>
    <w:p>
      <w:pPr>
        <w:ind w:right="20" w:firstLine="1410"/>
        <w:spacing w:after="0" w:line="255" w:lineRule="auto"/>
        <w:tabs>
          <w:tab w:leader="none" w:pos="1765" w:val="left"/>
        </w:tabs>
        <w:numPr>
          <w:ilvl w:val="0"/>
          <w:numId w:val="3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any application or request by the Issuer to the Indenture Trustee to take any action under any provision of this Indenture, the Issuer shall furnish to the Indenture Trustee (i) an Officer's Certificate stating that all conditions precedent, if any, provided for in this Indenture relating to the proposed action have been complied with, and (ii) an Opinion of Counsel stating that in the opinion of such counsel all such conditions precedent, if any, have been complied with, except that, in the case of any such application or request as to which the furnishing of such</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54" w:name="page355"/>
    <w:bookmarkEnd w:id="354"/>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documents is specifically required by any provision of this Indenture, no additional certificate or opinion need be furnished.</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Every certificate or opinion with respect to compliance with a condition or covenant provided for in this Indenture shall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include:</w:t>
      </w:r>
    </w:p>
    <w:p>
      <w:pPr>
        <w:spacing w:after="0" w:line="180" w:lineRule="exact"/>
        <w:rPr>
          <w:sz w:val="20"/>
          <w:szCs w:val="20"/>
          <w:color w:val="auto"/>
        </w:rPr>
      </w:pPr>
    </w:p>
    <w:p>
      <w:pPr>
        <w:ind w:left="800" w:right="180" w:firstLine="754"/>
        <w:spacing w:after="0" w:line="286" w:lineRule="auto"/>
        <w:tabs>
          <w:tab w:leader="none" w:pos="1880" w:val="left"/>
        </w:tabs>
        <w:numPr>
          <w:ilvl w:val="1"/>
          <w:numId w:val="30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statement that each signatory of such certificate or opinion has read or has caused to be read such covenant or condition and the definitions herein relating thereto;</w:t>
      </w:r>
    </w:p>
    <w:p>
      <w:pPr>
        <w:spacing w:after="0" w:line="127" w:lineRule="exact"/>
        <w:rPr>
          <w:rFonts w:ascii="Times New Roman" w:cs="Times New Roman" w:eastAsia="Times New Roman" w:hAnsi="Times New Roman"/>
          <w:sz w:val="19"/>
          <w:szCs w:val="19"/>
          <w:color w:val="1F3763"/>
        </w:rPr>
      </w:pPr>
    </w:p>
    <w:p>
      <w:pPr>
        <w:ind w:left="800" w:right="320" w:firstLine="754"/>
        <w:spacing w:after="0" w:line="286" w:lineRule="auto"/>
        <w:tabs>
          <w:tab w:leader="none" w:pos="1940" w:val="left"/>
        </w:tabs>
        <w:numPr>
          <w:ilvl w:val="1"/>
          <w:numId w:val="30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brief statement as to the nature and scope of the examination or investigation upon which the statements or opinions contained in such certificate or opinion are based;</w:t>
      </w:r>
    </w:p>
    <w:p>
      <w:pPr>
        <w:spacing w:after="0" w:line="127" w:lineRule="exact"/>
        <w:rPr>
          <w:rFonts w:ascii="Times New Roman" w:cs="Times New Roman" w:eastAsia="Times New Roman" w:hAnsi="Times New Roman"/>
          <w:sz w:val="19"/>
          <w:szCs w:val="19"/>
          <w:color w:val="1F3763"/>
        </w:rPr>
      </w:pPr>
    </w:p>
    <w:p>
      <w:pPr>
        <w:ind w:left="800" w:right="360" w:firstLine="754"/>
        <w:spacing w:after="0" w:line="268" w:lineRule="auto"/>
        <w:tabs>
          <w:tab w:leader="none" w:pos="1988" w:val="left"/>
        </w:tabs>
        <w:numPr>
          <w:ilvl w:val="1"/>
          <w:numId w:val="30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statement that, in the opinion of each such signatory, such signatory has made such examination or investigation as is necessary to enable such signatory to express an informed opinion as to whether or not such covenant or condition has been complied with; and</w:t>
      </w:r>
    </w:p>
    <w:p>
      <w:pPr>
        <w:spacing w:after="0" w:line="144" w:lineRule="exact"/>
        <w:rPr>
          <w:rFonts w:ascii="Times New Roman" w:cs="Times New Roman" w:eastAsia="Times New Roman" w:hAnsi="Times New Roman"/>
          <w:sz w:val="19"/>
          <w:szCs w:val="19"/>
          <w:color w:val="1F3763"/>
        </w:rPr>
      </w:pPr>
    </w:p>
    <w:p>
      <w:pPr>
        <w:ind w:left="1980" w:hanging="426"/>
        <w:spacing w:after="0"/>
        <w:tabs>
          <w:tab w:leader="none" w:pos="1980" w:val="left"/>
        </w:tabs>
        <w:numPr>
          <w:ilvl w:val="1"/>
          <w:numId w:val="30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statement as to whether, in the opinion of each such signatory such condition or covenant has been complied</w:t>
      </w:r>
    </w:p>
    <w:p>
      <w:pPr>
        <w:spacing w:after="0" w:line="31" w:lineRule="exact"/>
        <w:rPr>
          <w:rFonts w:ascii="Times New Roman" w:cs="Times New Roman" w:eastAsia="Times New Roman" w:hAnsi="Times New Roman"/>
          <w:sz w:val="19"/>
          <w:szCs w:val="19"/>
          <w:color w:val="1F3763"/>
        </w:rPr>
      </w:pPr>
    </w:p>
    <w:p>
      <w:pPr>
        <w:ind w:left="80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with.</w:t>
      </w:r>
    </w:p>
    <w:p>
      <w:pPr>
        <w:spacing w:after="0" w:line="179" w:lineRule="exact"/>
        <w:rPr>
          <w:rFonts w:ascii="Times New Roman" w:cs="Times New Roman" w:eastAsia="Times New Roman" w:hAnsi="Times New Roman"/>
          <w:sz w:val="19"/>
          <w:szCs w:val="19"/>
          <w:color w:val="1F3763"/>
        </w:rPr>
      </w:pPr>
    </w:p>
    <w:p>
      <w:pPr>
        <w:ind w:right="40" w:firstLine="1410"/>
        <w:spacing w:after="0" w:line="259" w:lineRule="auto"/>
        <w:tabs>
          <w:tab w:leader="none" w:pos="1777" w:val="left"/>
        </w:tabs>
        <w:numPr>
          <w:ilvl w:val="0"/>
          <w:numId w:val="30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 Prior to the deposit of any Collateral or other property or securities with the Indenture Trustee that is to be made the basis for the release of any property or securities subject to the lien of this Indenture, the Issuer shall, in addition to any obligation imposed in Section 11.1(a) or elsewhere in this Indenture, furnish to the Indenture Trustee an Officer's Certificate certifying or stating the opinion of each person signing such certificate as to the fair value (within 90 days of such deposit) to the Issuer of the Collateral or other property or securities to be so deposited.</w:t>
      </w:r>
    </w:p>
    <w:p>
      <w:pPr>
        <w:spacing w:after="0" w:line="153" w:lineRule="exact"/>
        <w:rPr>
          <w:rFonts w:ascii="Times New Roman" w:cs="Times New Roman" w:eastAsia="Times New Roman" w:hAnsi="Times New Roman"/>
          <w:sz w:val="19"/>
          <w:szCs w:val="19"/>
          <w:color w:val="1F3763"/>
        </w:rPr>
      </w:pPr>
    </w:p>
    <w:p>
      <w:pPr>
        <w:ind w:left="800" w:right="40" w:firstLine="754"/>
        <w:spacing w:after="0" w:line="255" w:lineRule="auto"/>
        <w:tabs>
          <w:tab w:leader="none" w:pos="2036" w:val="left"/>
        </w:tabs>
        <w:numPr>
          <w:ilvl w:val="1"/>
          <w:numId w:val="30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Whenever the Issuer is required to furnish to the Indenture Trustee an Officer's Certificate certifying or stating the opinion of any signer thereof as to the matters described in clause (i) above, the Issuer shall also deliver to the Indenture Trustee an Independent Certificate as to the same matters, if the fair value to the Issuer of the securities to be so deposited and of all other such securities made the basis of any such withdrawal or release since the commencement of the then-current fiscal year of the Issuer, as set forth in the certificates delivered pursuant to clause (i) above and this clause (ii), is ten percent (10%) or more of the Note Balance of the Notes, but such a certificate need not be furnished with respect to any securities so deposited, if the fair value thereof to the Issuer as set forth in the related Officer's Certificate is less than $25,000 or less than one percent (1%) of the Note Balance of the Notes.</w:t>
      </w:r>
    </w:p>
    <w:p>
      <w:pPr>
        <w:spacing w:after="0" w:line="159" w:lineRule="exact"/>
        <w:rPr>
          <w:rFonts w:ascii="Times New Roman" w:cs="Times New Roman" w:eastAsia="Times New Roman" w:hAnsi="Times New Roman"/>
          <w:sz w:val="19"/>
          <w:szCs w:val="19"/>
          <w:color w:val="1F3763"/>
        </w:rPr>
      </w:pPr>
    </w:p>
    <w:p>
      <w:pPr>
        <w:jc w:val="both"/>
        <w:ind w:left="800" w:right="100" w:firstLine="754"/>
        <w:spacing w:after="0" w:line="258" w:lineRule="auto"/>
        <w:tabs>
          <w:tab w:leader="none" w:pos="2084" w:val="left"/>
        </w:tabs>
        <w:numPr>
          <w:ilvl w:val="1"/>
          <w:numId w:val="30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Other than with respect to the release of any Purchased Receivables or Defaulted Receivables, whenever any property or securities are to be released from the lien of this Indenture, the Issuer shall also furnish to the Indenture Trustee an Officer's Certificate certifying or stating the opinion of each person signing such certificate as to the fair value (within 90 days</w:t>
      </w:r>
    </w:p>
    <w:p>
      <w:pPr>
        <w:spacing w:after="0" w:line="2" w:lineRule="exact"/>
        <w:rPr>
          <w:sz w:val="20"/>
          <w:szCs w:val="20"/>
          <w:color w:val="auto"/>
        </w:rPr>
      </w:pPr>
    </w:p>
    <w:p>
      <w:pPr>
        <w:ind w:left="800" w:right="40"/>
        <w:spacing w:after="0" w:line="250" w:lineRule="auto"/>
        <w:rPr>
          <w:sz w:val="20"/>
          <w:szCs w:val="20"/>
          <w:color w:val="auto"/>
        </w:rPr>
      </w:pPr>
      <w:r>
        <w:rPr>
          <w:rFonts w:ascii="Times New Roman" w:cs="Times New Roman" w:eastAsia="Times New Roman" w:hAnsi="Times New Roman"/>
          <w:sz w:val="19"/>
          <w:szCs w:val="19"/>
          <w:color w:val="auto"/>
        </w:rPr>
        <w:t>of such release) of the property or securities proposed to be released and stating that in the opinion of such person the proposed release will not impair the security under this Indenture in contravention of the provisions hereof.</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55" w:name="page356"/>
    <w:bookmarkEnd w:id="355"/>
    <w:p>
      <w:pPr>
        <w:spacing w:after="0" w:line="200" w:lineRule="exact"/>
        <w:rPr>
          <w:sz w:val="20"/>
          <w:szCs w:val="20"/>
          <w:color w:val="auto"/>
        </w:rPr>
      </w:pPr>
    </w:p>
    <w:p>
      <w:pPr>
        <w:spacing w:after="0" w:line="261" w:lineRule="exact"/>
        <w:rPr>
          <w:sz w:val="20"/>
          <w:szCs w:val="20"/>
          <w:color w:val="auto"/>
        </w:rPr>
      </w:pPr>
    </w:p>
    <w:p>
      <w:pPr>
        <w:ind w:left="800" w:right="40" w:firstLine="754"/>
        <w:spacing w:after="0" w:line="255" w:lineRule="auto"/>
        <w:tabs>
          <w:tab w:leader="none" w:pos="1976" w:val="left"/>
        </w:tabs>
        <w:numPr>
          <w:ilvl w:val="0"/>
          <w:numId w:val="30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Whenever the Issuer is required to furnish to the Indenture Trustee an Officer's Certificate certifying or stating the opinion of any signer thereof as to the matters described in clause (viii) above, the Issuer shall also furnish to the Indenture Trustee an Independent Certificate as to the same matters if the fair value of the property or securities and of all other property other than Purchased Receivables and Defaulted Receivables, or securities released from the lien of this Indenture since the commencement of the then current calendar year, as set forth in the certificates required by clause (viii) above and this clause (ix), equals ten percent (10%) or more of the Note Balance of the Notes, but such certificate need not be furnished in the case of any release of property or securities if the fair value thereof as set forth in the related Officer's Certificate is less than $25,000 or less than one percent (1%) of the then Note Balance of the Notes.</w:t>
      </w:r>
    </w:p>
    <w:p>
      <w:pPr>
        <w:spacing w:after="0" w:line="159" w:lineRule="exact"/>
        <w:rPr>
          <w:rFonts w:ascii="Times New Roman" w:cs="Times New Roman" w:eastAsia="Times New Roman" w:hAnsi="Times New Roman"/>
          <w:sz w:val="19"/>
          <w:szCs w:val="19"/>
          <w:color w:val="1F3763"/>
        </w:rPr>
      </w:pPr>
    </w:p>
    <w:p>
      <w:pPr>
        <w:ind w:left="800" w:right="120" w:firstLine="754"/>
        <w:spacing w:after="0" w:line="268" w:lineRule="auto"/>
        <w:tabs>
          <w:tab w:leader="none" w:pos="1928" w:val="left"/>
        </w:tabs>
        <w:numPr>
          <w:ilvl w:val="0"/>
          <w:numId w:val="30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Section 2.9 or any other provision of this Section, the Issuer may (A) collect, liquidate, sell or otherwise dispose of Receivables as and to the extent permitted or required by the Basic Documents and (B) make cash payments out of the Trust Accounts as and to the extent permitted or required by the Basic Documents.</w:t>
      </w:r>
    </w:p>
    <w:p>
      <w:pPr>
        <w:spacing w:after="0" w:line="144"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XI.2 </w:t>
      </w:r>
      <w:r>
        <w:rPr>
          <w:rFonts w:ascii="Times New Roman" w:cs="Times New Roman" w:eastAsia="Times New Roman" w:hAnsi="Times New Roman"/>
          <w:sz w:val="19"/>
          <w:szCs w:val="19"/>
          <w:color w:val="000000"/>
        </w:rPr>
        <w:t>Form of Documents Delivered to Indenture Trustee. In any case where several matters are required to be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Any certificate or opinion of an Authorized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of an Authorized Officer or Opinion of Counsel may be based, insofar as it relates to factual matters, upon a certificate or opinion of, or representations by, an officer or officers of the Servicer, the Depositor or the Issuer, stating that the information with respect to such factual matters is in the possession of the Servicer, the Depositor or the Issuer, unless such counsel knows, or in the exercise of reasonable care should know, that the certificate or opinion or representations with respect to such matters are erroneous.</w:t>
      </w:r>
    </w:p>
    <w:p>
      <w:pPr>
        <w:spacing w:after="0" w:line="160" w:lineRule="exact"/>
        <w:rPr>
          <w:sz w:val="20"/>
          <w:szCs w:val="20"/>
          <w:color w:val="auto"/>
        </w:rPr>
      </w:pPr>
    </w:p>
    <w:p>
      <w:pPr>
        <w:ind w:right="520" w:firstLine="1404"/>
        <w:spacing w:after="0" w:line="286" w:lineRule="auto"/>
        <w:rPr>
          <w:sz w:val="20"/>
          <w:szCs w:val="20"/>
          <w:color w:val="auto"/>
        </w:rPr>
      </w:pPr>
      <w:r>
        <w:rPr>
          <w:rFonts w:ascii="Times New Roman" w:cs="Times New Roman" w:eastAsia="Times New Roman" w:hAnsi="Times New Roman"/>
          <w:sz w:val="19"/>
          <w:szCs w:val="19"/>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7" w:lineRule="exact"/>
        <w:rPr>
          <w:sz w:val="20"/>
          <w:szCs w:val="20"/>
          <w:color w:val="auto"/>
        </w:rPr>
      </w:pPr>
    </w:p>
    <w:p>
      <w:pPr>
        <w:ind w:right="280" w:firstLine="1404"/>
        <w:spacing w:after="0" w:line="254" w:lineRule="auto"/>
        <w:rPr>
          <w:sz w:val="20"/>
          <w:szCs w:val="20"/>
          <w:color w:val="auto"/>
        </w:rPr>
      </w:pPr>
      <w:r>
        <w:rPr>
          <w:rFonts w:ascii="Times New Roman" w:cs="Times New Roman" w:eastAsia="Times New Roman" w:hAnsi="Times New Roman"/>
          <w:sz w:val="19"/>
          <w:szCs w:val="19"/>
          <w:color w:val="auto"/>
        </w:rPr>
        <w:t>Whenever in this Indenture, in connection with any application or certificate or report to the Indenture Trustee, it is provided that the Issuer shall deliver any document as a condition of the granting of such application, or as evidence of the Issuer's compliance with any term hereof, it is intended that the truth and accuracy, at the time of the granting of such application or at the effective date of such certificate or report (as the case may be), of the facts and opinions stated in such document shall in such case be conditions precedent to the right of the Issuer to have such application granted or to the sufficiency of such certificate or report. The foregoing shall not,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6" w:name="page357"/>
    <w:bookmarkEnd w:id="356"/>
    <w:p>
      <w:pPr>
        <w:spacing w:after="0" w:line="200" w:lineRule="exact"/>
        <w:rPr>
          <w:sz w:val="20"/>
          <w:szCs w:val="20"/>
          <w:color w:val="auto"/>
        </w:rPr>
      </w:pPr>
    </w:p>
    <w:p>
      <w:pPr>
        <w:spacing w:after="0" w:line="26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however, be construed to affect the Indenture Trustee's right to rely upon the truth and accuracy of any statement or opinion contained in any such document as provided in Article VI.</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XI.3  </w:t>
      </w:r>
      <w:r>
        <w:rPr>
          <w:rFonts w:ascii="Times New Roman" w:cs="Times New Roman" w:eastAsia="Times New Roman" w:hAnsi="Times New Roman"/>
          <w:sz w:val="19"/>
          <w:szCs w:val="19"/>
          <w:color w:val="000000"/>
        </w:rPr>
        <w:t>Acts of Noteholders.</w:t>
      </w:r>
    </w:p>
    <w:p>
      <w:pPr>
        <w:spacing w:after="0" w:line="202" w:lineRule="exact"/>
        <w:rPr>
          <w:sz w:val="20"/>
          <w:szCs w:val="20"/>
          <w:color w:val="auto"/>
        </w:rPr>
      </w:pPr>
    </w:p>
    <w:p>
      <w:pPr>
        <w:ind w:firstLine="1410"/>
        <w:spacing w:after="0" w:line="254" w:lineRule="auto"/>
        <w:tabs>
          <w:tab w:leader="none" w:pos="1765" w:val="left"/>
        </w:tabs>
        <w:numPr>
          <w:ilvl w:val="0"/>
          <w:numId w:val="30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request, demand, authorization, direction, notice, consent, waiver or other action provided by this Indenture to be given or taken by Noteholders may be embodied in and evidenced by one or more instruments of substantially similar tenor signed by such Noteholders in person or by agents duly appointed in writing; and except as herein otherwise expressly provided such action shall become effective when such instrument or instruments are delivered to the Indenture Trustee, and, where it is hereby expressly required, to the Issuer. Such instrument or instruments (and the action embodied therein and evidenced thereby) are herein sometimes referred to as the "Act" of the Noteholders signing such instrument or instruments. Proof of execution of any such instrument or of a writing appointing any such agent shall be sufficient for any purpose of this Indenture and (subject to Section 6.1) conclusive in favor of the Indenture Trustee and the Issuer, if made in the manner provided in this Section. In the event the Indenture Trustee shall receive conflicting or inconsistent requests and indemnity from two or more groups of Noteholders, each representing less than a majority of the Outstanding Amount of the Notes or the Majority Noteholders, as required by the context, the Indenture Trustee in its sole discretion may determine what action, if any, shall be taken, notwithstanding any other provisions of this Indenture.</w:t>
      </w:r>
    </w:p>
    <w:p>
      <w:pPr>
        <w:spacing w:after="0" w:line="157" w:lineRule="exact"/>
        <w:rPr>
          <w:rFonts w:ascii="Times New Roman" w:cs="Times New Roman" w:eastAsia="Times New Roman" w:hAnsi="Times New Roman"/>
          <w:sz w:val="19"/>
          <w:szCs w:val="19"/>
          <w:color w:val="1F3763"/>
        </w:rPr>
      </w:pPr>
    </w:p>
    <w:p>
      <w:pPr>
        <w:ind w:right="640" w:firstLine="1410"/>
        <w:spacing w:after="0" w:line="286" w:lineRule="auto"/>
        <w:tabs>
          <w:tab w:leader="none" w:pos="1777" w:val="left"/>
        </w:tabs>
        <w:numPr>
          <w:ilvl w:val="0"/>
          <w:numId w:val="30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fact and date of the execution by any Person of any such instrument or writing may be proved in any customary manner of the Indenture Trustee.</w:t>
      </w:r>
    </w:p>
    <w:p>
      <w:pPr>
        <w:spacing w:after="0" w:line="127"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0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ownership of Notes shall be proved by the Note Register.</w:t>
      </w:r>
    </w:p>
    <w:p>
      <w:pPr>
        <w:spacing w:after="0" w:line="201" w:lineRule="exact"/>
        <w:rPr>
          <w:rFonts w:ascii="Times New Roman" w:cs="Times New Roman" w:eastAsia="Times New Roman" w:hAnsi="Times New Roman"/>
          <w:sz w:val="19"/>
          <w:szCs w:val="19"/>
          <w:color w:val="1F3763"/>
        </w:rPr>
      </w:pPr>
    </w:p>
    <w:p>
      <w:pPr>
        <w:jc w:val="both"/>
        <w:ind w:right="20" w:firstLine="1410"/>
        <w:spacing w:after="0" w:line="262" w:lineRule="auto"/>
        <w:tabs>
          <w:tab w:leader="none" w:pos="1777" w:val="left"/>
        </w:tabs>
        <w:numPr>
          <w:ilvl w:val="0"/>
          <w:numId w:val="30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request, demand, authorization, direction, notice, consent, waiver or other action by the Holder of any Notes shall bind the Holder of every Note issued upon the registration thereof or in exchange therefor or in lieu thereof, in respect of anything done, omitted or suffered to be done by the Indenture Trustee or the Issuer in reliance thereon, whether or not notation of such action is made upon such Note.</w:t>
      </w:r>
    </w:p>
    <w:p>
      <w:pPr>
        <w:spacing w:after="0" w:line="150" w:lineRule="exact"/>
        <w:rPr>
          <w:sz w:val="20"/>
          <w:szCs w:val="20"/>
          <w:color w:val="auto"/>
        </w:rPr>
      </w:pPr>
    </w:p>
    <w:p>
      <w:pPr>
        <w:ind w:right="24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XI.4 </w:t>
      </w:r>
      <w:r>
        <w:rPr>
          <w:rFonts w:ascii="Times New Roman" w:cs="Times New Roman" w:eastAsia="Times New Roman" w:hAnsi="Times New Roman"/>
          <w:sz w:val="19"/>
          <w:szCs w:val="19"/>
          <w:color w:val="000000"/>
        </w:rPr>
        <w:t>Notices, etc., to Indenture Trustee, Issuer and Rating Agencies. Any request, demand, authorization,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direction, notice, consent, waiver or Act of Noteholders or other documents provided or permitted by this Indenture to be made upon, given or furnished to or filed with:</w:t>
      </w:r>
    </w:p>
    <w:p>
      <w:pPr>
        <w:spacing w:after="0" w:line="144" w:lineRule="exact"/>
        <w:rPr>
          <w:sz w:val="20"/>
          <w:szCs w:val="20"/>
          <w:color w:val="auto"/>
        </w:rPr>
      </w:pPr>
    </w:p>
    <w:p>
      <w:pPr>
        <w:ind w:right="120" w:firstLine="1410"/>
        <w:spacing w:after="0" w:line="258" w:lineRule="auto"/>
        <w:tabs>
          <w:tab w:leader="none" w:pos="1765" w:val="left"/>
        </w:tabs>
        <w:numPr>
          <w:ilvl w:val="0"/>
          <w:numId w:val="30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by any Noteholder or by the Issuer shall be sufficient for every purpose hereunder if personally delivered, delivered by overnight courier or mailed certified mail, return receipt requested and shall be deemed to have been duly given upon receipt to the Indenture Trustee at its Corporate Trust Office.</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357" w:name="page358"/>
    <w:bookmarkEnd w:id="357"/>
    <w:p>
      <w:pPr>
        <w:spacing w:after="0" w:line="200" w:lineRule="exact"/>
        <w:rPr>
          <w:sz w:val="20"/>
          <w:szCs w:val="20"/>
          <w:color w:val="auto"/>
        </w:rPr>
      </w:pPr>
    </w:p>
    <w:p>
      <w:pPr>
        <w:spacing w:after="0" w:line="261" w:lineRule="exact"/>
        <w:rPr>
          <w:sz w:val="20"/>
          <w:szCs w:val="20"/>
          <w:color w:val="auto"/>
        </w:rPr>
      </w:pPr>
    </w:p>
    <w:p>
      <w:pPr>
        <w:ind w:firstLine="1410"/>
        <w:spacing w:after="0" w:line="256" w:lineRule="auto"/>
        <w:tabs>
          <w:tab w:leader="none" w:pos="1777" w:val="left"/>
        </w:tabs>
        <w:numPr>
          <w:ilvl w:val="0"/>
          <w:numId w:val="30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by the Indenture Trustee or by any Noteholder shall be sufficient for every purpose hereunder if personally delivered, delivered by overnight courier or mailed certified mail, return receipt requested and shall deemed to have been duly given upon receipt to the Issuer addressed to: United Auto Credit Securitization Trust 2025-1, c/o Computershare Delaware Trust Company, 919 North Market Street, Suite 1600 Wilmington, DE 19801, Attention: Corporate Trust Administration, with a copy to United Auto Credit Securitization Trust 2025-1, c/o United Auto Credit Corporation, 1071 Camelback, Suite 100, Newport Beach, California 92660, Attention: Chief Financial Officer, or at any other address previously furnished in writing to the Indenture Trustee by Issuer. The Issuer shall promptly transmit any notice received by it from the Noteholders to the Indenture Trustee.</w:t>
      </w:r>
    </w:p>
    <w:p>
      <w:pPr>
        <w:spacing w:after="0" w:line="157" w:lineRule="exact"/>
        <w:rPr>
          <w:rFonts w:ascii="Times New Roman" w:cs="Times New Roman" w:eastAsia="Times New Roman" w:hAnsi="Times New Roman"/>
          <w:sz w:val="19"/>
          <w:szCs w:val="19"/>
          <w:color w:val="1F3763"/>
        </w:rPr>
      </w:pPr>
    </w:p>
    <w:p>
      <w:pPr>
        <w:ind w:right="20" w:firstLine="1410"/>
        <w:spacing w:after="0" w:line="256" w:lineRule="auto"/>
        <w:tabs>
          <w:tab w:leader="none" w:pos="1765" w:val="left"/>
        </w:tabs>
        <w:numPr>
          <w:ilvl w:val="0"/>
          <w:numId w:val="30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Notices required to be given to the Rating Agencies shall be provided by the Issuer in writing, personally delivered, electronically delivered, delivered by overnight courier or mailed certified mail, return receipt requested to (i) in the case of DBRS, at the following address: 140 Broadway, 35th Floor, New York 10005, Attention: ABS Surveillance, or via electronic delivery to abs_sureillance@dbrs.com, or (ii) in the case of Standard &amp; Poor's, via electronic delivery to Servicer_reports@sandp.com; for any information not available in electronic format, hard copies should be sent to the following address: 55 Water Street, 41st floor, New York, New York 10041-0003, Attention: ABS Surveillance Group, or as to each of the foregoing, at such other address as shall be designated by written notice to the other parties.</w:t>
      </w:r>
    </w:p>
    <w:p>
      <w:pPr>
        <w:spacing w:after="0" w:line="157" w:lineRule="exact"/>
        <w:rPr>
          <w:sz w:val="20"/>
          <w:szCs w:val="20"/>
          <w:color w:val="auto"/>
        </w:rPr>
      </w:pPr>
    </w:p>
    <w:p>
      <w:pPr>
        <w:ind w:right="140" w:firstLine="696"/>
        <w:spacing w:after="0" w:line="256" w:lineRule="auto"/>
        <w:rPr>
          <w:sz w:val="20"/>
          <w:szCs w:val="20"/>
          <w:color w:val="auto"/>
        </w:rPr>
      </w:pPr>
      <w:r>
        <w:rPr>
          <w:rFonts w:ascii="Times New Roman" w:cs="Times New Roman" w:eastAsia="Times New Roman" w:hAnsi="Times New Roman"/>
          <w:sz w:val="19"/>
          <w:szCs w:val="19"/>
          <w:color w:val="2F5496"/>
        </w:rPr>
        <w:t xml:space="preserve">SECTION XI.5 </w:t>
      </w:r>
      <w:r>
        <w:rPr>
          <w:rFonts w:ascii="Times New Roman" w:cs="Times New Roman" w:eastAsia="Times New Roman" w:hAnsi="Times New Roman"/>
          <w:sz w:val="19"/>
          <w:szCs w:val="19"/>
          <w:color w:val="000000"/>
        </w:rPr>
        <w:t>Notices to Noteholders; Waiver. Where this Indenture provides for notice to Noteholders of any event, such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notice shall be sufficiently given (unless otherwise herein expressly provided) if in writing and mailed, first-class, postage prepaid to each Noteholder affected by such event, at his address as it appears on the Note Register, not later than the latest date, and not earlier than the earliest date, prescribed for the giving of such notice. In any case where notice to Noteholders is given by mail, neither the failure to mail such notice nor any defect in any notice so mailed to any particular Noteholder shall affect the sufficiency of such notice with respect to other Noteholders, and any notice that is mailed in the manner here in provided shall conclusively be presumed to have been duly given.</w:t>
      </w:r>
    </w:p>
    <w:p>
      <w:pPr>
        <w:spacing w:after="0" w:line="15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Where this Indenture provides for notice in any manner, such notice may be waived in writing by any Person entitled to receive such notice, either before or after the event, and such waiver shall be the equivalent of such notice. Waivers of notice by Noteholders shall be filed with the Indenture Trustee but such filing shall not be a condition precedent to the validity of any action taken in reliance upon such a waiver.</w:t>
      </w:r>
    </w:p>
    <w:p>
      <w:pPr>
        <w:spacing w:after="0" w:line="150"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In case, by reason of the suspension of regular mail service as a result of a strike, work stoppage or similar activity, it shall be impractical to mail notice of any event to Noteholders when such notice is required to be given pursuant to any provision of this Indenture, then any manner of giving such notice as shall be satisfactory to the Indenture Trustee shall be deemed to be a sufficient giving of such notice.</w:t>
      </w:r>
    </w:p>
    <w:p>
      <w:pPr>
        <w:spacing w:after="0" w:line="150"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Where this Indenture provides for notice to the Rating Agencies, failure to give such notice shall not affect any other rights or obligations created hereunder, and shall not under any circumstance constitute a Default or Event of Default.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58" w:name="page359"/>
    <w:bookmarkEnd w:id="358"/>
    <w:p>
      <w:pPr>
        <w:spacing w:after="0" w:line="200" w:lineRule="exact"/>
        <w:rPr>
          <w:sz w:val="20"/>
          <w:szCs w:val="20"/>
          <w:color w:val="auto"/>
        </w:rPr>
      </w:pPr>
    </w:p>
    <w:p>
      <w:pPr>
        <w:spacing w:after="0" w:line="261"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XI.6 </w:t>
      </w:r>
      <w:r>
        <w:rPr>
          <w:rFonts w:ascii="Times New Roman" w:cs="Times New Roman" w:eastAsia="Times New Roman" w:hAnsi="Times New Roman"/>
          <w:sz w:val="19"/>
          <w:szCs w:val="19"/>
          <w:color w:val="000000"/>
        </w:rPr>
        <w:t>Effect of Headings and Table of Contents. The Article and Section headings herein and the Table of Contents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are for convenience only and shall not affect the construction hereof.</w:t>
      </w:r>
    </w:p>
    <w:p>
      <w:pPr>
        <w:spacing w:after="0" w:line="12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XI.7 </w:t>
      </w:r>
      <w:r>
        <w:rPr>
          <w:rFonts w:ascii="Times New Roman" w:cs="Times New Roman" w:eastAsia="Times New Roman" w:hAnsi="Times New Roman"/>
          <w:sz w:val="19"/>
          <w:szCs w:val="19"/>
          <w:color w:val="000000"/>
        </w:rPr>
        <w:t>Successors and Assigns. All covenants and agreements in this Indenture and the Notes by the Issuer shall bind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its successors and assigns, whether so expressed or not. All agreements of the Indenture Trustee in this Indenture shall bind its successors. All agreements of the Indenture Trustee in this Indenture shall bind its successors.</w:t>
      </w:r>
    </w:p>
    <w:p>
      <w:pPr>
        <w:spacing w:after="0" w:line="144"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XI.8 </w:t>
      </w:r>
      <w:r>
        <w:rPr>
          <w:rFonts w:ascii="Times New Roman" w:cs="Times New Roman" w:eastAsia="Times New Roman" w:hAnsi="Times New Roman"/>
          <w:sz w:val="19"/>
          <w:szCs w:val="19"/>
          <w:color w:val="000000"/>
        </w:rPr>
        <w:t>Separability. In case any provision in this Indenture or in the Notes shall be invalid, illegal or unenforceable,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validity, legality, and enforceability of the remaining provisions shall not in any way be affected or impaired thereby.</w:t>
      </w:r>
    </w:p>
    <w:p>
      <w:pPr>
        <w:spacing w:after="0" w:line="127"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XI.9 </w:t>
      </w:r>
      <w:r>
        <w:rPr>
          <w:rFonts w:ascii="Times New Roman" w:cs="Times New Roman" w:eastAsia="Times New Roman" w:hAnsi="Times New Roman"/>
          <w:sz w:val="19"/>
          <w:szCs w:val="19"/>
          <w:color w:val="000000"/>
        </w:rPr>
        <w:t>Benefits of Indenture. Nothing in this Indenture or in the Notes, express or implied, shall give to any Person,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other than the parties hereto and their successors hereunder and the Noteholders, and any other party secured hereunder, and any other Person with an Ownership interest in any part of the Trust Estate, any benefit or any legal or equitable right, remedy or claim under this Indenture.</w:t>
      </w:r>
    </w:p>
    <w:p>
      <w:pPr>
        <w:spacing w:after="0" w:line="150"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XI.10 </w:t>
      </w:r>
      <w:r>
        <w:rPr>
          <w:rFonts w:ascii="Times New Roman" w:cs="Times New Roman" w:eastAsia="Times New Roman" w:hAnsi="Times New Roman"/>
          <w:sz w:val="19"/>
          <w:szCs w:val="19"/>
          <w:color w:val="000000"/>
        </w:rPr>
        <w:t>Legal Holidays. In any case where the date on which any payment is due shall not be a Business Day, then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(notwithstanding any other provision of the Notes or this Indenture) payment need not be made on such date, but may be made on the next succeeding Business Day with the same force and effect as if made on the date on which nominally due, and no interest shall accrue for the period from and after any such nominal date.</w:t>
      </w:r>
    </w:p>
    <w:p>
      <w:pPr>
        <w:spacing w:after="0" w:line="148" w:lineRule="exact"/>
        <w:rPr>
          <w:sz w:val="20"/>
          <w:szCs w:val="20"/>
          <w:color w:val="auto"/>
        </w:rPr>
      </w:pPr>
    </w:p>
    <w:p>
      <w:pPr>
        <w:ind w:right="40" w:firstLine="696"/>
        <w:spacing w:after="0" w:line="252" w:lineRule="auto"/>
        <w:rPr>
          <w:sz w:val="20"/>
          <w:szCs w:val="20"/>
          <w:color w:val="auto"/>
        </w:rPr>
      </w:pPr>
      <w:r>
        <w:rPr>
          <w:rFonts w:ascii="Times New Roman" w:cs="Times New Roman" w:eastAsia="Times New Roman" w:hAnsi="Times New Roman"/>
          <w:sz w:val="19"/>
          <w:szCs w:val="19"/>
          <w:color w:val="2F5496"/>
        </w:rPr>
        <w:t xml:space="preserve">SECTION XI.11 </w:t>
      </w:r>
      <w:r>
        <w:rPr>
          <w:rFonts w:ascii="Times New Roman" w:cs="Times New Roman" w:eastAsia="Times New Roman" w:hAnsi="Times New Roman"/>
          <w:sz w:val="19"/>
          <w:szCs w:val="19"/>
          <w:color w:val="000000"/>
        </w:rPr>
        <w:t>GOVERNING LAW.</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THIS INDENTURE SHALL BE CONSTRUED IN ACCORDANCE WITH,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AND THIS INDENTURE AND ALL MATTERS ARISING OUT OF OR RELATING IN ANY WAY TO THIS INDENTURE SHALL BE, GOVERNED BY THE LAW OF THE STATE OF NEW YORK, WITHOUT GIVING EFFECT TO ITS CONFLICT OF LAW PROVISIONS (OTHER THAN SECTIONS 5-1401 AND 5-1402 OF THE NEW YORK GENERAL OBLIGATIONS LAW). EACH OF THE PARTIES HERETO HEREBY AGREES TO THE NON-EXCLUSIVE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INDENTURE OR THE TRANSACTIONS CONTEMPLATED HEREBY. INSTEAD, ANY SUCH DISPUTE RESOLVED IN COURT WILL BE RESOLVED IN A BENCH TRIAL WITHOUT A JURY.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9" w:name="page360"/>
    <w:bookmarkEnd w:id="359"/>
    <w:p>
      <w:pPr>
        <w:spacing w:after="0" w:line="200" w:lineRule="exact"/>
        <w:rPr>
          <w:sz w:val="20"/>
          <w:szCs w:val="20"/>
          <w:color w:val="auto"/>
        </w:rPr>
      </w:pPr>
    </w:p>
    <w:p>
      <w:pPr>
        <w:spacing w:after="0" w:line="261" w:lineRule="exact"/>
        <w:rPr>
          <w:sz w:val="20"/>
          <w:szCs w:val="20"/>
          <w:color w:val="auto"/>
        </w:rPr>
      </w:pPr>
    </w:p>
    <w:p>
      <w:pPr>
        <w:ind w:right="38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XI.12 </w:t>
      </w:r>
      <w:r>
        <w:rPr>
          <w:rFonts w:ascii="Times New Roman" w:cs="Times New Roman" w:eastAsia="Times New Roman" w:hAnsi="Times New Roman"/>
          <w:sz w:val="19"/>
          <w:szCs w:val="19"/>
          <w:color w:val="000000"/>
        </w:rPr>
        <w:t>Counterparts. This Indenture may be executed in any number of counterparts, each of which so executed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shall be deemed to be an original, but all such counterparts shall together constitute but one and the same instrument.</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XI.13 </w:t>
      </w:r>
      <w:r>
        <w:rPr>
          <w:rFonts w:ascii="Times New Roman" w:cs="Times New Roman" w:eastAsia="Times New Roman" w:hAnsi="Times New Roman"/>
          <w:sz w:val="19"/>
          <w:szCs w:val="19"/>
          <w:color w:val="000000"/>
        </w:rPr>
        <w:t>Recording of Indenture. If this Indenture is subject to recording in any appropriate public recording offices,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such recording is to be effected by the Issuer and at its expense accompanied by an Opinion of Counsel to the effect that such recording is necessary either for the protection of the Noteholders or any other Person secured hereunder or for the enforcement of any right or remedy granted to the Indenture Trustee under this Indenture.</w:t>
      </w:r>
    </w:p>
    <w:p>
      <w:pPr>
        <w:spacing w:after="0" w:line="150" w:lineRule="exact"/>
        <w:rPr>
          <w:sz w:val="20"/>
          <w:szCs w:val="20"/>
          <w:color w:val="auto"/>
        </w:rPr>
      </w:pPr>
    </w:p>
    <w:p>
      <w:pPr>
        <w:ind w:right="6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XI.14 </w:t>
      </w:r>
      <w:r>
        <w:rPr>
          <w:rFonts w:ascii="Times New Roman" w:cs="Times New Roman" w:eastAsia="Times New Roman" w:hAnsi="Times New Roman"/>
          <w:sz w:val="19"/>
          <w:szCs w:val="19"/>
          <w:color w:val="000000"/>
        </w:rPr>
        <w:t>Trust Obligation. No recourse may be taken, directly or indirectly, with respect to the obligations of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Issuer, the Depositor, the Servicer, the Backup Servicer, the Owner Trustee, or the Indenture Trustee on the Notes or under this Indenture, any other Basic Document or any certificate or other writing delivered in connection herewith or therewith, against (i) the Depositor, the Servicer, the Backup Servicer, or the Indenture Trustee or the Owner Trustee in its individual capacity, (ii) any owner of a beneficial interest in the Issuer or (iii) any partner, owner, beneficiary, agent, officer, director, employee or agent of the Depositor, the Servicer, the Backup Servicer, the Indenture Trustee or the Owner Trustee in its individual capacity, any holder of a beneficial interest in the Issuer, the Depositor, the Servicer, the Backup Servicer, the Owner Trustee, or the Indenture Trustee or of any successor or assign of the Depositor, the Servicer, the Backup Servicer, the Indenture Trustee or the Owner Trustee in its individual capacity, except as any such Person may have expressly agreed (it being understood that the Indenture Trustee, the Backup Servicer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 For all purposes of this Indenture, in the performance of any duties or obligations of the Issuer hereunder, the Owner Trustee shall be subject to, and entitled to the benefits of, the terms and provisions of the Trust Agreement.</w:t>
      </w:r>
    </w:p>
    <w:p>
      <w:pPr>
        <w:spacing w:after="0" w:line="163" w:lineRule="exact"/>
        <w:rPr>
          <w:sz w:val="20"/>
          <w:szCs w:val="20"/>
          <w:color w:val="auto"/>
        </w:rPr>
      </w:pPr>
    </w:p>
    <w:p>
      <w:pPr>
        <w:ind w:right="14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XI.15 </w:t>
      </w:r>
      <w:r>
        <w:rPr>
          <w:rFonts w:ascii="Times New Roman" w:cs="Times New Roman" w:eastAsia="Times New Roman" w:hAnsi="Times New Roman"/>
          <w:sz w:val="19"/>
          <w:szCs w:val="19"/>
          <w:color w:val="000000"/>
        </w:rPr>
        <w:t>No Petition. The Indenture Trustee, by entering into this Indenture, each Noteholder, by accepting a Note,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and each Note Owner, by accepting a beneficial interest in a Note, hereby covenant and agree that they will not at any time institute against the Depositor, or the Issuer, or join in any institution against the Depositor, or the Issuer of, any bankruptcy, reorganization, arrangement, insolvency or liquidation proceedings, or other proceedings under any United States federal or State bankruptcy or similar law in connection with any obligations relating to the Notes, this Indenture or any of the other Basic Documents and agree that they will not join in a bankruptcy petition filed by others against the Issuer or the Depositor during the same period.</w:t>
      </w:r>
    </w:p>
    <w:p>
      <w:pPr>
        <w:spacing w:after="0" w:line="157" w:lineRule="exact"/>
        <w:rPr>
          <w:sz w:val="20"/>
          <w:szCs w:val="20"/>
          <w:color w:val="auto"/>
        </w:rPr>
      </w:pPr>
    </w:p>
    <w:p>
      <w:pPr>
        <w:ind w:right="16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XI.16 </w:t>
      </w:r>
      <w:r>
        <w:rPr>
          <w:rFonts w:ascii="Times New Roman" w:cs="Times New Roman" w:eastAsia="Times New Roman" w:hAnsi="Times New Roman"/>
          <w:sz w:val="19"/>
          <w:szCs w:val="19"/>
          <w:color w:val="000000"/>
        </w:rPr>
        <w:t>Inspection. The Issuer agrees that, on reasonable prior notice, it will permit any representative of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Indenture Trustee, during the Issuer's normal business hours, to examine all the books of account, records, reports, and other papers of the Issuer, to make copies and extracts therefrom, to cause such books to be audited by independent certified public accountants, and to discuss the Issuer's affairs, finances and accounts with the Issuer's officers, employees, and independent certified public accountants, all at such reasonable times and as often as may be reasonably requested. The Indenture Trustee agrees that it and its shareholders, directors, agents, accountants and attorneys shall keep confidential, excepted as expressly permitted under this Indenture or the other Basic Documents, any information or matter of which</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60" w:name="page361"/>
    <w:bookmarkEnd w:id="360"/>
    <w:p>
      <w:pPr>
        <w:spacing w:after="0" w:line="200" w:lineRule="exact"/>
        <w:rPr>
          <w:sz w:val="20"/>
          <w:szCs w:val="20"/>
          <w:color w:val="auto"/>
        </w:rPr>
      </w:pPr>
    </w:p>
    <w:p>
      <w:pPr>
        <w:spacing w:after="0" w:line="2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it becomes aware through the exercise of these inspection rights. Notwithstanding anything herein to the contrary, the foregoing shall not be construed to prohibit (i) disclosure of any and all information that is or becomes publicly known, (ii) disclosure of any and all information (A) if required to do so by any applicable statute, law, rule or regulation, (B) to any government agency or regulatory body having or claiming authority to regulate or oversee any respects of the Indenture Trustee's business or that of its Affiliates, (C) pursuant to any subpoena, civil investigative demand or similar demand or request of any court, regulatory authority, arbitrator or arbitration to which the Indenture Trustee or an Affiliate or an officer, director, employer or shareholder thereof is a party, (D) in any preliminary or final offering circular or contract or other document pertaining to the transactions contemplated by the Indenture approved in advance by the Depositor or the Issuer or (E) to any independent or internal auditor, agent, employee or attorney of the Indenture Trustee having a need to know the same,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Indenture Trustee advises such recipient of the confidential nature of the information being disclosed to the extent not prohibited by law, court order or regulatory authority, or (iii) any other disclosure authorized by the Depositor or the Issuer.</w:t>
      </w:r>
    </w:p>
    <w:p>
      <w:pPr>
        <w:spacing w:after="0" w:line="389"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XI.17 </w:t>
      </w:r>
      <w:r>
        <w:rPr>
          <w:rFonts w:ascii="Times New Roman" w:cs="Times New Roman" w:eastAsia="Times New Roman" w:hAnsi="Times New Roman"/>
          <w:sz w:val="19"/>
          <w:szCs w:val="19"/>
          <w:color w:val="000000"/>
        </w:rPr>
        <w:t>Limitation of Liability. It is expressly understood and agreed by the parties hereto that (a) this Indenture 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executed and delivered by Computershare Delaware Trust Company, not individually or personally but solely as owner trustee of the Issuer, in the exercise of the powers and authority conferred and vested in it, (b) each of the representations, covenants, undertakings and agreements herein made on the part of the Issuer is made and intended not as personal representations, covenants, undertakings and agreements by Computershare Delaware Trust Company but is made and intended for the purpose of binding only the Issuer, (c) nothing herein contained shall be construed as creating any liability on Computershare Delaware Trust Company, individually or personally, to perform any covenant either expressed or implied contained herein, all such liability, if any, being expressly waived by the parties hereto and by any Person claiming by, through or under the parties hereto, (d) Computershare Delaware Trust Company, has not verified or made any investigation as to the accuracy or completeness of any representations and warranties made by the Issuer or any other party in this Indenture, and (e) under no circumstances shall Computershare Delaware Trust Company be personally liable for the payment of any indebtedness or expenses of the Issuer or be liable for the breach or failure of any obligation, duty (including fiduciary duty, if any), representation, warranty or covenant made or undertaken by the Issuer under this Indenture or any other related documents.</w:t>
      </w:r>
    </w:p>
    <w:p>
      <w:pPr>
        <w:spacing w:after="0" w:line="165" w:lineRule="exact"/>
        <w:rPr>
          <w:sz w:val="20"/>
          <w:szCs w:val="20"/>
          <w:color w:val="auto"/>
        </w:rPr>
      </w:pPr>
    </w:p>
    <w:p>
      <w:pPr>
        <w:ind w:right="2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XI.18 </w:t>
      </w:r>
      <w:r>
        <w:rPr>
          <w:rFonts w:ascii="Times New Roman" w:cs="Times New Roman" w:eastAsia="Times New Roman" w:hAnsi="Times New Roman"/>
          <w:sz w:val="19"/>
          <w:szCs w:val="19"/>
          <w:color w:val="000000"/>
        </w:rPr>
        <w:t>Patriot Act. The parties hereto acknowledge that in accordance with laws, regulations and executive orders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of the United States or any state or political subdivision thereof as are in effect from time to time applicable to financial institutions relating to the funding of terrorist activities and money laundering, including without limitation the USA Patriot Act (Pub. L. 107- 56) and regulations promulgated by the Office of Foreign Asset Control (collectively, “AML Law”), the Indenture Trustee is required to obtain, verify, and record information relating to individuals and entities that establish a business relationship or open an account with the Indenture Trustee. Each party hereby agrees that it shall provide the Indenture Trustee with such identifying information and documentation as the Indenture Trustee may request from time to time in order to enable the Indenture Trustee to comply with all applicable requirements of AML Law.</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61" w:name="page362"/>
    <w:bookmarkEnd w:id="361"/>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XI.19  </w:t>
      </w:r>
      <w:r>
        <w:rPr>
          <w:rFonts w:ascii="Times New Roman" w:cs="Times New Roman" w:eastAsia="Times New Roman" w:hAnsi="Times New Roman"/>
          <w:sz w:val="19"/>
          <w:szCs w:val="19"/>
          <w:color w:val="000000"/>
        </w:rPr>
        <w:t>Additional Matters Relating to the Owner Trustee.</w:t>
      </w:r>
    </w:p>
    <w:p>
      <w:pPr>
        <w:spacing w:after="0" w:line="202" w:lineRule="exact"/>
        <w:rPr>
          <w:sz w:val="20"/>
          <w:szCs w:val="20"/>
          <w:color w:val="auto"/>
        </w:rPr>
      </w:pPr>
    </w:p>
    <w:p>
      <w:pPr>
        <w:ind w:right="20" w:firstLine="1410"/>
        <w:spacing w:after="0" w:line="256" w:lineRule="auto"/>
        <w:tabs>
          <w:tab w:leader="none" w:pos="1765" w:val="left"/>
        </w:tabs>
        <w:numPr>
          <w:ilvl w:val="0"/>
          <w:numId w:val="30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Imputed Information. Except as otherwise expressly set forth in this Indenture, (i) a Responsible Officer of the Owner Trustee shall not be imputed with any knowledge of, or information possessed or obtained by, another Responsible Officer of Computershare Delaware Trust Company in any of its other capacities hereunder or under the other Basic Documents or vice versa (other than in instances where such capacities are performed by the same Responsible Officer(s)), and (ii) a responsible officer of any Affiliate of Computershare Delaware Trust Company shall not be imputed with any knowledge of, or information possessed or obtained by, another Responsible Officer of Computershare Delaware Trust Company, and vice versa, in any of its respective capacities hereunder (other than in instances where such capacities are performed by the same Person(s)).</w:t>
      </w:r>
    </w:p>
    <w:p>
      <w:pPr>
        <w:spacing w:after="0" w:line="157" w:lineRule="exact"/>
        <w:rPr>
          <w:rFonts w:ascii="Times New Roman" w:cs="Times New Roman" w:eastAsia="Times New Roman" w:hAnsi="Times New Roman"/>
          <w:sz w:val="19"/>
          <w:szCs w:val="19"/>
          <w:color w:val="1F3763"/>
        </w:rPr>
      </w:pPr>
    </w:p>
    <w:p>
      <w:pPr>
        <w:ind w:firstLine="1410"/>
        <w:spacing w:after="0" w:line="254" w:lineRule="auto"/>
        <w:tabs>
          <w:tab w:leader="none" w:pos="1777" w:val="left"/>
        </w:tabs>
        <w:numPr>
          <w:ilvl w:val="0"/>
          <w:numId w:val="30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Actual Knowledge. The Owner Trustee shall not be deemed to have actual knowledge or notice of any event or information, including any Event of Default, or be required to act upon any event or information (including the sending of any notice), unless a Responsible Officer of the Owner Trustee actually knows of such event or information or a Responsible Officer of the Owner Trustee receives written notice of such event or information. Absent actual knowledge of a Responsible Officer of the Owner Trustee or receipt of written notice by a Responsible Officer of the Owner Trustee in accordance with this Section, the Owner Trustee may conclusively assume that no such event has occurred. The Owner Trustee shall have no obligation to inquire into, or investigate as to, the occurrence of any such event (including any Event of Default). For purposes of determining the Owner Trustee's responsibility and liability hereunder, whenever reference is made in this Indenture to any event (including an Event of Default), such reference shall be construed to refer only to such event of which the Owner Trustee has received written notice as described in this Section or a Responsible Officer of the Owner Trustee actually knows of such event or information.</w:t>
      </w:r>
    </w:p>
    <w:p>
      <w:pPr>
        <w:spacing w:after="0" w:line="160" w:lineRule="exact"/>
        <w:rPr>
          <w:sz w:val="20"/>
          <w:szCs w:val="20"/>
          <w:color w:val="auto"/>
        </w:rPr>
      </w:pPr>
    </w:p>
    <w:p>
      <w:pPr>
        <w:ind w:right="2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XI.20 </w:t>
      </w:r>
      <w:r>
        <w:rPr>
          <w:rFonts w:ascii="Times New Roman" w:cs="Times New Roman" w:eastAsia="Times New Roman" w:hAnsi="Times New Roman"/>
          <w:sz w:val="19"/>
          <w:szCs w:val="19"/>
          <w:color w:val="000000"/>
        </w:rPr>
        <w:t>Electronic Signatures. This Agreement shall be valid, binding, and enforceable against a party only when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2" w:name="page363"/>
    <w:bookmarkEnd w:id="362"/>
    <w:p>
      <w:pPr>
        <w:spacing w:after="0" w:line="269" w:lineRule="exact"/>
        <w:rPr>
          <w:sz w:val="20"/>
          <w:szCs w:val="20"/>
          <w:color w:val="auto"/>
        </w:rPr>
      </w:pPr>
    </w:p>
    <w:p>
      <w:pPr>
        <w:ind w:right="60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Issuer and the Indenture Trustee have caused this Indenture to be duly executed by their respective officers, hereunto duly authorized, all as of the day and year first above written.</w:t>
      </w:r>
    </w:p>
    <w:p>
      <w:pPr>
        <w:spacing w:after="0" w:line="1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UNITED AUTO CREDIT SECURITIZATION TRUST 2025-1</w:t>
      </w:r>
    </w:p>
    <w:p>
      <w:pPr>
        <w:sectPr>
          <w:pgSz w:w="11900" w:h="16840" w:orient="portrait"/>
          <w:cols w:equalWidth="0" w:num="1">
            <w:col w:w="10480"/>
          </w:cols>
          <w:pgMar w:left="660" w:top="1440" w:right="760" w:bottom="1440" w:gutter="0" w:footer="0" w:header="0"/>
        </w:sectPr>
      </w:pPr>
    </w:p>
    <w:p>
      <w:pPr>
        <w:spacing w:after="0" w:line="23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color w:val="auto"/>
        </w:rPr>
        <w:t>COMPUTERSHARE DELAWARE TRUST COMPANY, not in its individual capacity but solely as Owner Trustee</w:t>
      </w:r>
    </w:p>
    <w:p>
      <w:pPr>
        <w:spacing w:after="0" w:line="163" w:lineRule="exact"/>
        <w:rPr>
          <w:sz w:val="20"/>
          <w:szCs w:val="20"/>
          <w:color w:val="auto"/>
        </w:rPr>
      </w:pPr>
    </w:p>
    <w:p>
      <w:pPr>
        <w:sectPr>
          <w:pgSz w:w="11900" w:h="16840" w:orient="portrait"/>
          <w:cols w:equalWidth="0" w:num="2">
            <w:col w:w="5360" w:space="460"/>
            <w:col w:w="4660"/>
          </w:cols>
          <w:pgMar w:left="660" w:top="1440" w:right="760" w:bottom="1440" w:gutter="0" w:footer="0" w:header="0"/>
          <w:type w:val="continuous"/>
        </w:sectPr>
      </w:pPr>
    </w:p>
    <w:p>
      <w:pPr>
        <w:ind w:left="50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Title:</w:t>
      </w:r>
    </w:p>
    <w:p>
      <w:pPr>
        <w:sectPr>
          <w:pgSz w:w="11900" w:h="16840" w:orient="portrait"/>
          <w:cols w:equalWidth="0" w:num="1">
            <w:col w:w="10480"/>
          </w:cols>
          <w:pgMar w:left="660" w:top="1440" w:right="760" w:bottom="1440" w:gutter="0" w:footer="0" w:header="0"/>
          <w:type w:val="continuous"/>
        </w:sectPr>
      </w:pPr>
    </w:p>
    <w:p>
      <w:pPr>
        <w:spacing w:after="0" w:line="216" w:lineRule="exact"/>
        <w:rPr>
          <w:sz w:val="20"/>
          <w:szCs w:val="20"/>
          <w:color w:val="auto"/>
        </w:rPr>
      </w:pPr>
    </w:p>
    <w:p>
      <w:pPr>
        <w:ind w:left="5080"/>
        <w:spacing w:after="0" w:line="286" w:lineRule="auto"/>
        <w:rPr>
          <w:sz w:val="20"/>
          <w:szCs w:val="20"/>
          <w:color w:val="auto"/>
        </w:rPr>
      </w:pPr>
      <w:r>
        <w:rPr>
          <w:rFonts w:ascii="Times New Roman" w:cs="Times New Roman" w:eastAsia="Times New Roman" w:hAnsi="Times New Roman"/>
          <w:sz w:val="19"/>
          <w:szCs w:val="19"/>
          <w:color w:val="auto"/>
        </w:rPr>
        <w:t>COMPUTERSHARE TRUST COMPANY, N.A., not in its individual capacity but solely as Indenture Trustee</w:t>
      </w:r>
    </w:p>
    <w:p>
      <w:pPr>
        <w:spacing w:after="0" w:line="1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894715</wp:posOffset>
            </wp:positionV>
            <wp:extent cx="6732905"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type w:val="continuous"/>
        </w:sectPr>
      </w:pPr>
    </w:p>
    <w:bookmarkStart w:id="363" w:name="page364"/>
    <w:bookmarkEnd w:id="363"/>
    <w:p>
      <w:pPr>
        <w:spacing w:after="0" w:line="26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EXHIBIT A</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NOTE</w:t>
      </w:r>
    </w:p>
    <w:p>
      <w:pPr>
        <w:spacing w:after="0" w:line="202"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9"/>
          <w:szCs w:val="19"/>
          <w:color w:val="auto"/>
        </w:rPr>
        <w:t>$[_____]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[A] [B] [C] [D] [E] - [ _ ]</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REVERSE FOR CERTAIN DEFINITIONS</w:t>
      </w:r>
    </w:p>
    <w:p>
      <w:pPr>
        <w:spacing w:after="0" w:line="202"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CUSIP NO.[______]</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THIS NOTE HAS NOT BEEN AND WILL NOT BE REGISTERED UNDER THE UNITED STATES SECURITIES ACT OF 1933, AS AMENDED (THE "SECURITIES ACT"), OR ANY STATE SECURITIES LAWS. THE HOLDER HEREOF, BY PURCHASING THIS NOTE OR AN INTEREST HEREIN, WILL BE DEEMED TO REPRESENT TO THE ISSUER, UNITED AUTO CREDIT FINANCING LLC (THE "DEPOSITOR"), THE INITIAL PURCHASERS AND THE INDENTURE TRUSTEE THAT IT IS (I)(A) A "QUALIFIED INSTITUTIONAL BUYER" WITHIN THE MEANING OF RULE 144A UNDER THE SECURITIES ACT (A "QIB") AND IS ACQUIRING SUCH NOTE FOR ITS OWN ACCOUNT OR AS A FIDUCIARY OR AGENT FOR OTHERS (WHICH OTHERS ALSO ARE QIBS) OR (B) ONLY IN CONNECTION WITH THE INITIAL SALES OF THE NOTES, IS AN INSTITUTIONAL "ACCREDITED INVESTOR" WITHIN THE MEANING OF RULE 501(A)(1), (2), (3) OR (7) UNDER THE SECURITIES ACT AND IS ACQUIRING THIS NOTE (OR INTEREST HEREIN) FOR ITS OWN ACCOUNT AND (II) AWARE THAT THE SALE OF THE NOTES TO IT IS BEING MADE IN RELIANCE ON RULE 144A UNDER THE SECURITIES ACT OR ANOTHER EXEMPTION FROM THE REGISTRATION REQUIREMENTS OF THE SECURITIES ACT.</w:t>
      </w:r>
    </w:p>
    <w:p>
      <w:pPr>
        <w:spacing w:after="0" w:line="15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NO SALE, PLEDGE OR OTHER TRANSFER OF THIS NOTE OR AN INTEREST HEREIN MAY BE MADE BY ANY PERSON UNLESS (A) THIS NOTE IS REGISTERED PURSUANT TO THE SECURITIES ACT AND REGISTERED OR QUALIFIED PURSUANT TO ANY APPLICABLE STATE SECURITIES LAWS OR (B) SUCH INTEREST IS SOLD, PLEDGED OR TRANSFERRED (1) TO A PERSON WHOM THE SELLER REASONABLY BELIEVES IS A QIB PURCHASING FOR ITS OWN ACCOUNT OR FOR THE ACCOUNT OF A QIB IN A TRANSACTION MEETING THE REQUIREMENTS OF RULE 144A, WHOM THE HOLDER HAS INFORMED THAT THE OFFER, RESALE, PLEDGE OR OTHER TRANSFER IS BEING MADE IN RELIANCE ON RULE 144A OR (2) TO THE ISSUER AND ITS AFFILIATES PURSUANT TO THE INDENTURE. SUCH HOLDER WILL BE DEEMED TO AGREE THAT IT WILL DELIVER TO EACH PERSON TO WHOM THIS NOTE OR AN INTEREST HEREIN IS TO BE TRANSFERRED A NOTICE SUBSTANTIALLY TO THE EFFECT OF THIS LEGEND. THE INDENTURE CONTAINS A PROVISION REQUIRING THAT ANY TRANSFER NOT IN COMPLIANCE WITH THE FOREGOING IS NOT TO BE GIVEN EFFECT. EACH TRANSFEREE ACCEPTING A BENEFICIAL INTEREST IN THIS NOTE PURSUANT TO CLAUSE (B) ABOVE WILL BE DEEMED TO REPRESENT TO THE ISSUER, THE DEPOSITOR, THE INITIAL PURCHASERS AND THE INDENTURE TRUSTEE THAT IT IS A QIB PURCHASING FOR ITS OWN ACCOUNT OR FOR THE ACCOUNT OF ANOTHER QIB.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768350</wp:posOffset>
            </wp:positionV>
            <wp:extent cx="6732905" cy="406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4" w:name="page365"/>
    <w:bookmarkEnd w:id="364"/>
    <w:p>
      <w:pPr>
        <w:spacing w:after="0" w:line="200" w:lineRule="exact"/>
        <w:rPr>
          <w:sz w:val="20"/>
          <w:szCs w:val="20"/>
          <w:color w:val="auto"/>
        </w:rPr>
      </w:pPr>
    </w:p>
    <w:p>
      <w:pPr>
        <w:spacing w:after="0" w:line="2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CLASS A, B, C AND D NOTES ONLY</w:t>
      </w:r>
      <w:r>
        <w:rPr>
          <w:rFonts w:ascii="Times New Roman" w:cs="Times New Roman" w:eastAsia="Times New Roman" w:hAnsi="Times New Roman"/>
          <w:sz w:val="19"/>
          <w:szCs w:val="19"/>
          <w:color w:val="auto"/>
        </w:rPr>
        <w:t>: THE HOLDER OF THIS NOTE OR ANY INTEREST HEREIN WILL BE DEEMED TO HAVE REPRESENTED THAT EITHER (I) IT IS NOT AND WILL NOT BECOME (A) AN "EMPLOYEE BENEFIT PLAN" (AS DEFINED IN SECTION 3(3) OF THE EMPLOYEE RETIREMENT INCOME SECURITY ACT OF 1974, AS AMENDED ("ERISA")) THAT IS SUBJECT TO TITLE I OF ERISA, (B) A "PLAN" (AS DEFINED IN SECTION 4975(e)(1) OF THE INTERNAL REVENUE CODE OF 1986, AS AMENDED (THE "CODE")) THAT IS SUBJECT TO SECTION 4975 OF THE CODE,</w:t>
      </w:r>
    </w:p>
    <w:p>
      <w:pPr>
        <w:spacing w:after="0" w:line="4" w:lineRule="exact"/>
        <w:rPr>
          <w:sz w:val="20"/>
          <w:szCs w:val="20"/>
          <w:color w:val="auto"/>
        </w:rPr>
      </w:pPr>
    </w:p>
    <w:p>
      <w:pPr>
        <w:ind w:right="140" w:firstLine="6"/>
        <w:spacing w:after="0" w:line="251" w:lineRule="auto"/>
        <w:tabs>
          <w:tab w:leader="none" w:pos="304"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ENTITY WHOSE UNDERLYING ASSETS ARE CONSIDERED TO INCLUDE ASSETS OF AN EMPLOYEE BENEFIT PLAN OR PLAN DESCRIBED IN CLAUSE (A) OR (B) ABOVE (EACH, A "BENEFIT PLAN ENTITY"), (D) AN ENTITY THAT IS SUBJECT TO ANY FEDERAL, STATE, LOCAL OR NON-U.S. LAWS OR REGULATIONS THAT ARE SUBSTANTIALLY SIMILAR TO PART 4 OF TITLE I OF ERISA OR SECTION 4975 OF THE CODE (EACH, A "SIMILAR LAW") OR (E) ANY PERSON WHO IS DIRECTLY OR INDIRECTLY PURCHASING, HOLDING OR DISPOSING THIS NOTE OR ANY INTEREST HEREIN ON BEHALF OF, AS FIDUCIARY OF, AS TRUSTEE OF, OR WITH ASSETS OF, ANY BENEFIT PLAN ENTITY OR ANY ENTITY THAT IS SUBJECT TO ANY SIMILAR LAW OR (II) THE ACQUISITION, HOLDING AND DISPOSITION OF THIS NOTE OR ANY INTEREST HEREIN WILL NOT RESULT IN A NON-EXEMPT PROHIBITED TRANSACTION UNDER SECTION 406 OF ERISA OR SECTION 4975 OF THE CODE OR A VIOLATION OF ANY APPLICABLE SIMILAR LAW.]</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CLASS E NOTES ONLY</w:t>
      </w:r>
      <w:r>
        <w:rPr>
          <w:rFonts w:ascii="Times New Roman" w:cs="Times New Roman" w:eastAsia="Times New Roman" w:hAnsi="Times New Roman"/>
          <w:sz w:val="19"/>
          <w:szCs w:val="19"/>
          <w:color w:val="auto"/>
        </w:rPr>
        <w:t xml:space="preserve"> : THE HOLDER OF THIS NOTE OR ANY INTEREST HEREIN WILL BE DEEMED TO HAVE REPRESENTED THAT IT IS NOT AND WILL NOT BECOME (A) AN "EMPLOYEE BENEFIT PLAN" (AS DEFINED IN SECTION 3(3) OF THE EMPLOYEE RETIREMENT INCOME SECURITY ACT OF 1974, AS AMENDED ("ERISA")) THAT IS SUBJECT TO TITLE I OF ERISA, (B) A "PLAN" (AS DEFINED IN SECTION 4975(e)(1) OF THE INTERNAL REVENUE CODE OF 1986, AS AMENDED (THE "CODE")) THAT IS SUBJECT TO SECTION 4975 OF THE CODE, (C) AN ENTITY WHOSE UNDERLYING ASSETS ARE CONSIDERED TO INCLUDE ASSETS OF AN EMPLOYEE BENEFIT PLAN OR PLAN DESCRIBED IN CLAUSE (A) OR (B) ABOVE (EACH, A "BENEFIT PLAN ENTITY"), (D) AN ENTITY THAT IS SUBJECT TO ANY FEDERAL, STATE, LOCAL OR NON- U.S. LAWS OR REGULATIONS THAT ARE SUBSTANTIALLY SIMILAR TO PART 4 OF TITLE I OF ERISA OR SECTION 4975 OF THE CODE (EACH, A "SIMILAR LAW") OR (E) ANY PERSON WHO IS DIRECTLY OR INDIRECTLY PURCHASING, HOLDING OR DISPOSING THIS NOTE OR ANY INTEREST HEREIN ON BEHALF OF, AS FIDUCIARY OF, AS TRUSTEE OF, OR WITH ASSETS OF, ANY BENEFIT PLAN ENTITY OR ANY ENTITY THAT IS SUBJECT TO ANY SIMILAR LAW.]</w:t>
      </w:r>
    </w:p>
    <w:p>
      <w:pPr>
        <w:spacing w:after="0" w:line="16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9"/>
          <w:szCs w:val="19"/>
          <w:color w:val="auto"/>
        </w:rPr>
        <w:t>ANY TRANSFER IN VIOLATION OF THE FOREGOING WILL BE OF NO FORCE AND EFFECT, WILL BE VOID AB INITIO, AND WILL NOT OPERATE TO TRANSFER ANY RIGHTS TO THE PURCHASER OR TRANSFEREE NOTWITHSTANDING ANY INSTRUCTIONS TO THE CONTRARY TO THE ISSUER, THE INDENTURE TRUSTEE OR ANY INTERMEDIARY. EACH TRANSFEROR OF THIS NOTE AGREES TO PROVIDE NOTICE OF THE TRANSFER RESTRICTIONS SET FORTH HEREIN AND IN THE INDENTURE TO THE TRANSFEREE.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65" w:name="page366"/>
    <w:bookmarkEnd w:id="365"/>
    <w:p>
      <w:pPr>
        <w:spacing w:after="0" w:line="200" w:lineRule="exact"/>
        <w:rPr>
          <w:sz w:val="20"/>
          <w:szCs w:val="20"/>
          <w:color w:val="auto"/>
        </w:rPr>
      </w:pPr>
    </w:p>
    <w:p>
      <w:pPr>
        <w:spacing w:after="0" w:line="26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THE FAILURE TO PROVIDE THE ISSUER AND THE INDENTURE TRUSTEE WITH THE APPLICABLE U.S. FEDERAL INCOME TAX CERTIFICATIONS (GENERALLY, AN INTERNAL REVENUE SERVICE FORM W-9 (OR SUCCESSOR APPLICABLE FORM) IN THE CASE OF A PERSON THAT IS A "UNITED STATES PERSON" WITHIN THE MEANING OF SECTION 7701(A)(30) OF THE INTERNAL REVENUE CODE, OR AN APPROPRIATE INTERNAL REVENUE SERVICE FORM W-8 (OR SUCCESSOR APPLICABLE FORM) IN THE CASE OF A PERSON THAT IS NOT A "UNITED STATES PERSON" WITHIN THE MEANING OF SECTION 7701(A)(30) OF THE INTERNAL REVENUE CODE) MAY RESULT IN THE IMPOSITION OF U.S. FEDERAL WITHHOLDING OR BACK-UP WITHHOLDING UPON PAYMENTS TO THE HOLDER IN RESPECT OF THIS NOTE.</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CLASS E ONLY</w:t>
      </w:r>
      <w:r>
        <w:rPr>
          <w:rFonts w:ascii="Times New Roman" w:cs="Times New Roman" w:eastAsia="Times New Roman" w:hAnsi="Times New Roman"/>
          <w:sz w:val="19"/>
          <w:szCs w:val="19"/>
          <w:color w:val="auto"/>
        </w:rPr>
        <w:t>: THE PROSPECTIVE BENEFICIAL OWNER OF THIS NOTE WILL BE DEEMED TO HAVE REPRESENTED, WARRANTED AND COVENANTED THAT (A) IT WILL NOT USE SUCH NOTE AND WILL NOT ALLOW SUCH NOTE TO BE USED AS COLLATERAL FOR THE ISSUANCE OF ANY SECURITIES THAT COULD CAUSE THE ISSUER TO BECOME TAXABLE AS A CORPORATION FOR U.S. FEDERAL INCOME TAX PURPOSES AND (B) IT WILL NOT TAKE ANY ACTION AND WILL NOT ALLOW ANY ACTION TO BE TAKEN THAT COULD CAUSE THE ISSUER TO BECOME TAXABLE AS A CORPORATION FOR U.S. FEDERAL INCOME TAX PURPOSES. ANY TRANSFER IN VIOLATION OF THE FOREGOING WILL BE OF NO FORCE AND EFFECT, WILL BE VOID AB INITIO, AND WILL NOT OPERATE TO TRANSFER ANY RIGHTS TO THE TRANSFEREE.]</w:t>
      </w:r>
    </w:p>
    <w:p>
      <w:pPr>
        <w:spacing w:after="0" w:line="162" w:lineRule="exact"/>
        <w:rPr>
          <w:sz w:val="20"/>
          <w:szCs w:val="20"/>
          <w:color w:val="auto"/>
        </w:rPr>
      </w:pPr>
    </w:p>
    <w:p>
      <w:pPr>
        <w:ind w:right="20" w:firstLine="1404"/>
        <w:spacing w:after="0" w:line="257" w:lineRule="auto"/>
        <w:rPr>
          <w:sz w:val="20"/>
          <w:szCs w:val="20"/>
          <w:color w:val="auto"/>
        </w:rPr>
      </w:pPr>
      <w:r>
        <w:rPr>
          <w:rFonts w:ascii="Times New Roman" w:cs="Times New Roman" w:eastAsia="Times New Roman" w:hAnsi="Times New Roman"/>
          <w:sz w:val="19"/>
          <w:szCs w:val="19"/>
          <w:color w:val="auto"/>
        </w:rPr>
        <w:t>Unless this Note is presented by an authorized representative of The Depository Trust Company, a New York corporation ("DTC"),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PRINCIPAL OF THIS NOTE IS PAYABLE IN INSTALLMENTS AS SET FORTH HEREIN. ACCORDINGLY, THE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OUTSTANDING PRINCIPAL AMOUNT OF THIS NOTE AT ANY TIME MAY BE LESS THAN THE AMOUNT SHOWN ON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FACE HEREOF.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66" w:name="page367"/>
    <w:bookmarkEnd w:id="366"/>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UNITED AUTO CREDIT SECURITIZATION TRUST 2025-1</w:t>
      </w:r>
    </w:p>
    <w:p>
      <w:pPr>
        <w:spacing w:after="0" w:line="20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color w:val="auto"/>
        </w:rPr>
        <w:t>CLASS [A] [B] [C] [D] [E] [____%] AUTOMOBILE RECEIVABLES BACKED NOTE</w:t>
      </w:r>
    </w:p>
    <w:p>
      <w:pPr>
        <w:spacing w:after="0" w:line="202" w:lineRule="exact"/>
        <w:rPr>
          <w:sz w:val="20"/>
          <w:szCs w:val="20"/>
          <w:color w:val="auto"/>
        </w:rPr>
      </w:pPr>
    </w:p>
    <w:p>
      <w:pPr>
        <w:ind w:right="140" w:firstLine="1404"/>
        <w:spacing w:after="0" w:line="258" w:lineRule="auto"/>
        <w:rPr>
          <w:sz w:val="20"/>
          <w:szCs w:val="20"/>
          <w:color w:val="auto"/>
        </w:rPr>
      </w:pPr>
      <w:r>
        <w:rPr>
          <w:rFonts w:ascii="Times New Roman" w:cs="Times New Roman" w:eastAsia="Times New Roman" w:hAnsi="Times New Roman"/>
          <w:sz w:val="19"/>
          <w:szCs w:val="19"/>
          <w:color w:val="auto"/>
        </w:rPr>
        <w:t>United Auto Credit Securitization Trust 2025- 1, a statutory trust organized and existing under the laws of the State of Delaware (herein referred to as the "Issuer"), for value received, hereby promises to pay to CEDE &amp; CO., or registered assigns, the principal sum of [_____] DOLLARS payable on each Distribution Date in an amount equal to the result obtained by multiplying (i)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fraction the numerator of which is $[_____] and the denominator of which is $[_____] by (ii) the aggregate amount, if any, payable from</w:t>
      </w:r>
    </w:p>
    <w:p>
      <w:pPr>
        <w:spacing w:after="0" w:line="10"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9"/>
          <w:szCs w:val="19"/>
          <w:color w:val="auto"/>
        </w:rPr>
        <w:t xml:space="preserve">the Note Distribution Account and Collection Account in respect of principal on the Class [A] [B] [C] [D] [E] Notes pursuant to the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entire unpaid Note Balance of this Note shall be due and payable on the [_________, 20__]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Distribution Date (the "Final Scheduled Distribution Date"). The Issuer will pay interest on this Note at the rate per annum shown above on each Distribution Date until the principal of this Note is paid or made available for payment. Interest on this Note will accrue for each Distribution Date from and including the 10 </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of the prior month (or in the case of the first Distribution Date, from and including the Closing Date) to but excluding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of the current month (the "Interest Period") . Interest on this Note will be calculated on the basis of a 360-day year consisting of twelve 30-day months (the "Interest Period"), except that in the case of the first Distribution Date, the Interest Period shall be 28 days. Such principal and interest on this Note shall be paid in the manner specified on the reverse hereof.</w:t>
      </w:r>
    </w:p>
    <w:p>
      <w:pPr>
        <w:spacing w:after="0" w:line="295" w:lineRule="exact"/>
        <w:rPr>
          <w:sz w:val="20"/>
          <w:szCs w:val="20"/>
          <w:color w:val="auto"/>
        </w:rPr>
      </w:pPr>
    </w:p>
    <w:p>
      <w:pPr>
        <w:jc w:val="both"/>
        <w:ind w:firstLine="1404"/>
        <w:spacing w:after="0" w:line="268" w:lineRule="auto"/>
        <w:rPr>
          <w:sz w:val="20"/>
          <w:szCs w:val="20"/>
          <w:color w:val="auto"/>
        </w:rPr>
      </w:pPr>
      <w:r>
        <w:rPr>
          <w:rFonts w:ascii="Times New Roman" w:cs="Times New Roman" w:eastAsia="Times New Roman" w:hAnsi="Times New Roman"/>
          <w:sz w:val="19"/>
          <w:szCs w:val="19"/>
          <w:color w:val="auto"/>
        </w:rPr>
        <w:t>The principal of and interest on this Note are payable in such coin or currency of the United States of America as at the time of payment is legal tender for payment of public and private debts. All payments made by the Issuer with respect to this Note shall be applied first to interest due and payable on this Note as provided above and then to the unpaid principal of this Note.</w:t>
      </w:r>
    </w:p>
    <w:p>
      <w:pPr>
        <w:spacing w:after="0" w:line="144" w:lineRule="exact"/>
        <w:rPr>
          <w:sz w:val="20"/>
          <w:szCs w:val="20"/>
          <w:color w:val="auto"/>
        </w:rPr>
      </w:pPr>
    </w:p>
    <w:p>
      <w:pPr>
        <w:ind w:right="420" w:firstLine="1404"/>
        <w:spacing w:after="0" w:line="286" w:lineRule="auto"/>
        <w:rPr>
          <w:sz w:val="20"/>
          <w:szCs w:val="20"/>
          <w:color w:val="auto"/>
        </w:rPr>
      </w:pPr>
      <w:r>
        <w:rPr>
          <w:rFonts w:ascii="Times New Roman" w:cs="Times New Roman" w:eastAsia="Times New Roman" w:hAnsi="Times New Roman"/>
          <w:sz w:val="19"/>
          <w:szCs w:val="19"/>
          <w:color w:val="auto"/>
        </w:rPr>
        <w:t>Reference is made to the further provisions of this Note set forth on the reverse hereof, which shall have the same effect as though fully set forth on the face of this Note.</w:t>
      </w:r>
    </w:p>
    <w:p>
      <w:pPr>
        <w:spacing w:after="0" w:line="127" w:lineRule="exact"/>
        <w:rPr>
          <w:sz w:val="20"/>
          <w:szCs w:val="20"/>
          <w:color w:val="auto"/>
        </w:rPr>
      </w:pPr>
    </w:p>
    <w:p>
      <w:pPr>
        <w:jc w:val="both"/>
        <w:ind w:right="40" w:firstLine="1404"/>
        <w:spacing w:after="0" w:line="258" w:lineRule="auto"/>
        <w:rPr>
          <w:sz w:val="20"/>
          <w:szCs w:val="20"/>
          <w:color w:val="auto"/>
        </w:rPr>
      </w:pPr>
      <w:r>
        <w:rPr>
          <w:rFonts w:ascii="Times New Roman" w:cs="Times New Roman" w:eastAsia="Times New Roman" w:hAnsi="Times New Roman"/>
          <w:sz w:val="19"/>
          <w:szCs w:val="19"/>
          <w:color w:val="auto"/>
        </w:rPr>
        <w:t>Unless the certificate of authentication hereon has been executed by the Indenture Trustee whose name appears below by manual or facsimile signature, this Note shall not be entitled to any benefit under the Indenture referred to on the reverse hereof, or be valid or obligatory for any purpose.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7" w:name="page368"/>
    <w:bookmarkEnd w:id="367"/>
    <w:p>
      <w:pPr>
        <w:spacing w:after="0" w:line="269"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IN WITNESS WHEREOF, the Issuer has caused this instrument to be signed, manually or in facsimile, by its Authorized Officer as of the date set forth below.</w:t>
      </w:r>
    </w:p>
    <w:p>
      <w:pPr>
        <w:spacing w:after="0" w:line="1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UNITED AUTO CREDIT SECURITIZATION</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TRUST 2025-1</w:t>
      </w:r>
    </w:p>
    <w:p>
      <w:pPr>
        <w:spacing w:after="0" w:line="1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by</w:t>
      </w:r>
    </w:p>
    <w:p>
      <w:pPr>
        <w:spacing w:after="0" w:line="1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COMPUTERSHARE DELAWARE TRUST</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COMPANY, not in its individual capacity but</w:t>
      </w:r>
    </w:p>
    <w:p>
      <w:pPr>
        <w:spacing w:after="0" w:line="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solely as Owner Trustee under the Trust Agreement</w:t>
      </w:r>
    </w:p>
    <w:p>
      <w:pPr>
        <w:spacing w:after="0" w:line="1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color w:val="auto"/>
        </w:rPr>
        <w:t>INDENTURE TRUSTEE'S CERTIFICATE OF AUTHENTICATION</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This is one of the Notes designated above and referred to in the within-mentioned Indenture.</w:t>
      </w:r>
    </w:p>
    <w:p>
      <w:pPr>
        <w:sectPr>
          <w:pgSz w:w="11900" w:h="16840" w:orient="portrait"/>
          <w:cols w:equalWidth="0" w:num="1">
            <w:col w:w="9840"/>
          </w:cols>
          <w:pgMar w:left="660" w:top="1440" w:right="1400"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March</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2025</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920"/>
        <w:spacing w:after="0" w:line="268" w:lineRule="auto"/>
        <w:rPr>
          <w:sz w:val="20"/>
          <w:szCs w:val="20"/>
          <w:color w:val="auto"/>
        </w:rPr>
      </w:pPr>
      <w:r>
        <w:rPr>
          <w:rFonts w:ascii="Times New Roman" w:cs="Times New Roman" w:eastAsia="Times New Roman" w:hAnsi="Times New Roman"/>
          <w:sz w:val="19"/>
          <w:szCs w:val="19"/>
          <w:color w:val="auto"/>
        </w:rPr>
        <w:t>COMPUTERSHARE TRUST COMPANY, N.A., not in its individual capacity but solely as Indenture Trustee</w:t>
      </w:r>
    </w:p>
    <w:p>
      <w:pPr>
        <w:spacing w:after="0" w:line="180" w:lineRule="exact"/>
        <w:rPr>
          <w:sz w:val="20"/>
          <w:szCs w:val="20"/>
          <w:color w:val="auto"/>
        </w:rPr>
      </w:pPr>
    </w:p>
    <w:p>
      <w:pPr>
        <w:sectPr>
          <w:pgSz w:w="11900" w:h="16840" w:orient="portrait"/>
          <w:cols w:equalWidth="0" w:num="3">
            <w:col w:w="1280" w:space="720"/>
            <w:col w:w="2240" w:space="720"/>
            <w:col w:w="4880"/>
          </w:cols>
          <w:pgMar w:left="660" w:top="1440" w:right="1400"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Authorized Signer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660" w:top="1440" w:right="1400" w:bottom="1440" w:gutter="0" w:footer="0" w:header="0"/>
          <w:type w:val="continuous"/>
        </w:sectPr>
      </w:pPr>
    </w:p>
    <w:bookmarkStart w:id="368" w:name="page369"/>
    <w:bookmarkEnd w:id="368"/>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[REVERSE OF NOTE]</w:t>
      </w:r>
    </w:p>
    <w:p>
      <w:pPr>
        <w:spacing w:after="0" w:line="202" w:lineRule="exact"/>
        <w:rPr>
          <w:sz w:val="20"/>
          <w:szCs w:val="20"/>
          <w:color w:val="auto"/>
        </w:rPr>
      </w:pPr>
    </w:p>
    <w:p>
      <w:pPr>
        <w:ind w:right="120" w:firstLine="1404"/>
        <w:spacing w:after="0" w:line="255" w:lineRule="auto"/>
        <w:rPr>
          <w:sz w:val="20"/>
          <w:szCs w:val="20"/>
          <w:color w:val="auto"/>
        </w:rPr>
      </w:pPr>
      <w:r>
        <w:rPr>
          <w:rFonts w:ascii="Times New Roman" w:cs="Times New Roman" w:eastAsia="Times New Roman" w:hAnsi="Times New Roman"/>
          <w:sz w:val="19"/>
          <w:szCs w:val="19"/>
          <w:color w:val="auto"/>
        </w:rPr>
        <w:t>This Note is one of a duly authorized issue of Notes of the Issuer, designated as its Class [A] [B] [C] [D] [E] [__]% Automobile Receivables Backed Notes (herein called the "Class [A] [B] [C] [D] [E] Notes"), all issued under an Indenture, dated as of February 28, 2025 (such indenture, as amended, supplemented or otherwise modified from time to time in accordance with the terms thereof, is herein called the "Indenture"), between the Issuer and Computershare Trust Company, N.A., as indenture trustee (the "Indenture Trustee," which term includes any successor Indenture Trustee under the Indenture) to which Indenture and all indentures supplemental thereto reference is hereby made for a statement of the respective rights and obligations thereunder of the Issuer, the Indenture Trustee and the Holders of the Notes. The Notes are subject to all terms of the Indenture. All terms used in this Note that are defined in the Indenture shall have the meanings assigned to them in or pursuant to the Indenture.</w:t>
      </w:r>
    </w:p>
    <w:p>
      <w:pPr>
        <w:spacing w:after="0" w:line="160"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Authorized under the Indenture are the Class A Notes, the Class B Notes, the Class C Notes, the Class D Notes and the Class E Notes (collectively, the "Notes"). The Notes are and will be equally and ratably secured by the collateral pledged as security therefor as provided in the Indenture. The Class B Notes are subordinated in right of payment to the Class A Notes, the Class C Notes are subordinated in right of payment to the Class A Notes and the Class B Notes, the Class D Notes are subordinated in right of payment to the Class A Notes, the Class B Notes and the Class C Notes and the Class E Notes are subordinated in right of payment to the Class A Notes, the Class B Notes, the Class C Notes and the Class D Notes, in each case, as provided in the Indenture. The Class A Notes are entitled to receive payments of interest on a pari passu basis. Following the occurrence of certain Events of Default under the Indenture, however, payments of principal shall be made in the priority set forth in the Indenture.</w:t>
      </w:r>
    </w:p>
    <w:p>
      <w:pPr>
        <w:spacing w:after="0" w:line="160" w:lineRule="exact"/>
        <w:rPr>
          <w:sz w:val="20"/>
          <w:szCs w:val="20"/>
          <w:color w:val="auto"/>
        </w:rPr>
      </w:pPr>
    </w:p>
    <w:p>
      <w:pPr>
        <w:jc w:val="both"/>
        <w:ind w:right="160" w:firstLine="1404"/>
        <w:spacing w:after="0" w:line="262" w:lineRule="auto"/>
        <w:rPr>
          <w:sz w:val="20"/>
          <w:szCs w:val="20"/>
          <w:color w:val="auto"/>
        </w:rPr>
      </w:pPr>
      <w:r>
        <w:rPr>
          <w:rFonts w:ascii="Times New Roman" w:cs="Times New Roman" w:eastAsia="Times New Roman" w:hAnsi="Times New Roman"/>
          <w:sz w:val="19"/>
          <w:szCs w:val="19"/>
          <w:color w:val="auto"/>
        </w:rPr>
        <w:t>Principal of the Class [A] [B] [C] [D] [E] Notes will be payable on each Distribution Date in an amount described on the face hereof. "Distribution Date" means the tenth day of each month, or, if any such date is not a Business Day, the next succeeding Business Day, commencing April 10, 2025. The term "Distribution Date," shall be deemed to include the Final Scheduled Distribution Date.</w:t>
      </w:r>
    </w:p>
    <w:p>
      <w:pPr>
        <w:spacing w:after="0" w:line="150" w:lineRule="exact"/>
        <w:rPr>
          <w:sz w:val="20"/>
          <w:szCs w:val="20"/>
          <w:color w:val="auto"/>
        </w:rPr>
      </w:pPr>
    </w:p>
    <w:p>
      <w:pPr>
        <w:ind w:right="80" w:firstLine="1404"/>
        <w:spacing w:after="0" w:line="256" w:lineRule="auto"/>
        <w:rPr>
          <w:sz w:val="20"/>
          <w:szCs w:val="20"/>
          <w:color w:val="auto"/>
        </w:rPr>
      </w:pPr>
      <w:r>
        <w:rPr>
          <w:rFonts w:ascii="Times New Roman" w:cs="Times New Roman" w:eastAsia="Times New Roman" w:hAnsi="Times New Roman"/>
          <w:sz w:val="19"/>
          <w:szCs w:val="19"/>
          <w:color w:val="auto"/>
        </w:rPr>
        <w:t>As described above, the entire unpaid Note Balance of this Note shall be due and payable on the earlier of the Final Scheduled Distribution Date and the Redemption Date, if any, pursuant to the Indenture. Notwithstanding the foregoing, the entire unpaid Note Balance of the Notes may be due and payable on the date on which an Event of Default shall have occurred and be continuing if so declared by the Indenture Trustee. If such an Event of Default shall have occurred and be continuing, the Indenture Trustee, if so directed in writing by the Majority Noteholders, shall declare the Notes to be immediately due and payable in the manner provided in the Indenture. All principal payments on the Class [A] [B] [C] [D] [E] Notes shall be made pro rata to the Class [A] [B] [C] [D] [E] Noteholders entitled thereto.</w:t>
      </w:r>
    </w:p>
    <w:p>
      <w:pPr>
        <w:spacing w:after="0" w:line="15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Payments of interest on this Note due and payable on each Distribution Date, together with the installment of principal, if any, to the extent not in full payment of this Note, shall be made by check mailed to the Person whose name appears as the Holder of this Note (or one or more Predecessor Notes) on the Note Register as of the close of business on each Record Date, except that with respect to Notes registered on the Record Date in the name of the nominee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9" w:name="page370"/>
    <w:bookmarkEnd w:id="369"/>
    <w:p>
      <w:pPr>
        <w:spacing w:after="0" w:line="200" w:lineRule="exact"/>
        <w:rPr>
          <w:sz w:val="20"/>
          <w:szCs w:val="20"/>
          <w:color w:val="auto"/>
        </w:rPr>
      </w:pPr>
    </w:p>
    <w:p>
      <w:pPr>
        <w:spacing w:after="0" w:line="2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of the Clearing Agency (initially, such nominee to be Cede &amp; Co.), payments will be made by wire transfer in immediately available funds to the account designated by such nominee. Such checks shall be mailed to the Person entitled thereto at the address of such Person as it appears on the Note Register as of the applicable Record Date without requiring that this Note be submitted for notation of payment. Any reduction in the Note Balance of this Note (or any one or more Predecessor Notes) effected by any payments made on any Distribution Date shall be binding upon all future Holders of this Note and of any Note issued upon the registration of transfer hereof or in exchange hereof or in lieu hereof, whether or not noted hereon. If funds are expected to be available, as provided in the Indenture, for payment in full of the then remaining unpaid Note Balance of this Note on a Distribution Date, then the Indenture Trustee, in the name of and on behalf of the Issuer, will notify the Person who was the Holder hereof as of the Record Date preceding such Distribution Date by notice mailed prior to such Distribution Date and the amount then due and payable shall be payable only upon presentation and surrender of this Note at the Indenture Trustee's principal Corporate Trust Office or at the office of the Indenture Trustee's agent appointed for such purposes located in St. Paul, Minnesota.</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The Issuer shall pay interest on overdue installments of interest at the Class [A] [B] [C] [D] [E] Interest Rate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extent lawful.</w:t>
      </w:r>
    </w:p>
    <w:p>
      <w:pPr>
        <w:spacing w:after="0" w:line="180" w:lineRule="exact"/>
        <w:rPr>
          <w:sz w:val="20"/>
          <w:szCs w:val="20"/>
          <w:color w:val="auto"/>
        </w:rPr>
      </w:pPr>
    </w:p>
    <w:p>
      <w:pPr>
        <w:ind w:right="200" w:firstLine="1404"/>
        <w:spacing w:after="0" w:line="254" w:lineRule="auto"/>
        <w:rPr>
          <w:sz w:val="20"/>
          <w:szCs w:val="20"/>
          <w:color w:val="auto"/>
        </w:rPr>
      </w:pPr>
      <w:r>
        <w:rPr>
          <w:rFonts w:ascii="Times New Roman" w:cs="Times New Roman" w:eastAsia="Times New Roman" w:hAnsi="Times New Roman"/>
          <w:sz w:val="19"/>
          <w:szCs w:val="19"/>
          <w:color w:val="auto"/>
        </w:rPr>
        <w:t>As provided in the Indenture and subject to certain limitations set forth therein, the transfer of this Note may be registered on the Note Register upon surrender of this Note for registration of transfer at the office or agency designated by the Issuer pursuant to the Indenture, (i) duly endorsed by, or accompanied by a written instrument of transfer in form satisfactory to the Indenture Trustee duly executed by, the Holder hereof or his attorney duly authorized in writing, with such signature guaranteed by an "eligible guarantor institution" meeting the requirements of the Note Registrar which requirements include membership or participation in Securities Transfer Agents Medallion Program ("STAMP") or such other "signature guarantee program" as may be determined by the Note Registrar in addition to, or in substitution for, STAMP, all in accordance with the Exchange Act, and (ii) accompanied by such other documents as the Indenture Trustee may require, and thereupon one or more new Notes of authorized denominations and in the same aggregate Note Balance will be issued to the designated transferee or transferees. No service charge will be charged for any registration of transfer or exchange of this Note, but the transferor may be required to pay a sum sufficient to cover any tax or other governmental charge that may be imposed in connection with any such registration of transfer or exchange.</w:t>
      </w:r>
    </w:p>
    <w:p>
      <w:pPr>
        <w:spacing w:after="0" w:line="155" w:lineRule="exact"/>
        <w:rPr>
          <w:sz w:val="20"/>
          <w:szCs w:val="20"/>
          <w:color w:val="auto"/>
        </w:rPr>
      </w:pPr>
    </w:p>
    <w:p>
      <w:pPr>
        <w:ind w:right="180" w:firstLine="1404"/>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CLASS A, B, C AND D NOTES ONLY</w:t>
      </w:r>
      <w:r>
        <w:rPr>
          <w:rFonts w:ascii="Times New Roman" w:cs="Times New Roman" w:eastAsia="Times New Roman" w:hAnsi="Times New Roman"/>
          <w:sz w:val="19"/>
          <w:szCs w:val="19"/>
          <w:color w:val="auto"/>
        </w:rPr>
        <w:t>: If this Note has been issued as a Definitive Note, the Note Registrar shall not register the transfer of this Note unless the prospective transferee has represented and warranted in writing the representations set forth in Section 2.4(d) of the Indenture.]</w:t>
      </w:r>
    </w:p>
    <w:p>
      <w:pPr>
        <w:spacing w:after="0" w:line="142" w:lineRule="exact"/>
        <w:rPr>
          <w:sz w:val="20"/>
          <w:szCs w:val="20"/>
          <w:color w:val="auto"/>
        </w:rPr>
      </w:pPr>
    </w:p>
    <w:p>
      <w:pPr>
        <w:ind w:right="40" w:firstLine="1404"/>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CLASS E NOTES ONLY</w:t>
      </w:r>
      <w:r>
        <w:rPr>
          <w:rFonts w:ascii="Times New Roman" w:cs="Times New Roman" w:eastAsia="Times New Roman" w:hAnsi="Times New Roman"/>
          <w:sz w:val="19"/>
          <w:szCs w:val="19"/>
          <w:color w:val="auto"/>
        </w:rPr>
        <w:t>: If this Note has been issued as a Definitive Note, the Note Registrar shall not register the transfer of this Note (or any interest herein) unless the prospective transferee has represented and warranted that it is not and will not become (i) a Benefit Plan Entity, as defined in Section 1.1 of the Indenture, (ii) an entity that is subject to any Similar Law, as defined in Section 1.1 of the Indenture or (iii) any Person who is directly or indirectly purchasing, holding or disposing this Note or any interest herein on behalf of, as fiduciary of, as trustee of, or with assets of any Benefit Plan Entity or any entity that is subject to any Similar Law.]</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0" w:name="page371"/>
    <w:bookmarkEnd w:id="370"/>
    <w:p>
      <w:pPr>
        <w:spacing w:after="0" w:line="200" w:lineRule="exact"/>
        <w:rPr>
          <w:sz w:val="20"/>
          <w:szCs w:val="20"/>
          <w:color w:val="auto"/>
        </w:rPr>
      </w:pPr>
    </w:p>
    <w:p>
      <w:pPr>
        <w:spacing w:after="0" w:line="261"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If this Note has been issued and is a Book -Entry Note, each purchaser and transferee of this Note or any interest herein will be deemed to have made the representations set forth in Section 2.4(d) of the Indenture.</w:t>
      </w:r>
    </w:p>
    <w:p>
      <w:pPr>
        <w:spacing w:after="0" w:line="127" w:lineRule="exact"/>
        <w:rPr>
          <w:sz w:val="20"/>
          <w:szCs w:val="20"/>
          <w:color w:val="auto"/>
        </w:rPr>
      </w:pPr>
    </w:p>
    <w:p>
      <w:pPr>
        <w:ind w:right="120" w:firstLine="1404"/>
        <w:spacing w:after="0" w:line="253" w:lineRule="auto"/>
        <w:rPr>
          <w:sz w:val="20"/>
          <w:szCs w:val="20"/>
          <w:color w:val="auto"/>
        </w:rPr>
      </w:pPr>
      <w:r>
        <w:rPr>
          <w:rFonts w:ascii="Times New Roman" w:cs="Times New Roman" w:eastAsia="Times New Roman" w:hAnsi="Times New Roman"/>
          <w:sz w:val="19"/>
          <w:szCs w:val="19"/>
          <w:color w:val="auto"/>
        </w:rPr>
        <w:t>Each Noteholder or Note Owner, by acceptance of a Note or, in the case of a Note Owner, a beneficial interest in a Note, covenants and agrees (i) that no recourse may be taken, directly or indirectly, with respect to the obligations of the Issuer, the Owner Trustee or the Indenture Trustee on the Notes or under the Indenture or any certificate or other writing delivered in connection therewith, against (a) the Depositor, the Servicer, the Indenture Trustee or the Owner Trustee in its individual capacity, (b) any owner of a beneficial interest in the Issuer or (c) any partner, owner, beneficiary, agent, officer, director or employee of the Depositor, the Servicer, the Indenture Trustee or the Owner Trustee in its individual capacity, any holder of a beneficial interest in the Issuer, the Depositor, the Servicer, the Owner Trustee or the Indenture Trustee or of any successor or assign of the Depositor, the Servicer, the Indenture Trustee or the Owner Trustee in its individual capacity, except as any such Person may have expressly agreed (it being understood that the Indenture Trustee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 and (ii) to treat the Notes as indebtedness for purposes of U.S. federal income, State and local income and franchise and any other income taxes.</w:t>
      </w:r>
    </w:p>
    <w:p>
      <w:pPr>
        <w:spacing w:after="0" w:line="165"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Prior to the due presentment for registration of transfer of this Note, the Issuer and the Indenture Trustee and any agent of the Issuer or the Indenture Trustee may treat the Person in whose name this Note (as of the day of determination or as of such other date as may be specified in the Indenture) is registered as the owner hereof for all purposes, whether or not this Note be overdue, and neither the Issuer, the Indenture Trustee nor any such agent shall be affected by notice to the contrary.</w:t>
      </w:r>
    </w:p>
    <w:p>
      <w:pPr>
        <w:spacing w:after="0" w:line="150"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The Indenture permits, with certain exceptions as therein provided, the amendment thereof and the modification of the rights and obligations of the Issuer and the rights of the Holders of the Notes under the Indenture at any time by the Issuer with the consent of the Majority Noteholders. The Indenture also contains provisions permitting the Noteholders representing specified percentages of the Outstanding Amount of the Notes of the Controlling Class, on behalf of the Holders of all the Notes, to waive compliance by the Issuer with certain provisions of the Indenture and certain past defaults under the Indenture and their consequences. Any such consent or waiver by the Holder of this Note (or any one of more Predecessor Notes) shall be conclusive and binding upon such Holder and upon all future Holders of this Note and of any Note issued upon the registration of transfer hereof or in exchange hereof or in lieu hereof whether or not notation of such consent or waiver is made upon this Note. The Indenture also permits the Indenture Trustee to amend or waive certain terms and conditions set forth in the Indenture without the consent of Holders of the Notes issued thereunder.</w:t>
      </w:r>
    </w:p>
    <w:p>
      <w:pPr>
        <w:spacing w:after="0" w:line="3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The term "Issuer" as used in this Note includes any successor to the Issuer under the Indenture.</w:t>
      </w:r>
    </w:p>
    <w:p>
      <w:pPr>
        <w:spacing w:after="0" w:line="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71" w:name="page372"/>
    <w:bookmarkEnd w:id="371"/>
    <w:p>
      <w:pPr>
        <w:spacing w:after="0" w:line="200" w:lineRule="exact"/>
        <w:rPr>
          <w:sz w:val="20"/>
          <w:szCs w:val="20"/>
          <w:color w:val="auto"/>
        </w:rPr>
      </w:pPr>
    </w:p>
    <w:p>
      <w:pPr>
        <w:spacing w:after="0" w:line="261"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The Issuer is permitted by the Indenture, under certain circumstances, to merge or consolidate, subject to the rights of the Indenture Trustee and the Noteholders under the Indenture.</w:t>
      </w:r>
    </w:p>
    <w:p>
      <w:pPr>
        <w:spacing w:after="0" w:line="127"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The Notes are issuable only in registered form in denominations as provided in the Indenture, subject to certain limitations therein set forth.</w:t>
      </w:r>
    </w:p>
    <w:p>
      <w:pPr>
        <w:spacing w:after="0" w:line="127"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THIS NOTE AND THE INDENTURE SHALL BE CONSTRUED IN ACCORDANCE WITH THE LAWS OF THE STATE OF NEW YORK, WITHOUT REFERENCE TO ITS CONFLICT OF LAW PROVISIONS (OTHER THAN SECTIONS 5- 1401 AND 5-1402 OF THE NEW YORK GENERAL OBLIGATIONS LAW), AND THE OBLIGATIONS, RIGHTS AND REMEDIES OF THE PARTIES HEREUNDER AND THEREUNDER SHALL BE DETERMINED IN ACCORDANCE WITH SUCH LAWS.</w:t>
      </w:r>
    </w:p>
    <w:p>
      <w:pPr>
        <w:spacing w:after="0" w:line="150"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No reference herein to the Indenture and no provision of this Note or of the Indenture shall alter or impair the obligation of the Issuer, which is absolute and unconditional, to pay the principal of and interest on this Note at the times, place, and rate, and in the coin or currency herein prescribed.</w:t>
      </w:r>
    </w:p>
    <w:p>
      <w:pPr>
        <w:spacing w:after="0" w:line="144" w:lineRule="exact"/>
        <w:rPr>
          <w:sz w:val="20"/>
          <w:szCs w:val="20"/>
          <w:color w:val="auto"/>
        </w:rPr>
      </w:pPr>
    </w:p>
    <w:p>
      <w:pPr>
        <w:ind w:right="120" w:firstLine="1404"/>
        <w:spacing w:after="0" w:line="252" w:lineRule="auto"/>
        <w:rPr>
          <w:sz w:val="20"/>
          <w:szCs w:val="20"/>
          <w:color w:val="auto"/>
        </w:rPr>
      </w:pPr>
      <w:r>
        <w:rPr>
          <w:rFonts w:ascii="Times New Roman" w:cs="Times New Roman" w:eastAsia="Times New Roman" w:hAnsi="Times New Roman"/>
          <w:sz w:val="19"/>
          <w:szCs w:val="19"/>
          <w:color w:val="auto"/>
        </w:rPr>
        <w:t xml:space="preserve">Anything herein to the contrary notwithstanding, except as expressly provided in the Indenture or the other Basic Documents, none of Computershare Delaware Trust Company in its individual capacity, any owner of a beneficial interest in the Issuer, or any of their respective partners, beneficiaries, agents, officers, directors, employees or successors or assigns shall be personally liable for, nor shall recourse be had to any of them for, the payment of principal of or interest on, or performance of, or omission to perform, any of the covenants, obligations or indemnifications contained in this Note or the Indenture, it being expressly understood that said covenants, obligations and indemnifications have been made by the Issuer and not by the forgoing persons. The Holder of this Note by the acceptance hereof agrees that except as expressly provided in the Indenture or the other Basic Documents, in the case of an Event of Default under the Indenture, the Holder shall have no claim against any of the foregoing for any deficiency, loss or claim therefrom;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nothing contained herein shall be taken to prevent recourse to, and enforcement against, the assets of the Issuer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any and all liabilities, obligations and undertakings contained in the Indenture or in this Note.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2" w:name="page373"/>
    <w:bookmarkEnd w:id="372"/>
    <w:p>
      <w:pPr>
        <w:spacing w:after="0" w:line="26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color w:val="auto"/>
        </w:rPr>
        <w:t>ASSIGNMENT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Social Security or taxpayer I.D. or other identifying number of assignee</w:t>
      </w:r>
    </w:p>
    <w:p>
      <w:pPr>
        <w:spacing w:after="0" w:line="262" w:lineRule="exact"/>
        <w:rPr>
          <w:sz w:val="20"/>
          <w:szCs w:val="20"/>
          <w:color w:val="auto"/>
        </w:rPr>
      </w:pPr>
    </w:p>
    <w:p>
      <w:pPr>
        <w:ind w:left="760" w:right="2840" w:firstLine="372"/>
        <w:spacing w:after="0" w:line="474" w:lineRule="auto"/>
        <w:rPr>
          <w:sz w:val="20"/>
          <w:szCs w:val="20"/>
          <w:color w:val="auto"/>
        </w:rPr>
      </w:pPr>
      <w:r>
        <w:rPr>
          <w:rFonts w:ascii="Times New Roman" w:cs="Times New Roman" w:eastAsia="Times New Roman" w:hAnsi="Times New Roman"/>
          <w:sz w:val="19"/>
          <w:szCs w:val="19"/>
          <w:color w:val="auto"/>
        </w:rPr>
        <w:t>FOR VALUE RECEIVED, the undersigned hereby sells, assigns and transfers unto (name and address of assignee)</w:t>
      </w:r>
    </w:p>
    <w:p>
      <w:pPr>
        <w:spacing w:after="0" w:line="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the within Note and all rights thereunder, and hereby irrevocably constitutes and appoints, attorney, to transfer said Note on the books kept for registration thereof, with full power of substitution in the premises.</w:t>
      </w:r>
    </w:p>
    <w:p>
      <w:pPr>
        <w:spacing w:after="0" w:line="6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1</w:t>
      </w:r>
    </w:p>
    <w:p>
      <w:pPr>
        <w:spacing w:after="0"/>
        <w:rPr>
          <w:sz w:val="20"/>
          <w:szCs w:val="20"/>
          <w:color w:val="auto"/>
        </w:rPr>
      </w:pPr>
      <w:r>
        <w:rPr>
          <w:rFonts w:ascii="Times New Roman" w:cs="Times New Roman" w:eastAsia="Times New Roman" w:hAnsi="Times New Roman"/>
          <w:sz w:val="19"/>
          <w:szCs w:val="19"/>
          <w:color w:val="auto"/>
        </w:rPr>
        <w:t>Dated</w:t>
      </w:r>
    </w:p>
    <w:p>
      <w:pPr>
        <w:spacing w:after="0" w:line="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9"/>
          <w:szCs w:val="19"/>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452755</wp:posOffset>
            </wp:positionV>
            <wp:extent cx="1504315" cy="482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702"/>
        <w:spacing w:after="0" w:line="262" w:lineRule="auto"/>
        <w:tabs>
          <w:tab w:leader="none" w:pos="852" w:val="left"/>
        </w:tabs>
        <w:numPr>
          <w:ilvl w:val="0"/>
          <w:numId w:val="309"/>
        </w:numPr>
        <w:rPr>
          <w:rFonts w:ascii="Times New Roman" w:cs="Times New Roman" w:eastAsia="Times New Roman" w:hAnsi="Times New Roman"/>
          <w:sz w:val="11"/>
          <w:szCs w:val="11"/>
          <w:color w:val="auto"/>
        </w:rPr>
      </w:pPr>
      <w:r>
        <w:rPr>
          <w:rFonts w:ascii="Times New Roman" w:cs="Times New Roman" w:eastAsia="Times New Roman" w:hAnsi="Times New Roman"/>
          <w:sz w:val="19"/>
          <w:szCs w:val="19"/>
          <w:color w:val="auto"/>
        </w:rPr>
        <w:t>NOTE: The signature to this assignment must correspond with the name of the registered owner as it appears on the face of the within Note in every particular, without alteration, enlargement or any change whatsoever.</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1440" w:right="860" w:bottom="1440" w:gutter="0" w:footer="0" w:header="0"/>
        </w:sectPr>
      </w:pPr>
    </w:p>
    <w:bookmarkStart w:id="373" w:name="page374"/>
    <w:bookmarkEnd w:id="373"/>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A</w:t>
      </w:r>
    </w:p>
    <w:p>
      <w:pPr>
        <w:spacing w:after="0" w:line="2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REPRESENTATIONS AND WARRANTIES OF THE ISSUER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Representations and Warranties Regarding the Receivables:</w:t>
      </w:r>
    </w:p>
    <w:p>
      <w:pPr>
        <w:spacing w:after="0" w:line="202" w:lineRule="exact"/>
        <w:rPr>
          <w:sz w:val="20"/>
          <w:szCs w:val="20"/>
          <w:color w:val="auto"/>
        </w:rPr>
      </w:pPr>
    </w:p>
    <w:p>
      <w:pPr>
        <w:ind w:right="100" w:firstLine="702"/>
        <w:spacing w:after="0" w:line="262" w:lineRule="auto"/>
        <w:tabs>
          <w:tab w:leader="none" w:pos="888"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Interest in Financed Vehicle. This Indenture creates a valid and continuing Security Interest (as defined in the applicable UCC) in the Receivables in favor of the Indenture Trustee, which Security Interest is prior to all other Liens, and is enforceable as such as against creditors of and purchasers from the Depositor. The Issuer owns and has good and marketable title to the Receivables free and clear of any Lien (other than the Lien in favor of the Indenture Trustee), claim or encumbrance of any Person.</w:t>
      </w:r>
    </w:p>
    <w:p>
      <w:pPr>
        <w:spacing w:after="0" w:line="150" w:lineRule="exact"/>
        <w:rPr>
          <w:rFonts w:ascii="Times New Roman" w:cs="Times New Roman" w:eastAsia="Times New Roman" w:hAnsi="Times New Roman"/>
          <w:sz w:val="19"/>
          <w:szCs w:val="19"/>
          <w:color w:val="auto"/>
        </w:rPr>
      </w:pPr>
    </w:p>
    <w:p>
      <w:pPr>
        <w:jc w:val="both"/>
        <w:ind w:right="160" w:firstLine="702"/>
        <w:spacing w:after="0" w:line="262" w:lineRule="auto"/>
        <w:tabs>
          <w:tab w:leader="none" w:pos="888"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Filings Made. The Issuer has taken all steps necessary to perfect the Indenture Trustee's security interest in the property securing the Receivables. All financing statements filed or to be filed against the Issuer in favor of the Indenture Trustee in connection herewith describing the Receivables contain a statement to the following effect: "A purchase of or a security interest in any collateral described in this financing statement will violate the rights of the Indenture Trustee."</w:t>
      </w:r>
    </w:p>
    <w:p>
      <w:pPr>
        <w:spacing w:after="0" w:line="150" w:lineRule="exact"/>
        <w:rPr>
          <w:rFonts w:ascii="Times New Roman" w:cs="Times New Roman" w:eastAsia="Times New Roman" w:hAnsi="Times New Roman"/>
          <w:sz w:val="19"/>
          <w:szCs w:val="19"/>
          <w:color w:val="auto"/>
        </w:rPr>
      </w:pPr>
    </w:p>
    <w:p>
      <w:pPr>
        <w:ind w:firstLine="702"/>
        <w:spacing w:after="0" w:line="256" w:lineRule="auto"/>
        <w:tabs>
          <w:tab w:leader="none" w:pos="888"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Impairment. The Issuer has not done anything to convey any right to any Person that would result in such Person having a right to payments due under the Receivable or otherwise to impair the rights of the Indenture Trustee and the Noteholders in any Receivable or the proceeds thereof. Other than the security interest granted to the Indenture Trustee pursuant to this Indenture, the Issuer has not pledged, assigned, sold, granted a security interest in, or otherwise conveyed any of the Receivables. The Issuer has not authorized the filing of and is not aware of any financing statements against the Issuer that include a description of collateral covering the Receivables other than any financing statement relating to the security interest granted to the Indenture Trustee hereunder or that has been terminated. The Issuer is not aware of any judgment or tax lien filings against it.</w:t>
      </w:r>
    </w:p>
    <w:p>
      <w:pPr>
        <w:spacing w:after="0" w:line="157" w:lineRule="exact"/>
        <w:rPr>
          <w:rFonts w:ascii="Times New Roman" w:cs="Times New Roman" w:eastAsia="Times New Roman" w:hAnsi="Times New Roman"/>
          <w:sz w:val="19"/>
          <w:szCs w:val="19"/>
          <w:color w:val="auto"/>
        </w:rPr>
      </w:pPr>
    </w:p>
    <w:p>
      <w:pPr>
        <w:ind w:right="460" w:firstLine="702"/>
        <w:spacing w:after="0" w:line="286" w:lineRule="auto"/>
        <w:tabs>
          <w:tab w:leader="none" w:pos="888"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Chattel Paper. The Receivables constitute "tangible chattel paper," "electronic chattel paper," "instruments" or "general intangibles" within the meaning of the UCC as in effect in the State of New York.</w:t>
      </w:r>
    </w:p>
    <w:p>
      <w:pPr>
        <w:spacing w:after="0" w:line="127" w:lineRule="exact"/>
        <w:rPr>
          <w:rFonts w:ascii="Times New Roman" w:cs="Times New Roman" w:eastAsia="Times New Roman" w:hAnsi="Times New Roman"/>
          <w:sz w:val="19"/>
          <w:szCs w:val="19"/>
          <w:color w:val="auto"/>
        </w:rPr>
      </w:pPr>
    </w:p>
    <w:p>
      <w:pPr>
        <w:ind w:firstLine="702"/>
        <w:spacing w:after="0" w:line="257" w:lineRule="auto"/>
        <w:tabs>
          <w:tab w:leader="none" w:pos="888"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Title. Immediately prior to the pledge of the Receivables to the Indenture Trustee pursuant to this Indenture, the Issuer was the sole owner thereof and had good and indefeasible title thereto, free of any Lien and, upon execution and delivery of this Indenture, the Trust shall have good and indefeasible title to and will be the sole owner of such Receivables, free of any Lien. No Dealer has a participation in, or other right to receive, proceeds of any Receivable. The Issuer has not taken any action to convey any right to any Person that would result in such Person having a right to payments received under the related Insurance Policies or the related Dealer Agreements, Dealer Assignments or to payments due under such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4" w:name="page375"/>
    <w:bookmarkEnd w:id="374"/>
    <w:p>
      <w:pPr>
        <w:spacing w:after="0" w:line="269" w:lineRule="exact"/>
        <w:rPr>
          <w:sz w:val="20"/>
          <w:szCs w:val="20"/>
          <w:color w:val="auto"/>
        </w:rPr>
      </w:pPr>
    </w:p>
    <w:p>
      <w:pPr>
        <w:ind w:left="-80" w:right="60" w:firstLine="702"/>
        <w:spacing w:after="0" w:line="254" w:lineRule="auto"/>
        <w:tabs>
          <w:tab w:leader="none" w:pos="808"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Possession of Original Copy. On or before the Closing Date and for a Receivable that is "tangible chattel paper" (within the meaning of the UCC as in effect in the State of New York) (i) the Servicer, as Custodian on behalf of the Issuer, has in its possession or control the original Contract that constitutes or evidences the Receivables, and (ii) the Issuer has received a written acknowledgment from the Servicer that the Servicer is holding the loan agreements and motor vehicle retail installment sales contracts that constitute or evidence the Receivables solely on behalf and for the benefit of the Indenture Trustee. On or before the Closing Date and for a Receivable that is "electronic chattel paper" (within the meaning of the UCC as in effect in the State of New York) (i) the Issuer has not communicated an "authoritative copy" (within the meaning of the applicable UCC) of the Receivable that is or evidences part of the Collateral to any Person other than the Servicer, as Custodian, solely on behalf and for the benefit of the Indenture Trustee, and (ii) the Custodian has "control" (within the meaning of Section 9-105 of the UCC as in effect in the State of New York) with respect to such Receivable.</w:t>
      </w:r>
    </w:p>
    <w:p>
      <w:pPr>
        <w:spacing w:after="0" w:line="160" w:lineRule="exact"/>
        <w:rPr>
          <w:rFonts w:ascii="Times New Roman" w:cs="Times New Roman" w:eastAsia="Times New Roman" w:hAnsi="Times New Roman"/>
          <w:sz w:val="19"/>
          <w:szCs w:val="19"/>
          <w:color w:val="auto"/>
        </w:rPr>
      </w:pPr>
    </w:p>
    <w:p>
      <w:pPr>
        <w:ind w:left="-80" w:firstLine="702"/>
        <w:spacing w:after="0" w:line="268" w:lineRule="auto"/>
        <w:tabs>
          <w:tab w:leader="none" w:pos="808"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Assignment. None of the loan agreements or motor vehicle retail installment sales contracts that constitute or evidence the Receivables has any marks or notations indicating that it has been pledged, assigned, or otherwise conveyed to any Person other than the Indenture Trustee.</w:t>
      </w:r>
    </w:p>
    <w:p>
      <w:pPr>
        <w:spacing w:after="0" w:line="144" w:lineRule="exact"/>
        <w:rPr>
          <w:rFonts w:ascii="Times New Roman" w:cs="Times New Roman" w:eastAsia="Times New Roman" w:hAnsi="Times New Roman"/>
          <w:sz w:val="19"/>
          <w:szCs w:val="19"/>
          <w:color w:val="auto"/>
        </w:rPr>
      </w:pPr>
    </w:p>
    <w:p>
      <w:pPr>
        <w:ind w:left="-80" w:right="60" w:firstLine="702"/>
        <w:spacing w:after="0" w:line="286" w:lineRule="auto"/>
        <w:tabs>
          <w:tab w:leader="none" w:pos="808"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Original. There is only one original executed copy (or with respect to Electronic Contracts, one Authoritative Copy) of each Contract. The Receivables which are evidenced by Electronic Contracts contain the Required Legend.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649605</wp:posOffset>
            </wp:positionV>
            <wp:extent cx="6732905" cy="406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740" w:top="1440" w:right="740" w:bottom="1440" w:gutter="0" w:footer="0" w:header="0"/>
        </w:sectPr>
      </w:pPr>
    </w:p>
    <w:bookmarkStart w:id="375" w:name="page376"/>
    <w:bookmarkEnd w:id="375"/>
    <w:p>
      <w:pPr>
        <w:jc w:val="right"/>
        <w:spacing w:after="0"/>
        <w:rPr>
          <w:sz w:val="20"/>
          <w:szCs w:val="20"/>
          <w:color w:val="auto"/>
        </w:rPr>
      </w:pPr>
      <w:r>
        <w:rPr>
          <w:rFonts w:ascii="Times New Roman" w:cs="Times New Roman" w:eastAsia="Times New Roman" w:hAnsi="Times New Roman"/>
          <w:sz w:val="19"/>
          <w:szCs w:val="19"/>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427355</wp:posOffset>
            </wp:positionV>
            <wp:extent cx="6707505"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AMENDED AND RESTATED</w:t>
      </w:r>
    </w:p>
    <w:p>
      <w:pPr>
        <w:spacing w:after="0" w:line="20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TRUST AGREEMENT</w:t>
      </w:r>
    </w:p>
    <w:p>
      <w:pPr>
        <w:spacing w:after="0" w:line="39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among</w:t>
      </w:r>
    </w:p>
    <w:p>
      <w:pPr>
        <w:spacing w:after="0" w:line="39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UNITED AUTO CREDIT FINANCING LLC</w:t>
      </w:r>
    </w:p>
    <w:p>
      <w:pPr>
        <w:spacing w:after="0" w:line="3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Depositor,</w:t>
      </w:r>
    </w:p>
    <w:p>
      <w:pPr>
        <w:spacing w:after="0" w:line="37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color w:val="auto"/>
        </w:rPr>
        <w:t>Certificate Registrar and Certificate Paying Agent</w:t>
      </w:r>
    </w:p>
    <w:p>
      <w:pPr>
        <w:spacing w:after="0" w:line="3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and</w:t>
      </w:r>
    </w:p>
    <w:p>
      <w:pPr>
        <w:spacing w:after="0" w:line="39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COMPUTERSHARE DELAWARE TRUST COMPANY</w:t>
      </w:r>
    </w:p>
    <w:p>
      <w:pPr>
        <w:spacing w:after="0" w:line="3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Owner Trustee</w:t>
      </w:r>
    </w:p>
    <w:p>
      <w:pPr>
        <w:spacing w:after="0" w:line="3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Dated as of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1510665</wp:posOffset>
            </wp:positionV>
            <wp:extent cx="6732905" cy="406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715645</wp:posOffset>
            </wp:positionV>
            <wp:extent cx="6707505"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780"/>
          </w:cols>
          <w:pgMar w:left="1440" w:top="1119" w:right="680" w:bottom="1440" w:gutter="0" w:footer="0" w:header="0"/>
        </w:sectPr>
      </w:pPr>
    </w:p>
    <w:bookmarkStart w:id="376" w:name="page377"/>
    <w:bookmarkEnd w:id="376"/>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2"/>
                <w:szCs w:val="22"/>
                <w:color w:val="auto"/>
              </w:rPr>
            </w:pPr>
          </w:p>
        </w:tc>
        <w:tc>
          <w:tcPr>
            <w:tcW w:w="7820" w:type="dxa"/>
            <w:vAlign w:val="bottom"/>
          </w:tcPr>
          <w:p>
            <w:pPr>
              <w:ind w:left="1520"/>
              <w:spacing w:after="0"/>
              <w:rPr>
                <w:sz w:val="20"/>
                <w:szCs w:val="20"/>
                <w:color w:val="auto"/>
              </w:rPr>
            </w:pPr>
            <w:r>
              <w:rPr>
                <w:rFonts w:ascii="Times New Roman" w:cs="Times New Roman" w:eastAsia="Times New Roman" w:hAnsi="Times New Roman"/>
                <w:sz w:val="19"/>
                <w:szCs w:val="19"/>
                <w:b w:val="1"/>
                <w:bCs w:val="1"/>
                <w:color w:val="auto"/>
              </w:rPr>
              <w:t>TABLE OF CONTENTS</w:t>
            </w:r>
          </w:p>
        </w:tc>
      </w:tr>
      <w:tr>
        <w:trPr>
          <w:trHeight w:val="480"/>
        </w:trPr>
        <w:tc>
          <w:tcPr>
            <w:tcW w:w="27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ARTICLE I. DEFINITIONS</w:t>
            </w:r>
          </w:p>
        </w:tc>
        <w:tc>
          <w:tcPr>
            <w:tcW w:w="7820" w:type="dxa"/>
            <w:vAlign w:val="bottom"/>
          </w:tcPr>
          <w:p>
            <w:pPr>
              <w:spacing w:after="0"/>
              <w:rPr>
                <w:sz w:val="24"/>
                <w:szCs w:val="24"/>
                <w:color w:val="auto"/>
              </w:rPr>
            </w:pPr>
          </w:p>
        </w:tc>
      </w:tr>
      <w:tr>
        <w:trPr>
          <w:trHeight w:val="433"/>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1.1.</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Capitalized Terms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1.2.</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Definitional Provisions</w:t>
            </w:r>
          </w:p>
        </w:tc>
      </w:tr>
      <w:tr>
        <w:trPr>
          <w:trHeight w:val="251"/>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1.3.</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Owner Trustee</w:t>
            </w:r>
          </w:p>
        </w:tc>
      </w:tr>
      <w:tr>
        <w:trPr>
          <w:trHeight w:val="456"/>
        </w:trPr>
        <w:tc>
          <w:tcPr>
            <w:tcW w:w="27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ARTICLE II. ORGANIZATION</w:t>
            </w:r>
          </w:p>
        </w:tc>
        <w:tc>
          <w:tcPr>
            <w:tcW w:w="7820" w:type="dxa"/>
            <w:vAlign w:val="bottom"/>
          </w:tcPr>
          <w:p>
            <w:pPr>
              <w:spacing w:after="0"/>
              <w:rPr>
                <w:sz w:val="24"/>
                <w:szCs w:val="24"/>
                <w:color w:val="auto"/>
              </w:rPr>
            </w:pPr>
          </w:p>
        </w:tc>
      </w:tr>
      <w:tr>
        <w:trPr>
          <w:trHeight w:val="433"/>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2.1.</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2.2.</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Office</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2.3.</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Purposes and Powers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2.4.</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Appointment of Owner Trustee</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2.5.</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Initial Capital Contribution of Trust Estate</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2.6.</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Declaration of Trust</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2.7.</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Title to Owner Trust Estate</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2.8.</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Situs of Issuer</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2.9.</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Representations and Warranties of the Depositor</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2.10.</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Covenants of the Depositor</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2.11.</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Covenants of the Certificateholders and Certificate Owners</w:t>
            </w:r>
          </w:p>
        </w:tc>
      </w:tr>
      <w:tr>
        <w:trPr>
          <w:trHeight w:val="251"/>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2.12.</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Federal Income Tax Treatment of the Issuer</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III. CERTIFICATES AND TRANSFER OF INTEREST</w:t>
            </w:r>
          </w:p>
        </w:tc>
      </w:tr>
      <w:tr>
        <w:trPr>
          <w:trHeight w:val="433"/>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3.1.</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Initial Ownership</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3.2.</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The Certificates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3.3.</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Authentication of Certificates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3.4.</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Registration of Transfer and Exchange of Certificates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3.5.</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Mutilated, Destroyed, Lost or Stolen Certificates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3.6.</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Persons Deemed Certificateholders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3.7.</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Maintenance of Office or Agency</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3.8.</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Book-Entry Certificates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3.9.</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Notices to Clearing Agency</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3.10.</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Definitive Certificates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3.11.</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Transfer of the Certificates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3.12.</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Rule 144A Information</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3.13.</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Transfer Certifications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3.14.</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ERISA Restrictions</w:t>
            </w:r>
          </w:p>
        </w:tc>
      </w:tr>
      <w:tr>
        <w:trPr>
          <w:trHeight w:val="251"/>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3.15.</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Appointment of Certificate Paying Agent</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IV. VOTING RIGHTS AND OTHER ACTIONS</w:t>
            </w:r>
          </w:p>
        </w:tc>
      </w:tr>
      <w:tr>
        <w:trPr>
          <w:trHeight w:val="433"/>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4.1.</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Prior Notice to Holders with Respect to Certain Matters</w:t>
            </w:r>
          </w:p>
        </w:tc>
      </w:tr>
      <w:tr>
        <w:trPr>
          <w:trHeight w:val="228"/>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4.2.</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Action by Certificateholders with Respect to Certain Matters</w:t>
            </w:r>
          </w:p>
        </w:tc>
      </w:tr>
      <w:tr>
        <w:trPr>
          <w:trHeight w:val="251"/>
        </w:trPr>
        <w:tc>
          <w:tcPr>
            <w:tcW w:w="27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4.3.</w:t>
            </w:r>
          </w:p>
        </w:tc>
        <w:tc>
          <w:tcPr>
            <w:tcW w:w="78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Restrictions on Certificateholders' Power</w:t>
            </w:r>
          </w:p>
        </w:tc>
      </w:tr>
      <w:tr>
        <w:trPr>
          <w:trHeight w:val="1250"/>
        </w:trPr>
        <w:tc>
          <w:tcPr>
            <w:tcW w:w="2740" w:type="dxa"/>
            <w:vAlign w:val="bottom"/>
            <w:tcBorders>
              <w:bottom w:val="single" w:sz="8" w:color="EEEEEE"/>
            </w:tcBorders>
          </w:tcPr>
          <w:p>
            <w:pPr>
              <w:spacing w:after="0"/>
              <w:rPr>
                <w:sz w:val="24"/>
                <w:szCs w:val="24"/>
                <w:color w:val="auto"/>
              </w:rPr>
            </w:pPr>
          </w:p>
        </w:tc>
        <w:tc>
          <w:tcPr>
            <w:tcW w:w="78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7" w:name="page378"/>
    <w:bookmarkEnd w:id="377"/>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4.4.</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Ownership of the Certificates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4.5.</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Action with Respect to Bankruptcy Action</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4.6.</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Covenants and Restrictions on Conduct of Business</w:t>
            </w:r>
          </w:p>
        </w:tc>
      </w:tr>
      <w:tr>
        <w:trPr>
          <w:trHeight w:val="251"/>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4.7.</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Acts of Certificateholders; Majority Control</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 AUTHORITY AND DUTIES OF OWNER TRUSTEE</w:t>
            </w:r>
          </w:p>
        </w:tc>
      </w:tr>
      <w:tr>
        <w:trPr>
          <w:trHeight w:val="433"/>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5.1.</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General Authority</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5.2.</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General Duties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5.3.</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Action upon Instruction</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5.4.</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No Duties Except as Specified in this Agreement or in Instructions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5.5.</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No Action Except under Specified Documents or Instructions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5.6.</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Restrictions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5.7.</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Covenants for Reporting of Repurchase Demands due to Breaches of Representations and Warranties</w:t>
            </w:r>
          </w:p>
        </w:tc>
      </w:tr>
      <w:tr>
        <w:trPr>
          <w:trHeight w:val="251"/>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5.8.</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Regulatory Investigations</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 CONCERNING THE OWNER TRUSTEE</w:t>
            </w:r>
          </w:p>
        </w:tc>
      </w:tr>
      <w:tr>
        <w:trPr>
          <w:trHeight w:val="433"/>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6.1.</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Acceptance of Trusts and Duties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6.2.</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Furnishing of Documents; Tax Returns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6.3.</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Representations and Warranties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6.4.</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Reliance; Advice of Counsel</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6.5.</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Not Acting in Individual Capacity</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6.6.</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Owner Trustee Not Liable for Certificates or Receivables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6.7.</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Owner Trustee May Own Securities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6.8.</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Payments from Owner Trust Estate</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6.9.</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Doing Business in Other Jurisdictions</w:t>
            </w:r>
          </w:p>
        </w:tc>
      </w:tr>
      <w:tr>
        <w:trPr>
          <w:trHeight w:val="251"/>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6.10.</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Imputed Information</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VII. COMPENSATION OF OWNER TRUSTEE</w:t>
            </w:r>
          </w:p>
        </w:tc>
      </w:tr>
      <w:tr>
        <w:trPr>
          <w:trHeight w:val="433"/>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7.1.</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Owner Trustee's Fees and Expenses</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7.2.</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Indemnification</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7.3.</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Payments to the Owner Trustee</w:t>
            </w:r>
          </w:p>
        </w:tc>
      </w:tr>
      <w:tr>
        <w:trPr>
          <w:trHeight w:val="251"/>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7.4.</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Non-recourse Obligations</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VIII. TERMINATION OF TRUST AGREEMENT</w:t>
            </w:r>
          </w:p>
        </w:tc>
      </w:tr>
      <w:tr>
        <w:trPr>
          <w:trHeight w:val="456"/>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8.1.</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Termination of Trust Agreement</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IX. SUCCESSOR OWNER TRUSTEES AND ADDITIONAL OWNER TRUSTEES</w:t>
            </w:r>
          </w:p>
        </w:tc>
      </w:tr>
      <w:tr>
        <w:trPr>
          <w:trHeight w:val="433"/>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9.1.</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Eligibility Requirements for Owner Trustee</w:t>
            </w:r>
          </w:p>
        </w:tc>
      </w:tr>
      <w:tr>
        <w:trPr>
          <w:trHeight w:val="228"/>
        </w:trPr>
        <w:tc>
          <w:tcPr>
            <w:tcW w:w="20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9.2.</w:t>
            </w:r>
          </w:p>
        </w:tc>
        <w:tc>
          <w:tcPr>
            <w:tcW w:w="85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Resignation or Removal of Owner Trustee</w:t>
            </w:r>
          </w:p>
        </w:tc>
      </w:tr>
      <w:tr>
        <w:trPr>
          <w:trHeight w:val="251"/>
        </w:trPr>
        <w:tc>
          <w:tcPr>
            <w:tcW w:w="2060" w:type="dxa"/>
            <w:vAlign w:val="bottom"/>
          </w:tcPr>
          <w:p>
            <w:pPr>
              <w:spacing w:after="0"/>
              <w:rPr>
                <w:sz w:val="21"/>
                <w:szCs w:val="21"/>
                <w:color w:val="auto"/>
              </w:rPr>
            </w:pPr>
          </w:p>
        </w:tc>
        <w:tc>
          <w:tcPr>
            <w:tcW w:w="8500" w:type="dxa"/>
            <w:vAlign w:val="bottom"/>
          </w:tcPr>
          <w:p>
            <w:pPr>
              <w:ind w:left="3180"/>
              <w:spacing w:after="0"/>
              <w:rPr>
                <w:sz w:val="20"/>
                <w:szCs w:val="20"/>
                <w:color w:val="auto"/>
              </w:rPr>
            </w:pPr>
            <w:r>
              <w:rPr>
                <w:rFonts w:ascii="Times New Roman" w:cs="Times New Roman" w:eastAsia="Times New Roman" w:hAnsi="Times New Roman"/>
                <w:sz w:val="19"/>
                <w:szCs w:val="19"/>
                <w:color w:val="auto"/>
              </w:rPr>
              <w:t>3</w:t>
            </w:r>
          </w:p>
        </w:tc>
      </w:tr>
      <w:tr>
        <w:trPr>
          <w:trHeight w:val="1022"/>
        </w:trPr>
        <w:tc>
          <w:tcPr>
            <w:tcW w:w="2060" w:type="dxa"/>
            <w:vAlign w:val="bottom"/>
            <w:tcBorders>
              <w:bottom w:val="single" w:sz="8" w:color="EEEEEE"/>
            </w:tcBorders>
          </w:tcPr>
          <w:p>
            <w:pPr>
              <w:spacing w:after="0"/>
              <w:rPr>
                <w:sz w:val="24"/>
                <w:szCs w:val="24"/>
                <w:color w:val="auto"/>
              </w:rPr>
            </w:pPr>
          </w:p>
        </w:tc>
        <w:tc>
          <w:tcPr>
            <w:tcW w:w="8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8" w:name="page379"/>
    <w:bookmarkEnd w:id="378"/>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9.3.</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Successor Owner Trustee</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9.4.</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Merger or Consolidation of Owner Trustee</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9.5.</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Appointment of Co-Trustee or Separate Trustee</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9.6.</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Eligibility Requirements for Certificate Registrar</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9.7.</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Resignation or Removal of Certificate Registrar</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9.8.</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Successor Certificate Registrar</w:t>
            </w:r>
          </w:p>
        </w:tc>
      </w:tr>
      <w:tr>
        <w:trPr>
          <w:trHeight w:val="251"/>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9.9.</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Merger or Consolidation of Certificate Registrar</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X. MISCELLANEOUS</w:t>
            </w:r>
          </w:p>
        </w:tc>
      </w:tr>
      <w:tr>
        <w:trPr>
          <w:trHeight w:val="433"/>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10.1.</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Amendments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10.2.</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No Legal Title to Owner Trust Estate in Certificateholders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10.3.</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Limitations on Rights of Others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10.4.</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Notices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10.5.</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Severability</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10.6.</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Electronic Signature; Separate Counterparts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10.7.</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Assignments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10.8.</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No Recourse</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10.9.</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Headings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10.10.</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GOVERNING LAW</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10.11.</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Servicer as Administrator</w:t>
            </w:r>
          </w:p>
        </w:tc>
      </w:tr>
      <w:tr>
        <w:trPr>
          <w:trHeight w:val="251"/>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10.12.</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Nonpetition Covenant</w:t>
            </w:r>
          </w:p>
        </w:tc>
      </w:tr>
      <w:tr>
        <w:trPr>
          <w:trHeight w:val="456"/>
        </w:trPr>
        <w:tc>
          <w:tcPr>
            <w:tcW w:w="10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XI. APPLICATION OF TRUST FUNDS; CERTAIN DUTIES</w:t>
            </w:r>
          </w:p>
        </w:tc>
      </w:tr>
      <w:tr>
        <w:trPr>
          <w:trHeight w:val="433"/>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11.1.</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Establishment of Trust Accounts.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11.2.</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Application of Trust Funds.</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11.3.</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Method of Payment</w:t>
            </w:r>
          </w:p>
        </w:tc>
      </w:tr>
      <w:tr>
        <w:trPr>
          <w:trHeight w:val="228"/>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11.4.</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Investment of Funds</w:t>
            </w:r>
          </w:p>
        </w:tc>
      </w:tr>
      <w:tr>
        <w:trPr>
          <w:trHeight w:val="251"/>
        </w:trPr>
        <w:tc>
          <w:tcPr>
            <w:tcW w:w="2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SECTION 11.5.</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U.S.A. Patriot Act Compliance</w:t>
            </w:r>
          </w:p>
        </w:tc>
      </w:tr>
      <w:tr>
        <w:trPr>
          <w:trHeight w:val="456"/>
        </w:trPr>
        <w:tc>
          <w:tcPr>
            <w:tcW w:w="2120" w:type="dxa"/>
            <w:vAlign w:val="bottom"/>
          </w:tcPr>
          <w:p>
            <w:pPr>
              <w:spacing w:after="0"/>
              <w:rPr>
                <w:sz w:val="20"/>
                <w:szCs w:val="20"/>
                <w:color w:val="auto"/>
              </w:rPr>
            </w:pPr>
            <w:r>
              <w:rPr>
                <w:rFonts w:ascii="Times New Roman" w:cs="Times New Roman" w:eastAsia="Times New Roman" w:hAnsi="Times New Roman"/>
                <w:sz w:val="19"/>
                <w:szCs w:val="19"/>
                <w:color w:val="auto"/>
              </w:rPr>
              <w:t>EXHIBITS</w:t>
            </w:r>
          </w:p>
        </w:tc>
        <w:tc>
          <w:tcPr>
            <w:tcW w:w="8440" w:type="dxa"/>
            <w:vAlign w:val="bottom"/>
          </w:tcPr>
          <w:p>
            <w:pPr>
              <w:spacing w:after="0"/>
              <w:rPr>
                <w:sz w:val="24"/>
                <w:szCs w:val="24"/>
                <w:color w:val="auto"/>
              </w:rPr>
            </w:pPr>
          </w:p>
        </w:tc>
      </w:tr>
      <w:tr>
        <w:trPr>
          <w:trHeight w:val="456"/>
        </w:trPr>
        <w:tc>
          <w:tcPr>
            <w:tcW w:w="2120" w:type="dxa"/>
            <w:vAlign w:val="bottom"/>
          </w:tcPr>
          <w:p>
            <w:pPr>
              <w:spacing w:after="0"/>
              <w:rPr>
                <w:sz w:val="20"/>
                <w:szCs w:val="20"/>
                <w:color w:val="auto"/>
              </w:rPr>
            </w:pPr>
            <w:r>
              <w:rPr>
                <w:rFonts w:ascii="Times New Roman" w:cs="Times New Roman" w:eastAsia="Times New Roman" w:hAnsi="Times New Roman"/>
                <w:sz w:val="19"/>
                <w:szCs w:val="19"/>
                <w:color w:val="auto"/>
              </w:rPr>
              <w:t>Exhibit A</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Form of Certificate</w:t>
            </w:r>
          </w:p>
        </w:tc>
      </w:tr>
      <w:tr>
        <w:trPr>
          <w:trHeight w:val="433"/>
        </w:trPr>
        <w:tc>
          <w:tcPr>
            <w:tcW w:w="2120" w:type="dxa"/>
            <w:vAlign w:val="bottom"/>
          </w:tcPr>
          <w:p>
            <w:pPr>
              <w:spacing w:after="0"/>
              <w:rPr>
                <w:sz w:val="20"/>
                <w:szCs w:val="20"/>
                <w:color w:val="auto"/>
              </w:rPr>
            </w:pPr>
            <w:r>
              <w:rPr>
                <w:rFonts w:ascii="Times New Roman" w:cs="Times New Roman" w:eastAsia="Times New Roman" w:hAnsi="Times New Roman"/>
                <w:sz w:val="19"/>
                <w:szCs w:val="19"/>
                <w:color w:val="auto"/>
              </w:rPr>
              <w:t>Exhibit B</w:t>
            </w:r>
          </w:p>
        </w:tc>
        <w:tc>
          <w:tcPr>
            <w:tcW w:w="8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Form of Certificate of Trust</w:t>
            </w:r>
          </w:p>
        </w:tc>
      </w:tr>
      <w:tr>
        <w:trPr>
          <w:trHeight w:val="251"/>
        </w:trPr>
        <w:tc>
          <w:tcPr>
            <w:tcW w:w="2120" w:type="dxa"/>
            <w:vAlign w:val="bottom"/>
          </w:tcPr>
          <w:p>
            <w:pPr>
              <w:spacing w:after="0"/>
              <w:rPr>
                <w:sz w:val="21"/>
                <w:szCs w:val="21"/>
                <w:color w:val="auto"/>
              </w:rPr>
            </w:pPr>
          </w:p>
        </w:tc>
        <w:tc>
          <w:tcPr>
            <w:tcW w:w="8440" w:type="dxa"/>
            <w:vAlign w:val="bottom"/>
          </w:tcPr>
          <w:p>
            <w:pPr>
              <w:ind w:left="3120"/>
              <w:spacing w:after="0"/>
              <w:rPr>
                <w:sz w:val="20"/>
                <w:szCs w:val="20"/>
                <w:color w:val="auto"/>
              </w:rPr>
            </w:pPr>
            <w:r>
              <w:rPr>
                <w:rFonts w:ascii="Times New Roman" w:cs="Times New Roman" w:eastAsia="Times New Roman" w:hAnsi="Times New Roman"/>
                <w:sz w:val="19"/>
                <w:szCs w:val="19"/>
                <w:color w:val="auto"/>
              </w:rPr>
              <w:t>4</w:t>
            </w:r>
          </w:p>
        </w:tc>
      </w:tr>
      <w:tr>
        <w:trPr>
          <w:trHeight w:val="1022"/>
        </w:trPr>
        <w:tc>
          <w:tcPr>
            <w:tcW w:w="2120" w:type="dxa"/>
            <w:vAlign w:val="bottom"/>
            <w:tcBorders>
              <w:bottom w:val="single" w:sz="8" w:color="EEEEEE"/>
            </w:tcBorders>
          </w:tcPr>
          <w:p>
            <w:pPr>
              <w:spacing w:after="0"/>
              <w:rPr>
                <w:sz w:val="24"/>
                <w:szCs w:val="24"/>
                <w:color w:val="auto"/>
              </w:rPr>
            </w:pPr>
          </w:p>
        </w:tc>
        <w:tc>
          <w:tcPr>
            <w:tcW w:w="84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9" w:name="page380"/>
    <w:bookmarkEnd w:id="379"/>
    <w:p>
      <w:pPr>
        <w:spacing w:after="0" w:line="269"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This AMENDED AND RESTATED TRUST AGREEMENT, dated as of February 28, 2025, among UNITED AUTO CREDIT FINANCING LLC, a Delaware limited liability company, as Depositor, COMPUTERSHARE TRUST COMPANY, N.A., a national banking association, as Certificate Registrar and Certificate Paying Agent, and COMPUTERSHARE DELAWARE TRUST COMPANY, a Delaware limited purpose trust company, as Owner Trustee, amends and restates in its entirety that certain Trust Agreement, dated as of January 30, 2025 (the "Original Trust Agreement"), between the Depositor and the Owner Trustee, and is effective on the Closing Date (as defined below).</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F5496"/>
        </w:rPr>
        <w:t>ARTICLE 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SECTION I.1</w:t>
      </w:r>
      <w:r>
        <w:rPr>
          <w:rFonts w:ascii="Times New Roman" w:cs="Times New Roman" w:eastAsia="Times New Roman" w:hAnsi="Times New Roman"/>
          <w:sz w:val="19"/>
          <w:szCs w:val="19"/>
          <w:color w:val="000000"/>
        </w:rPr>
        <w:t>.  Capitalized Terms. For all purposes of this Agreement, the following terms shall have the meanings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set forth below:</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"Agreement" shall mean this Amended and Restated Trust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"Bankruptcy Action" shall have the meaning assigned to such term in Section 4.5(a).</w:t>
      </w:r>
    </w:p>
    <w:p>
      <w:pPr>
        <w:spacing w:after="0" w:line="202" w:lineRule="exact"/>
        <w:rPr>
          <w:sz w:val="20"/>
          <w:szCs w:val="20"/>
          <w:color w:val="auto"/>
        </w:rPr>
      </w:pPr>
    </w:p>
    <w:p>
      <w:pPr>
        <w:jc w:val="both"/>
        <w:ind w:right="60" w:firstLine="696"/>
        <w:spacing w:after="0" w:line="268" w:lineRule="auto"/>
        <w:rPr>
          <w:sz w:val="20"/>
          <w:szCs w:val="20"/>
          <w:color w:val="auto"/>
        </w:rPr>
      </w:pPr>
      <w:r>
        <w:rPr>
          <w:rFonts w:ascii="Times New Roman" w:cs="Times New Roman" w:eastAsia="Times New Roman" w:hAnsi="Times New Roman"/>
          <w:sz w:val="19"/>
          <w:szCs w:val="19"/>
          <w:color w:val="auto"/>
        </w:rPr>
        <w:t>"BBA Partnership Audit Rules" shall mean Sections 6221 through 6241 of the Code, including any other Code provisions with respect to the same subject matter as Sections 6221 through 6241, and any regulations promulgated or proposed under any such Sections and any official administrative guidance with respect thereto.</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"Benefit Plan Entity" shall have the meaning assigned to such term in Section 3.11.</w:t>
      </w:r>
    </w:p>
    <w:p>
      <w:pPr>
        <w:spacing w:after="0" w:line="202" w:lineRule="exact"/>
        <w:rPr>
          <w:sz w:val="20"/>
          <w:szCs w:val="20"/>
          <w:color w:val="auto"/>
        </w:rPr>
      </w:pPr>
    </w:p>
    <w:p>
      <w:pPr>
        <w:ind w:right="620" w:firstLine="696"/>
        <w:spacing w:after="0" w:line="286" w:lineRule="auto"/>
        <w:rPr>
          <w:sz w:val="20"/>
          <w:szCs w:val="20"/>
          <w:color w:val="auto"/>
        </w:rPr>
      </w:pPr>
      <w:r>
        <w:rPr>
          <w:rFonts w:ascii="Times New Roman" w:cs="Times New Roman" w:eastAsia="Times New Roman" w:hAnsi="Times New Roman"/>
          <w:sz w:val="19"/>
          <w:szCs w:val="19"/>
          <w:color w:val="auto"/>
        </w:rPr>
        <w:t>"Book-Entry Certificates" means Certificates, ownership and transfers of which shall be made through book entries by a Clearing Agency as described in Section 3.8.</w:t>
      </w:r>
    </w:p>
    <w:p>
      <w:pPr>
        <w:spacing w:after="0" w:line="127"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"Certificate" means a trust certificate evidencing a beneficial ownership interest of a Certificateholder in the Trust, substantially in the form of Exhibit A attached hereto, which may be a Book-Entry Certificate or a Definitive Certificate.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"Certificate Distribution Account" shall have the meaning assigned to such term in Section 11.1(a).</w:t>
      </w:r>
    </w:p>
    <w:p>
      <w:pPr>
        <w:spacing w:after="0" w:line="202" w:lineRule="exact"/>
        <w:rPr>
          <w:sz w:val="20"/>
          <w:szCs w:val="20"/>
          <w:color w:val="auto"/>
        </w:rPr>
      </w:pPr>
    </w:p>
    <w:p>
      <w:pPr>
        <w:ind w:right="320" w:firstLine="696"/>
        <w:spacing w:after="0" w:line="286" w:lineRule="auto"/>
        <w:rPr>
          <w:sz w:val="20"/>
          <w:szCs w:val="20"/>
          <w:color w:val="auto"/>
        </w:rPr>
      </w:pPr>
      <w:r>
        <w:rPr>
          <w:rFonts w:ascii="Times New Roman" w:cs="Times New Roman" w:eastAsia="Times New Roman" w:hAnsi="Times New Roman"/>
          <w:sz w:val="19"/>
          <w:szCs w:val="19"/>
          <w:color w:val="auto"/>
        </w:rPr>
        <w:t>"Certificate of Trust" shall mean the Certificate of Trust substantially in the form of Exhibit B filed for the Trust pursuant to Section 3810(a) of the Statutory Trust Statute.</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"Certificate Owner" means, with respect to a Book-Entry Certificate, the Person who is the owner of such Book-Entry Certificate, as reflected on the books of the Clearing Agency, or on the books of a Person maintaining an account with such Clearing Agency (directly as a Clearing Agency Participant or as an indirect participant, in each case in accordance with the rules of such Clearing Agency) and with respect to a Definitive Certificate the Person in whose name a Certificate is registered on the Certificate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762000</wp:posOffset>
            </wp:positionV>
            <wp:extent cx="6732905" cy="406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0" w:name="page381"/>
    <w:bookmarkEnd w:id="380"/>
    <w:p>
      <w:pPr>
        <w:spacing w:after="0" w:line="200" w:lineRule="exact"/>
        <w:rPr>
          <w:sz w:val="20"/>
          <w:szCs w:val="20"/>
          <w:color w:val="auto"/>
        </w:rPr>
      </w:pPr>
    </w:p>
    <w:p>
      <w:pPr>
        <w:spacing w:after="0" w:line="261"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"Certificate Paying Agent" shall mean any paying agent or co-paying agent appointed pursuant to Section 3.15 and shall initially be Computershare Trust Company, N.A., as Indenture Trustee.</w:t>
      </w:r>
    </w:p>
    <w:p>
      <w:pPr>
        <w:spacing w:after="0" w:line="127" w:lineRule="exact"/>
        <w:rPr>
          <w:sz w:val="20"/>
          <w:szCs w:val="20"/>
          <w:color w:val="auto"/>
        </w:rPr>
      </w:pPr>
    </w:p>
    <w:p>
      <w:pPr>
        <w:ind w:right="420" w:firstLine="696"/>
        <w:spacing w:after="0" w:line="286" w:lineRule="auto"/>
        <w:rPr>
          <w:sz w:val="20"/>
          <w:szCs w:val="20"/>
          <w:color w:val="auto"/>
        </w:rPr>
      </w:pPr>
      <w:r>
        <w:rPr>
          <w:rFonts w:ascii="Times New Roman" w:cs="Times New Roman" w:eastAsia="Times New Roman" w:hAnsi="Times New Roman"/>
          <w:sz w:val="19"/>
          <w:szCs w:val="19"/>
          <w:color w:val="auto"/>
        </w:rPr>
        <w:t>"Certificate Register" and "Certificate Registrar" shall mean the register mentioned and the registrar appointed pursuant to Section 3.4.</w:t>
      </w:r>
    </w:p>
    <w:p>
      <w:pPr>
        <w:spacing w:after="0" w:line="127" w:lineRule="exact"/>
        <w:rPr>
          <w:sz w:val="20"/>
          <w:szCs w:val="20"/>
          <w:color w:val="auto"/>
        </w:rPr>
      </w:pPr>
    </w:p>
    <w:p>
      <w:pPr>
        <w:ind w:right="200" w:firstLine="696"/>
        <w:spacing w:after="0" w:line="286" w:lineRule="auto"/>
        <w:rPr>
          <w:sz w:val="20"/>
          <w:szCs w:val="20"/>
          <w:color w:val="auto"/>
        </w:rPr>
      </w:pPr>
      <w:r>
        <w:rPr>
          <w:rFonts w:ascii="Times New Roman" w:cs="Times New Roman" w:eastAsia="Times New Roman" w:hAnsi="Times New Roman"/>
          <w:sz w:val="19"/>
          <w:szCs w:val="19"/>
          <w:color w:val="auto"/>
        </w:rPr>
        <w:t>"Certificateholders" or "Holders" means, with respect to any Certificate, either the Person(s) in whose name the Certificate is registered in the Certificate Registrar or any Certificate Owners of such Certificate.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"Class E Noteholder" means any registered owner or other holder of a beneficial interest in one or more Class E Notes.</w:t>
      </w:r>
    </w:p>
    <w:p>
      <w:pPr>
        <w:spacing w:after="0" w:line="202" w:lineRule="exact"/>
        <w:rPr>
          <w:sz w:val="20"/>
          <w:szCs w:val="20"/>
          <w:color w:val="auto"/>
        </w:rPr>
      </w:pPr>
    </w:p>
    <w:p>
      <w:pPr>
        <w:jc w:val="both"/>
        <w:ind w:right="60" w:firstLine="696"/>
        <w:spacing w:after="0" w:line="268" w:lineRule="auto"/>
        <w:rPr>
          <w:sz w:val="20"/>
          <w:szCs w:val="20"/>
          <w:color w:val="auto"/>
        </w:rPr>
      </w:pPr>
      <w:r>
        <w:rPr>
          <w:rFonts w:ascii="Times New Roman" w:cs="Times New Roman" w:eastAsia="Times New Roman" w:hAnsi="Times New Roman"/>
          <w:sz w:val="19"/>
          <w:szCs w:val="19"/>
          <w:color w:val="auto"/>
        </w:rPr>
        <w:t>"Clearing Agency" means an organization registered as a "clearing agency" pursuant to Section 17A of the Exchange Act. The initial Clearing Agency shall be The Depository Trust Company ("DTC") and the initial nominee for the Clearing Agency shall be Cede &amp; Co.</w:t>
      </w:r>
    </w:p>
    <w:p>
      <w:pPr>
        <w:spacing w:after="0" w:line="144" w:lineRule="exact"/>
        <w:rPr>
          <w:sz w:val="20"/>
          <w:szCs w:val="20"/>
          <w:color w:val="auto"/>
        </w:rPr>
      </w:pPr>
    </w:p>
    <w:p>
      <w:pPr>
        <w:ind w:right="160" w:firstLine="696"/>
        <w:spacing w:after="0" w:line="286" w:lineRule="auto"/>
        <w:rPr>
          <w:sz w:val="20"/>
          <w:szCs w:val="20"/>
          <w:color w:val="auto"/>
        </w:rPr>
      </w:pPr>
      <w:r>
        <w:rPr>
          <w:rFonts w:ascii="Times New Roman" w:cs="Times New Roman" w:eastAsia="Times New Roman" w:hAnsi="Times New Roman"/>
          <w:sz w:val="19"/>
          <w:szCs w:val="19"/>
          <w:color w:val="auto"/>
        </w:rPr>
        <w:t>"Clearing Agency Participant" means a broker, dealer, bank, other financial institution or other Person for whom from time to time a Clearing Agency affects book-entry transfers and pledges of securities deposited with the Clearing Agency.</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"Closing Date" means March 12, 2025.</w:t>
      </w:r>
    </w:p>
    <w:p>
      <w:pPr>
        <w:spacing w:after="0" w:line="202" w:lineRule="exact"/>
        <w:rPr>
          <w:sz w:val="20"/>
          <w:szCs w:val="20"/>
          <w:color w:val="auto"/>
        </w:rPr>
      </w:pPr>
    </w:p>
    <w:p>
      <w:pPr>
        <w:ind w:right="160" w:firstLine="696"/>
        <w:spacing w:after="0" w:line="286" w:lineRule="auto"/>
        <w:rPr>
          <w:sz w:val="20"/>
          <w:szCs w:val="20"/>
          <w:color w:val="auto"/>
        </w:rPr>
      </w:pPr>
      <w:r>
        <w:rPr>
          <w:rFonts w:ascii="Times New Roman" w:cs="Times New Roman" w:eastAsia="Times New Roman" w:hAnsi="Times New Roman"/>
          <w:sz w:val="19"/>
          <w:szCs w:val="19"/>
          <w:color w:val="auto"/>
        </w:rPr>
        <w:t>"Code" shall mean the Internal Revenue Code of 1986, as amended from time to time, and Treasury Regulations promulgated thereunder.</w:t>
      </w:r>
    </w:p>
    <w:p>
      <w:pPr>
        <w:spacing w:after="0" w:line="12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"Controlling Party" shall mean a senior or executive officer or senior manager or any other individual who regularly performs similar functions; including any individual who performs such function indirectly through a Person that beneficially owns or controls the Servicer, the Depositor, a Certificateholder or other instructing party hereunder.</w:t>
      </w:r>
    </w:p>
    <w:p>
      <w:pPr>
        <w:spacing w:after="0" w:line="144"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9"/>
          <w:szCs w:val="19"/>
          <w:color w:val="auto"/>
        </w:rPr>
        <w:t>"Corporate Trust Office" shall mean, with respect to the Owner Trustee, the principal corporate trust office of the Owner Trustee located at 919 North Market Street, Suite 1600 Wilmington, DE 19801, Attention: Computershare Corporate Trust, or at such other address as the Owner Trustee may designate by notice to the Depositor, or the principal corporate trust office of any successor Owner Trustee (the address of which the successor Owner Trustee will notify the Depositor), and with respect to the Certificate Registrar, the principal corporate trust office of the Certificate Registrar located at 1505 Energy Park Drive, St. Paul, Minnesota 55108, Attention: Computershare Corporate Trust – Asset-Backed Administration, or at such other address as the Certificate Registrar may designate by notice to the Depositor, or the principal corporate trust office of any successor Certificate Registrar (the address of which the successor Certificate Registrar will notify the Depositor).</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"Definitive Certificates" shall have the meaning assigned to such term in Section 3.8.</w:t>
      </w:r>
    </w:p>
    <w:p>
      <w:pPr>
        <w:spacing w:after="0" w:line="202"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"Depositor" shall mean United Auto Credit Financing LLC in its capacity as Depositor hereunder, and its successors in interest and assigns to the extent permitted hereunder.</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81" w:name="page382"/>
    <w:bookmarkEnd w:id="381"/>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"ERISA" shall mean the Employee Retirement Income Security Act of 1974, as amended.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"Expenses" shall have the meaning assigned to such term in Section 7.2.</w:t>
      </w:r>
    </w:p>
    <w:p>
      <w:pPr>
        <w:spacing w:after="0" w:line="202" w:lineRule="exact"/>
        <w:rPr>
          <w:sz w:val="20"/>
          <w:szCs w:val="20"/>
          <w:color w:val="auto"/>
        </w:rPr>
      </w:pPr>
    </w:p>
    <w:p>
      <w:pPr>
        <w:ind w:right="140" w:firstLine="696"/>
        <w:spacing w:after="0" w:line="268" w:lineRule="auto"/>
        <w:rPr>
          <w:sz w:val="20"/>
          <w:szCs w:val="20"/>
          <w:color w:val="auto"/>
        </w:rPr>
      </w:pPr>
      <w:r>
        <w:rPr>
          <w:rFonts w:ascii="Times New Roman" w:cs="Times New Roman" w:eastAsia="Times New Roman" w:hAnsi="Times New Roman"/>
          <w:sz w:val="19"/>
          <w:szCs w:val="19"/>
          <w:color w:val="auto"/>
        </w:rPr>
        <w:t>"FATCA" means Sections 1471 through 1474 of the Code, and Treasury Regulations promulgated thereunder or official administrative interpretations of such Code Sections, any applicable agreement entered into pursuant to Section 1471(b)(1) of the Code, and any applicable intergovernmental agreement with respect to the implementation of such Code sections.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"Indemnified Parties" shall have the meaning assigned to such term in Section 7.2.</w:t>
      </w:r>
    </w:p>
    <w:p>
      <w:pPr>
        <w:spacing w:after="0" w:line="202" w:lineRule="exact"/>
        <w:rPr>
          <w:sz w:val="20"/>
          <w:szCs w:val="20"/>
          <w:color w:val="auto"/>
        </w:rPr>
      </w:pPr>
    </w:p>
    <w:p>
      <w:pPr>
        <w:ind w:right="340" w:firstLine="696"/>
        <w:spacing w:after="0" w:line="286" w:lineRule="auto"/>
        <w:rPr>
          <w:sz w:val="20"/>
          <w:szCs w:val="20"/>
          <w:color w:val="auto"/>
        </w:rPr>
      </w:pPr>
      <w:r>
        <w:rPr>
          <w:rFonts w:ascii="Times New Roman" w:cs="Times New Roman" w:eastAsia="Times New Roman" w:hAnsi="Times New Roman"/>
          <w:sz w:val="19"/>
          <w:szCs w:val="19"/>
          <w:color w:val="auto"/>
        </w:rPr>
        <w:t>"Indenture" shall mean the Indenture dated as of February 28, 2025, between the Issuer and Computershare Trust Company, N.A., as Indenture Trustee.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"Issuer" shall mean the trust established by this Agreement.</w:t>
      </w:r>
    </w:p>
    <w:p>
      <w:pPr>
        <w:spacing w:after="0" w:line="202"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"Majority Certificateholders" shall mean (i) the Certificateholders holding Certificates, or Certificate Owners holding beneficial interests in the Certificates, representing a majority of the Percentage Interests in the Certificates as recorded in the Certificate Register or</w:t>
      </w:r>
    </w:p>
    <w:p>
      <w:pPr>
        <w:spacing w:after="0" w:line="1" w:lineRule="exact"/>
        <w:rPr>
          <w:sz w:val="20"/>
          <w:szCs w:val="20"/>
          <w:color w:val="auto"/>
        </w:rPr>
      </w:pPr>
    </w:p>
    <w:p>
      <w:pPr>
        <w:ind w:right="280" w:firstLine="6"/>
        <w:spacing w:after="0" w:line="262" w:lineRule="auto"/>
        <w:tabs>
          <w:tab w:leader="none" w:pos="282"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otherwise specified pursuant to Section 5.3(a) hereof. As of the date hereof and upon the issuance of the initial Certificates, the initial Majority Certificateholder shall be United Auto Credit Financing LLC.</w:t>
      </w:r>
    </w:p>
    <w:p>
      <w:pPr>
        <w:spacing w:after="0" w:line="149" w:lineRule="exact"/>
        <w:rPr>
          <w:sz w:val="20"/>
          <w:szCs w:val="20"/>
          <w:color w:val="auto"/>
        </w:rPr>
      </w:pPr>
    </w:p>
    <w:p>
      <w:pPr>
        <w:ind w:right="500" w:firstLine="696"/>
        <w:spacing w:after="0" w:line="286" w:lineRule="auto"/>
        <w:rPr>
          <w:sz w:val="20"/>
          <w:szCs w:val="20"/>
          <w:color w:val="auto"/>
        </w:rPr>
      </w:pPr>
      <w:r>
        <w:rPr>
          <w:rFonts w:ascii="Times New Roman" w:cs="Times New Roman" w:eastAsia="Times New Roman" w:hAnsi="Times New Roman"/>
          <w:sz w:val="19"/>
          <w:szCs w:val="19"/>
          <w:color w:val="auto"/>
        </w:rPr>
        <w:t>"Offering Memorandum" means the Offering Memorandum, dated March 4, 2025, relating to the private placement of the Offered Notes.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"Original Trust Agreement" shall have the meaning assigned to such term in the preamble of this Agreement.</w:t>
      </w:r>
    </w:p>
    <w:p>
      <w:pPr>
        <w:spacing w:after="0" w:line="202" w:lineRule="exact"/>
        <w:rPr>
          <w:sz w:val="20"/>
          <w:szCs w:val="20"/>
          <w:color w:val="auto"/>
        </w:rPr>
      </w:pPr>
    </w:p>
    <w:p>
      <w:pPr>
        <w:ind w:right="160" w:firstLine="696"/>
        <w:spacing w:after="0" w:line="268" w:lineRule="auto"/>
        <w:rPr>
          <w:sz w:val="20"/>
          <w:szCs w:val="20"/>
          <w:color w:val="auto"/>
        </w:rPr>
      </w:pPr>
      <w:r>
        <w:rPr>
          <w:rFonts w:ascii="Times New Roman" w:cs="Times New Roman" w:eastAsia="Times New Roman" w:hAnsi="Times New Roman"/>
          <w:sz w:val="19"/>
          <w:szCs w:val="19"/>
          <w:color w:val="auto"/>
        </w:rPr>
        <w:t>"Owner Trust Estate" shall mean all right, title and interest of the Issuer in and to the property and rights assigned to the Issuer pursuant to Article II of the Sale and Servicing Agreement, all funds on deposit from time to time in the Trust Accounts and all other property of the Issuer from time to time, including any rights of the Issuer pursuant to the Sale and Servicing Agreement.</w:t>
      </w:r>
    </w:p>
    <w:p>
      <w:pPr>
        <w:spacing w:after="0" w:line="144" w:lineRule="exact"/>
        <w:rPr>
          <w:sz w:val="20"/>
          <w:szCs w:val="20"/>
          <w:color w:val="auto"/>
        </w:rPr>
      </w:pPr>
    </w:p>
    <w:p>
      <w:pPr>
        <w:ind w:right="320" w:firstLine="696"/>
        <w:spacing w:after="0" w:line="286" w:lineRule="auto"/>
        <w:rPr>
          <w:sz w:val="20"/>
          <w:szCs w:val="20"/>
          <w:color w:val="auto"/>
        </w:rPr>
      </w:pPr>
      <w:r>
        <w:rPr>
          <w:rFonts w:ascii="Times New Roman" w:cs="Times New Roman" w:eastAsia="Times New Roman" w:hAnsi="Times New Roman"/>
          <w:sz w:val="19"/>
          <w:szCs w:val="19"/>
          <w:color w:val="auto"/>
        </w:rPr>
        <w:t>"Owner Trustee" shall mean Computershare Delaware Trust Company, a Delaware limited purpose trust company, not in its individual capacity but solely as owner trustee under this Agreement, and any successor Owner Trustee hereunder.</w:t>
      </w:r>
    </w:p>
    <w:p>
      <w:pPr>
        <w:spacing w:after="0" w:line="127"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"Percentage Interest" shall mean, with respect to a Certificateholder, the percentage equivalent of the quotient of the nominal principal amount held by the related Certificateholder, divided by the aggregate nominal principal amount of all Certificates, which shall represent the percentage of certain distributions of the Trust beneficially owned by such Certificateholder. The sum of the Percentage Interests for all of the Certificates shall be 100%.</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2" w:name="page383"/>
    <w:bookmarkEnd w:id="382"/>
    <w:p>
      <w:pPr>
        <w:spacing w:after="0" w:line="200" w:lineRule="exact"/>
        <w:rPr>
          <w:sz w:val="20"/>
          <w:szCs w:val="20"/>
          <w:color w:val="auto"/>
        </w:rPr>
      </w:pPr>
    </w:p>
    <w:p>
      <w:pPr>
        <w:spacing w:after="0" w:line="261" w:lineRule="exact"/>
        <w:rPr>
          <w:sz w:val="20"/>
          <w:szCs w:val="20"/>
          <w:color w:val="auto"/>
        </w:rPr>
      </w:pPr>
    </w:p>
    <w:p>
      <w:pPr>
        <w:ind w:right="100" w:firstLine="696"/>
        <w:spacing w:after="0" w:line="257" w:lineRule="auto"/>
        <w:rPr>
          <w:sz w:val="20"/>
          <w:szCs w:val="20"/>
          <w:color w:val="auto"/>
        </w:rPr>
      </w:pPr>
      <w:r>
        <w:rPr>
          <w:rFonts w:ascii="Times New Roman" w:cs="Times New Roman" w:eastAsia="Times New Roman" w:hAnsi="Times New Roman"/>
          <w:sz w:val="19"/>
          <w:szCs w:val="19"/>
          <w:color w:val="auto"/>
        </w:rPr>
        <w:t>"Plurality Certificate Owner" means, (i) if Definitive Certificates have not been made available pursuant to Section 3.10 of this Agreement, the Certificate Owner who owns the greatest Percentage Interest in the Book-Entry Certificates, as reflected on the books of the Clearing Agency, or on the books of a Person maintaining an account with such Clearing Agency (directly as a Clearing Agency Participant or as an indirect participant, in each case in accordance with the rules of such Clearing Agency), or (ii) if Definitive Certificates have been made available pursuant to Section 3.10 of this Agreement, the Certificate Owner who owns the greatest Percentage Interest in Definitive Certificates as registered on the Certificate Register.</w:t>
      </w:r>
    </w:p>
    <w:p>
      <w:pPr>
        <w:spacing w:after="0" w:line="157" w:lineRule="exact"/>
        <w:rPr>
          <w:sz w:val="20"/>
          <w:szCs w:val="20"/>
          <w:color w:val="auto"/>
        </w:rPr>
      </w:pPr>
    </w:p>
    <w:p>
      <w:pPr>
        <w:ind w:right="360" w:firstLine="696"/>
        <w:spacing w:after="0" w:line="286" w:lineRule="auto"/>
        <w:rPr>
          <w:sz w:val="20"/>
          <w:szCs w:val="20"/>
          <w:color w:val="auto"/>
        </w:rPr>
      </w:pPr>
      <w:r>
        <w:rPr>
          <w:rFonts w:ascii="Times New Roman" w:cs="Times New Roman" w:eastAsia="Times New Roman" w:hAnsi="Times New Roman"/>
          <w:sz w:val="19"/>
          <w:szCs w:val="19"/>
          <w:color w:val="auto"/>
        </w:rPr>
        <w:t>"Record Date" shall mean with respect to any Distribution Date, the close of business on the last Business Day immediately preceding such Distribution Date.</w:t>
      </w:r>
    </w:p>
    <w:p>
      <w:pPr>
        <w:spacing w:after="0" w:line="127"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"Responsible Officer" shall mean, with respect to the Owner Trustee, any officer within the Corporate Trust Office of the Owner Trustee with direct responsibility for the administration of the Issuer and also, with respect to a particular matter, any other officer to whom such matter is referred because of such officer's knowledge of and familiarity with the particular subject, and with respect to the Certificate Registrar, any officer within the Corporate Trust Office of the Certificate Registrar, including any Executive Vice President, Senior Vice President, Vice President, Assistant Vice President, Assistant Treasurer, Assistant Secretary, or any other officer of the Certificate Registrar customarily performing functions similar to those performed by any of the above designated officers and having direct responsibility for the administration of this Agreement or any other Basic Document and also, with respect to a particular matter, any other officer to whom such matter is referred because of such officer's knowledge of and familiarity with the particular subject.</w:t>
      </w:r>
    </w:p>
    <w:p>
      <w:pPr>
        <w:spacing w:after="0" w:line="160"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"Sale and Servicing Agreement" shall mean the Sale and Servicing Agreement dated as of February 28, 2025, among the Issuer, the Depositor, United Auto, as Servicer, and Computershare Trust Company, N.A., as Backup Servicer and Indenture Trustee.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"Secretary of State" shall mean the Secretary of State of the State of Delaware.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"Securities Act" means the Securities Act of 1933, as amended.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"Similar Law" shall have the meaning assigned to such term in Section 3.11.</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"STAMP" shall have the meaning assigned to such term in Section 3.4.</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"Statutory Trust Statute" shall mean Chapter 38 of Title 12 of the Delaware Code, 12 Del. Code § 3801 et seq.</w:t>
      </w:r>
    </w:p>
    <w:p>
      <w:pPr>
        <w:spacing w:after="0" w:line="202" w:lineRule="exact"/>
        <w:rPr>
          <w:sz w:val="20"/>
          <w:szCs w:val="20"/>
          <w:color w:val="auto"/>
        </w:rPr>
      </w:pPr>
    </w:p>
    <w:p>
      <w:pPr>
        <w:ind w:right="420" w:firstLine="696"/>
        <w:spacing w:after="0" w:line="268" w:lineRule="auto"/>
        <w:rPr>
          <w:sz w:val="20"/>
          <w:szCs w:val="20"/>
          <w:color w:val="auto"/>
        </w:rPr>
      </w:pPr>
      <w:r>
        <w:rPr>
          <w:rFonts w:ascii="Times New Roman" w:cs="Times New Roman" w:eastAsia="Times New Roman" w:hAnsi="Times New Roman"/>
          <w:sz w:val="19"/>
          <w:szCs w:val="19"/>
          <w:color w:val="auto"/>
        </w:rPr>
        <w:t>"Treasury Regulations" shall mean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"United Auto" shall mean United Auto Credit Corporation.</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3" w:name="page384"/>
    <w:bookmarkEnd w:id="383"/>
    <w:p>
      <w:pPr>
        <w:spacing w:after="0" w:line="200" w:lineRule="exact"/>
        <w:rPr>
          <w:sz w:val="20"/>
          <w:szCs w:val="20"/>
          <w:color w:val="auto"/>
        </w:rPr>
      </w:pPr>
    </w:p>
    <w:p>
      <w:pPr>
        <w:spacing w:after="0" w:line="2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I.2.  </w:t>
      </w:r>
      <w:r>
        <w:rPr>
          <w:rFonts w:ascii="Times New Roman" w:cs="Times New Roman" w:eastAsia="Times New Roman" w:hAnsi="Times New Roman"/>
          <w:sz w:val="19"/>
          <w:szCs w:val="19"/>
          <w:color w:val="000000"/>
        </w:rPr>
        <w:t>Other Definitional Provisions.</w:t>
      </w:r>
    </w:p>
    <w:p>
      <w:pPr>
        <w:spacing w:after="0" w:line="202" w:lineRule="exact"/>
        <w:rPr>
          <w:sz w:val="20"/>
          <w:szCs w:val="20"/>
          <w:color w:val="auto"/>
        </w:rPr>
      </w:pPr>
    </w:p>
    <w:p>
      <w:pPr>
        <w:ind w:right="480" w:firstLine="1410"/>
        <w:spacing w:after="0" w:line="286" w:lineRule="auto"/>
        <w:tabs>
          <w:tab w:leader="none" w:pos="1765" w:val="left"/>
        </w:tabs>
        <w:numPr>
          <w:ilvl w:val="0"/>
          <w:numId w:val="3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Capitalized terms used herein and not otherwise defined have the meanings assigned to them in the Sale and Servicing Agreement or, if not defined therein, in the Indenture.</w:t>
      </w:r>
    </w:p>
    <w:p>
      <w:pPr>
        <w:spacing w:after="0" w:line="127" w:lineRule="exact"/>
        <w:rPr>
          <w:rFonts w:ascii="Times New Roman" w:cs="Times New Roman" w:eastAsia="Times New Roman" w:hAnsi="Times New Roman"/>
          <w:sz w:val="19"/>
          <w:szCs w:val="19"/>
          <w:color w:val="1F3763"/>
        </w:rPr>
      </w:pPr>
    </w:p>
    <w:p>
      <w:pPr>
        <w:ind w:right="640" w:firstLine="1410"/>
        <w:spacing w:after="0" w:line="286" w:lineRule="auto"/>
        <w:tabs>
          <w:tab w:leader="none" w:pos="1777" w:val="left"/>
        </w:tabs>
        <w:numPr>
          <w:ilvl w:val="0"/>
          <w:numId w:val="3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terms defined in this Agreement shall have the defined meanings when used in any certificate or other document made or delivered pursuant hereto unless otherwise defined therein.</w:t>
      </w:r>
    </w:p>
    <w:p>
      <w:pPr>
        <w:spacing w:after="0" w:line="127" w:lineRule="exact"/>
        <w:rPr>
          <w:rFonts w:ascii="Times New Roman" w:cs="Times New Roman" w:eastAsia="Times New Roman" w:hAnsi="Times New Roman"/>
          <w:sz w:val="19"/>
          <w:szCs w:val="19"/>
          <w:color w:val="1F3763"/>
        </w:rPr>
      </w:pPr>
    </w:p>
    <w:p>
      <w:pPr>
        <w:ind w:right="20" w:firstLine="1410"/>
        <w:spacing w:after="0" w:line="256" w:lineRule="auto"/>
        <w:tabs>
          <w:tab w:leader="none" w:pos="1765" w:val="left"/>
        </w:tabs>
        <w:numPr>
          <w:ilvl w:val="0"/>
          <w:numId w:val="3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As used in this Agreement and in any certificate or other document made or delivered pursuant hereto or thereto, accounting terms not defined in this Agreement or in any such certificate or other document, and accounting terms partly defined in this Agreement or in any such certificate or other document to the extent not defined, shall have the respective meanings given to them under generally accepted accounting principles as in effect on the date of this Agreement or any such certificate or other document, as applicable. To the extent that the definitions of accounting terms in this Agreement or in any such certificate or other document are inconsistent with the meanings of such terms under generally accepted accounting principles, the definitions contained in this Agreement or in any such certificate or other document shall control.</w:t>
      </w:r>
    </w:p>
    <w:p>
      <w:pPr>
        <w:spacing w:after="0" w:line="157" w:lineRule="exact"/>
        <w:rPr>
          <w:rFonts w:ascii="Times New Roman" w:cs="Times New Roman" w:eastAsia="Times New Roman" w:hAnsi="Times New Roman"/>
          <w:sz w:val="19"/>
          <w:szCs w:val="19"/>
          <w:color w:val="1F3763"/>
        </w:rPr>
      </w:pPr>
    </w:p>
    <w:p>
      <w:pPr>
        <w:ind w:right="20" w:firstLine="1410"/>
        <w:spacing w:after="0" w:line="262" w:lineRule="auto"/>
        <w:tabs>
          <w:tab w:leader="none" w:pos="1777" w:val="left"/>
        </w:tabs>
        <w:numPr>
          <w:ilvl w:val="0"/>
          <w:numId w:val="3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words "hereof," "herein," "hereunder" and words of similar import when used in this Agreement shall refer to this Agreement as a whole and not to any particular provision of this Agreement; Section and Exhibit references contained in this Agreement are references to Sections and Exhibits in or to this Agreement unless otherwise specified; and the term "including" shall mean "including without limitation."</w:t>
      </w:r>
    </w:p>
    <w:p>
      <w:pPr>
        <w:spacing w:after="0" w:line="150" w:lineRule="exact"/>
        <w:rPr>
          <w:rFonts w:ascii="Times New Roman" w:cs="Times New Roman" w:eastAsia="Times New Roman" w:hAnsi="Times New Roman"/>
          <w:sz w:val="19"/>
          <w:szCs w:val="19"/>
          <w:color w:val="1F3763"/>
        </w:rPr>
      </w:pPr>
    </w:p>
    <w:p>
      <w:pPr>
        <w:ind w:firstLine="1410"/>
        <w:spacing w:after="0" w:line="286" w:lineRule="auto"/>
        <w:tabs>
          <w:tab w:leader="none" w:pos="1765" w:val="left"/>
        </w:tabs>
        <w:numPr>
          <w:ilvl w:val="0"/>
          <w:numId w:val="3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definitions contained in this Agreement are applicable to the singular as well as the plural forms of such terms and to the masculine as well as to the feminine and neuter genders of such terms.</w:t>
      </w:r>
    </w:p>
    <w:p>
      <w:pPr>
        <w:spacing w:after="0" w:line="127" w:lineRule="exact"/>
        <w:rPr>
          <w:rFonts w:ascii="Times New Roman" w:cs="Times New Roman" w:eastAsia="Times New Roman" w:hAnsi="Times New Roman"/>
          <w:sz w:val="19"/>
          <w:szCs w:val="19"/>
          <w:color w:val="1F3763"/>
        </w:rPr>
      </w:pPr>
    </w:p>
    <w:p>
      <w:pPr>
        <w:ind w:right="60" w:firstLine="1410"/>
        <w:spacing w:after="0" w:line="262" w:lineRule="auto"/>
        <w:tabs>
          <w:tab w:leader="none" w:pos="1741" w:val="left"/>
        </w:tabs>
        <w:numPr>
          <w:ilvl w:val="0"/>
          <w:numId w:val="3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references to a Person are also to its permitted successors and assigns.</w:t>
      </w:r>
    </w:p>
    <w:p>
      <w:pPr>
        <w:spacing w:after="0" w:line="150"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I.3. </w:t>
      </w:r>
      <w:r>
        <w:rPr>
          <w:rFonts w:ascii="Times New Roman" w:cs="Times New Roman" w:eastAsia="Times New Roman" w:hAnsi="Times New Roman"/>
          <w:sz w:val="19"/>
          <w:szCs w:val="19"/>
          <w:color w:val="000000"/>
        </w:rPr>
        <w:t>Owner Trustee. Computershare Delaware Trust Company, a Delaware limited purpose trust company,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will perform its duties as Owner Trustee hereunder through its Computershare Corporate Trust section.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4" w:name="page385"/>
    <w:bookmarkEnd w:id="384"/>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2F5496"/>
        </w:rPr>
        <w:t>ARTICLE II.</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ORGANIZATION</w:t>
      </w:r>
    </w:p>
    <w:p>
      <w:pPr>
        <w:spacing w:after="0" w:line="204"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1F3763"/>
        </w:rPr>
        <w:t xml:space="preserve">SECTION II.1. </w:t>
      </w:r>
      <w:r>
        <w:rPr>
          <w:rFonts w:ascii="Times New Roman" w:cs="Times New Roman" w:eastAsia="Times New Roman" w:hAnsi="Times New Roman"/>
          <w:sz w:val="19"/>
          <w:szCs w:val="19"/>
          <w:color w:val="000000"/>
        </w:rPr>
        <w:t>Name. There is hereby continued a Delaware statutory trust known as "United Auto Credit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Securitization Trust 2025-1," in which name the Owner Trustee shall have the power and authority and is hereby authorized and empowered to and may conduct the business of the Issuer, make and execute contracts and other instruments on behalf of the Issuer and sue and be sued.</w:t>
      </w:r>
    </w:p>
    <w:p>
      <w:pPr>
        <w:spacing w:after="0" w:line="150"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1F3763"/>
        </w:rPr>
        <w:t xml:space="preserve">SECTION II.2. </w:t>
      </w:r>
      <w:r>
        <w:rPr>
          <w:rFonts w:ascii="Times New Roman" w:cs="Times New Roman" w:eastAsia="Times New Roman" w:hAnsi="Times New Roman"/>
          <w:sz w:val="19"/>
          <w:szCs w:val="19"/>
          <w:color w:val="000000"/>
        </w:rPr>
        <w:t>Office. The office of the Issuer shall be in care of the Owner Trustee at the Corporate Trust Office or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at such other address as the Owner Trustee may designate by written notice to the Certificateholders, the Depositor and the Indenture Trustee.</w:t>
      </w:r>
    </w:p>
    <w:p>
      <w:pPr>
        <w:spacing w:after="0" w:line="144"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1F3763"/>
        </w:rPr>
        <w:t xml:space="preserve">SECTION II.3. </w:t>
      </w:r>
      <w:r>
        <w:rPr>
          <w:rFonts w:ascii="Times New Roman" w:cs="Times New Roman" w:eastAsia="Times New Roman" w:hAnsi="Times New Roman"/>
          <w:sz w:val="19"/>
          <w:szCs w:val="19"/>
          <w:color w:val="000000"/>
        </w:rPr>
        <w:t>Purposes and Powers. The purpose of the Issuer is, and the Issuer shall have the power and authority</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and is hereby authorized and empowered, and the Owner Trustee or the Servicer, as applicable, shall have the power and authority and are hereby authorized and empowered, in the name of and on behalf of the Issuer, to engage in the following activities:</w:t>
      </w:r>
    </w:p>
    <w:p>
      <w:pPr>
        <w:spacing w:after="0" w:line="144" w:lineRule="exact"/>
        <w:rPr>
          <w:sz w:val="20"/>
          <w:szCs w:val="20"/>
          <w:color w:val="auto"/>
        </w:rPr>
      </w:pPr>
    </w:p>
    <w:p>
      <w:pPr>
        <w:ind w:right="60" w:firstLine="1410"/>
        <w:spacing w:after="0" w:line="286" w:lineRule="auto"/>
        <w:tabs>
          <w:tab w:leader="none" w:pos="1765" w:val="left"/>
        </w:tabs>
        <w:numPr>
          <w:ilvl w:val="0"/>
          <w:numId w:val="31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issue the Notes pursuant to the Indenture and the Certificates pursuant to this Agreement, and to sell the Notes and deliver the Certificates upon the written order of the Depositor;</w:t>
      </w:r>
    </w:p>
    <w:p>
      <w:pPr>
        <w:spacing w:after="0" w:line="127" w:lineRule="exact"/>
        <w:rPr>
          <w:rFonts w:ascii="Times New Roman" w:cs="Times New Roman" w:eastAsia="Times New Roman" w:hAnsi="Times New Roman"/>
          <w:sz w:val="19"/>
          <w:szCs w:val="19"/>
          <w:color w:val="1F3763"/>
        </w:rPr>
      </w:pPr>
    </w:p>
    <w:p>
      <w:pPr>
        <w:ind w:right="160" w:firstLine="1410"/>
        <w:spacing w:after="0" w:line="268" w:lineRule="auto"/>
        <w:tabs>
          <w:tab w:leader="none" w:pos="1777" w:val="left"/>
        </w:tabs>
        <w:numPr>
          <w:ilvl w:val="0"/>
          <w:numId w:val="31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with the proceeds of the sale of the Notes, to purchase the Receivables, to fund the Reserve Account, to pay the organizational, start-up and transactional expenses of the Issuer and to pay the balance to the Depositor pursuant to the Sale and Servicing Agreement;</w:t>
      </w:r>
    </w:p>
    <w:p>
      <w:pPr>
        <w:spacing w:after="0" w:line="144" w:lineRule="exact"/>
        <w:rPr>
          <w:rFonts w:ascii="Times New Roman" w:cs="Times New Roman" w:eastAsia="Times New Roman" w:hAnsi="Times New Roman"/>
          <w:sz w:val="19"/>
          <w:szCs w:val="19"/>
          <w:color w:val="1F3763"/>
        </w:rPr>
      </w:pPr>
    </w:p>
    <w:p>
      <w:pPr>
        <w:ind w:right="160" w:firstLine="1410"/>
        <w:spacing w:after="0" w:line="262" w:lineRule="auto"/>
        <w:tabs>
          <w:tab w:leader="none" w:pos="1765" w:val="left"/>
        </w:tabs>
        <w:numPr>
          <w:ilvl w:val="0"/>
          <w:numId w:val="31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acquire from time to time the Owner Trust Estate, to assign, grant, transfer, pledge, mortgage and convey the Owner Trust Estate to the Indenture Trustee pursuant to the Indenture for the benefit of the Noteholders and to hold, manage and distribute to the Certificateholders pursuant to the terms of the Sale and Servicing Agreement, the Indenture and this Agreement any portion of the Owner Trust Estate released from the Lien of, and remitted to the Issuer pursuant to, the Indenture;</w:t>
      </w:r>
    </w:p>
    <w:p>
      <w:pPr>
        <w:spacing w:after="0" w:line="150"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1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enter into and perform its obligations under the Basic Documents to which it is a party;</w:t>
      </w:r>
    </w:p>
    <w:p>
      <w:pPr>
        <w:spacing w:after="0" w:line="201" w:lineRule="exact"/>
        <w:rPr>
          <w:rFonts w:ascii="Times New Roman" w:cs="Times New Roman" w:eastAsia="Times New Roman" w:hAnsi="Times New Roman"/>
          <w:sz w:val="19"/>
          <w:szCs w:val="19"/>
          <w:color w:val="1F3763"/>
        </w:rPr>
      </w:pPr>
    </w:p>
    <w:p>
      <w:pPr>
        <w:ind w:right="140" w:firstLine="1410"/>
        <w:spacing w:after="0" w:line="256" w:lineRule="auto"/>
        <w:tabs>
          <w:tab w:leader="none" w:pos="1765" w:val="left"/>
        </w:tabs>
        <w:numPr>
          <w:ilvl w:val="0"/>
          <w:numId w:val="31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engage in those activities, including entering into agreements, that are necessary, suitable or convenient to accomplish the foregoing or are incidental thereto or connected therewith, as instructed by the Depositor, the Servicer or the Majority Certificateholders pursuant to this Agreement, including the filing of State business licenses (and any renewal thereof) as prepared and instructed by the Depositor or the Servicer, including a Sales Finance Company Application (and any renewal thereof) with the</w:t>
      </w:r>
    </w:p>
    <w:p>
      <w:pPr>
        <w:spacing w:after="0" w:line="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9"/>
          <w:szCs w:val="19"/>
          <w:color w:val="auto"/>
        </w:rPr>
        <w:t>Pennsylvania Department of Banking, Licensing Division, and a Financial Regulation Application (and any renewal thereof) with the Maryland Department of Labor, Licensing and Regulation; and</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385" w:name="page386"/>
    <w:bookmarkEnd w:id="385"/>
    <w:p>
      <w:pPr>
        <w:spacing w:after="0" w:line="200" w:lineRule="exact"/>
        <w:rPr>
          <w:sz w:val="20"/>
          <w:szCs w:val="20"/>
          <w:color w:val="auto"/>
        </w:rPr>
      </w:pPr>
    </w:p>
    <w:p>
      <w:pPr>
        <w:spacing w:after="0" w:line="261" w:lineRule="exact"/>
        <w:rPr>
          <w:sz w:val="20"/>
          <w:szCs w:val="20"/>
          <w:color w:val="auto"/>
        </w:rPr>
      </w:pPr>
    </w:p>
    <w:p>
      <w:pPr>
        <w:ind w:right="280" w:firstLine="1410"/>
        <w:spacing w:after="0" w:line="286" w:lineRule="auto"/>
        <w:tabs>
          <w:tab w:leader="none" w:pos="1741" w:val="left"/>
        </w:tabs>
        <w:numPr>
          <w:ilvl w:val="0"/>
          <w:numId w:val="31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subject to compliance with the Basic Documents, to engage in such other activities as may be required in connection with conservation of the Owner Trust Estate and the making of distributions to the Certificateholders and the Noteholders.</w:t>
      </w:r>
    </w:p>
    <w:p>
      <w:pPr>
        <w:spacing w:after="0" w:line="127"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The Issuer shall not engage in any activity other than in connection with the foregoing or other than as required or authorized by the terms of this Agreement or the other Basic Documents.</w:t>
      </w:r>
    </w:p>
    <w:p>
      <w:pPr>
        <w:spacing w:after="0" w:line="127" w:lineRule="exact"/>
        <w:rPr>
          <w:sz w:val="20"/>
          <w:szCs w:val="20"/>
          <w:color w:val="auto"/>
        </w:rPr>
      </w:pPr>
    </w:p>
    <w:p>
      <w:pPr>
        <w:ind w:right="20" w:firstLine="1404"/>
        <w:spacing w:after="0" w:line="257" w:lineRule="auto"/>
        <w:rPr>
          <w:sz w:val="20"/>
          <w:szCs w:val="20"/>
          <w:color w:val="auto"/>
        </w:rPr>
      </w:pPr>
      <w:r>
        <w:rPr>
          <w:rFonts w:ascii="Times New Roman" w:cs="Times New Roman" w:eastAsia="Times New Roman" w:hAnsi="Times New Roman"/>
          <w:sz w:val="19"/>
          <w:szCs w:val="19"/>
          <w:color w:val="auto"/>
        </w:rPr>
        <w:t>Notwithstanding anything to the contrary in this Agreement, the other Basic Documents or in any other document, neither the Issuer nor the Owner Trustee (nor any agent of either person) shall be authorized or empowered to acquire any other investments, reinvest any proceeds of the Issuer or engage in activities other than the foregoing, and, in particular neither the Issuer nor the Owner Trustee (nor any agent of either person) shall be authorized or empowered to do anything that would cause the Issuer to fail to qualify as a fixed investment trust described in Treasury Regulation Section 301.7701-4(c) that is treated as a grantor trust under subtitle A, chapter 1, subchapter J, part I, subpart E of the Code.</w:t>
      </w:r>
    </w:p>
    <w:p>
      <w:pPr>
        <w:spacing w:after="0" w:line="157" w:lineRule="exact"/>
        <w:rPr>
          <w:sz w:val="20"/>
          <w:szCs w:val="20"/>
          <w:color w:val="auto"/>
        </w:rPr>
      </w:pPr>
    </w:p>
    <w:p>
      <w:pPr>
        <w:ind w:right="80" w:firstLine="1404"/>
        <w:spacing w:after="0" w:line="277" w:lineRule="auto"/>
        <w:rPr>
          <w:sz w:val="20"/>
          <w:szCs w:val="20"/>
          <w:color w:val="auto"/>
        </w:rPr>
      </w:pPr>
      <w:r>
        <w:rPr>
          <w:rFonts w:ascii="Times New Roman" w:cs="Times New Roman" w:eastAsia="Times New Roman" w:hAnsi="Times New Roman"/>
          <w:sz w:val="19"/>
          <w:szCs w:val="19"/>
          <w:color w:val="2F5496"/>
        </w:rPr>
        <w:t xml:space="preserve">SECTION II.4. </w:t>
      </w:r>
      <w:r>
        <w:rPr>
          <w:rFonts w:ascii="Times New Roman" w:cs="Times New Roman" w:eastAsia="Times New Roman" w:hAnsi="Times New Roman"/>
          <w:sz w:val="19"/>
          <w:szCs w:val="19"/>
          <w:color w:val="000000"/>
        </w:rPr>
        <w:t>Appointment of Owner Trustee. The Depositor hereby confirms the appointment of the Owner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Trustee as trustee of the Issuer effective as of the date of the Original Trust Agreement, to have all the rights, powers and duties set forth herein.</w:t>
      </w:r>
    </w:p>
    <w:p>
      <w:pPr>
        <w:spacing w:after="0" w:line="372" w:lineRule="exact"/>
        <w:rPr>
          <w:sz w:val="20"/>
          <w:szCs w:val="20"/>
          <w:color w:val="auto"/>
        </w:rPr>
      </w:pPr>
    </w:p>
    <w:p>
      <w:pPr>
        <w:ind w:right="120" w:firstLine="1404"/>
        <w:spacing w:after="0" w:line="259" w:lineRule="auto"/>
        <w:rPr>
          <w:sz w:val="20"/>
          <w:szCs w:val="20"/>
          <w:color w:val="auto"/>
        </w:rPr>
      </w:pPr>
      <w:r>
        <w:rPr>
          <w:rFonts w:ascii="Times New Roman" w:cs="Times New Roman" w:eastAsia="Times New Roman" w:hAnsi="Times New Roman"/>
          <w:sz w:val="19"/>
          <w:szCs w:val="19"/>
          <w:color w:val="2F5496"/>
        </w:rPr>
        <w:t xml:space="preserve">SECTION II.5. </w:t>
      </w:r>
      <w:r>
        <w:rPr>
          <w:rFonts w:ascii="Times New Roman" w:cs="Times New Roman" w:eastAsia="Times New Roman" w:hAnsi="Times New Roman"/>
          <w:sz w:val="19"/>
          <w:szCs w:val="19"/>
          <w:color w:val="000000"/>
        </w:rPr>
        <w:t>Initial Capital Contribution of Trust Estate. The Owner Trustee hereby acknowledges receipt in trust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from the Depositor of the sum of $1.00 which contribution constitutes the initial Owner Trust Estate. The Depositor acknowledges that such contribution has been transferred to and is being held in the Reserve Account initially established at Computershare Trust Company, National Association pursuant to the Sale and Servicing Agreement. The Depositor shall pay organizational expenses of the Issuer as they may arise.</w:t>
      </w:r>
    </w:p>
    <w:p>
      <w:pPr>
        <w:spacing w:after="0" w:line="154"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2F5496"/>
        </w:rPr>
        <w:t xml:space="preserve">SECTION II.6. </w:t>
      </w:r>
      <w:r>
        <w:rPr>
          <w:rFonts w:ascii="Times New Roman" w:cs="Times New Roman" w:eastAsia="Times New Roman" w:hAnsi="Times New Roman"/>
          <w:sz w:val="19"/>
          <w:szCs w:val="19"/>
          <w:color w:val="000000"/>
        </w:rPr>
        <w:t>Declaration of Trust. The Owner Trustee hereby declares that it will hold the Owner Trust Estate in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trust upon and subject to the conditions set forth herein for the use and benefit of the Holders, subject to the obligations of the Issuer under the Basic Documents. It is the intention of the parties hereto that the Issuer constitute a statutory trust under the Statutory Trust Statute and that this Agreement constitute the governing instrument of such statutory trust. The Owner Trustee shall have all rights, powers and duties set forth herein and to the extent not inconsistent herewith, in the Statutory Trust Statute with respect to accomplishing the purposes of the Issuer. The Certificate of Trust has been filed with the Secretary of State and such filing is hereby ratified in all respects.</w:t>
      </w:r>
    </w:p>
    <w:p>
      <w:pPr>
        <w:spacing w:after="0" w:line="390"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The rights of the Certificateholders shall be determined as set forth herein, in the other Basic Documents and in the Statutory Trust Statute and the relationship between the parties hereto created by this Agreement shall not constitute indebtedness for any purpose. The parties hereto and each Certificateholder and Certificate Owner, by acceptance of a Certificate or of a beneficial interest in a Certificate, agree to treat the Issuer in accordance with the intention that the Issuer be characterized as a fixed investment trust described in Treasury Regulation Section 301.7701-4(c) that is treated as a grantor trust under subtitle A, chapter 1, subchapter J, part I, subpart E of the Code and, unless otherwise required by appropriate taxing authorities or by law, not to take any action or, direct any other party to take any action, inconsistent therewith, including,</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6" w:name="page387"/>
    <w:bookmarkEnd w:id="386"/>
    <w:p>
      <w:pPr>
        <w:spacing w:after="0" w:line="200" w:lineRule="exact"/>
        <w:rPr>
          <w:sz w:val="20"/>
          <w:szCs w:val="20"/>
          <w:color w:val="auto"/>
        </w:rPr>
      </w:pPr>
    </w:p>
    <w:p>
      <w:pPr>
        <w:spacing w:after="0" w:line="2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but not limited to, modifying, or directing any other party to modify, the terms of a Receivable unless the modification is a Permitted Modification. In furtherance of the foregoing, (i) the purpose of the Issuer shall be to protect and conserve the assets of the Issuer, and the Issuer shall not at any time engage in or carry on any kind of business for U.S. federal income tax purposes or any kind of commercial activity and (ii) the Issuer and Owner Trustee, at the written direction of the Depositor (and any agent of either person) shall take, or refrain from taking, all such action as is necessary to maintain the status of the Issuer as a fixed investment trust described in Treasury Regulation Section 301.7701 -4(c) that is treated as a grantor trust under subtitle A, chapter 1, subchapter J, part I, subpart E of the Code. Notwithstanding anything to the contrary in this Agreement or otherwise, neither the Issuer nor the Owner Trustee (nor any agent of either person) shall (1) acquire any assets or dispose of any portion of the assets of the Issuer other than pursuant to the specific provisions of this Agreement or any other Basic Document, (2) have the power to vary the investment of the Issuer within the meaning of Treasury Regulation Section 301.7701-4(c) or (3) substitute new investments or reinvest so as to enable the Issuer to take advantage of variations in the market to improve the investment of any Certificateholder. The provisions of this Agreement and the other Basic Documents shall be interpreted consistently with and to further this intention of the parties. No election will be made by or on behalf of the Issuer to be classified as an association taxable as a corporation for federal, State or local income or franchise tax purposes. The Owner Trustee shall have all rights, powers and obligations set forth herein and, to the extent not inconsistent herewith, in the Statutory Trust Statute with respect to accomplishing the purposes of the Issuer. It is the intention of the parties hereto that except as expressly stated herein, the affairs of the Issuer shall be managed by the Servicer pursuant to Section 11.1 of the Sale and Servicing Agreement.</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The Holders shall not have any personal liability for any liability or obligation of the Issuer.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II.7.  </w:t>
      </w:r>
      <w:r>
        <w:rPr>
          <w:rFonts w:ascii="Times New Roman" w:cs="Times New Roman" w:eastAsia="Times New Roman" w:hAnsi="Times New Roman"/>
          <w:sz w:val="19"/>
          <w:szCs w:val="19"/>
          <w:color w:val="000000"/>
        </w:rPr>
        <w:t>Title to Owner Trust Estate.</w:t>
      </w:r>
    </w:p>
    <w:p>
      <w:pPr>
        <w:spacing w:after="0" w:line="202" w:lineRule="exact"/>
        <w:rPr>
          <w:sz w:val="20"/>
          <w:szCs w:val="20"/>
          <w:color w:val="auto"/>
        </w:rPr>
      </w:pPr>
    </w:p>
    <w:p>
      <w:pPr>
        <w:ind w:right="140" w:firstLine="1410"/>
        <w:spacing w:after="0" w:line="268" w:lineRule="auto"/>
        <w:tabs>
          <w:tab w:leader="none" w:pos="1765" w:val="left"/>
        </w:tabs>
        <w:numPr>
          <w:ilvl w:val="0"/>
          <w:numId w:val="31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Legal title to all the Owner Trust Estate shall be vested at all times in the Issuer as a separate legal entity except where applicable law in any jurisdiction requires title to any part of the Owner Trust Estate to be vested in a trustee or trustees, in which case title shall be deemed to be vested in the Owner Trustee, a co-trustee and/or a separate trustee, as the case may be.</w:t>
      </w:r>
    </w:p>
    <w:p>
      <w:pPr>
        <w:spacing w:after="0" w:line="144" w:lineRule="exact"/>
        <w:rPr>
          <w:rFonts w:ascii="Times New Roman" w:cs="Times New Roman" w:eastAsia="Times New Roman" w:hAnsi="Times New Roman"/>
          <w:sz w:val="19"/>
          <w:szCs w:val="19"/>
          <w:color w:val="1F3763"/>
        </w:rPr>
      </w:pPr>
    </w:p>
    <w:p>
      <w:pPr>
        <w:ind w:right="20" w:firstLine="1410"/>
        <w:spacing w:after="0" w:line="259" w:lineRule="auto"/>
        <w:tabs>
          <w:tab w:leader="none" w:pos="1777" w:val="left"/>
        </w:tabs>
        <w:numPr>
          <w:ilvl w:val="0"/>
          <w:numId w:val="31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Holders shall not have legal title to any part of the Owner Trust Estate. The Holders shall be entitled to receive distributions with respect to its undivided beneficial ownership interest therein only in accordance with the Basic Documents. No transfer, by operation of law or otherwise, of any right, title or interest by a Certificateholder or a Certificate Owner of its beneficial ownership interest in the Owner Trust Estate shall operate to terminate this Agreement or the trusts hereunder or entitle any transferee to an accounting or to the transfer to it of legal title to any part of the Owner Trust Estate.</w:t>
      </w:r>
    </w:p>
    <w:p>
      <w:pPr>
        <w:spacing w:after="0" w:line="154" w:lineRule="exact"/>
        <w:rPr>
          <w:sz w:val="20"/>
          <w:szCs w:val="20"/>
          <w:color w:val="auto"/>
        </w:rPr>
      </w:pPr>
    </w:p>
    <w:p>
      <w:pPr>
        <w:ind w:right="560" w:firstLine="1404"/>
        <w:spacing w:after="0" w:line="258" w:lineRule="auto"/>
        <w:rPr>
          <w:sz w:val="20"/>
          <w:szCs w:val="20"/>
          <w:color w:val="auto"/>
        </w:rPr>
      </w:pPr>
      <w:r>
        <w:rPr>
          <w:rFonts w:ascii="Times New Roman" w:cs="Times New Roman" w:eastAsia="Times New Roman" w:hAnsi="Times New Roman"/>
          <w:sz w:val="19"/>
          <w:szCs w:val="19"/>
          <w:color w:val="2F5496"/>
        </w:rPr>
        <w:t xml:space="preserve">SECTION II.8. </w:t>
      </w:r>
      <w:r>
        <w:rPr>
          <w:rFonts w:ascii="Times New Roman" w:cs="Times New Roman" w:eastAsia="Times New Roman" w:hAnsi="Times New Roman"/>
          <w:sz w:val="19"/>
          <w:szCs w:val="19"/>
          <w:color w:val="000000"/>
        </w:rPr>
        <w:t>Situs of Issuer. The Issuer will be located and administered in the State of Delaware. All bank</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accounts maintained on behalf of the Issuer shall be located in the State of Delaware or the State of New York. Payments will be received by the Issuer only in Delaware or New York and payments will be made by the Issuer only from Delaware or New</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87" w:name="page388"/>
    <w:bookmarkEnd w:id="387"/>
    <w:p>
      <w:pPr>
        <w:spacing w:after="0" w:line="200" w:lineRule="exact"/>
        <w:rPr>
          <w:sz w:val="20"/>
          <w:szCs w:val="20"/>
          <w:color w:val="auto"/>
        </w:rPr>
      </w:pPr>
    </w:p>
    <w:p>
      <w:pPr>
        <w:spacing w:after="0" w:line="26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9"/>
          <w:szCs w:val="19"/>
          <w:color w:val="auto"/>
        </w:rPr>
        <w:t>York. The Issuer shall not have any employees in any State other than Delaware; provided, however, that nothing herein shall restrict or prohibit the Owner Trustee, the Servicer or any agent of the Issuer from having employees within or outside the State of Delaware. The only office of the Issuer will be at the Corporate Trust Office located in the State of Delaware.</w:t>
      </w:r>
    </w:p>
    <w:p>
      <w:pPr>
        <w:spacing w:after="0" w:line="144"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2F5496"/>
        </w:rPr>
        <w:t xml:space="preserve">SECTION II.9. </w:t>
      </w:r>
      <w:r>
        <w:rPr>
          <w:rFonts w:ascii="Times New Roman" w:cs="Times New Roman" w:eastAsia="Times New Roman" w:hAnsi="Times New Roman"/>
          <w:sz w:val="19"/>
          <w:szCs w:val="19"/>
          <w:color w:val="000000"/>
        </w:rPr>
        <w:t>Representations and Warranties of the Depositor. The Depositor makes the following representations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and warranties to the Owner Trustee and upon which the Owner Trustee relies:</w:t>
      </w:r>
    </w:p>
    <w:p>
      <w:pPr>
        <w:spacing w:after="0" w:line="127" w:lineRule="exact"/>
        <w:rPr>
          <w:sz w:val="20"/>
          <w:szCs w:val="20"/>
          <w:color w:val="auto"/>
        </w:rPr>
      </w:pPr>
    </w:p>
    <w:p>
      <w:pPr>
        <w:ind w:right="180" w:firstLine="1410"/>
        <w:spacing w:after="0" w:line="268" w:lineRule="auto"/>
        <w:tabs>
          <w:tab w:leader="none" w:pos="1765" w:val="left"/>
        </w:tabs>
        <w:numPr>
          <w:ilvl w:val="0"/>
          <w:numId w:val="31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Organization and Good Standing. The Depositor is duly organized and validly existing as a Delaware limited liability company with power and authority to own its properties and to conduct its business as such properties are currently owned and such business is presently conducted and is proposed to be conducted pursuant to this Agreement and the other Basic Documents.</w:t>
      </w:r>
    </w:p>
    <w:p>
      <w:pPr>
        <w:spacing w:after="0" w:line="144" w:lineRule="exact"/>
        <w:rPr>
          <w:rFonts w:ascii="Times New Roman" w:cs="Times New Roman" w:eastAsia="Times New Roman" w:hAnsi="Times New Roman"/>
          <w:sz w:val="19"/>
          <w:szCs w:val="19"/>
          <w:color w:val="1F3763"/>
        </w:rPr>
      </w:pPr>
    </w:p>
    <w:p>
      <w:pPr>
        <w:ind w:firstLine="1410"/>
        <w:spacing w:after="0" w:line="262" w:lineRule="auto"/>
        <w:tabs>
          <w:tab w:leader="none" w:pos="1777" w:val="left"/>
        </w:tabs>
        <w:numPr>
          <w:ilvl w:val="0"/>
          <w:numId w:val="31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Due Qualification. The Depositor is duly qualified to do business as a foreign limited liability company, is in good standing, and has obtained all necessary licenses and approvals, in all jurisdictions in which the ownership or lease of its property, the conduct of its business and the performance of its obligations under this Agreement and the other Basic Documents requires such qualification.</w:t>
      </w:r>
    </w:p>
    <w:p>
      <w:pPr>
        <w:spacing w:after="0" w:line="150" w:lineRule="exact"/>
        <w:rPr>
          <w:rFonts w:ascii="Times New Roman" w:cs="Times New Roman" w:eastAsia="Times New Roman" w:hAnsi="Times New Roman"/>
          <w:sz w:val="19"/>
          <w:szCs w:val="19"/>
          <w:color w:val="1F3763"/>
        </w:rPr>
      </w:pPr>
    </w:p>
    <w:p>
      <w:pPr>
        <w:ind w:right="20" w:firstLine="1410"/>
        <w:spacing w:after="0" w:line="259" w:lineRule="auto"/>
        <w:tabs>
          <w:tab w:leader="none" w:pos="1765" w:val="left"/>
        </w:tabs>
        <w:numPr>
          <w:ilvl w:val="0"/>
          <w:numId w:val="31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Power and Authority. The Depositor has the limited liability company power and authority to execute and deliver this Agreement and the other Basic Documents to which it is a party and to carry out their respective terms; the Depositor has full power and authority to sell and assign the property to be sold and assigned to and deposited with the Issuer and the Depositor has duly authorized such sale and assignment and deposit to the Issuer by all necessary action; and the execution, delivery and performance of this Agreement and such other Basic Documents has been duly authorized by the Depositor by all necessary action.</w:t>
      </w:r>
    </w:p>
    <w:p>
      <w:pPr>
        <w:spacing w:after="0" w:line="153" w:lineRule="exact"/>
        <w:rPr>
          <w:rFonts w:ascii="Times New Roman" w:cs="Times New Roman" w:eastAsia="Times New Roman" w:hAnsi="Times New Roman"/>
          <w:sz w:val="19"/>
          <w:szCs w:val="19"/>
          <w:color w:val="1F3763"/>
        </w:rPr>
      </w:pPr>
    </w:p>
    <w:p>
      <w:pPr>
        <w:ind w:right="300" w:firstLine="1410"/>
        <w:spacing w:after="0" w:line="268" w:lineRule="auto"/>
        <w:tabs>
          <w:tab w:leader="none" w:pos="1777" w:val="left"/>
        </w:tabs>
        <w:numPr>
          <w:ilvl w:val="0"/>
          <w:numId w:val="31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Consent Required. No consent, license, approval or authorization or registration or declaration with, any Person or with any governmental authority, bureau or agency is required in connection with the execution, delivery or performance of this Agreement and the other Basic Documents, except for such as have been obtained, effected or made.</w:t>
      </w:r>
    </w:p>
    <w:p>
      <w:pPr>
        <w:spacing w:after="0" w:line="144" w:lineRule="exact"/>
        <w:rPr>
          <w:rFonts w:ascii="Times New Roman" w:cs="Times New Roman" w:eastAsia="Times New Roman" w:hAnsi="Times New Roman"/>
          <w:sz w:val="19"/>
          <w:szCs w:val="19"/>
          <w:color w:val="1F3763"/>
        </w:rPr>
      </w:pPr>
    </w:p>
    <w:p>
      <w:pPr>
        <w:ind w:right="280" w:firstLine="1410"/>
        <w:spacing w:after="0" w:line="254" w:lineRule="auto"/>
        <w:tabs>
          <w:tab w:leader="none" w:pos="1765" w:val="left"/>
        </w:tabs>
        <w:numPr>
          <w:ilvl w:val="0"/>
          <w:numId w:val="31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Violation. The consummation of the transactions contemplated by this Agreement and the other Basic Documents and the fulfillment of the terms hereof and thereof do not conflict with, result in any breach of any of the terms and provisions of, or constitute (with or without notice or lapse of time) a default under the certificate of formation or limited liability company agreement of the Depositor, or any material indenture, agreement or other instrument to which the Depositor is a party or by which it is bound; nor result in the creation or imposition of any Lien upon any of its properties pursuant to the terms of any such indenture, agreement or other instrument (other than pursuant to the Basic Documents); nor violate any law or, to the best of the</w:t>
      </w:r>
    </w:p>
    <w:p>
      <w:pPr>
        <w:spacing w:after="0" w:line="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9"/>
          <w:szCs w:val="19"/>
          <w:color w:val="auto"/>
        </w:rPr>
        <w:t>Depositor's knowledge, any order, rule or regulation applicable to the Depositor of any court or of any federal or State regulatory body, administrative agency or other governmental instrumentality having jurisdiction over the Depositor or its properties.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8" w:name="page389"/>
    <w:bookmarkEnd w:id="388"/>
    <w:p>
      <w:pPr>
        <w:spacing w:after="0" w:line="200" w:lineRule="exact"/>
        <w:rPr>
          <w:sz w:val="20"/>
          <w:szCs w:val="20"/>
          <w:color w:val="auto"/>
        </w:rPr>
      </w:pPr>
    </w:p>
    <w:p>
      <w:pPr>
        <w:spacing w:after="0" w:line="261" w:lineRule="exact"/>
        <w:rPr>
          <w:sz w:val="20"/>
          <w:szCs w:val="20"/>
          <w:color w:val="auto"/>
        </w:rPr>
      </w:pPr>
    </w:p>
    <w:p>
      <w:pPr>
        <w:ind w:firstLine="1410"/>
        <w:spacing w:after="0" w:line="256" w:lineRule="auto"/>
        <w:tabs>
          <w:tab w:leader="none" w:pos="1741" w:val="left"/>
        </w:tabs>
        <w:numPr>
          <w:ilvl w:val="0"/>
          <w:numId w:val="31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Proceedings. There are no proceedings or investigations pending or, to its knowledge threatened against it before any court, regulatory body, administrative agency or other tribunal or governmental instrumentality having jurisdiction over it or its properties (A) asserting the invalidity of this Agreement or any of the other Basic Documents, (B) seeking to prevent the issuance of the Certificates or the Notes or the consummation of any of the transactions contemplated by this Agreement or any of the other Basic Documents, (C) seeking any determination or ruling that might materially and adversely affect its performance of its obligations under, or the validity or enforceability of, this Agreement or any of the other Basic Documents, or (D) seeking to adversely affect the federal income tax or other federal, State or local tax attributes of the Certificates or the Notes.</w:t>
      </w:r>
    </w:p>
    <w:p>
      <w:pPr>
        <w:spacing w:after="0" w:line="157" w:lineRule="exact"/>
        <w:rPr>
          <w:rFonts w:ascii="Times New Roman" w:cs="Times New Roman" w:eastAsia="Times New Roman" w:hAnsi="Times New Roman"/>
          <w:sz w:val="19"/>
          <w:szCs w:val="19"/>
          <w:color w:val="1F3763"/>
        </w:rPr>
      </w:pPr>
    </w:p>
    <w:p>
      <w:pPr>
        <w:ind w:right="720" w:firstLine="1410"/>
        <w:spacing w:after="0" w:line="286" w:lineRule="auto"/>
        <w:tabs>
          <w:tab w:leader="none" w:pos="1777" w:val="left"/>
        </w:tabs>
        <w:numPr>
          <w:ilvl w:val="0"/>
          <w:numId w:val="31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FATCA. To the best of the Depositor's knowledge, as of the Closing Date, no amounts are required to be deducted or withheld pursuant to FATCA with respect to payments to be made with respect to the Certificates.</w:t>
      </w:r>
    </w:p>
    <w:p>
      <w:pPr>
        <w:spacing w:after="0" w:line="127" w:lineRule="exact"/>
        <w:rPr>
          <w:sz w:val="20"/>
          <w:szCs w:val="20"/>
          <w:color w:val="auto"/>
        </w:rPr>
      </w:pPr>
    </w:p>
    <w:p>
      <w:pPr>
        <w:ind w:right="480"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II.10. </w:t>
      </w:r>
      <w:r>
        <w:rPr>
          <w:rFonts w:ascii="Times New Roman" w:cs="Times New Roman" w:eastAsia="Times New Roman" w:hAnsi="Times New Roman"/>
          <w:sz w:val="19"/>
          <w:szCs w:val="19"/>
          <w:color w:val="000000"/>
        </w:rPr>
        <w:t>Covenants of the Depositor. The Depositor agrees to keep a copy of each Basic Document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allow each to be examined by any Certificateholder or Certificate Owner upon written request during normal business hours at the principal office of the Depositor and at such other places, if any, designated by the Depositor. The Depositor hereby covenants and agrees to take all action necessary on behalf of the Trust to cause compliance by the Trust with the CTA.</w:t>
      </w:r>
    </w:p>
    <w:p>
      <w:pPr>
        <w:spacing w:after="0" w:line="150" w:lineRule="exact"/>
        <w:rPr>
          <w:sz w:val="20"/>
          <w:szCs w:val="20"/>
          <w:color w:val="auto"/>
        </w:rPr>
      </w:pPr>
    </w:p>
    <w:p>
      <w:pPr>
        <w:ind w:right="160" w:firstLine="1404"/>
        <w:spacing w:after="0" w:line="286" w:lineRule="auto"/>
        <w:rPr>
          <w:sz w:val="20"/>
          <w:szCs w:val="20"/>
          <w:color w:val="auto"/>
        </w:rPr>
      </w:pPr>
      <w:r>
        <w:rPr>
          <w:rFonts w:ascii="Times New Roman" w:cs="Times New Roman" w:eastAsia="Times New Roman" w:hAnsi="Times New Roman"/>
          <w:sz w:val="19"/>
          <w:szCs w:val="19"/>
          <w:color w:val="2F5496"/>
        </w:rPr>
        <w:t xml:space="preserve">SECTION II.11. </w:t>
      </w:r>
      <w:r>
        <w:rPr>
          <w:rFonts w:ascii="Times New Roman" w:cs="Times New Roman" w:eastAsia="Times New Roman" w:hAnsi="Times New Roman"/>
          <w:sz w:val="19"/>
          <w:szCs w:val="19"/>
          <w:color w:val="000000"/>
        </w:rPr>
        <w:t>Covenants of the Certificateholders and Certificate Owners. Each Certificateholder and Certificate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Owner, by its acceptance of a Certificate, agrees:</w:t>
      </w:r>
    </w:p>
    <w:p>
      <w:pPr>
        <w:spacing w:after="0" w:line="127" w:lineRule="exact"/>
        <w:rPr>
          <w:sz w:val="20"/>
          <w:szCs w:val="20"/>
          <w:color w:val="auto"/>
        </w:rPr>
      </w:pPr>
    </w:p>
    <w:p>
      <w:pPr>
        <w:ind w:right="80" w:firstLine="1410"/>
        <w:spacing w:after="0" w:line="262" w:lineRule="auto"/>
        <w:tabs>
          <w:tab w:leader="none" w:pos="1765" w:val="left"/>
        </w:tabs>
        <w:numPr>
          <w:ilvl w:val="0"/>
          <w:numId w:val="31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be bound by the terms and conditions of the Certificate of which the Holder is the beneficial owner and of this Agreement, including any supplements or amendments hereto and to perform the obligations of a Holder as set forth therein or herein, in all respects as if it were a signatory hereto; this undertaking is made for the benefit of the Issuer, the Certificate Registrar, the Certificate Paying Agent and the Owner Trustee; and</w:t>
      </w:r>
    </w:p>
    <w:p>
      <w:pPr>
        <w:spacing w:after="0" w:line="150" w:lineRule="exact"/>
        <w:rPr>
          <w:rFonts w:ascii="Times New Roman" w:cs="Times New Roman" w:eastAsia="Times New Roman" w:hAnsi="Times New Roman"/>
          <w:sz w:val="19"/>
          <w:szCs w:val="19"/>
          <w:color w:val="1F3763"/>
        </w:rPr>
      </w:pPr>
    </w:p>
    <w:p>
      <w:pPr>
        <w:ind w:right="620" w:firstLine="1410"/>
        <w:spacing w:after="0" w:line="286" w:lineRule="auto"/>
        <w:tabs>
          <w:tab w:leader="none" w:pos="1777" w:val="left"/>
        </w:tabs>
        <w:numPr>
          <w:ilvl w:val="0"/>
          <w:numId w:val="31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as expressly provided in Sections 4.5 and 10.12(a), not to invoke, cause or otherwise consent to any Bankruptcy Action with respect to the Issuer.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II.12.  </w:t>
      </w:r>
      <w:r>
        <w:rPr>
          <w:rFonts w:ascii="Times New Roman" w:cs="Times New Roman" w:eastAsia="Times New Roman" w:hAnsi="Times New Roman"/>
          <w:sz w:val="19"/>
          <w:szCs w:val="19"/>
          <w:color w:val="000000"/>
        </w:rPr>
        <w:t>Federal Income Tax Treatment of the Issuer.</w:t>
      </w:r>
    </w:p>
    <w:p>
      <w:pPr>
        <w:spacing w:after="0" w:line="202" w:lineRule="exact"/>
        <w:rPr>
          <w:sz w:val="20"/>
          <w:szCs w:val="20"/>
          <w:color w:val="auto"/>
        </w:rPr>
      </w:pPr>
    </w:p>
    <w:p>
      <w:pPr>
        <w:ind w:right="40" w:firstLine="1410"/>
        <w:spacing w:after="0" w:line="253" w:lineRule="auto"/>
        <w:tabs>
          <w:tab w:leader="none" w:pos="1765" w:val="left"/>
        </w:tabs>
        <w:numPr>
          <w:ilvl w:val="0"/>
          <w:numId w:val="32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is the intention of the parties hereto that, solely for federal, State and local income, franchise and value added tax purposes, the Issuer shall be treated as a fixed investment trust described in Treasury Regulation Section 301.7701-4(c) that is treated as a grantor trust under subtitle A, chapter 1, subchapter J, part I, subpart E of the Code, with the assets of the Issuer constituting the Owner Trust Estate and other assets held by the Issuer, and the Notes constituting non-recourse debt of the Certificate Owners and/or beneficial owners of Certificates (as applicable), provided that if it is successfully asserted by the appropriate tax authorities that the Issuer is not properly characterized as a fixed investment trust described in Treasury Regulation Section 301.7701-4(c) that is treated as a grantor trust under subtitle A, chapter 1, subchapter J, part I, subpart E of the Code, the Issuer shall be treated, for United States federal, state and local income, franchise and value added tax purposes, as (A) a disregarded entity if there is only one</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89" w:name="page390"/>
    <w:bookmarkEnd w:id="389"/>
    <w:p>
      <w:pPr>
        <w:spacing w:after="0" w:line="200" w:lineRule="exact"/>
        <w:rPr>
          <w:sz w:val="20"/>
          <w:szCs w:val="20"/>
          <w:color w:val="auto"/>
        </w:rPr>
      </w:pPr>
    </w:p>
    <w:p>
      <w:pPr>
        <w:spacing w:after="0" w:line="2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beneficial owner for U.S. federal income tax purposes of the Certificates and any Notes that are treated as equity in the Issuer, or (B) a partnership (other than an association or publicly traded partnership taxable as a corporation) if there is more than one beneficial owner for U.S. federal income tax purposes of the Certificates and any Notes that are treated as equity for U.S. federal income tax purposes in the Issuer, with the assets of the partnership being the Owner Trust Estate and other assets held by the Issuer, the partners of the partnership being the Certificate Owners and/or beneficial owners of Certificates (as applicable) and the holders of any Notes that are treated as equity in the Issuer for U.S. federal income tax purposes, and the remaining Notes constituting indebtedness of the partnership. The parties agree that, unless otherwise required by appropriate tax authorities, the Servicer will, on behalf of the Issuer, cause the Issuer to file or cause to be filed annual or other necessary returns, reports and other forms consistent with the characterization of the Issuer as provided in the preceding sentence for such tax purposes.</w:t>
      </w:r>
    </w:p>
    <w:p>
      <w:pPr>
        <w:spacing w:after="0" w:line="155" w:lineRule="exact"/>
        <w:rPr>
          <w:sz w:val="20"/>
          <w:szCs w:val="20"/>
          <w:color w:val="auto"/>
        </w:rPr>
      </w:pPr>
    </w:p>
    <w:p>
      <w:pPr>
        <w:ind w:right="100" w:firstLine="1410"/>
        <w:spacing w:after="0" w:line="286" w:lineRule="auto"/>
        <w:tabs>
          <w:tab w:leader="none" w:pos="1777" w:val="left"/>
        </w:tabs>
        <w:numPr>
          <w:ilvl w:val="0"/>
          <w:numId w:val="32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Neither the Owner Trustee nor any Certificateholder or Certificate Owner will make an election on IRS Form 8832, or otherwise, to classify the Issuer as an association taxable as a corporation for federal, State or any other applicable tax purpose.</w:t>
      </w:r>
    </w:p>
    <w:p>
      <w:pPr>
        <w:spacing w:after="0" w:line="127" w:lineRule="exact"/>
        <w:rPr>
          <w:rFonts w:ascii="Times New Roman" w:cs="Times New Roman" w:eastAsia="Times New Roman" w:hAnsi="Times New Roman"/>
          <w:sz w:val="19"/>
          <w:szCs w:val="19"/>
          <w:color w:val="1F3763"/>
        </w:rPr>
      </w:pPr>
    </w:p>
    <w:p>
      <w:pPr>
        <w:ind w:firstLine="1410"/>
        <w:spacing w:after="0" w:line="256" w:lineRule="auto"/>
        <w:tabs>
          <w:tab w:leader="none" w:pos="1765" w:val="left"/>
        </w:tabs>
        <w:numPr>
          <w:ilvl w:val="0"/>
          <w:numId w:val="32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Class of Notes is intended to be treated as indebtedness for U.S. federal income tax purposes. The Depositor agrees, and the Noteholders by acceptance of their Notes agree, in the Indenture to such treatment and each agrees to take no action inconsistent with such treatment. If one or more Classes of Notes is recharacterized as an equity interest in the Issuer, and not as indebtedness (any such class, a "Recharacterized Class"), the Issuer will be characterized as a partnership among the Depositor or United Auto (to the extent either is at that time treated as an equity owner of the Issuer for U.S. federal income tax purposes), any other Certificate Owner, and any holders of Notes of a Recharacterized Class. In that event, this Agreement will be amended, in accordance with Section 10.1, and appropriate provisions will be added to provide for treatment of the Issuer as a partnership.</w:t>
      </w:r>
    </w:p>
    <w:p>
      <w:pPr>
        <w:spacing w:after="0" w:line="157" w:lineRule="exact"/>
        <w:rPr>
          <w:rFonts w:ascii="Times New Roman" w:cs="Times New Roman" w:eastAsia="Times New Roman" w:hAnsi="Times New Roman"/>
          <w:sz w:val="19"/>
          <w:szCs w:val="19"/>
          <w:color w:val="1F3763"/>
        </w:rPr>
      </w:pPr>
    </w:p>
    <w:p>
      <w:pPr>
        <w:ind w:right="20" w:firstLine="1410"/>
        <w:spacing w:after="0" w:line="252" w:lineRule="auto"/>
        <w:tabs>
          <w:tab w:leader="none" w:pos="1777" w:val="left"/>
        </w:tabs>
        <w:numPr>
          <w:ilvl w:val="0"/>
          <w:numId w:val="32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the Issuer is classified as a partnership for federal income tax purposes, (i) the Depositor (or if the Depositor is no longer a Certificateholder, the Plurality Certificate Owner) is hereby designated as the "partnership representative" under Section 6223(a) of the Code and (ii) the partnership representative will or will cause the Issuer, to the extent eligible, to make the election under Section 6221(b) of the Code with respect to determinations of adjustments at the partnership level and take any other action (such as disclosures and notifications) necessary or appropriate to effectuate such election. If the election described in the preceding sentence is not available, to the extent applicable, the partnership representative will or will cause the Issuer to make the election under Section 6226(a) of the Code with respect to the alternative to payment of imputed underpayment by a partnership and take any other action such as filings, disclosures and notifications necessary or appropriate to effectuate such election. The partnership representative is authorized, in its sole discretion, to make any available election with respect to the BBA Partnership Audit Rules and take any action it deems necessary or appropriate to comply with the requirements of the Code and to conduct the Issuer's affairs with respect to the BBA Partnership Audit Rules. Each Certificateholder and Certificate Owner and, if different, each beneficial owner of a Certificate, shall promptly provide the partnership representative any requested information, documentation or material to enable the partnership representative to make any of the elections described in this Section 2.12(d) and otherwise comply with the BBA Partnership</w:t>
      </w:r>
    </w:p>
    <w:p>
      <w:pPr>
        <w:spacing w:after="0" w:line="5" w:lineRule="exact"/>
        <w:rPr>
          <w:sz w:val="20"/>
          <w:szCs w:val="20"/>
          <w:color w:val="auto"/>
        </w:rPr>
      </w:pPr>
    </w:p>
    <w:p>
      <w:pPr>
        <w:ind w:left="5200" w:right="4080" w:hanging="5184"/>
        <w:spacing w:after="0" w:line="262" w:lineRule="auto"/>
        <w:rPr>
          <w:sz w:val="20"/>
          <w:szCs w:val="20"/>
          <w:color w:val="auto"/>
        </w:rPr>
      </w:pPr>
      <w:r>
        <w:rPr>
          <w:rFonts w:ascii="Times New Roman" w:cs="Times New Roman" w:eastAsia="Times New Roman" w:hAnsi="Times New Roman"/>
          <w:sz w:val="19"/>
          <w:szCs w:val="19"/>
          <w:color w:val="auto"/>
        </w:rPr>
        <w:t>Audit Rules. The provisions of this Section 2.12(d) shall survive any termination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0" w:name="page391"/>
    <w:bookmarkEnd w:id="390"/>
    <w:p>
      <w:pPr>
        <w:spacing w:after="0" w:line="200" w:lineRule="exact"/>
        <w:rPr>
          <w:sz w:val="20"/>
          <w:szCs w:val="20"/>
          <w:color w:val="auto"/>
        </w:rPr>
      </w:pPr>
    </w:p>
    <w:p>
      <w:pPr>
        <w:spacing w:after="0" w:line="2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this Agreement. In addition, should the Issuer be classified as a partnership, the partnership representative, may, in its sole discretion, cause the Issuer to make an election under Section 754 of the Code. The Owner Trustee shall have no liability for the actions or inactions of the partnership representative and no duty or responsibility or to oversee the partnership representative or to determine which Holder is the partnership representative.</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III.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CERTIFICATES AND TRANSFER OF INTEREST</w:t>
      </w:r>
    </w:p>
    <w:p>
      <w:pPr>
        <w:spacing w:after="0" w:line="204"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III.1. </w:t>
      </w:r>
      <w:r>
        <w:rPr>
          <w:rFonts w:ascii="Times New Roman" w:cs="Times New Roman" w:eastAsia="Times New Roman" w:hAnsi="Times New Roman"/>
          <w:sz w:val="19"/>
          <w:szCs w:val="19"/>
          <w:color w:val="000000"/>
        </w:rPr>
        <w:t>Initial Ownership. Upon the formation of the Issuer and the contribution by the Depositor pursuant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to Section 2.5 and until the issuance of the Certificates to the initial Certificateholders, the Depositor shall be the sole beneficial owner of the Issuer. Upon the issuance of the Certificates, the Depositor will no longer hold an interest in the Issuer, except to the extent that the Depositor is a Certificateholder or Certificate Owner. On the Closing Date, the Issuer shall issue the Certificates.</w:t>
      </w:r>
    </w:p>
    <w:p>
      <w:pPr>
        <w:spacing w:after="0" w:line="150" w:lineRule="exact"/>
        <w:rPr>
          <w:sz w:val="20"/>
          <w:szCs w:val="20"/>
          <w:color w:val="auto"/>
        </w:rPr>
      </w:pPr>
    </w:p>
    <w:p>
      <w:pPr>
        <w:ind w:left="1420"/>
        <w:spacing w:after="0"/>
        <w:tabs>
          <w:tab w:leader="none" w:pos="2780" w:val="left"/>
        </w:tabs>
        <w:rPr>
          <w:sz w:val="20"/>
          <w:szCs w:val="20"/>
          <w:color w:val="auto"/>
        </w:rPr>
      </w:pPr>
      <w:r>
        <w:rPr>
          <w:rFonts w:ascii="Times New Roman" w:cs="Times New Roman" w:eastAsia="Times New Roman" w:hAnsi="Times New Roman"/>
          <w:sz w:val="19"/>
          <w:szCs w:val="19"/>
          <w:color w:val="2F5496"/>
        </w:rPr>
        <w:t>SECTION III.2.</w:t>
      </w:r>
      <w:r>
        <w:rPr>
          <w:rFonts w:ascii="Times New Roman" w:cs="Times New Roman" w:eastAsia="Times New Roman" w:hAnsi="Times New Roman"/>
          <w:sz w:val="19"/>
          <w:szCs w:val="19"/>
          <w:color w:val="auto"/>
        </w:rPr>
        <w:tab/>
        <w:t>The Certificates.  The Certificates shall be issued in an aggregate nominal principal amount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$100,000 (which shall be deemed to be the equivalent of 100,000 units), and all beneficial interests in the Certificates shall be owned,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minimum nominal principal amount of $14,500 and integral multiples of $1 in excess thereof. The Issuer shall not issue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Certificate that would cause the aggregate nominal principal amount of all Certificates to exceed $100,000, or 100,000 units, except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otherwise provided in Section 3.5, without the prior written consent of all Certificateholders. The nominal principal amount of each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Certificate held by a Certificateholder will be represented by their Percentage Interests in the Certificates. The aggregate Percentage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Interests for all Certificates will at all times be 100%. Upon the written order of the Depositor, the Issuer shall issue the Certificates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Book-Entry Certificates in the name of Cede &amp; Co., the nominee of DTC as the initial Clearing Agency, which shall be substantially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form attached hereto as Exhibit A, each executed by manual signature of an authorized officer of the Owner Trustee on behalf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Issuer, and authenticated and delivered by the Certificate Registrar, upon the written order of the Depositor. Upon issuance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accordance with the terms hereof, the Certificates shall be fully paid and nonassessable. The Certificateholders will be entitled, pro rata,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any amounts not needed to make payments on the Notes and on all other obligations to be paid under the Indenture and this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and to receive amounts remaining in the Reserve Account following the payment in full of the Notes and of all other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amounts owing or to be distributed under this Agreement, the Indenture or the Sale and Servicing Agreement to the Noteholders,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Indenture Trustee, the Owner Trustee, the Servicer, the Backup Servicer, any successor Custodian or the lockbox bank on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termination of the Issuer. No distributions of moneys to the Certificateholders under the Indenture will be deemed to reduce the nominal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principal amount of or the Percentage Interests in any Certificate prior to payment in full of all Outstanding Notes; provided, however,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that the final $100,000 distributed to the Certificateholders under the Basic Documents upon final distribution of the Owner Trust Estate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termination of the Issuer will be deemed to repay the aggregate nominal principal amount of the Certificates in full; provided,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further, any failure to pay in full the outstanding nominal amount of any Certificate on such final distribution date will not result in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recourse to, claim against or liability of any Person for such shortfall. A Certificate bearing the manual signatures of individuals who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were, at the time when such signatures shall have been affixed, authorized to sign on behalf of the Issuer, shall be validly issued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entitled to the benefit of this Agreement, notwithstanding that such individuals or any of them shall have ceased to be so authorized prior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authentication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91" w:name="page392"/>
    <w:bookmarkEnd w:id="391"/>
    <w:p>
      <w:pPr>
        <w:spacing w:after="0" w:line="200" w:lineRule="exact"/>
        <w:rPr>
          <w:sz w:val="20"/>
          <w:szCs w:val="20"/>
          <w:color w:val="auto"/>
        </w:rPr>
      </w:pPr>
    </w:p>
    <w:p>
      <w:pPr>
        <w:spacing w:after="0" w:line="2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and delivery of such Certificate or did not hold such offices at the date of authentication and delivery of such Certificate. A transferee of a Certificate shall become a Certificateholder, and shall be entitled to the rights and subject to the obligations of a Certificateholder hereunder, upon due registration of such Certificate in such transferee's name pursuant to Section 3.4 and upon satisfaction of all transfer requirements set forth herein.</w:t>
      </w:r>
    </w:p>
    <w:p>
      <w:pPr>
        <w:spacing w:after="0" w:line="150"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2F5496"/>
        </w:rPr>
        <w:t xml:space="preserve">SECTION III.3. </w:t>
      </w:r>
      <w:r>
        <w:rPr>
          <w:rFonts w:ascii="Times New Roman" w:cs="Times New Roman" w:eastAsia="Times New Roman" w:hAnsi="Times New Roman"/>
          <w:sz w:val="19"/>
          <w:szCs w:val="19"/>
          <w:color w:val="000000"/>
        </w:rPr>
        <w:t>Authentication of Certificates. On the Closing Date, upon the written order of the Depositor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Owner Trustee shall cause the Certificates to be executed by manual signature on behalf of the Issuer, and the Certificate Registrar shall cause the Certificates to be authenticated and delivered to or upon the written order of the Depositor, signed by its authorized representative, without further limited liability company action by the Depositor. No Certificate shall entitle its holder to any benefit under this Agreement, or shall be valid for any purpose, unless there shall appear on such Certificate a certificate of authentication substantially in the form set forth in Exhibit A, executed by the Certificate Registrar or the Certificate Registrar's authentication agent, by manual signature; such authentication shall constitute conclusive evidence that such Certificate shall have been duly authenticated and delivered hereunder. Each Certificate shall be dated the date of its authentication.</w:t>
      </w:r>
    </w:p>
    <w:p>
      <w:pPr>
        <w:spacing w:after="0" w:line="160" w:lineRule="exact"/>
        <w:rPr>
          <w:sz w:val="20"/>
          <w:szCs w:val="20"/>
          <w:color w:val="auto"/>
        </w:rPr>
      </w:pPr>
    </w:p>
    <w:p>
      <w:pPr>
        <w:ind w:left="1420"/>
        <w:spacing w:after="0"/>
        <w:tabs>
          <w:tab w:leader="none" w:pos="2780" w:val="left"/>
        </w:tabs>
        <w:rPr>
          <w:sz w:val="20"/>
          <w:szCs w:val="20"/>
          <w:color w:val="auto"/>
        </w:rPr>
      </w:pPr>
      <w:r>
        <w:rPr>
          <w:rFonts w:ascii="Times New Roman" w:cs="Times New Roman" w:eastAsia="Times New Roman" w:hAnsi="Times New Roman"/>
          <w:sz w:val="19"/>
          <w:szCs w:val="19"/>
          <w:color w:val="2F5496"/>
        </w:rPr>
        <w:t>SECTION III.4.</w:t>
      </w:r>
      <w:r>
        <w:rPr>
          <w:rFonts w:ascii="Times New Roman" w:cs="Times New Roman" w:eastAsia="Times New Roman" w:hAnsi="Times New Roman"/>
          <w:sz w:val="19"/>
          <w:szCs w:val="19"/>
          <w:color w:val="auto"/>
        </w:rPr>
        <w:tab/>
        <w:t>Registration of Transfer and Exchange of Certificates.</w:t>
      </w:r>
    </w:p>
    <w:p>
      <w:pPr>
        <w:spacing w:after="0" w:line="202" w:lineRule="exact"/>
        <w:rPr>
          <w:sz w:val="20"/>
          <w:szCs w:val="20"/>
          <w:color w:val="auto"/>
        </w:rPr>
      </w:pPr>
    </w:p>
    <w:p>
      <w:pPr>
        <w:ind w:firstLine="1410"/>
        <w:spacing w:after="0" w:line="229" w:lineRule="exact"/>
        <w:tabs>
          <w:tab w:leader="none" w:pos="1765" w:val="left"/>
        </w:tabs>
        <w:numPr>
          <w:ilvl w:val="0"/>
          <w:numId w:val="32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 Registrar shall keep or cause to be kept, at the office or agency maintained pursuant to Section 3.7, a Certificate Register in which, subject to such reasonable regulations as it may prescribe, the Certificate Registrar shall provide for the registration of the Certificates and of transfers and exchanges of the Certificates as herein provided. The Book-Entry Certificates shall initially be registered on the Certificate Register in the name of Cede &amp; Co., the nominee of DTC as the initial Clearing Agency, and no Certificate Owner will receive a Definitive Certificate representing such Certificateholder's interest in such Certificate, except as provided in Section 3.10. Notwithstanding the provisions set forth in this Agreement, no sale or transfer of a Certificate or a beneficial interest therein shall be effective hereunder if the sale or transfer thereof increases the number of beneficial owners of the Certificates and Class E Notes to more than ninety-five (95). For purposes of determining the total number of beneficial owners of the Certificates and Class E Notes, a beneficial owner of an interest in a partnership, grantor trust, S corporation or other flow-through entity that owns, directly or through other flow-through entities, a beneficial interest in a Certificate or Class E Note is treated as a holder of such Certificate or Class E Note if (i) substantially all of the value of the beneficial owner's interest (directly or indirectly) in the flow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through entity is attributed to the flow-through entity's interest in the Certificate or Class E Note and (ii) a principal purpose of the use of the flow-through entity to hold the Certificate or Class E Note is to satisfy the 95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holder limitation set out above. If using a flow-through entity to acquire a Certificate, the Certificateholder shall be deemed to have represented that it is not using the flow-through entity in order to avoid the 95-holder limitation set out above. If a beneficial owner of a Certificate or a member of its expanded group, as defined in Treasury Regulation Section 1.385-1(c)(4) (including through a controlled partnership as defined in Treasury Regulation Section 1.385-1(c)(1)), becomes the beneficial owner of a Note (directly, or through its expanded group), the Depositor is authorized, at its discretion, to compel such beneficial owner to sell its Certificate to a person who is not the beneficial owner of a Note (directly, or through its expanded group), so long as such sale does not otherwise cause a material adverse effect on the Issuer.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2" w:name="page393"/>
    <w:bookmarkEnd w:id="392"/>
    <w:p>
      <w:pPr>
        <w:spacing w:after="0" w:line="200" w:lineRule="exact"/>
        <w:rPr>
          <w:sz w:val="20"/>
          <w:szCs w:val="20"/>
          <w:color w:val="auto"/>
        </w:rPr>
      </w:pPr>
    </w:p>
    <w:p>
      <w:pPr>
        <w:spacing w:after="0" w:line="261" w:lineRule="exact"/>
        <w:rPr>
          <w:sz w:val="20"/>
          <w:szCs w:val="20"/>
          <w:color w:val="auto"/>
        </w:rPr>
      </w:pPr>
    </w:p>
    <w:p>
      <w:pPr>
        <w:ind w:firstLine="1410"/>
        <w:spacing w:after="0" w:line="256" w:lineRule="auto"/>
        <w:tabs>
          <w:tab w:leader="none" w:pos="1777" w:val="left"/>
        </w:tabs>
        <w:numPr>
          <w:ilvl w:val="0"/>
          <w:numId w:val="32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Computershare Trust Company, N.A., as Indenture Trustee, is hereby appointed the initial Certificate Registrar hereunder and Computershare Trust Company, N.A. hereby accepts such appointment. The provisions of Articles VI and VII shall apply to the Certificate Registrar and any successor Certificate Registrar and, to the extent applicable, to any other registrar appointed hereunder. The Certificate Registrar shall provide the Indenture Trustee with the name and address of the Certificateholders on the Closing Date. Upon any transfers of the Certificates, the Certificate Registrar shall notify the Indenture Trustee of the name and address of the transferee in writing, by facsimile, on the day of such transfer. The appointment of the Certificate Registrar hereunder shall survive the termination and discharge of the Indenture.</w:t>
      </w:r>
    </w:p>
    <w:p>
      <w:pPr>
        <w:spacing w:after="0" w:line="157" w:lineRule="exact"/>
        <w:rPr>
          <w:rFonts w:ascii="Times New Roman" w:cs="Times New Roman" w:eastAsia="Times New Roman" w:hAnsi="Times New Roman"/>
          <w:sz w:val="19"/>
          <w:szCs w:val="19"/>
          <w:color w:val="1F3763"/>
        </w:rPr>
      </w:pPr>
    </w:p>
    <w:p>
      <w:pPr>
        <w:ind w:firstLine="1410"/>
        <w:spacing w:after="0" w:line="252" w:lineRule="auto"/>
        <w:tabs>
          <w:tab w:leader="none" w:pos="1765" w:val="left"/>
        </w:tabs>
        <w:numPr>
          <w:ilvl w:val="0"/>
          <w:numId w:val="32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surrender for registration of transfer of a Certificate at the office or agency maintained pursuant to Section 3.7(b), and at the direction of the surrendering Holder, the Owner Trustee, on behalf of the Issuer shall execute and the Certificate Registrar shall authenticate and deliver (or shall cause its authenticating agent to authenticate and deliver) to such designated transferee, in the name of the designated transferee, one or more new Certificates evidencing such nominal principal amount and Percentage Interests requested for transfer dated the date of authentication by the Certificate Registrar or any authenticating agent. A transferee of a Certificate shall become a Certificateholder, and shall be entitled to the rights and subject to the obligations of a Certificateholder hereunder, upon due registration of such Certificate in such transferee's name pursuant to Section 3.4. In the event a transferor transfers only a portion of its nominal principal amount or Percentage Interests, upon the direction of the transferring Holder, the Owner Trustee on behalf of the Issuer shall execute, and the Certificate Registrar shall register, authenticate and deliver to such transferor, a new Certificate evidencing such transferor's new nominal principal amount and Percentage Interests and the Owner Trustee on behalf of the Issuer shall execute, and the Certificate Registrar, upon direction, shall register, authenticate and deliver to such transferee, a new Certificate evidencing such transferee's nominal principal amount and Percentage Interests. In connection with each transfer of a beneficial interest and upon the issuance of the new Certificate or Certificates, the Certificate Registrar, upon direction of the transferring Holder, shall cancel and destroy in accordance with its customary practices the Certificate surrendered to it in connection with such transfer. The Owner Trustee and the Certificate Registrar may treat, for all purposes whatsoever, the Person in whose name any Certificate is registered as the sole owner of the nominal principal amount and Percentage Interests evidenced by such Certificate without regard to any notice to the contrary.</w:t>
      </w:r>
    </w:p>
    <w:p>
      <w:pPr>
        <w:spacing w:after="0" w:line="398" w:lineRule="exact"/>
        <w:rPr>
          <w:rFonts w:ascii="Times New Roman" w:cs="Times New Roman" w:eastAsia="Times New Roman" w:hAnsi="Times New Roman"/>
          <w:sz w:val="19"/>
          <w:szCs w:val="19"/>
          <w:color w:val="1F3763"/>
        </w:rPr>
      </w:pPr>
    </w:p>
    <w:p>
      <w:pPr>
        <w:ind w:right="80" w:firstLine="1410"/>
        <w:spacing w:after="0" w:line="254" w:lineRule="auto"/>
        <w:tabs>
          <w:tab w:leader="none" w:pos="1777" w:val="left"/>
        </w:tabs>
        <w:numPr>
          <w:ilvl w:val="0"/>
          <w:numId w:val="32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 Certificate presented or surrendered for registration of transfer or exchange shall be accompanied by a written instrument of transfer or exchange in form satisfactory to the Depositor, the Owner Trustee and the Certificate Registrar duly executed by the Certificateholder or his attorney duly authorized in writing, with such signature guaranteed by an "eligible guarantor institution" meeting the requirements of the Certificate Registrar, which requirements include membership or participation in the Securities Transfer Agent's Medallion Program ("STAMP") or such other "signature guarantee program" as may be determined by the Certificate Registrar in addition to, or in substitution for, STAMP, all in accordance with the Exchange Act. Each Certificate surrendered for registration of</w:t>
      </w:r>
    </w:p>
    <w:p>
      <w:pPr>
        <w:spacing w:after="0" w:line="3"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9"/>
          <w:szCs w:val="19"/>
          <w:color w:val="auto"/>
        </w:rPr>
        <w:t>transfer or exchange shall be canceled and subsequently disposed of by the Certificate Registrar in accordance with its customary practice. Transfers of Certificates shall also comply with the restrictions set forth in Section 3.11 and Section 3.13.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3" w:name="page394"/>
    <w:bookmarkEnd w:id="393"/>
    <w:p>
      <w:pPr>
        <w:spacing w:after="0" w:line="200" w:lineRule="exact"/>
        <w:rPr>
          <w:sz w:val="20"/>
          <w:szCs w:val="20"/>
          <w:color w:val="auto"/>
        </w:rPr>
      </w:pPr>
    </w:p>
    <w:p>
      <w:pPr>
        <w:spacing w:after="0" w:line="261" w:lineRule="exact"/>
        <w:rPr>
          <w:sz w:val="20"/>
          <w:szCs w:val="20"/>
          <w:color w:val="auto"/>
        </w:rPr>
      </w:pPr>
    </w:p>
    <w:p>
      <w:pPr>
        <w:ind w:left="-20" w:right="320" w:firstLine="1410"/>
        <w:spacing w:after="0" w:line="268" w:lineRule="auto"/>
        <w:tabs>
          <w:tab w:leader="none" w:pos="1745" w:val="left"/>
        </w:tabs>
        <w:numPr>
          <w:ilvl w:val="0"/>
          <w:numId w:val="3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service charge shall be made for any registration of transfer or exchange of the Certificates, but the Owner Trustee or the Certificate Registrar may require payment of a sum sufficient to cover any tax or governmental charge that may be imposed in connection with any transfer or exchange of the Certificates.</w:t>
      </w:r>
    </w:p>
    <w:p>
      <w:pPr>
        <w:spacing w:after="0" w:line="144" w:lineRule="exact"/>
        <w:rPr>
          <w:rFonts w:ascii="Times New Roman" w:cs="Times New Roman" w:eastAsia="Times New Roman" w:hAnsi="Times New Roman"/>
          <w:sz w:val="19"/>
          <w:szCs w:val="19"/>
          <w:color w:val="1F3763"/>
        </w:rPr>
      </w:pPr>
    </w:p>
    <w:p>
      <w:pPr>
        <w:ind w:left="-20" w:right="20" w:firstLine="1410"/>
        <w:spacing w:after="0" w:line="257" w:lineRule="auto"/>
        <w:tabs>
          <w:tab w:leader="none" w:pos="1721" w:val="left"/>
        </w:tabs>
        <w:numPr>
          <w:ilvl w:val="0"/>
          <w:numId w:val="3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Certificates have not been registered under the Securities Act, and the rules and regulations promulgated thereunder, or under the securities laws of any State. No transfer of the Certificates or any interest therein will be made unless such transfer is made pursuant to an effective registration statement under the Securities Act and effective registration or qualification under applicable State securities laws or is made in a transaction that does not require such registration or qualification. None of the Issuer, the Depositor, the Owner Trustee or any other Person has any obligation to register the Certificates under the Securities Act or under any State securities laws.</w:t>
      </w:r>
    </w:p>
    <w:p>
      <w:pPr>
        <w:spacing w:after="0" w:line="156" w:lineRule="exact"/>
        <w:rPr>
          <w:rFonts w:ascii="Times New Roman" w:cs="Times New Roman" w:eastAsia="Times New Roman" w:hAnsi="Times New Roman"/>
          <w:sz w:val="19"/>
          <w:szCs w:val="19"/>
          <w:color w:val="1F3763"/>
        </w:rPr>
      </w:pPr>
    </w:p>
    <w:p>
      <w:pPr>
        <w:ind w:left="-20" w:firstLine="1410"/>
        <w:spacing w:after="0" w:line="286" w:lineRule="auto"/>
        <w:tabs>
          <w:tab w:leader="none" w:pos="1757" w:val="left"/>
        </w:tabs>
        <w:numPr>
          <w:ilvl w:val="0"/>
          <w:numId w:val="3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Until such time, if ever, as the Certificates are registered pursuant to a registration statement filed under the Securities Act, the Certificates will bear a legend substantially to the effect set forth on the form of the Certificates attached as Exhibit A.</w:t>
      </w:r>
    </w:p>
    <w:p>
      <w:pPr>
        <w:spacing w:after="0" w:line="127" w:lineRule="exact"/>
        <w:rPr>
          <w:rFonts w:ascii="Times New Roman" w:cs="Times New Roman" w:eastAsia="Times New Roman" w:hAnsi="Times New Roman"/>
          <w:sz w:val="19"/>
          <w:szCs w:val="19"/>
          <w:color w:val="1F3763"/>
        </w:rPr>
      </w:pPr>
    </w:p>
    <w:p>
      <w:pPr>
        <w:ind w:left="-20" w:right="20" w:firstLine="1410"/>
        <w:spacing w:after="0" w:line="259" w:lineRule="auto"/>
        <w:tabs>
          <w:tab w:leader="none" w:pos="1757" w:val="left"/>
        </w:tabs>
        <w:numPr>
          <w:ilvl w:val="0"/>
          <w:numId w:val="3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Registration of a transfer of the Certificates or any interest therein will be made with respect to a transfer that is made pursuant to an effective registration statement under the Securities Act and effective registration or qualification under applicable State securities laws or is made in a transaction that does not require such registration or qualification, subject to the receipt by the Issuer and the Certificate Registrar of a certification from the transferee, acceptable to the Issuer, setting forth the basis for the exemption; it being understood that the Issuer may require an Opinion of Counsel to such effect.</w:t>
      </w:r>
    </w:p>
    <w:p>
      <w:pPr>
        <w:spacing w:after="0" w:line="153" w:lineRule="exact"/>
        <w:rPr>
          <w:rFonts w:ascii="Times New Roman" w:cs="Times New Roman" w:eastAsia="Times New Roman" w:hAnsi="Times New Roman"/>
          <w:sz w:val="19"/>
          <w:szCs w:val="19"/>
          <w:color w:val="1F3763"/>
        </w:rPr>
      </w:pPr>
    </w:p>
    <w:p>
      <w:pPr>
        <w:jc w:val="both"/>
        <w:ind w:left="-20" w:right="220" w:firstLine="1410"/>
        <w:spacing w:after="0" w:line="268" w:lineRule="auto"/>
        <w:tabs>
          <w:tab w:leader="none" w:pos="1709" w:val="left"/>
        </w:tabs>
        <w:numPr>
          <w:ilvl w:val="0"/>
          <w:numId w:val="3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Certificateholder or Certificate Owner and, if different, each owner of a beneficial interest in a Certificate, represent to the Issuer and Owner Trustee by acceptance of a Certificate or beneficial interest therein that it is not and will not become subject to any withholding under FATCA.</w:t>
      </w:r>
    </w:p>
    <w:p>
      <w:pPr>
        <w:spacing w:after="0" w:line="144" w:lineRule="exact"/>
        <w:rPr>
          <w:rFonts w:ascii="Times New Roman" w:cs="Times New Roman" w:eastAsia="Times New Roman" w:hAnsi="Times New Roman"/>
          <w:sz w:val="19"/>
          <w:szCs w:val="19"/>
          <w:color w:val="1F3763"/>
        </w:rPr>
      </w:pPr>
    </w:p>
    <w:p>
      <w:pPr>
        <w:ind w:left="-20" w:firstLine="1410"/>
        <w:spacing w:after="0" w:line="268" w:lineRule="auto"/>
        <w:tabs>
          <w:tab w:leader="none" w:pos="1709" w:val="left"/>
        </w:tabs>
        <w:numPr>
          <w:ilvl w:val="0"/>
          <w:numId w:val="3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as permitted by Regulation RR, 17 C.F.R. § 246.1, et seq. (the "Credit Risk Retention Rules"), the Certificateholder will not sell, transfer, finance or hedge any portion of the Certificates held for the purposes of the Credit Risk Retention Rules for the duration required in the Credit Risk Retention Rules.</w:t>
      </w:r>
    </w:p>
    <w:p>
      <w:pPr>
        <w:spacing w:after="0" w:line="144" w:lineRule="exact"/>
        <w:rPr>
          <w:sz w:val="20"/>
          <w:szCs w:val="20"/>
          <w:color w:val="auto"/>
        </w:rPr>
      </w:pPr>
    </w:p>
    <w:p>
      <w:pPr>
        <w:ind w:left="1400"/>
        <w:spacing w:after="0"/>
        <w:tabs>
          <w:tab w:leader="none" w:pos="2760" w:val="left"/>
        </w:tabs>
        <w:rPr>
          <w:sz w:val="20"/>
          <w:szCs w:val="20"/>
          <w:color w:val="auto"/>
        </w:rPr>
      </w:pPr>
      <w:r>
        <w:rPr>
          <w:rFonts w:ascii="Times New Roman" w:cs="Times New Roman" w:eastAsia="Times New Roman" w:hAnsi="Times New Roman"/>
          <w:sz w:val="19"/>
          <w:szCs w:val="19"/>
          <w:color w:val="2F5496"/>
        </w:rPr>
        <w:t>SECTION III.5.</w:t>
      </w:r>
      <w:r>
        <w:rPr>
          <w:rFonts w:ascii="Times New Roman" w:cs="Times New Roman" w:eastAsia="Times New Roman" w:hAnsi="Times New Roman"/>
          <w:sz w:val="19"/>
          <w:szCs w:val="19"/>
          <w:color w:val="auto"/>
        </w:rPr>
        <w:tab/>
        <w:t>Mutilated, Destroyed, Lost or Stolen Certificates.</w:t>
      </w:r>
    </w:p>
    <w:p>
      <w:pPr>
        <w:spacing w:after="0" w:line="202" w:lineRule="exact"/>
        <w:rPr>
          <w:sz w:val="20"/>
          <w:szCs w:val="20"/>
          <w:color w:val="auto"/>
        </w:rPr>
      </w:pPr>
    </w:p>
    <w:p>
      <w:pPr>
        <w:ind w:left="-20" w:right="60" w:firstLine="1410"/>
        <w:spacing w:after="0" w:line="253" w:lineRule="auto"/>
        <w:tabs>
          <w:tab w:leader="none" w:pos="1745" w:val="left"/>
        </w:tabs>
        <w:numPr>
          <w:ilvl w:val="0"/>
          <w:numId w:val="32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(i) any mutilated Certificate shall be surrendered to the Certificate Registrar, or if the Certificate Registrar shall receive evidence to its satisfaction of the destruction, loss or theft of any Certificate and (ii) there shall be delivered to the Certificate Registrar and the Owner Trustee such security or indemnity as may be required by them to save each of them and the Issuer harmless, then in the absence of written notice or actual knowledge that such Certificate shall have been acquired by a Protected Purchaser, the Owner Trustee on behalf of the Issuer shall execute and the Certificate Registrar shall, upon direction from the Depositor, authenticate and deliver, in exchange for or in lieu of any such mutilated, destroyed, lost or stolen Certificate, a new Certificate of like tenor and denomination. In connection with the issuance of any new Certificate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635635</wp:posOffset>
            </wp:positionV>
            <wp:extent cx="6732905" cy="406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80" w:top="1440" w:right="700" w:bottom="1440" w:gutter="0" w:footer="0" w:header="0"/>
        </w:sectPr>
      </w:pPr>
    </w:p>
    <w:bookmarkStart w:id="394" w:name="page395"/>
    <w:bookmarkEnd w:id="394"/>
    <w:p>
      <w:pPr>
        <w:spacing w:after="0" w:line="200" w:lineRule="exact"/>
        <w:rPr>
          <w:sz w:val="20"/>
          <w:szCs w:val="20"/>
          <w:color w:val="auto"/>
        </w:rPr>
      </w:pPr>
    </w:p>
    <w:p>
      <w:pPr>
        <w:spacing w:after="0" w:line="26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9"/>
          <w:szCs w:val="19"/>
          <w:color w:val="auto"/>
        </w:rPr>
        <w:t>under this Section, the Owner Trustee or the Certificate Registrar may require the payment of a sum sufficient to cover any tax or other governmental charge that may be imposed in connection therewith. Any replacement Certificate issued pursuant to this Section shall constitute conclusive evidence of an ownership interest in the Issuer, as if originally issued, whether or not the lost, stolen or destroyed Certificate shall be found at any time.</w:t>
      </w:r>
    </w:p>
    <w:p>
      <w:pPr>
        <w:spacing w:after="0" w:line="150" w:lineRule="exact"/>
        <w:rPr>
          <w:sz w:val="20"/>
          <w:szCs w:val="20"/>
          <w:color w:val="auto"/>
        </w:rPr>
      </w:pPr>
    </w:p>
    <w:p>
      <w:pPr>
        <w:ind w:firstLine="1410"/>
        <w:spacing w:after="0" w:line="256" w:lineRule="auto"/>
        <w:tabs>
          <w:tab w:leader="none" w:pos="1777" w:val="left"/>
        </w:tabs>
        <w:numPr>
          <w:ilvl w:val="0"/>
          <w:numId w:val="3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after delivery of a replacement Certificate or payment of a destroyed, lost or stolen Certificate pursuant to clause (a), a Protected Purchaser of the original Certificate in lieu of which such replacement Certificate was issued presents for payment such original Certificate, the Issuer shall be entitled to recover such replacement Certificate (or such payment) from the Person to whom it was delivered or any Person taking such replacement Certificate from such Person to whom such replacement Certificate was delivered or any assignee of such Person, except a Protected Purchaser, each of the Issuer, Owner Trustee and Certificate Registrar shall be entitled to recover upon the security or indemnity provided therefor to the extent of any loss, damage, cost or expense incurred by the Issuer, the Owner Trustee or the Certificate Registrar in connection therewith.</w:t>
      </w:r>
    </w:p>
    <w:p>
      <w:pPr>
        <w:spacing w:after="0" w:line="157" w:lineRule="exact"/>
        <w:rPr>
          <w:rFonts w:ascii="Times New Roman" w:cs="Times New Roman" w:eastAsia="Times New Roman" w:hAnsi="Times New Roman"/>
          <w:sz w:val="19"/>
          <w:szCs w:val="19"/>
          <w:color w:val="1F3763"/>
        </w:rPr>
      </w:pPr>
    </w:p>
    <w:p>
      <w:pPr>
        <w:jc w:val="both"/>
        <w:ind w:right="140" w:firstLine="1410"/>
        <w:spacing w:after="0" w:line="262" w:lineRule="auto"/>
        <w:tabs>
          <w:tab w:leader="none" w:pos="1765" w:val="left"/>
        </w:tabs>
        <w:numPr>
          <w:ilvl w:val="0"/>
          <w:numId w:val="3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Every replacement Certificate issued pursuant to this Section in replacement of any mutilated, destroyed, lost or stolen Certificate shall constitute an original additional contractual obligation of the Issuer, whether or not the mutilated, destroyed, lost or stolen Certificate shall be at any time enforceable by anyone, and shall be entitled to all the benefits of this Agreement equally and proportionately with any and all other Certificates duly issued hereunder.</w:t>
      </w:r>
    </w:p>
    <w:p>
      <w:pPr>
        <w:spacing w:after="0" w:line="150" w:lineRule="exact"/>
        <w:rPr>
          <w:rFonts w:ascii="Times New Roman" w:cs="Times New Roman" w:eastAsia="Times New Roman" w:hAnsi="Times New Roman"/>
          <w:sz w:val="19"/>
          <w:szCs w:val="19"/>
          <w:color w:val="1F3763"/>
        </w:rPr>
      </w:pPr>
    </w:p>
    <w:p>
      <w:pPr>
        <w:ind w:firstLine="1410"/>
        <w:spacing w:after="0" w:line="259" w:lineRule="auto"/>
        <w:tabs>
          <w:tab w:leader="none" w:pos="1777" w:val="left"/>
        </w:tabs>
        <w:numPr>
          <w:ilvl w:val="0"/>
          <w:numId w:val="3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fullest extent permitted by law, the provisions of this Section 3.5 are exclusive and shall preclude (to the extent lawful) all other rights and remedies with respect to the replacement or payment of mutilated, destroyed, lost or stolen Certificates. Neither the Owner Trustee nor the Certificate Registrar shall have any liability to any Person for with respect to such replacement Certificate issued pursuant to this Section 3.5 or any original Certificate replaced pursuant to this Section 3.5, even if such Certificate is acquired by a Protected Purchaser.</w:t>
      </w:r>
    </w:p>
    <w:p>
      <w:pPr>
        <w:spacing w:after="0" w:line="154" w:lineRule="exact"/>
        <w:rPr>
          <w:sz w:val="20"/>
          <w:szCs w:val="20"/>
          <w:color w:val="auto"/>
        </w:rPr>
      </w:pPr>
    </w:p>
    <w:p>
      <w:pPr>
        <w:ind w:left="1420"/>
        <w:spacing w:after="0"/>
        <w:tabs>
          <w:tab w:leader="none" w:pos="2780" w:val="left"/>
        </w:tabs>
        <w:rPr>
          <w:sz w:val="20"/>
          <w:szCs w:val="20"/>
          <w:color w:val="auto"/>
        </w:rPr>
      </w:pPr>
      <w:r>
        <w:rPr>
          <w:rFonts w:ascii="Times New Roman" w:cs="Times New Roman" w:eastAsia="Times New Roman" w:hAnsi="Times New Roman"/>
          <w:sz w:val="19"/>
          <w:szCs w:val="19"/>
          <w:color w:val="2F5496"/>
        </w:rPr>
        <w:t>SECTION III.6.</w:t>
      </w:r>
      <w:r>
        <w:rPr>
          <w:rFonts w:ascii="Times New Roman" w:cs="Times New Roman" w:eastAsia="Times New Roman" w:hAnsi="Times New Roman"/>
          <w:sz w:val="19"/>
          <w:szCs w:val="19"/>
          <w:color w:val="auto"/>
        </w:rPr>
        <w:tab/>
        <w:t>Persons Deemed Certificateholders.</w:t>
      </w:r>
    </w:p>
    <w:p>
      <w:pPr>
        <w:spacing w:after="0" w:line="202" w:lineRule="exact"/>
        <w:rPr>
          <w:sz w:val="20"/>
          <w:szCs w:val="20"/>
          <w:color w:val="auto"/>
        </w:rPr>
      </w:pPr>
    </w:p>
    <w:p>
      <w:pPr>
        <w:ind w:right="100" w:firstLine="1410"/>
        <w:spacing w:after="0" w:line="254" w:lineRule="auto"/>
        <w:tabs>
          <w:tab w:leader="none" w:pos="1765" w:val="left"/>
        </w:tabs>
        <w:numPr>
          <w:ilvl w:val="0"/>
          <w:numId w:val="32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Every Person by virtue of becoming a Certificateholder or Certificate Owner in accordance with this Agreement shall be deemed to be bound by the terms of this Agreement. Prior to due presentation of the Certificates for registration of transfer, the Owner Trustee and the Certificate Registrar and any agent of the Owner Trustee and the Certificate Registrar, may treat the Person in whose name any Certificate shall be registered in the Certificate Register as the owner of such Certificate for the purpose of receiving distributions pursuant to the Sale and Servicing Agreement and for all other purposes whatsoever, and none of the Owner Trustee or the Certificate Registrar nor any agent of the Owner Trustee or the Certificate Registrar shall be bound by any notice to the contrary.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5" w:name="page396"/>
    <w:bookmarkEnd w:id="395"/>
    <w:p>
      <w:pPr>
        <w:spacing w:after="0" w:line="200" w:lineRule="exact"/>
        <w:rPr>
          <w:sz w:val="20"/>
          <w:szCs w:val="20"/>
          <w:color w:val="auto"/>
        </w:rPr>
      </w:pPr>
    </w:p>
    <w:p>
      <w:pPr>
        <w:spacing w:after="0" w:line="261" w:lineRule="exact"/>
        <w:rPr>
          <w:sz w:val="20"/>
          <w:szCs w:val="20"/>
          <w:color w:val="auto"/>
        </w:rPr>
      </w:pPr>
    </w:p>
    <w:p>
      <w:pPr>
        <w:ind w:left="-20" w:right="100" w:firstLine="1410"/>
        <w:spacing w:after="0" w:line="254" w:lineRule="auto"/>
        <w:tabs>
          <w:tab w:leader="none" w:pos="1757" w:val="left"/>
        </w:tabs>
        <w:numPr>
          <w:ilvl w:val="0"/>
          <w:numId w:val="32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If, under the terms of the Trust Agreement, it is necessary to determine whether any Person is a Certificateholder or Certificate Owner, the Certificate Registrar will be required to make such determination based on a certificate of such Person which will specify, in reasonable detail satisfactory to the Certificate Registrar, the nominal principal amount and Percentage Interests of the Book-Entry Certificate beneficially owned, the value of such Person's interest in such Book-Entry Certificate and any intermediaries through which such Person's interest in such Book-Entry Certificate is held;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Certificate Registrar is not to knowingly recognize such Person as a Certificateholder or Certificate Owner if such Person, to the knowledge of a Responsible Officer of the Certificate Registrar, acquired its interest in a Book-Entry Certificate in violation of the transfer requirements set forth in this Agreement, or if such Person's certification that it is a Certificateholder or Certificate Owner is in direct conflict with information obtained by the Certificate Registrar from Clearing Agency and/or the Clearing Agency Participants with respect to the identity of such Certificateholder or Certificate Owner.</w:t>
      </w:r>
    </w:p>
    <w:p>
      <w:pPr>
        <w:spacing w:after="0" w:line="160" w:lineRule="exact"/>
        <w:rPr>
          <w:sz w:val="20"/>
          <w:szCs w:val="20"/>
          <w:color w:val="auto"/>
        </w:rPr>
      </w:pPr>
    </w:p>
    <w:p>
      <w:pPr>
        <w:ind w:left="1400"/>
        <w:spacing w:after="0"/>
        <w:tabs>
          <w:tab w:leader="none" w:pos="2760" w:val="left"/>
        </w:tabs>
        <w:rPr>
          <w:sz w:val="20"/>
          <w:szCs w:val="20"/>
          <w:color w:val="auto"/>
        </w:rPr>
      </w:pPr>
      <w:r>
        <w:rPr>
          <w:rFonts w:ascii="Times New Roman" w:cs="Times New Roman" w:eastAsia="Times New Roman" w:hAnsi="Times New Roman"/>
          <w:sz w:val="19"/>
          <w:szCs w:val="19"/>
          <w:color w:val="2F5496"/>
        </w:rPr>
        <w:t>SECTION III.7.</w:t>
      </w:r>
      <w:r>
        <w:rPr>
          <w:rFonts w:ascii="Times New Roman" w:cs="Times New Roman" w:eastAsia="Times New Roman" w:hAnsi="Times New Roman"/>
          <w:sz w:val="19"/>
          <w:szCs w:val="19"/>
          <w:color w:val="auto"/>
        </w:rPr>
        <w:tab/>
        <w:t>Maintenance of Office or Agency.</w:t>
      </w:r>
    </w:p>
    <w:p>
      <w:pPr>
        <w:spacing w:after="0" w:line="202" w:lineRule="exact"/>
        <w:rPr>
          <w:sz w:val="20"/>
          <w:szCs w:val="20"/>
          <w:color w:val="auto"/>
        </w:rPr>
      </w:pPr>
    </w:p>
    <w:p>
      <w:pPr>
        <w:ind w:left="-20" w:right="120" w:firstLine="1410"/>
        <w:spacing w:after="0" w:line="262" w:lineRule="auto"/>
        <w:tabs>
          <w:tab w:leader="none" w:pos="1745" w:val="left"/>
        </w:tabs>
        <w:numPr>
          <w:ilvl w:val="0"/>
          <w:numId w:val="32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maintain an office or offices or agency or agencies where notices and demands to or upon the Owner Trustee in respect of the Certificates and the Basic Documents may be served. The Owner Trustee initially designates its Corporate Trust Office for such purposes. The Owner Trustee shall give prompt written notice to the Depositor, the Certificate Registrar and the Certificateholders of any change in the location of such office or agency.</w:t>
      </w:r>
    </w:p>
    <w:p>
      <w:pPr>
        <w:spacing w:after="0" w:line="150" w:lineRule="exact"/>
        <w:rPr>
          <w:rFonts w:ascii="Times New Roman" w:cs="Times New Roman" w:eastAsia="Times New Roman" w:hAnsi="Times New Roman"/>
          <w:sz w:val="19"/>
          <w:szCs w:val="19"/>
          <w:color w:val="1F3763"/>
        </w:rPr>
      </w:pPr>
    </w:p>
    <w:p>
      <w:pPr>
        <w:ind w:left="-20" w:right="120" w:firstLine="1410"/>
        <w:spacing w:after="0" w:line="259" w:lineRule="auto"/>
        <w:tabs>
          <w:tab w:leader="none" w:pos="1757" w:val="left"/>
        </w:tabs>
        <w:numPr>
          <w:ilvl w:val="0"/>
          <w:numId w:val="32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 Registrar shall maintain an office or offices or agency or agencies where the Certificates may be surrendered for registration of transfer or exchange and where notices and demands to or upon the Certificate Registrar in respect of the Certificates may be served. The Certificate Registrar designates the Corporate Trust Office of the Certificate Registrar, for such purposes. The Certificate Registrar shall give prompt written notice to the Depositor and the Certificateholders of any change in the location of the Certificate Register or any such office or agency.</w:t>
      </w:r>
    </w:p>
    <w:p>
      <w:pPr>
        <w:spacing w:after="0" w:line="153" w:lineRule="exact"/>
        <w:rPr>
          <w:rFonts w:ascii="Times New Roman" w:cs="Times New Roman" w:eastAsia="Times New Roman" w:hAnsi="Times New Roman"/>
          <w:sz w:val="19"/>
          <w:szCs w:val="19"/>
          <w:color w:val="1F3763"/>
        </w:rPr>
      </w:pPr>
    </w:p>
    <w:p>
      <w:pPr>
        <w:ind w:left="-20" w:right="480" w:firstLine="1410"/>
        <w:spacing w:after="0" w:line="286" w:lineRule="auto"/>
        <w:tabs>
          <w:tab w:leader="none" w:pos="1745" w:val="left"/>
        </w:tabs>
        <w:numPr>
          <w:ilvl w:val="0"/>
          <w:numId w:val="32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 Registrar shall provide the Owner Trustee with a copy of the Certificate Register within two Business Days upon receipt of a written request from the Owner Trustee.</w:t>
      </w:r>
    </w:p>
    <w:p>
      <w:pPr>
        <w:spacing w:after="0" w:line="127" w:lineRule="exact"/>
        <w:rPr>
          <w:sz w:val="20"/>
          <w:szCs w:val="20"/>
          <w:color w:val="auto"/>
        </w:rPr>
      </w:pPr>
    </w:p>
    <w:p>
      <w:pPr>
        <w:ind w:left="1400"/>
        <w:spacing w:after="0"/>
        <w:tabs>
          <w:tab w:leader="none" w:pos="2760" w:val="left"/>
        </w:tabs>
        <w:rPr>
          <w:sz w:val="20"/>
          <w:szCs w:val="20"/>
          <w:color w:val="auto"/>
        </w:rPr>
      </w:pPr>
      <w:r>
        <w:rPr>
          <w:rFonts w:ascii="Times New Roman" w:cs="Times New Roman" w:eastAsia="Times New Roman" w:hAnsi="Times New Roman"/>
          <w:sz w:val="19"/>
          <w:szCs w:val="19"/>
          <w:color w:val="2F5496"/>
        </w:rPr>
        <w:t>SECTION III.8.</w:t>
      </w:r>
      <w:r>
        <w:rPr>
          <w:rFonts w:ascii="Times New Roman" w:cs="Times New Roman" w:eastAsia="Times New Roman" w:hAnsi="Times New Roman"/>
          <w:sz w:val="19"/>
          <w:szCs w:val="19"/>
          <w:color w:val="auto"/>
        </w:rPr>
        <w:tab/>
        <w:t>Book-Entry Certificates.</w:t>
      </w:r>
    </w:p>
    <w:p>
      <w:pPr>
        <w:spacing w:after="0" w:line="202" w:lineRule="exact"/>
        <w:rPr>
          <w:sz w:val="20"/>
          <w:szCs w:val="20"/>
          <w:color w:val="auto"/>
        </w:rPr>
      </w:pPr>
    </w:p>
    <w:p>
      <w:pPr>
        <w:ind w:left="-20" w:firstLine="1410"/>
        <w:spacing w:after="0" w:line="253" w:lineRule="auto"/>
        <w:tabs>
          <w:tab w:leader="none" w:pos="1745" w:val="left"/>
        </w:tabs>
        <w:numPr>
          <w:ilvl w:val="0"/>
          <w:numId w:val="33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Certificate, upon original issuance, will be issued in the form of one or more typewritten Certificates, substantially in the form of Exhibit A hereto, representing the Book-Entry Certificates, to be delivered to the Certificate Registrar, as custodian for the Clearing Agency, by, or on behalf of, the Issuer. The Book-Entry Certificates shall be issued in an aggregate nominal principal amount of $100,000 (which shall be deemed to be the equivalent of 100,000 units), and all beneficial interests in the Book-Entry Certificates shall be owned, in the minimum nominal principal amount of $14,500 and integral multiples of $1 in excess thereof. The Issuer shall not issue any Certificate that would cause the aggregate nominal principal amount of all Certificates to exceed $100,000, or 100,000 units, without the prior written consent of all Certificateholders. The nominal principal amount of each Certificate held by a Certificateholder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635635</wp:posOffset>
            </wp:positionV>
            <wp:extent cx="6732905" cy="40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80" w:top="1440" w:right="700" w:bottom="1440" w:gutter="0" w:footer="0" w:header="0"/>
        </w:sectPr>
      </w:pPr>
    </w:p>
    <w:bookmarkStart w:id="396" w:name="page397"/>
    <w:bookmarkEnd w:id="396"/>
    <w:p>
      <w:pPr>
        <w:spacing w:after="0" w:line="200" w:lineRule="exact"/>
        <w:rPr>
          <w:sz w:val="20"/>
          <w:szCs w:val="20"/>
          <w:color w:val="auto"/>
        </w:rPr>
      </w:pPr>
    </w:p>
    <w:p>
      <w:pPr>
        <w:spacing w:after="0" w:line="26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9"/>
          <w:szCs w:val="19"/>
          <w:color w:val="auto"/>
        </w:rPr>
        <w:t>will be represented by their Percentage Interests in the Certificates. The aggregate Percentage Interests for all Certificates will at all times be 100%. No distributions of moneys to the Certificateholders under the Basic Documents shall be deemed to reduce the nominal principal amount of or Percentage Interests in any Certificate prior to payment in full of all Notes; provided, however, that the final $100,000 distributed to the Certificateholders under the Basic Documents upon final distribution of the Owner Trust Estate and termination of the Issuer will be deemed to repay the aggregate nominal principal amount of the Certificates in full; provided, further, that any failure to pay in full the nominal principal amount of a Certificate on such final distribution date shall not result in any recourse to, claim against or liability of any Person for such shortfall. Any amounts payable to the Certificateholders on or in respect of the Certificates under the Basic Documents shall be paid and allocated to the various Certificateholders ratably based on their respective nominal principal amounts and Percentage Interests. The Book-Entry Certificates shall initially be registered on the Certificate Register in the name of Cede &amp; Co., the nominee of DTC as the initial Clearing Agency, and no Certificate Owner will receive a Definitive Certificate representing such Certificateholder's interest in such Certificate, except as provided in Section 3.10. Unless and until definitive, fully registered Certificates substantially in the form of Exhibit A (the "Definitive Certificates") have been issued to the applicable Certificateholders pursuant to Section 3.10.</w:t>
      </w:r>
    </w:p>
    <w:p>
      <w:pPr>
        <w:spacing w:after="0" w:line="163" w:lineRule="exact"/>
        <w:rPr>
          <w:sz w:val="20"/>
          <w:szCs w:val="20"/>
          <w:color w:val="auto"/>
        </w:rPr>
      </w:pPr>
    </w:p>
    <w:p>
      <w:pPr>
        <w:ind w:left="1640" w:hanging="230"/>
        <w:spacing w:after="0"/>
        <w:tabs>
          <w:tab w:leader="none" w:pos="1640" w:val="left"/>
        </w:tabs>
        <w:numPr>
          <w:ilvl w:val="0"/>
          <w:numId w:val="33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provisions of this Section shall be in full force and effect;</w:t>
      </w:r>
    </w:p>
    <w:p>
      <w:pPr>
        <w:spacing w:after="0" w:line="201" w:lineRule="exact"/>
        <w:rPr>
          <w:rFonts w:ascii="Times New Roman" w:cs="Times New Roman" w:eastAsia="Times New Roman" w:hAnsi="Times New Roman"/>
          <w:sz w:val="19"/>
          <w:szCs w:val="19"/>
          <w:color w:val="2F5496"/>
        </w:rPr>
      </w:pPr>
    </w:p>
    <w:p>
      <w:pPr>
        <w:ind w:right="160" w:firstLine="1410"/>
        <w:spacing w:after="0" w:line="268" w:lineRule="auto"/>
        <w:tabs>
          <w:tab w:leader="none" w:pos="1692" w:val="left"/>
        </w:tabs>
        <w:numPr>
          <w:ilvl w:val="0"/>
          <w:numId w:val="33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Certificate Registrar and the Owner Trustee shall be entitled to deal with the Clearing Agency for all purposes of this Agreement (including the payment of amounts payable under the Basic Documents and the giving of instructions or directions hereunder) as the sole Certificateholder of the Certificates, and shall have no obligations to the Certificate Owners;</w:t>
      </w:r>
    </w:p>
    <w:p>
      <w:pPr>
        <w:spacing w:after="0" w:line="144" w:lineRule="exact"/>
        <w:rPr>
          <w:rFonts w:ascii="Times New Roman" w:cs="Times New Roman" w:eastAsia="Times New Roman" w:hAnsi="Times New Roman"/>
          <w:sz w:val="19"/>
          <w:szCs w:val="19"/>
          <w:color w:val="2F5496"/>
        </w:rPr>
      </w:pPr>
    </w:p>
    <w:p>
      <w:pPr>
        <w:ind w:right="600" w:firstLine="1410"/>
        <w:spacing w:after="0" w:line="286" w:lineRule="auto"/>
        <w:tabs>
          <w:tab w:leader="none" w:pos="1741" w:val="left"/>
        </w:tabs>
        <w:numPr>
          <w:ilvl w:val="0"/>
          <w:numId w:val="33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extent that the provisions of this Section 3.8 conflict with any other provisions of this Agreement, the provisions of this Section shall control;</w:t>
      </w:r>
    </w:p>
    <w:p>
      <w:pPr>
        <w:spacing w:after="0" w:line="127" w:lineRule="exact"/>
        <w:rPr>
          <w:rFonts w:ascii="Times New Roman" w:cs="Times New Roman" w:eastAsia="Times New Roman" w:hAnsi="Times New Roman"/>
          <w:sz w:val="19"/>
          <w:szCs w:val="19"/>
          <w:color w:val="2F5496"/>
        </w:rPr>
      </w:pPr>
    </w:p>
    <w:p>
      <w:pPr>
        <w:ind w:right="100" w:firstLine="1410"/>
        <w:spacing w:after="0" w:line="259" w:lineRule="auto"/>
        <w:tabs>
          <w:tab w:leader="none" w:pos="1729" w:val="left"/>
        </w:tabs>
        <w:numPr>
          <w:ilvl w:val="0"/>
          <w:numId w:val="33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rights of the Certificate Owners shall be exercised only through the Clearing Agency and shall be limited to those established by law and agreements between or among such Certificate Owners and the Clearing Agency and/or the Clearing Agency Participants or Persons acting through Clearing Agency Participants. Unless and until Definitive Certificates are issued pursuant to Section 3.10, the initial Clearing Agency will make book-entry transfers among the Clearing Agency Participants and receive and transmit payments due under the Basic Documents with regard to the Certificates to such Clearing Agency Participants;</w:t>
      </w:r>
    </w:p>
    <w:p>
      <w:pPr>
        <w:spacing w:after="0" w:line="153" w:lineRule="exact"/>
        <w:rPr>
          <w:rFonts w:ascii="Times New Roman" w:cs="Times New Roman" w:eastAsia="Times New Roman" w:hAnsi="Times New Roman"/>
          <w:sz w:val="19"/>
          <w:szCs w:val="19"/>
          <w:color w:val="2F5496"/>
        </w:rPr>
      </w:pPr>
    </w:p>
    <w:p>
      <w:pPr>
        <w:ind w:right="480" w:firstLine="1410"/>
        <w:spacing w:after="0" w:line="258" w:lineRule="auto"/>
        <w:tabs>
          <w:tab w:leader="none" w:pos="1680" w:val="left"/>
        </w:tabs>
        <w:numPr>
          <w:ilvl w:val="0"/>
          <w:numId w:val="33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whenever this Agreement requires or permits actions to be taken based upon instructions or directions of Certificateholders evidencing a specified percentage of the Percentage Interest, the Clearing Agency shall deliver instructions to the Owner Trustee only to the extent that it has received instructions to such effect from Certificate Owners and/or Clearing Agency</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Participants or Persons acting through Clearing Agency Participants owning or representing, respectively, such required percentage of the beneficial interest in the Certificates;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97" w:name="page398"/>
    <w:bookmarkEnd w:id="397"/>
    <w:p>
      <w:pPr>
        <w:spacing w:after="0" w:line="200" w:lineRule="exact"/>
        <w:rPr>
          <w:sz w:val="20"/>
          <w:szCs w:val="20"/>
          <w:color w:val="auto"/>
        </w:rPr>
      </w:pPr>
    </w:p>
    <w:p>
      <w:pPr>
        <w:spacing w:after="0" w:line="261" w:lineRule="exact"/>
        <w:rPr>
          <w:sz w:val="20"/>
          <w:szCs w:val="20"/>
          <w:color w:val="auto"/>
        </w:rPr>
      </w:pPr>
    </w:p>
    <w:p>
      <w:pPr>
        <w:jc w:val="both"/>
        <w:ind w:right="40" w:firstLine="1410"/>
        <w:spacing w:after="0" w:line="286" w:lineRule="auto"/>
        <w:tabs>
          <w:tab w:leader="none" w:pos="1729" w:val="left"/>
        </w:tabs>
        <w:numPr>
          <w:ilvl w:val="0"/>
          <w:numId w:val="3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owners of a beneficial interest in a Book-Entry Certificate will not be entitled to have any portion of a Book-Entry Certificate registered in their names and will not be considered to be the Certificateholders of any Certificates under this Agreement; and</w:t>
      </w:r>
    </w:p>
    <w:p>
      <w:pPr>
        <w:spacing w:after="0" w:line="127" w:lineRule="exact"/>
        <w:rPr>
          <w:rFonts w:ascii="Times New Roman" w:cs="Times New Roman" w:eastAsia="Times New Roman" w:hAnsi="Times New Roman"/>
          <w:sz w:val="19"/>
          <w:szCs w:val="19"/>
          <w:color w:val="2F5496"/>
        </w:rPr>
      </w:pPr>
    </w:p>
    <w:p>
      <w:pPr>
        <w:ind w:right="40" w:firstLine="1410"/>
        <w:spacing w:after="0" w:line="259" w:lineRule="auto"/>
        <w:tabs>
          <w:tab w:leader="none" w:pos="1789" w:val="left"/>
        </w:tabs>
        <w:numPr>
          <w:ilvl w:val="0"/>
          <w:numId w:val="3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payments on a Book-Entry Certificate will be made to the Clearing Agency, or its nominee, as the registered owner thereof, and none of the Issuer, the Owner Trustee, the Indenture Trustee, the Certificate Paying Agent or the Certificate Registrar will have any responsibility or liability for any aspect of the records relating to or payments made on account of beneficial ownership interests in a Book-Entry Certificate or for maintaining, supervising or reviewing any records relating to the beneficial ownership interests or any Certificate Owner.</w:t>
      </w:r>
    </w:p>
    <w:p>
      <w:pPr>
        <w:spacing w:after="0" w:line="154" w:lineRule="exact"/>
        <w:rPr>
          <w:sz w:val="20"/>
          <w:szCs w:val="20"/>
          <w:color w:val="auto"/>
        </w:rPr>
      </w:pPr>
    </w:p>
    <w:p>
      <w:pPr>
        <w:ind w:firstLine="1410"/>
        <w:spacing w:after="0" w:line="259" w:lineRule="auto"/>
        <w:tabs>
          <w:tab w:leader="none" w:pos="1777" w:val="left"/>
        </w:tabs>
        <w:numPr>
          <w:ilvl w:val="0"/>
          <w:numId w:val="33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any provision to the contrary herein, so long as a Book-Entry Certificate remains outstanding and is held by or on behalf of the Clearing Agency, transfers of a Book-Entry Certificate, in whole or in part, shall only be made in accordance with Section 3.8(a). Subject to Section 3.8(a)(i)-(iii), transfers of a Book-Entry Certificate shall be limited to transfers of such Book-Entry Certificate in whole, but not in part, to a nominee of the Clearing Agency or to a successor of the Clearing Agency or such successor's nominee.</w:t>
      </w:r>
    </w:p>
    <w:p>
      <w:pPr>
        <w:spacing w:after="0" w:line="153" w:lineRule="exact"/>
        <w:rPr>
          <w:rFonts w:ascii="Times New Roman" w:cs="Times New Roman" w:eastAsia="Times New Roman" w:hAnsi="Times New Roman"/>
          <w:sz w:val="19"/>
          <w:szCs w:val="19"/>
          <w:color w:val="1F3763"/>
        </w:rPr>
      </w:pPr>
    </w:p>
    <w:p>
      <w:pPr>
        <w:ind w:right="20" w:firstLine="1410"/>
        <w:spacing w:after="0" w:line="268" w:lineRule="auto"/>
        <w:tabs>
          <w:tab w:leader="none" w:pos="1765" w:val="left"/>
        </w:tabs>
        <w:numPr>
          <w:ilvl w:val="0"/>
          <w:numId w:val="33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a Book-Entry Certificate is exchanged for one or more Definitive Certificates pursuant to Section 3.10, such Certificates may be exchanged for one another only in accordance with the provisions of this Agreement and with such procedures as may be from time to time adopted by the Issuer, the Depositor, the Certificate Registrar and the Owner Trustee.</w:t>
      </w:r>
    </w:p>
    <w:p>
      <w:pPr>
        <w:spacing w:after="0" w:line="144"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2F5496"/>
        </w:rPr>
        <w:t xml:space="preserve">SECTION III.9. </w:t>
      </w:r>
      <w:r>
        <w:rPr>
          <w:rFonts w:ascii="Times New Roman" w:cs="Times New Roman" w:eastAsia="Times New Roman" w:hAnsi="Times New Roman"/>
          <w:sz w:val="19"/>
          <w:szCs w:val="19"/>
          <w:color w:val="000000"/>
        </w:rPr>
        <w:t>Notices to Clearing Agency. Whenever a notice or other communication to the Certificateholders 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required to be given by the Owner Trustee or another Person under this Agreement, unless and until Definitive Certificates shall have been issued to Certificate Owners pursuant to Section 3.10, the Owner Trustee or such other Person shall give all such notices and communications specified herein to be given to such Certificateholders to the Clearing Agency, and shall have no obligation to the Certificate Owners.</w:t>
      </w:r>
    </w:p>
    <w:p>
      <w:pPr>
        <w:spacing w:after="0" w:line="154" w:lineRule="exact"/>
        <w:rPr>
          <w:sz w:val="20"/>
          <w:szCs w:val="20"/>
          <w:color w:val="auto"/>
        </w:rPr>
      </w:pPr>
    </w:p>
    <w:p>
      <w:pPr>
        <w:ind w:left="1420"/>
        <w:spacing w:after="0"/>
        <w:tabs>
          <w:tab w:leader="none" w:pos="2880" w:val="left"/>
        </w:tabs>
        <w:rPr>
          <w:sz w:val="20"/>
          <w:szCs w:val="20"/>
          <w:color w:val="auto"/>
        </w:rPr>
      </w:pPr>
      <w:r>
        <w:rPr>
          <w:rFonts w:ascii="Times New Roman" w:cs="Times New Roman" w:eastAsia="Times New Roman" w:hAnsi="Times New Roman"/>
          <w:sz w:val="19"/>
          <w:szCs w:val="19"/>
          <w:color w:val="2F5496"/>
        </w:rPr>
        <w:t>SECTION III.10.</w:t>
      </w:r>
      <w:r>
        <w:rPr>
          <w:rFonts w:ascii="Times New Roman" w:cs="Times New Roman" w:eastAsia="Times New Roman" w:hAnsi="Times New Roman"/>
          <w:sz w:val="19"/>
          <w:szCs w:val="19"/>
          <w:color w:val="auto"/>
        </w:rPr>
        <w:tab/>
        <w:t>Definitive Certificates.</w:t>
      </w:r>
    </w:p>
    <w:p>
      <w:pPr>
        <w:spacing w:after="0" w:line="202" w:lineRule="exact"/>
        <w:rPr>
          <w:sz w:val="20"/>
          <w:szCs w:val="20"/>
          <w:color w:val="auto"/>
        </w:rPr>
      </w:pPr>
    </w:p>
    <w:p>
      <w:pPr>
        <w:ind w:firstLine="1410"/>
        <w:spacing w:after="0" w:line="254" w:lineRule="auto"/>
        <w:tabs>
          <w:tab w:leader="none" w:pos="1765" w:val="left"/>
        </w:tabs>
        <w:numPr>
          <w:ilvl w:val="0"/>
          <w:numId w:val="33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(i) the Depositor advises the Owner Trustee, the Certificate Paying Agent, the Certificate Registrar and Indenture Trustee in writing that the Clearing Agency is no longer willing or able to properly discharge its responsibilities with respect to the Book-Entry Certificates, and the Depositor is unable to locate a qualified successor or (ii) the Depositor at its option advises the Owner Trustee, the Certificate Paying Agent, the Certificate Registrar and Indenture Trustee in writing that it has elected to terminate the book-entry system through the Clearing Agency, then the Depositor shall cause the Clearing Agency to notify all Certificate Owners of Book-Entry Certificates and the Certificate Registrar of the occurrence of any such event and of the availability of Definitive Certificates representing the Certificates to Certificate Owners requesting the same. Upon surrender to the Certificate Registrar of the typewritten Certificate or Certificates representing the Book-Entry Certificates by the Clearing Agency, accompanied by re-registration instructions, the Certificate Registrar shall so notify the Owner Trustee and upon receipt from the Certificate Registrar of Definitive Certificates for execution, the Owner Trustee on behalf of the Issuer shall execute and the Certificate Registrar, upon direction from the Depositor, shall register,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8" w:name="page399"/>
    <w:bookmarkEnd w:id="398"/>
    <w:p>
      <w:pPr>
        <w:spacing w:after="0" w:line="200" w:lineRule="exact"/>
        <w:rPr>
          <w:sz w:val="20"/>
          <w:szCs w:val="20"/>
          <w:color w:val="auto"/>
        </w:rPr>
      </w:pPr>
    </w:p>
    <w:p>
      <w:pPr>
        <w:spacing w:after="0" w:line="2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authenticate and deliver the Definitive Certificates representing the Book-Entry Certificates in accordance with the instructions of the Clearing Agency. None of the Issuer, the Certificate Paying Agent, the Certificate Registrar or the Owner Trustee shall be liable for any delay in delivery of such instructions and may conclusively rely on, and shall be protected in relying on, such instructions. Upon the issuance of Definitive Certificates representing the Book- Entry Certificates, the Certificate Registrar shall update the Certificate Register and the Owner Trustee and the Certificate Registrar shall recognize such holders of the Definitive Certificates as the applicable Certificateholders.</w:t>
      </w:r>
    </w:p>
    <w:p>
      <w:pPr>
        <w:spacing w:after="0" w:line="157" w:lineRule="exact"/>
        <w:rPr>
          <w:sz w:val="20"/>
          <w:szCs w:val="20"/>
          <w:color w:val="auto"/>
        </w:rPr>
      </w:pPr>
    </w:p>
    <w:p>
      <w:pPr>
        <w:jc w:val="both"/>
        <w:ind w:right="200" w:firstLine="1410"/>
        <w:spacing w:after="0" w:line="268" w:lineRule="auto"/>
        <w:tabs>
          <w:tab w:leader="none" w:pos="1777" w:val="left"/>
        </w:tabs>
        <w:numPr>
          <w:ilvl w:val="0"/>
          <w:numId w:val="33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Subject to the transfer restrictions contained herein and in the Certificates any holder of a Definitive Certificate may transfer all or any portion of the nominal principal amount and Percentage Interests evidenced by such Certificate upon surrender thereof to the Certificate Registrar in accordance with Section 3.4.</w:t>
      </w:r>
    </w:p>
    <w:p>
      <w:pPr>
        <w:spacing w:after="0" w:line="144"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3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Definitive Certificates will not be eligible for clearing or settlement through DTC, Euroclear or Clearstream.</w:t>
      </w:r>
    </w:p>
    <w:p>
      <w:pPr>
        <w:spacing w:after="0" w:line="202"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2F5496"/>
        </w:rPr>
        <w:t xml:space="preserve">SECTION III.11. </w:t>
      </w:r>
      <w:r>
        <w:rPr>
          <w:rFonts w:ascii="Times New Roman" w:cs="Times New Roman" w:eastAsia="Times New Roman" w:hAnsi="Times New Roman"/>
          <w:sz w:val="19"/>
          <w:szCs w:val="19"/>
          <w:color w:val="000000"/>
        </w:rPr>
        <w:t>Transfer of the Certificates. The Certificates have not been and will not be registered under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Securities Act or under any state securities or "blue sky" laws and may not be offered or sold except in a transaction that is exempt from or not subject to the registration requirements of the Securities Act and such other laws. Except in the case of the Depositor or any other Person that is considered the same Person as the Depositor for U.S. federal income tax purposes, the Certificates will be offered and sold only to "qualified institutional buyers" within the meaning of Rule 144A under the Securities Act. The Certificates are subject to restrictions on transferability and resale and are intended to be resold only to persons who qualify as "qualified institutional buyers" within the meaning of Rule 144A under the Securities Act. Terms used herein that are defined in Rule 144A under the Securities Act are used herein as defined therein.</w:t>
      </w:r>
    </w:p>
    <w:p>
      <w:pPr>
        <w:spacing w:after="0" w:line="160" w:lineRule="exact"/>
        <w:rPr>
          <w:sz w:val="20"/>
          <w:szCs w:val="20"/>
          <w:color w:val="auto"/>
        </w:rPr>
      </w:pPr>
    </w:p>
    <w:p>
      <w:pPr>
        <w:ind w:right="560" w:firstLine="1404"/>
        <w:spacing w:after="0" w:line="286" w:lineRule="auto"/>
        <w:rPr>
          <w:sz w:val="20"/>
          <w:szCs w:val="20"/>
          <w:color w:val="auto"/>
        </w:rPr>
      </w:pPr>
      <w:r>
        <w:rPr>
          <w:rFonts w:ascii="Times New Roman" w:cs="Times New Roman" w:eastAsia="Times New Roman" w:hAnsi="Times New Roman"/>
          <w:sz w:val="19"/>
          <w:szCs w:val="19"/>
          <w:color w:val="auto"/>
        </w:rPr>
        <w:t>Each Certificateholder and Certificate Owner by accepting a Certificate (or a beneficial interest therein) will be deemed to have acknowledged and agreed as follows:</w:t>
      </w:r>
    </w:p>
    <w:p>
      <w:pPr>
        <w:spacing w:after="0" w:line="127" w:lineRule="exact"/>
        <w:rPr>
          <w:sz w:val="20"/>
          <w:szCs w:val="20"/>
          <w:color w:val="auto"/>
        </w:rPr>
      </w:pPr>
    </w:p>
    <w:p>
      <w:pPr>
        <w:ind w:right="60" w:firstLine="1410"/>
        <w:spacing w:after="0" w:line="256" w:lineRule="auto"/>
        <w:tabs>
          <w:tab w:leader="none" w:pos="1765" w:val="left"/>
        </w:tabs>
        <w:numPr>
          <w:ilvl w:val="0"/>
          <w:numId w:val="3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in the case of the Depositor or any other Person that is considered the same Person as the Depositor for U.S. federal income tax purposes, it (a) is a qualified institutional buyer, or "QIB," as the term is used in Rule 144A under the Securities Act, (b) is aware that the sale to it is being made in reliance on Rule 144A under the Securities Act and (c) is acquiring such Certificate for its own account or for the account of a QIB over which it exercises sole investment discretion.</w:t>
      </w:r>
    </w:p>
    <w:p>
      <w:pPr>
        <w:spacing w:after="0" w:line="2" w:lineRule="exact"/>
        <w:rPr>
          <w:rFonts w:ascii="Times New Roman" w:cs="Times New Roman" w:eastAsia="Times New Roman" w:hAnsi="Times New Roman"/>
          <w:sz w:val="19"/>
          <w:szCs w:val="19"/>
          <w:color w:val="1F3763"/>
        </w:rPr>
      </w:pPr>
    </w:p>
    <w:p>
      <w:pPr>
        <w:jc w:val="both"/>
        <w:ind w:right="100" w:firstLine="1410"/>
        <w:spacing w:after="0" w:line="254" w:lineRule="auto"/>
        <w:tabs>
          <w:tab w:leader="none" w:pos="1777" w:val="left"/>
        </w:tabs>
        <w:numPr>
          <w:ilvl w:val="0"/>
          <w:numId w:val="3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understands that the Certificates are being offered in a transaction not involving any public offering within the meaning of the Securities Act, that the Certificates have not been, and will not be, registered under the Securities Act or under any state securities laws, and that if in the future it decides to offer, resell, pledge or otherwise transfer any of the Certificates, such Certificates may be offered, resold, pledged or otherwise transferred only to QIBs and in accordance with the legends described below.</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99" w:name="page400"/>
    <w:bookmarkEnd w:id="399"/>
    <w:p>
      <w:pPr>
        <w:spacing w:after="0" w:line="269" w:lineRule="exact"/>
        <w:rPr>
          <w:sz w:val="20"/>
          <w:szCs w:val="20"/>
          <w:color w:val="auto"/>
        </w:rPr>
      </w:pPr>
    </w:p>
    <w:p>
      <w:pPr>
        <w:ind w:left="-40" w:right="40" w:firstLine="1410"/>
        <w:spacing w:after="0" w:line="255" w:lineRule="auto"/>
        <w:tabs>
          <w:tab w:leader="none" w:pos="1725" w:val="left"/>
        </w:tabs>
        <w:numPr>
          <w:ilvl w:val="0"/>
          <w:numId w:val="33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acknowledges that none of the Issuer or any Person representing the Issuer has made any representation to it with respect to the Issuer, any Affiliates thereof or the offering or sale of the Certificates, other than information contained in any certificate offering memorandum relating to the offer and sale of the Certificates. It is purchasing the Certificates for its own account, or for one or more investor accounts for which it is acting as a fiduciary or agent, in each case for investment purposes only, and not with a view to, or for offer or resale in connection with, any distribution thereof in violation of the Securities Act or the applicable state securities laws, subject to any requirements of law that the disposition of its property or the property of such investor account be at all times within its or their control and subject to its or their ability to resell such Certificates pursuant to Rule 144A under the Securities Act.</w:t>
      </w:r>
    </w:p>
    <w:p>
      <w:pPr>
        <w:spacing w:after="0" w:line="391" w:lineRule="exact"/>
        <w:rPr>
          <w:rFonts w:ascii="Times New Roman" w:cs="Times New Roman" w:eastAsia="Times New Roman" w:hAnsi="Times New Roman"/>
          <w:sz w:val="19"/>
          <w:szCs w:val="19"/>
          <w:color w:val="1F3763"/>
        </w:rPr>
      </w:pPr>
    </w:p>
    <w:p>
      <w:pPr>
        <w:ind w:left="-40" w:right="840" w:firstLine="1410"/>
        <w:spacing w:after="0" w:line="286" w:lineRule="auto"/>
        <w:tabs>
          <w:tab w:leader="none" w:pos="1737" w:val="left"/>
        </w:tabs>
        <w:numPr>
          <w:ilvl w:val="0"/>
          <w:numId w:val="33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understands that each Certificate will, unless otherwise agreed by the Issuer and the holder thereof in compliance with applicable law, bear a legend substantially to the following effect:</w:t>
      </w:r>
    </w:p>
    <w:p>
      <w:pPr>
        <w:spacing w:after="0" w:line="125"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9"/>
          <w:szCs w:val="19"/>
          <w:b w:val="1"/>
          <w:bCs w:val="1"/>
          <w:color w:val="auto"/>
        </w:rPr>
        <w:t>"THIS CERTIFICATE HAS NOT BEEN REGISTERED UNDER THE SECURITIES ACT OF 1933, AS AMENDED (THE "SECURITIES ACT"), OR ANY STATE SECURITIES LAWS AND MAY NOT BE OFFERED, SOLD, PLEDGED OR OTHERWISE TRANSFERRED EXCEPT (A) TO THE SPONSOR, THE DEPOSITOR OR ANY OF THEIR AFFILIATES, (B) TO A PERSON IT REASONABLY BELIEVES IS A "QUALIFIED INSTITUTIONAL BUYER" AS DEFINED IN RULE 144A UNDER THE SECURITIES ACT ("RULE 144A") THAT PURCHASES FOR ITS OWN ACCOUNT OR FOR THE ACCOUNT OF A QUALIFIED INSTITUTIONAL BUYER TO WHOM NOTICE IS GIVEN THAT THE TRANSFER IS BEING MADE IN RELIANCE ON RULE 144A, OR (C) IN ACCORDANCE WITH ALL APPLICABLE SECURITIES LAWS OF ANY STATE OF THE UNITED STATES AND ANY OTHER APPLICABLE JURISDICTION. EACH PURCHASER WILL BE DEEMED TO HAVE MADE CERTAIN REPRESENTATIONS AND AGREEMENTS SET FORTH IN THE TRUST AGREEMENT. ANY TRANSFER IN VIOLATION OF THE FOREGOING WILL BE OF NO FORCE AND EFFECT, WILL BE VOID AB INITIO, AND WILL NOT OPERATE TO TRANSFER ANY RIGHTS TO THE TRANSFEREE, NOTWITHSTANDING ANY INSTRUCTIONS TO THE CONTRARY TO THE ISSUER, THE OWNER TRUSTEE, OR ANY INTERMEDIARY. IF AT ANY TIME, THE ISSUER DETERMINES OR IS NOTIFIED THAT THE HOLDER OF SUCH CERTIFICATE OR PERCENTAGE INTEREST IN SUCH CERTIFICATE WAS IN BREACH, AT THE TIME GIVEN, OF ANY OF THE REPRESENTATIONS SET FORTH IN THE TRUST AGREEMENT, THE ISSUER, CERTIFICATE REGISTRAR, CERTIFICATE PAYING AGENT AND THE OWNER TRUSTEE MAY CONSIDER THE ACQUISITION OF THIS CERTIFICATE OR SUCH INTEREST IN SUCH CERTIFICATE VOID AND REQUIRE THAT THIS CERTIFICATE OR SUCH INTEREST HEREIN BE TRANSFERRED TO A PERSON DESIGNATED BY THE ISSUER.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649605</wp:posOffset>
            </wp:positionV>
            <wp:extent cx="6732905"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700" w:top="1440" w:right="700" w:bottom="1440" w:gutter="0" w:footer="0" w:header="0"/>
        </w:sectPr>
      </w:pPr>
    </w:p>
    <w:bookmarkStart w:id="400" w:name="page401"/>
    <w:bookmarkEnd w:id="400"/>
    <w:p>
      <w:pPr>
        <w:spacing w:after="0" w:line="26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b w:val="1"/>
          <w:bCs w:val="1"/>
          <w:color w:val="auto"/>
        </w:rPr>
        <w:t>EACH PURCHASER AND TRANSFEREE OF THIS CERTIFICATE (OR ANY INTEREST HEREIN) SHALL BE DEEMED TO REPRESENT AND WARRANT THAT IT IS NOT AND WILL NOT BECOME (1) AN "EMPLOYEE BENEFIT PLAN" (AS DEFINED IN SECTION 3(3) OF THE EMPLOYEE RETIREMENT INCOME SECURITY ACT OF 1974, AS AMENDED ("ERISA")) THAT IS SUBJECT TO TITLE I OF ERISA, (2) A "PLAN" (AS DEFINED IN SECTION 4975(e)(1) OF THE INTERNAL REVENUE CODE OF 1986, AS AMENDED (THE</w:t>
      </w:r>
    </w:p>
    <w:p>
      <w:pPr>
        <w:spacing w:after="0" w:line="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b w:val="1"/>
          <w:bCs w:val="1"/>
          <w:color w:val="auto"/>
        </w:rPr>
        <w:t>"CODE")) THAT IS SUBJECT TO SECTION 4975 OF THE CODE, (3) AN ENTITY WHOSE UNDERLYING ASSETS ARE CONSIDERED TO INCLUDE ASSETS OF AN EMPLOYEE BENEFIT PLAN OR PLAN DESCRIBED IN CLAUSE (1) OR (2) ABOVE (EACH, A "BENEFIT PLAN ENTITY"), (4) AN ENTITY THAT IS SUBJECT TO ANY FEDERAL, STATE, LOCAL OR NON-U.S. LAWS OR REGULATIONS THAT ARE SUBSTANTIALLY SIMILAR TO PART 4 OF TITLE I OF ERISA OR SECTION 4975 OF THE CODE (EACH, A "SIMILAR LAW") OR</w:t>
      </w:r>
    </w:p>
    <w:p>
      <w:pPr>
        <w:spacing w:after="0" w:line="2" w:lineRule="exact"/>
        <w:rPr>
          <w:sz w:val="20"/>
          <w:szCs w:val="20"/>
          <w:color w:val="auto"/>
        </w:rPr>
      </w:pPr>
    </w:p>
    <w:p>
      <w:pPr>
        <w:ind w:right="40" w:firstLine="2"/>
        <w:spacing w:after="0" w:line="252" w:lineRule="auto"/>
        <w:tabs>
          <w:tab w:leader="none" w:pos="272" w:val="left"/>
        </w:tabs>
        <w:numPr>
          <w:ilvl w:val="0"/>
          <w:numId w:val="3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ANY PERSON WHO IS DIRECTLY OR INDIRECTLY PURCHASING, HOLDING OR DISPOSING THIS CERTIFICATE OR ANY INTEREST HEREIN ON BEHALF OF, AS FIDUCIARY OF, AS TRUSTEE OF, OR WITH ASSETS OF, ANY BENEFIT PLAN ENTITY OR ANY ENTITY THAT IS SUBJECT TO ANY SIMILAR LAW. EACH PURCHASER OF THIS CERTIFICATE (OR ANY INTEREST HEREIN) AND EACH PROSPECTIVE CERTIFICATEHOLDER, UPON ACCEPTING THIS CERTIFICATE (OR ANY INTEREST HEREIN), SHALL BE DEEMED TO MAKE ALL OF THE CERTIFICATIONS, REPRESENTATIONS AND WARRANTIES SET FORTH IN THE TRUST AGREEMENT.</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b w:val="1"/>
          <w:bCs w:val="1"/>
          <w:color w:val="auto"/>
        </w:rPr>
        <w:t>EACH PURCHASER OR TRANSFEREE OF THIS CERTIFICATE AGREES THAT NO SALE OR TRANSFER OF A CERTIFICATE SHALL BE PERMITTED (INCLUDING, WITHOUT LIMITATION, BY PLEDGE OR HYPOTHECATION), AND NO SUCH SALE OR TRANSFER SHALL BE REGISTERED AS EFFECTIVE BY THE CERTIFICATE REGISTRAR IF THE SALE OR TRANSFER THEREOF INCREASES TO MORE THAN NINETY-FIVE (95) PERSONS THE TOTAL NUMBER OF BENEFICIAL OWNERS OF THE CLASS E NOTES AND THE CERTIFICATES. FOR PURPOSES OF DETERMINING THE TOTAL NUMBER OF BENEFICIAL OWNERS OF THE CERTIFICATES AND CLASS E NOTES, A BENEFICIAL OWNER OF AN INTEREST IN A PARTNERSHIP, GRANTOR TRUST, S CORPORATION OR OTHER FLOW-THROUGH ENTITY THAT OWNS, DIRECTLY OR THROUGH OTHER FLOW-THROUGH ENTITIES, A CERTIFICATE OR CLASS E NOTE IS TREATED AS A BENEFICIAL OWNER OF SUCH CERTIFICATE OR CLASS E NOTE IF (I) SUBSTANTIALLY ALL OF THE VALUE OF THE BENEFICIAL OWNER'S INTEREST (DIRECTLY OR INDIRECTLY) IN THE FLOW-THROUGH ENTITY IS ATTRIBUTED TO THE FLOW-THROUGH ENTITY'S INTEREST IN THE CERTIFICATE OR CLASS E NOTE AND (II) A PRINCIPAL PURPOSE OF THE USE OF THE FLOW-THROUGH ENTITY TO HOLD THE CERTIFICATE OR CLASS E NOTE IS TO SATISFY THE 95 HOLDER LIMITATION SET OUT ABOVE. EACH PURCHASER OF A BENEFICIAL INTEREST IN A CERTIFICATE AND EACH PROSPECTIVE OWNER OF A BENEFICIAL</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649605</wp:posOffset>
            </wp:positionV>
            <wp:extent cx="6732905"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401" w:name="page402"/>
    <w:bookmarkEnd w:id="401"/>
    <w:p>
      <w:pPr>
        <w:spacing w:after="0" w:line="267" w:lineRule="exact"/>
        <w:rPr>
          <w:sz w:val="20"/>
          <w:szCs w:val="20"/>
          <w:color w:val="auto"/>
        </w:rPr>
      </w:pPr>
    </w:p>
    <w:p>
      <w:pPr>
        <w:ind w:left="700" w:right="240"/>
        <w:spacing w:after="0" w:line="269" w:lineRule="auto"/>
        <w:rPr>
          <w:sz w:val="20"/>
          <w:szCs w:val="20"/>
          <w:color w:val="auto"/>
        </w:rPr>
      </w:pPr>
      <w:r>
        <w:rPr>
          <w:rFonts w:ascii="Times New Roman" w:cs="Times New Roman" w:eastAsia="Times New Roman" w:hAnsi="Times New Roman"/>
          <w:sz w:val="19"/>
          <w:szCs w:val="19"/>
          <w:b w:val="1"/>
          <w:bCs w:val="1"/>
          <w:color w:val="auto"/>
        </w:rPr>
        <w:t>INTEREST IN A CERTIFICATE, UPON ACCEPTING A BENEFICIAL INTEREST IN A CERTIFICATE, SHALL BE DEEMED TO MAKE ALL OF THE CERTIFICATIONS, REPRESENTATIONS AND WARRANTIES SET FORTH IN THE TRUST AGREEMENT.</w:t>
      </w:r>
    </w:p>
    <w:p>
      <w:pPr>
        <w:spacing w:after="0" w:line="142" w:lineRule="exact"/>
        <w:rPr>
          <w:sz w:val="20"/>
          <w:szCs w:val="20"/>
          <w:color w:val="auto"/>
        </w:rPr>
      </w:pPr>
    </w:p>
    <w:p>
      <w:pPr>
        <w:ind w:left="700" w:right="200"/>
        <w:spacing w:after="0" w:line="263" w:lineRule="auto"/>
        <w:rPr>
          <w:sz w:val="20"/>
          <w:szCs w:val="20"/>
          <w:color w:val="auto"/>
        </w:rPr>
      </w:pPr>
      <w:r>
        <w:rPr>
          <w:rFonts w:ascii="Times New Roman" w:cs="Times New Roman" w:eastAsia="Times New Roman" w:hAnsi="Times New Roman"/>
          <w:sz w:val="19"/>
          <w:szCs w:val="19"/>
          <w:b w:val="1"/>
          <w:bCs w:val="1"/>
          <w:color w:val="auto"/>
        </w:rPr>
        <w:t>EACH PURCHASER OR TRANSFEREE OF THIS CERTIFICATE REPRESENTS TO THE ISSUER, CERTIFICATE REGISTRAR, CERTIFICATE PAYING AGENT AND OWNER TRUSTEE BY ACCEPTANCE OF THIS CERTIFICATE OR BENEFICIAL INTEREST THEREIN THAT IT IS NOT AND WILL NOT BECOME SUBJECT TO ANY WITHHOLDING UNDER FATCA."</w:t>
      </w:r>
    </w:p>
    <w:p>
      <w:pPr>
        <w:spacing w:after="0" w:line="149" w:lineRule="exact"/>
        <w:rPr>
          <w:sz w:val="20"/>
          <w:szCs w:val="20"/>
          <w:color w:val="auto"/>
        </w:rPr>
      </w:pPr>
    </w:p>
    <w:p>
      <w:pPr>
        <w:ind w:firstLine="1410"/>
        <w:spacing w:after="0" w:line="256" w:lineRule="auto"/>
        <w:tabs>
          <w:tab w:leader="none" w:pos="1765" w:val="left"/>
        </w:tabs>
        <w:numPr>
          <w:ilvl w:val="0"/>
          <w:numId w:val="3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is not and will not become (i) an "employee benefit plan" (as defined in Section 3(3) of ERISA) that is subject to Title I of ERISA, (ii) a "plan" (as defined in Section 4975(e)(1) of the Code) that is subject to Section 4975 of the Code, (iii) an entity whose underlying assets are considered to include assets of an employee benefit plan or plan described in clause (i) or (ii) above (each, a "Benefit Plan Entity"), (iv) an entity that is subject to any federal, state, local or non-U.S. laws or regulations that are substantially similar to Part 4 of Title I of ERISA or Section 4975 of the Code (each, a "Similar Law") or (v) any person who is directly or indirectly purchasing, holding or disposing the Certificates or any interest therein on behalf of, as fiduciary of, as trustee of, or with assets of, any Benefit Plan Entity or any entity that is subject to any Similar Law.</w:t>
      </w:r>
    </w:p>
    <w:p>
      <w:pPr>
        <w:spacing w:after="0" w:line="157" w:lineRule="exact"/>
        <w:rPr>
          <w:sz w:val="20"/>
          <w:szCs w:val="20"/>
          <w:color w:val="auto"/>
        </w:rPr>
      </w:pPr>
    </w:p>
    <w:p>
      <w:pPr>
        <w:jc w:val="both"/>
        <w:ind w:right="200"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III.12. </w:t>
      </w:r>
      <w:r>
        <w:rPr>
          <w:rFonts w:ascii="Times New Roman" w:cs="Times New Roman" w:eastAsia="Times New Roman" w:hAnsi="Times New Roman"/>
          <w:sz w:val="19"/>
          <w:szCs w:val="19"/>
          <w:color w:val="000000"/>
        </w:rPr>
        <w:t>Rule 144A Information. In order to preserve the exemption for resales and other transfers of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Certificates under Rule 144A under the Securities Act, the Issuer shall cause the Depositor to provide to each Certificateholder and any prospective purchaser or transferee designated by a Certificateholder, upon request of the Certificateholder or prospective purchaser or transferee, the information required by Rule 144A to enable resales of such Certificates to be made pursuant to Rule 144A.</w:t>
      </w:r>
    </w:p>
    <w:p>
      <w:pPr>
        <w:spacing w:after="0" w:line="150"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2F5496"/>
        </w:rPr>
        <w:t xml:space="preserve">SECTION III.13. </w:t>
      </w:r>
      <w:r>
        <w:rPr>
          <w:rFonts w:ascii="Times New Roman" w:cs="Times New Roman" w:eastAsia="Times New Roman" w:hAnsi="Times New Roman"/>
          <w:sz w:val="19"/>
          <w:szCs w:val="19"/>
          <w:color w:val="000000"/>
        </w:rPr>
        <w:t>Transfer Certifications. Each prospective Certificateholder, including each prospective owner of a</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beneficial interest in a Certificate, shall, upon accepting a beneficial interest in a Certificate, be deemed to make all of the following certifications, representations and warranties:</w:t>
      </w:r>
    </w:p>
    <w:p>
      <w:pPr>
        <w:spacing w:after="0" w:line="144" w:lineRule="exact"/>
        <w:rPr>
          <w:sz w:val="20"/>
          <w:szCs w:val="20"/>
          <w:color w:val="auto"/>
        </w:rPr>
      </w:pPr>
    </w:p>
    <w:p>
      <w:pPr>
        <w:ind w:right="40" w:firstLine="1410"/>
        <w:spacing w:after="0" w:line="255" w:lineRule="auto"/>
        <w:tabs>
          <w:tab w:leader="none" w:pos="1765" w:val="left"/>
        </w:tabs>
        <w:numPr>
          <w:ilvl w:val="0"/>
          <w:numId w:val="3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Either (a) it is not and will not become for U.S. federal income tax purposes a partnership, Subchapter S corporation or grantor trust for federal income tax purposes (each such entity a "flow-through entity") or (b) if it is or becomes a flow-through entity, then (I) none of the direct or indirect beneficial owners of any of the interests in such flow-through entity has or ever will have more than 50% of the value of its interest in such flow-through entity attributable to the beneficial interest of such flow-through entity in the Certificates, other interest (direct or indirect) in the Issuer, or any interest created under the Trust Agreement and (II) it is not and will not be a principal purpose of the arrangement involving the flow-through entity's beneficial interest in any Certificate to permit any partnership to satisfy the 100-partner limitation of Section 1.7704-1(h)(1)(ii) of the Treasury Regulations necessary for such partnership not to be classified as a publicly traded partnership under the Code.</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02" w:name="page403"/>
    <w:bookmarkEnd w:id="402"/>
    <w:p>
      <w:pPr>
        <w:spacing w:after="0" w:line="269" w:lineRule="exact"/>
        <w:rPr>
          <w:sz w:val="20"/>
          <w:szCs w:val="20"/>
          <w:color w:val="auto"/>
        </w:rPr>
      </w:pPr>
    </w:p>
    <w:p>
      <w:pPr>
        <w:ind w:firstLine="1410"/>
        <w:spacing w:after="0" w:line="260" w:lineRule="auto"/>
        <w:tabs>
          <w:tab w:leader="none" w:pos="1777" w:val="left"/>
        </w:tabs>
        <w:numPr>
          <w:ilvl w:val="1"/>
          <w:numId w:val="3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is not acquiring any beneficial interest in a Certificate, and it will not sell, transfer, assign, participate, or otherwise dispose of any beneficial interest in a Certificate, and it will not cause any beneficial interest in a Certificate, to be marketed, in each case on or through an "established securities market" or a "secondary market (or the substantial equivalent thereof)" each within the meaning of Section 7704(b) of the Code, including an interdealer quotation system that regularly disseminates firm buy or sell quotations.</w:t>
      </w:r>
    </w:p>
    <w:p>
      <w:pPr>
        <w:spacing w:after="0" w:line="385" w:lineRule="exact"/>
        <w:rPr>
          <w:rFonts w:ascii="Times New Roman" w:cs="Times New Roman" w:eastAsia="Times New Roman" w:hAnsi="Times New Roman"/>
          <w:sz w:val="19"/>
          <w:szCs w:val="19"/>
          <w:color w:val="1F3763"/>
        </w:rPr>
      </w:pPr>
    </w:p>
    <w:p>
      <w:pPr>
        <w:ind w:right="100" w:firstLine="1410"/>
        <w:spacing w:after="0" w:line="255" w:lineRule="auto"/>
        <w:tabs>
          <w:tab w:leader="none" w:pos="1765" w:val="left"/>
        </w:tabs>
        <w:numPr>
          <w:ilvl w:val="1"/>
          <w:numId w:val="3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Its beneficial interest in the Certificate is not and will not be in an amount that is less than the minimum nominal principal amount for the Certificates set forth in the Trust Agreement, and it does not and will not hold any beneficial interest in the Certificate on behalf of any Person whose beneficial interest in the Certificates is in an amount that is less than the minimum nominal principal amount for the Certificate set forth in the Trust Agreement. It will not sell, transfer, assign, participate, or otherwise dispose of any beneficial interest in a Certificate or enter into any financial instrument or contract the value of which is determined by reference in whole or in part to any Certificate, in each case if the effect of doing so would be that the beneficial interest of any Person in the Certificate would be in an amount that is less than the minimum nominal principal amount for the Certificate set forth in the Trust Agreement.</w:t>
      </w:r>
    </w:p>
    <w:p>
      <w:pPr>
        <w:spacing w:after="0" w:line="159" w:lineRule="exact"/>
        <w:rPr>
          <w:rFonts w:ascii="Times New Roman" w:cs="Times New Roman" w:eastAsia="Times New Roman" w:hAnsi="Times New Roman"/>
          <w:sz w:val="19"/>
          <w:szCs w:val="19"/>
          <w:color w:val="1F3763"/>
        </w:rPr>
      </w:pPr>
    </w:p>
    <w:p>
      <w:pPr>
        <w:jc w:val="both"/>
        <w:ind w:right="100" w:firstLine="1410"/>
        <w:spacing w:after="0" w:line="262" w:lineRule="auto"/>
        <w:tabs>
          <w:tab w:leader="none" w:pos="1777" w:val="left"/>
        </w:tabs>
        <w:numPr>
          <w:ilvl w:val="1"/>
          <w:numId w:val="3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will not use any Certificate as collateral for the issuance of any securities that could cause the Issuer to become subject to taxation as a corporation, publicly traded partnership taxable as a corporation or association taxable as a corporation, each for U.S. federal income tax purposes, provided that it may engage in any repurchase transaction (repo) the subject matter of which is a Certificate, provided the terms of such repurchase transaction are generally consistent with prevailing market practice.</w:t>
      </w:r>
    </w:p>
    <w:p>
      <w:pPr>
        <w:spacing w:after="0" w:line="150" w:lineRule="exact"/>
        <w:rPr>
          <w:rFonts w:ascii="Times New Roman" w:cs="Times New Roman" w:eastAsia="Times New Roman" w:hAnsi="Times New Roman"/>
          <w:sz w:val="19"/>
          <w:szCs w:val="19"/>
          <w:color w:val="1F3763"/>
        </w:rPr>
      </w:pPr>
    </w:p>
    <w:p>
      <w:pPr>
        <w:ind w:right="240" w:firstLine="1410"/>
        <w:spacing w:after="0" w:line="286" w:lineRule="auto"/>
        <w:tabs>
          <w:tab w:leader="none" w:pos="1765" w:val="left"/>
        </w:tabs>
        <w:numPr>
          <w:ilvl w:val="1"/>
          <w:numId w:val="3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will not take any action and will not allow any other action that could cause the Issuer to become taxable as a corporation for U.S. federal income tax purposes.</w:t>
      </w:r>
    </w:p>
    <w:p>
      <w:pPr>
        <w:spacing w:after="0" w:line="127" w:lineRule="exact"/>
        <w:rPr>
          <w:rFonts w:ascii="Times New Roman" w:cs="Times New Roman" w:eastAsia="Times New Roman" w:hAnsi="Times New Roman"/>
          <w:sz w:val="19"/>
          <w:szCs w:val="19"/>
          <w:color w:val="1F3763"/>
        </w:rPr>
      </w:pPr>
    </w:p>
    <w:p>
      <w:pPr>
        <w:ind w:right="40" w:firstLine="1410"/>
        <w:spacing w:after="0" w:line="268" w:lineRule="auto"/>
        <w:tabs>
          <w:tab w:leader="none" w:pos="1741" w:val="left"/>
        </w:tabs>
        <w:numPr>
          <w:ilvl w:val="1"/>
          <w:numId w:val="3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is not and will not become (i) a Benefit Plan Entity, (ii) an entity that is subject to any Similar Law or (iii) any Person who is directly or indirectly purchasing, holding or disposing such Certificate or any interest thereon on behalf of, as fiduciary of, as trustee of, or with assets of, any Benefit Plan Entity or any entity that is subject to any Similar Law.</w:t>
      </w:r>
    </w:p>
    <w:p>
      <w:pPr>
        <w:spacing w:after="0" w:line="144" w:lineRule="exact"/>
        <w:rPr>
          <w:rFonts w:ascii="Times New Roman" w:cs="Times New Roman" w:eastAsia="Times New Roman" w:hAnsi="Times New Roman"/>
          <w:sz w:val="19"/>
          <w:szCs w:val="19"/>
          <w:color w:val="1F3763"/>
        </w:rPr>
      </w:pPr>
    </w:p>
    <w:p>
      <w:pPr>
        <w:ind w:right="20" w:firstLine="1410"/>
        <w:spacing w:after="0" w:line="253" w:lineRule="auto"/>
        <w:tabs>
          <w:tab w:leader="none" w:pos="1777" w:val="left"/>
        </w:tabs>
        <w:numPr>
          <w:ilvl w:val="1"/>
          <w:numId w:val="3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agrees that no sale or transfer of a Certificate shall be permitted (including, without limitation, by pledge or hypothecation), and no such sale or transfer shall be registered as effective by the Certificate Registrar if the sale or transfer thereof increases to more than ninety-five (95) Persons the total number of beneficial owners of Certificates and Class E Notes. For purposes of determining the total number of beneficial owners of Certificates and Class E Notes, a beneficial owner of an interest in a partnership, grantor trust, S corporation or other flow-through entity that owns, directly or through other flow-through entities, a Certificate or Class E Note is treated as a beneficial owner of such note or equity interest if (i) substantially all of the value of the beneficial owner's interest (directly or indirectly) in the flow-through entity is attributed to the flow-through entity's interest in such Certificate or Class E Note, and</w:t>
      </w:r>
    </w:p>
    <w:p>
      <w:pPr>
        <w:spacing w:after="0" w:line="6" w:lineRule="exact"/>
        <w:rPr>
          <w:rFonts w:ascii="Times New Roman" w:cs="Times New Roman" w:eastAsia="Times New Roman" w:hAnsi="Times New Roman"/>
          <w:sz w:val="19"/>
          <w:szCs w:val="19"/>
          <w:color w:val="1F3763"/>
        </w:rPr>
      </w:pPr>
    </w:p>
    <w:p>
      <w:pPr>
        <w:ind w:right="80" w:firstLine="6"/>
        <w:spacing w:after="0" w:line="256" w:lineRule="auto"/>
        <w:tabs>
          <w:tab w:leader="none" w:pos="282" w:val="left"/>
        </w:tabs>
        <w:numPr>
          <w:ilvl w:val="0"/>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principal purpose of the use of the flow-through entity to hold such Certificate or Class E Note is to satisfy the 95-holder limitation set out above. If using a flow-through entity to acquire a beneficial interest in a Certificate, each prospective beneficial owner of a Certificate represents that it is not using a flow-through entity in order to avoid the 95-holder limitation set out above.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3" w:name="page404"/>
    <w:bookmarkEnd w:id="403"/>
    <w:p>
      <w:pPr>
        <w:spacing w:after="0" w:line="269" w:lineRule="exact"/>
        <w:rPr>
          <w:sz w:val="20"/>
          <w:szCs w:val="20"/>
          <w:color w:val="auto"/>
        </w:rPr>
      </w:pPr>
    </w:p>
    <w:p>
      <w:pPr>
        <w:ind w:firstLine="1410"/>
        <w:spacing w:after="0" w:line="262" w:lineRule="auto"/>
        <w:tabs>
          <w:tab w:leader="none" w:pos="1777" w:val="left"/>
        </w:tabs>
        <w:numPr>
          <w:ilvl w:val="0"/>
          <w:numId w:val="34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agrees that if any member of the transferee’s expanded group as defined in Treasury Regulation Section 1.385-1(c)(4) (including through a controlled partnership as defined in Treasury Regulation Section 1.385-1(c)(1)), is or will become the beneficial owner of a Note, the Depositor is authorized, at its discretion, to compel such Certificateholder to sell its Certificate to a Person whose ownership complies with this paragraph so long as such sale does not otherwise cause a material adverse effect on the Issuer.</w:t>
      </w:r>
    </w:p>
    <w:p>
      <w:pPr>
        <w:spacing w:after="0" w:line="150" w:lineRule="exact"/>
        <w:rPr>
          <w:rFonts w:ascii="Times New Roman" w:cs="Times New Roman" w:eastAsia="Times New Roman" w:hAnsi="Times New Roman"/>
          <w:sz w:val="19"/>
          <w:szCs w:val="19"/>
          <w:color w:val="1F3763"/>
        </w:rPr>
      </w:pPr>
    </w:p>
    <w:p>
      <w:pPr>
        <w:ind w:right="100" w:firstLine="1410"/>
        <w:spacing w:after="0" w:line="262" w:lineRule="auto"/>
        <w:tabs>
          <w:tab w:leader="none" w:pos="1729" w:val="left"/>
        </w:tabs>
        <w:numPr>
          <w:ilvl w:val="0"/>
          <w:numId w:val="34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 Registrar shall require that every Certificate presented or surrendered for registration of transfer or exchange shall be accompanied by a written instrument of transfer and accompanied by IRS Form W-9, W-8BEN, W-8BEN-E, or W-8ECI (or successor forms), or such other form as may be reasonably required, in form satisfactory to the Certificate Registrar, duly executed by the Certificateholder or such Person's attorney in writing.</w:t>
      </w:r>
    </w:p>
    <w:p>
      <w:pPr>
        <w:spacing w:after="0" w:line="150" w:lineRule="exact"/>
        <w:rPr>
          <w:sz w:val="20"/>
          <w:szCs w:val="20"/>
          <w:color w:val="auto"/>
        </w:rPr>
      </w:pPr>
    </w:p>
    <w:p>
      <w:pPr>
        <w:ind w:right="100" w:firstLine="1404"/>
        <w:spacing w:after="0" w:line="257" w:lineRule="auto"/>
        <w:rPr>
          <w:sz w:val="20"/>
          <w:szCs w:val="20"/>
          <w:color w:val="auto"/>
        </w:rPr>
      </w:pPr>
      <w:r>
        <w:rPr>
          <w:rFonts w:ascii="Times New Roman" w:cs="Times New Roman" w:eastAsia="Times New Roman" w:hAnsi="Times New Roman"/>
          <w:sz w:val="19"/>
          <w:szCs w:val="19"/>
          <w:color w:val="2F5496"/>
        </w:rPr>
        <w:t xml:space="preserve">SECTION III.14. </w:t>
      </w:r>
      <w:r>
        <w:rPr>
          <w:rFonts w:ascii="Times New Roman" w:cs="Times New Roman" w:eastAsia="Times New Roman" w:hAnsi="Times New Roman"/>
          <w:sz w:val="19"/>
          <w:szCs w:val="19"/>
          <w:color w:val="000000"/>
        </w:rPr>
        <w:t>ERISA Restrictions . The Certificates (and interests therein) may not be acquired by or for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account of (a) a Benefit Plan Entity, (b) an entity that is subject to any Similar Law or (c) any person who is directly or indirectly purchasing, holding or disposing such Certificates or any interest therein on behalf of, as fiduciary of, as trustee of, or with assets of, any Benefit Plan Entity or any entity that is subject to any Similar Law. By accepting and holding a Certificate (or any interest therein), the Holder thereof shall be deemed to have represented and warranted that it is not and will not become a Benefit Plan Entity or any entity that is subject to any Similar Law.</w:t>
      </w:r>
    </w:p>
    <w:p>
      <w:pPr>
        <w:spacing w:after="0" w:line="157" w:lineRule="exact"/>
        <w:rPr>
          <w:sz w:val="20"/>
          <w:szCs w:val="20"/>
          <w:color w:val="auto"/>
        </w:rPr>
      </w:pPr>
    </w:p>
    <w:p>
      <w:pPr>
        <w:ind w:right="40" w:firstLine="1404"/>
        <w:spacing w:after="0" w:line="252" w:lineRule="auto"/>
        <w:rPr>
          <w:sz w:val="20"/>
          <w:szCs w:val="20"/>
          <w:color w:val="auto"/>
        </w:rPr>
      </w:pPr>
      <w:r>
        <w:rPr>
          <w:rFonts w:ascii="Times New Roman" w:cs="Times New Roman" w:eastAsia="Times New Roman" w:hAnsi="Times New Roman"/>
          <w:sz w:val="19"/>
          <w:szCs w:val="19"/>
          <w:color w:val="2F5496"/>
        </w:rPr>
        <w:t xml:space="preserve">SECTION III.15. </w:t>
      </w:r>
      <w:r>
        <w:rPr>
          <w:rFonts w:ascii="Times New Roman" w:cs="Times New Roman" w:eastAsia="Times New Roman" w:hAnsi="Times New Roman"/>
          <w:sz w:val="19"/>
          <w:szCs w:val="19"/>
          <w:color w:val="000000"/>
        </w:rPr>
        <w:t>Appointment of Certificate Paying Agent. The Certificate Paying Agent shall make distributions to</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Certificateholders from the Certificate Distribution Account pursuant to Article XI. Any Certificate Paying Agent shall have the revocable power to withdraw funds from the Certificate Distribution Account for the purpose of making the distributions referred to above. The Depositor or the Majority Certificateholders may revoke such power and remove the Certificate Paying Agent if the Depositor or the Majority Certificateholders determines, in its or their sole discretion, as the case may be, that the Certificate Paying Agent shall have failed to perform its obligations under this Agreement in any material respect. Computershare Trust Company, N.A. is hereby appointed as the initial Certificate Paying Agent and Computershare Trust Company, N.A. accepts such appointment. Computershare Trust Company, N.A. shall be permitted to resign as Certificate Paying Agent upon 30 days' written notice to the Owner Trustee and the Depositor. In the event that Computershare Trust Company, N.A. shall no longer be the Certificate Paying Agent, the Depositor, with the consent of the Owner Trustee, shall appoint a successor to act as Certificate Paying Agent (which shall be a bank or trust company). The Owner Trustee shall cause such successor Certificate Paying Agent or any additional Certificate Paying Agent appointed hereunder to execute and deliver to the Owner Trustee an instrument in which such successor Certificate Paying Agent or additional Certificate Paying Agent shall agree with the Owner Trustee that, as Certificate Paying Agent, such successor Certificate Paying Agent or additional Certificate Paying Agent will hold all sums, if any, held by it for payment to the Certificateholders in trust for the benefit of the Certificateholders entitled thereto until such sums shall be paid to such Certificateholders. The Certificate Paying Agent shall return all unclaimed funds to the Owner Trustee and upon removal of a Certificate Paying Agent such Certificate Paying Agent shall also return all funds in its possession to the Owner Trustee. The provisions of Articles VI and VII shall apply to the Certificate Paying Agent and any successor Certificate Paying Agent and, to the extent applicable, to any other paying agent appointed</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04" w:name="page405"/>
    <w:bookmarkEnd w:id="404"/>
    <w:p>
      <w:pPr>
        <w:spacing w:after="0" w:line="200" w:lineRule="exact"/>
        <w:rPr>
          <w:sz w:val="20"/>
          <w:szCs w:val="20"/>
          <w:color w:val="auto"/>
        </w:rPr>
      </w:pPr>
    </w:p>
    <w:p>
      <w:pPr>
        <w:spacing w:after="0" w:line="261"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9"/>
          <w:szCs w:val="19"/>
          <w:color w:val="auto"/>
        </w:rPr>
        <w:t>hereunder. Any reference in this Agreement to the Certificate Paying Agent shall include any co -paying agent unless the context requires otherwise. The appointment of the Certificate Paying Agent hereunder shall survive the termination and discharge of the Indenture.</w:t>
      </w:r>
    </w:p>
    <w:p>
      <w:pPr>
        <w:spacing w:after="0" w:line="1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2F5496"/>
        </w:rPr>
        <w:t>ARTICLE IV.</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VOTING RIGHTS AND OTHER ACTIONS</w:t>
      </w:r>
    </w:p>
    <w:p>
      <w:pPr>
        <w:spacing w:after="0" w:line="204" w:lineRule="exact"/>
        <w:rPr>
          <w:sz w:val="20"/>
          <w:szCs w:val="20"/>
          <w:color w:val="auto"/>
        </w:rPr>
      </w:pPr>
    </w:p>
    <w:p>
      <w:pPr>
        <w:ind w:right="60" w:firstLine="1404"/>
        <w:spacing w:after="0" w:line="238" w:lineRule="auto"/>
        <w:rPr>
          <w:sz w:val="20"/>
          <w:szCs w:val="20"/>
          <w:color w:val="auto"/>
        </w:rPr>
      </w:pPr>
      <w:r>
        <w:rPr>
          <w:rFonts w:ascii="Times New Roman" w:cs="Times New Roman" w:eastAsia="Times New Roman" w:hAnsi="Times New Roman"/>
          <w:sz w:val="19"/>
          <w:szCs w:val="19"/>
          <w:color w:val="2F5496"/>
        </w:rPr>
        <w:t xml:space="preserve">SECTION IV.1. </w:t>
      </w:r>
      <w:r>
        <w:rPr>
          <w:rFonts w:ascii="Times New Roman" w:cs="Times New Roman" w:eastAsia="Times New Roman" w:hAnsi="Times New Roman"/>
          <w:sz w:val="19"/>
          <w:szCs w:val="19"/>
          <w:color w:val="000000"/>
        </w:rPr>
        <w:t>Prior Notice to Holders with Respect to Certain Matters. With respect to the following matters,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unless otherwise waived by all Certificateholders (notwithstanding Section 4.4), the Owner Trustee shall not take action unless at least 5 Business Days before the taking of such action, the Owner Trustee shall have notified the Certificateholders in writing of the proposed action and Majority Certificateholders shall not have notified the Owner Trustee in writing on or prior to the 3</w:t>
      </w:r>
      <w:r>
        <w:rPr>
          <w:rFonts w:ascii="Times New Roman" w:cs="Times New Roman" w:eastAsia="Times New Roman" w:hAnsi="Times New Roman"/>
          <w:sz w:val="26"/>
          <w:szCs w:val="26"/>
          <w:color w:val="000000"/>
          <w:vertAlign w:val="superscript"/>
        </w:rPr>
        <w:t>rd</w:t>
      </w:r>
      <w:r>
        <w:rPr>
          <w:rFonts w:ascii="Times New Roman" w:cs="Times New Roman" w:eastAsia="Times New Roman" w:hAnsi="Times New Roman"/>
          <w:sz w:val="19"/>
          <w:szCs w:val="19"/>
          <w:color w:val="000000"/>
        </w:rPr>
        <w:t xml:space="preserve"> Business Day after such notice is given that such Majority Certificateholders has withheld consent or provided alternative direction:</w:t>
      </w:r>
    </w:p>
    <w:p>
      <w:pPr>
        <w:spacing w:after="0" w:line="169" w:lineRule="exact"/>
        <w:rPr>
          <w:sz w:val="20"/>
          <w:szCs w:val="20"/>
          <w:color w:val="auto"/>
        </w:rPr>
      </w:pPr>
    </w:p>
    <w:p>
      <w:pPr>
        <w:ind w:right="180" w:firstLine="1410"/>
        <w:spacing w:after="0" w:line="268" w:lineRule="auto"/>
        <w:tabs>
          <w:tab w:leader="none" w:pos="1765" w:val="left"/>
        </w:tabs>
        <w:numPr>
          <w:ilvl w:val="0"/>
          <w:numId w:val="3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election by the Issuer to file an amendment to the Certificate of Trust (unless such amendment is required to be filed under the Statutory Trust Statute or unless such amendment would not materially and adversely affect the interests of the Holders);</w:t>
      </w:r>
    </w:p>
    <w:p>
      <w:pPr>
        <w:spacing w:after="0" w:line="144" w:lineRule="exact"/>
        <w:rPr>
          <w:rFonts w:ascii="Times New Roman" w:cs="Times New Roman" w:eastAsia="Times New Roman" w:hAnsi="Times New Roman"/>
          <w:sz w:val="19"/>
          <w:szCs w:val="19"/>
          <w:color w:val="1F3763"/>
        </w:rPr>
      </w:pPr>
    </w:p>
    <w:p>
      <w:pPr>
        <w:ind w:right="780" w:firstLine="1410"/>
        <w:spacing w:after="0" w:line="286" w:lineRule="auto"/>
        <w:tabs>
          <w:tab w:leader="none" w:pos="1777" w:val="left"/>
        </w:tabs>
        <w:numPr>
          <w:ilvl w:val="0"/>
          <w:numId w:val="3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amendment of the Indenture by a supplemental indenture in circumstances where the consent of any Noteholder is required;</w:t>
      </w:r>
    </w:p>
    <w:p>
      <w:pPr>
        <w:spacing w:after="0" w:line="127" w:lineRule="exact"/>
        <w:rPr>
          <w:rFonts w:ascii="Times New Roman" w:cs="Times New Roman" w:eastAsia="Times New Roman" w:hAnsi="Times New Roman"/>
          <w:sz w:val="19"/>
          <w:szCs w:val="19"/>
          <w:color w:val="1F3763"/>
        </w:rPr>
      </w:pPr>
    </w:p>
    <w:p>
      <w:pPr>
        <w:ind w:right="800" w:firstLine="1410"/>
        <w:spacing w:after="0" w:line="286" w:lineRule="auto"/>
        <w:tabs>
          <w:tab w:leader="none" w:pos="1765" w:val="left"/>
        </w:tabs>
        <w:numPr>
          <w:ilvl w:val="0"/>
          <w:numId w:val="3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amendment of the Indenture by a supplemental indenture in circumstances where the consent of any Noteholder is not required and such amendment materially adversely affects the interest of the Certificateholders; or</w:t>
      </w:r>
    </w:p>
    <w:p>
      <w:pPr>
        <w:spacing w:after="0" w:line="127" w:lineRule="exact"/>
        <w:rPr>
          <w:rFonts w:ascii="Times New Roman" w:cs="Times New Roman" w:eastAsia="Times New Roman" w:hAnsi="Times New Roman"/>
          <w:sz w:val="19"/>
          <w:szCs w:val="19"/>
          <w:color w:val="1F3763"/>
        </w:rPr>
      </w:pPr>
    </w:p>
    <w:p>
      <w:pPr>
        <w:ind w:right="80" w:firstLine="1410"/>
        <w:spacing w:after="0" w:line="262" w:lineRule="auto"/>
        <w:tabs>
          <w:tab w:leader="none" w:pos="1777" w:val="left"/>
        </w:tabs>
        <w:numPr>
          <w:ilvl w:val="0"/>
          <w:numId w:val="3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pursuant to Section 12.1 of the Sale and Servicing Agreement, the amendment, change or modification of the Sale and Servicing Agreement, except to cure any ambiguity or to correct or supplement any provision in the Sale and Servicing Agreement which may be inconsistent with any other provision of the Sale and Servicing Agreement, the Offering Memorandum or any certificate offering memorandum relating to the future offer and sale of the Certificates.</w:t>
      </w:r>
    </w:p>
    <w:p>
      <w:pPr>
        <w:spacing w:after="0" w:line="150"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Upon receipt of a written request from the Owner Trustee that it wishes to provide notice to Certificateholders, the Certificate Registrar shall cause such notice to be made available to Certificateholders not later than one Business Day following the date such notice is received.</w:t>
      </w:r>
    </w:p>
    <w:p>
      <w:pPr>
        <w:spacing w:after="0" w:line="144" w:lineRule="exact"/>
        <w:rPr>
          <w:sz w:val="20"/>
          <w:szCs w:val="20"/>
          <w:color w:val="auto"/>
        </w:rPr>
      </w:pPr>
    </w:p>
    <w:p>
      <w:pPr>
        <w:ind w:right="320" w:firstLine="1404"/>
        <w:spacing w:after="0" w:line="255" w:lineRule="auto"/>
        <w:rPr>
          <w:sz w:val="20"/>
          <w:szCs w:val="20"/>
          <w:color w:val="auto"/>
        </w:rPr>
      </w:pPr>
      <w:r>
        <w:rPr>
          <w:rFonts w:ascii="Times New Roman" w:cs="Times New Roman" w:eastAsia="Times New Roman" w:hAnsi="Times New Roman"/>
          <w:sz w:val="19"/>
          <w:szCs w:val="19"/>
          <w:color w:val="auto"/>
        </w:rPr>
        <w:t>If the Certificate Registrar or Certificate Paying Agent receives any notice or other communication from Securityholders intended for the Owner Trustee, the Certificate Paying Agent or Certificate Registrar shall provide such notice to the Owner Trustee not later than one Business Day following the date such notice is received. The Certificate Registrar shall notify the Certificateholders in writing of any appointment of a successor Note Registrar or Indenture Trustee within five Business Days after receipt of notice thereof.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05" w:name="page406"/>
    <w:bookmarkEnd w:id="405"/>
    <w:p>
      <w:pPr>
        <w:spacing w:after="0" w:line="200" w:lineRule="exact"/>
        <w:rPr>
          <w:sz w:val="20"/>
          <w:szCs w:val="20"/>
          <w:color w:val="auto"/>
        </w:rPr>
      </w:pPr>
    </w:p>
    <w:p>
      <w:pPr>
        <w:spacing w:after="0" w:line="2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IV.2.  </w:t>
      </w:r>
      <w:r>
        <w:rPr>
          <w:rFonts w:ascii="Times New Roman" w:cs="Times New Roman" w:eastAsia="Times New Roman" w:hAnsi="Times New Roman"/>
          <w:sz w:val="19"/>
          <w:szCs w:val="19"/>
          <w:color w:val="000000"/>
        </w:rPr>
        <w:t>Action by Certificateholders with Respect to Certain Matters.</w:t>
      </w:r>
    </w:p>
    <w:p>
      <w:pPr>
        <w:spacing w:after="0" w:line="202" w:lineRule="exact"/>
        <w:rPr>
          <w:sz w:val="20"/>
          <w:szCs w:val="20"/>
          <w:color w:val="auto"/>
        </w:rPr>
      </w:pPr>
    </w:p>
    <w:p>
      <w:pPr>
        <w:ind w:right="280" w:firstLine="1410"/>
        <w:spacing w:after="0" w:line="256" w:lineRule="auto"/>
        <w:tabs>
          <w:tab w:leader="none" w:pos="1765" w:val="left"/>
        </w:tabs>
        <w:numPr>
          <w:ilvl w:val="0"/>
          <w:numId w:val="3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have the power, except upon the direction of the Majority Certificateholders in accordance with the Basic Documents and except as expressly provided in the Basic Documents, to sell the Receivables after the termination of the Indenture. The Owner Trustee shall take the actions referred to in the preceding sentence only upon written instructions signed by the Majority Certificateholders and the furnishing of indemnification satisfactory to the Owner Trustee by the Majority Certificateholders. After the termination of the Indenture, the Majority Certificateholders are authorized to direct the Owner Trustee to sell the Receivables that are a part of the Owner Trust Estate notwithstanding any contrary direction from the Depositor or Servicer.</w:t>
      </w:r>
    </w:p>
    <w:p>
      <w:pPr>
        <w:spacing w:after="0" w:line="157"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1F3763"/>
        </w:rPr>
      </w:pPr>
    </w:p>
    <w:p>
      <w:pPr>
        <w:ind w:right="80" w:firstLine="1410"/>
        <w:spacing w:after="0" w:line="259" w:lineRule="auto"/>
        <w:tabs>
          <w:tab w:leader="none" w:pos="1765" w:val="left"/>
        </w:tabs>
        <w:numPr>
          <w:ilvl w:val="0"/>
          <w:numId w:val="3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After termination of the Indenture, upon the occurrence of a Servicer Termination Event, the Majority Certificateholders are authorized to direct the Owner Trustee to request that the Servicer deliver to the Backup Servicer or any successor Servicer its Collection Records, Monthly Records and such other data maintained by the Servicer in connection with servicing the Receivables pursuant to Section 4.13 of the Sale and Servicing Agreement pursuant to a written instrument prepared by the Majority Certificateholders. The Owner Trustee shall issue such request notwithstanding any contrary direction from the Depositor or Servicer.</w:t>
      </w:r>
    </w:p>
    <w:p>
      <w:pPr>
        <w:spacing w:after="0" w:line="153" w:lineRule="exact"/>
        <w:rPr>
          <w:rFonts w:ascii="Times New Roman" w:cs="Times New Roman" w:eastAsia="Times New Roman" w:hAnsi="Times New Roman"/>
          <w:sz w:val="19"/>
          <w:szCs w:val="19"/>
          <w:color w:val="1F3763"/>
        </w:rPr>
      </w:pPr>
    </w:p>
    <w:p>
      <w:pPr>
        <w:ind w:right="80" w:firstLine="1410"/>
        <w:spacing w:after="0" w:line="259" w:lineRule="auto"/>
        <w:tabs>
          <w:tab w:leader="none" w:pos="1741" w:val="left"/>
        </w:tabs>
        <w:numPr>
          <w:ilvl w:val="0"/>
          <w:numId w:val="3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After termination of the Indenture, the Majority Certificateholders are authorized to direct the Owner Trustee to cause an agent, attorney or auditor selected by the Majority Certificateholders to inspect, at the Servicer’s expense, the Receivable Files and the related accounts, records and computer systems maintained by the Custodian on behalf of the Issuer pursuant to Section 3(b) of the Custodian Agreement. The Owner Trustee shall appoint such agent, attorney or auditor notwithstanding any contrary direction from the Depositor or Servicer.</w:t>
      </w:r>
    </w:p>
    <w:p>
      <w:pPr>
        <w:spacing w:after="0" w:line="153" w:lineRule="exact"/>
        <w:rPr>
          <w:rFonts w:ascii="Times New Roman" w:cs="Times New Roman" w:eastAsia="Times New Roman" w:hAnsi="Times New Roman"/>
          <w:sz w:val="19"/>
          <w:szCs w:val="19"/>
          <w:color w:val="1F3763"/>
        </w:rPr>
      </w:pPr>
    </w:p>
    <w:p>
      <w:pPr>
        <w:ind w:firstLine="1410"/>
        <w:spacing w:after="0" w:line="268" w:lineRule="auto"/>
        <w:tabs>
          <w:tab w:leader="none" w:pos="1777" w:val="left"/>
        </w:tabs>
        <w:numPr>
          <w:ilvl w:val="0"/>
          <w:numId w:val="3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After termination of the Indenture, the Majority Certificateholders are authorized to direct the Owner Trustee to appoint a successor Custodian selected by the Majority Certificateholders pursuant to Section 9 of the Custodian Agreement. The Owner Trustee shall appoint such successor Custodian notwithstanding any contrary direction from the Depositor or Servicer.</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IV.3.  </w:t>
      </w:r>
      <w:r>
        <w:rPr>
          <w:rFonts w:ascii="Times New Roman" w:cs="Times New Roman" w:eastAsia="Times New Roman" w:hAnsi="Times New Roman"/>
          <w:sz w:val="19"/>
          <w:szCs w:val="19"/>
          <w:color w:val="000000"/>
        </w:rPr>
        <w:t>Restrictions on Certificateholders' Power.</w:t>
      </w:r>
    </w:p>
    <w:p>
      <w:pPr>
        <w:spacing w:after="0" w:line="202" w:lineRule="exact"/>
        <w:rPr>
          <w:sz w:val="20"/>
          <w:szCs w:val="20"/>
          <w:color w:val="auto"/>
        </w:rPr>
      </w:pPr>
    </w:p>
    <w:p>
      <w:pPr>
        <w:ind w:firstLine="1410"/>
        <w:spacing w:after="0" w:line="264" w:lineRule="auto"/>
        <w:tabs>
          <w:tab w:leader="none" w:pos="1765" w:val="left"/>
        </w:tabs>
        <w:numPr>
          <w:ilvl w:val="0"/>
          <w:numId w:val="3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Certificateholders shall not direct the Owner Trustee to take or refrain from taking any action if such action or inaction would be contrary to any obligation of the Issuer or the Owner Trustee under this Agreement or any of the other Basic Documents or would be contrary to Section 2.3 or applicable law nor shall the Owner Trustee be obligated to follow any such direction, if given.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6" w:name="page407"/>
    <w:bookmarkEnd w:id="406"/>
    <w:p>
      <w:pPr>
        <w:spacing w:after="0" w:line="200" w:lineRule="exact"/>
        <w:rPr>
          <w:sz w:val="20"/>
          <w:szCs w:val="20"/>
          <w:color w:val="auto"/>
        </w:rPr>
      </w:pPr>
    </w:p>
    <w:p>
      <w:pPr>
        <w:spacing w:after="0" w:line="261" w:lineRule="exact"/>
        <w:rPr>
          <w:sz w:val="20"/>
          <w:szCs w:val="20"/>
          <w:color w:val="auto"/>
        </w:rPr>
      </w:pPr>
    </w:p>
    <w:p>
      <w:pPr>
        <w:ind w:firstLine="1410"/>
        <w:spacing w:after="0" w:line="254" w:lineRule="auto"/>
        <w:tabs>
          <w:tab w:leader="none" w:pos="1777" w:val="left"/>
        </w:tabs>
        <w:numPr>
          <w:ilvl w:val="0"/>
          <w:numId w:val="34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Certificateholders shall not have any right by virtue or by availing itself of any provisions of this Agreement to institute any suit, action, or proceeding in equity or at law upon or under or with respect to this Agreement or any other Basic Document, unless the Certificateholders previously shall have given to the Owner Trustee a written notice of default and of the continuance thereof, as provided in this Agreement, and also unless the Certificateholders shall have made written request upon the Owner Trustee to institute such action, suit or proceeding in its own name as Owner Trustee under this Agreement and shall have offered to the Owner Trustee such reasonable indemnity as it may require against the costs, expenses, losses, damages and liabilities to be incurred therein or thereby, and the Owner Trustee, for 30 days after its receipt of such notice, request, and offer of indemnity, shall have neglected or refused to institute any such action, suit, or proceeding, and during such 30-day period no request or waiver inconsistent with such written request has been given to the Owner Trustee by the Certificateholders pursuant to and in compliance with this Section. For the protection and enforcement of the provisions of this Section, the Certificateholders and the Owner Trustee shall be entitled to such relief as can be given either at law or in equity.</w:t>
      </w:r>
    </w:p>
    <w:p>
      <w:pPr>
        <w:spacing w:after="0" w:line="157" w:lineRule="exact"/>
        <w:rPr>
          <w:rFonts w:ascii="Times New Roman" w:cs="Times New Roman" w:eastAsia="Times New Roman" w:hAnsi="Times New Roman"/>
          <w:sz w:val="19"/>
          <w:szCs w:val="19"/>
          <w:color w:val="1F3763"/>
        </w:rPr>
      </w:pPr>
    </w:p>
    <w:p>
      <w:pPr>
        <w:ind w:right="540" w:firstLine="1410"/>
        <w:spacing w:after="0" w:line="286" w:lineRule="auto"/>
        <w:tabs>
          <w:tab w:leader="none" w:pos="1765" w:val="left"/>
        </w:tabs>
        <w:numPr>
          <w:ilvl w:val="0"/>
          <w:numId w:val="34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Certificateholders shall not direct the Owner Trustee to take action that would violate the provisions of Sections 4.5, 4.6 or 5.6.</w:t>
      </w:r>
    </w:p>
    <w:p>
      <w:pPr>
        <w:spacing w:after="0" w:line="127" w:lineRule="exact"/>
        <w:rPr>
          <w:sz w:val="20"/>
          <w:szCs w:val="20"/>
          <w:color w:val="auto"/>
        </w:rPr>
      </w:pPr>
    </w:p>
    <w:p>
      <w:pPr>
        <w:ind w:right="120" w:firstLine="1404"/>
        <w:spacing w:after="0" w:line="253" w:lineRule="auto"/>
        <w:rPr>
          <w:sz w:val="20"/>
          <w:szCs w:val="20"/>
          <w:color w:val="auto"/>
        </w:rPr>
      </w:pPr>
      <w:r>
        <w:rPr>
          <w:rFonts w:ascii="Times New Roman" w:cs="Times New Roman" w:eastAsia="Times New Roman" w:hAnsi="Times New Roman"/>
          <w:sz w:val="19"/>
          <w:szCs w:val="19"/>
          <w:color w:val="2F5496"/>
        </w:rPr>
        <w:t xml:space="preserve">SECTION IV.4. </w:t>
      </w:r>
      <w:r>
        <w:rPr>
          <w:rFonts w:ascii="Times New Roman" w:cs="Times New Roman" w:eastAsia="Times New Roman" w:hAnsi="Times New Roman"/>
          <w:sz w:val="19"/>
          <w:szCs w:val="19"/>
          <w:color w:val="000000"/>
        </w:rPr>
        <w:t>Ownership of the Certificates. The Depositor and any Affiliate thereof may in its individual or 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other capacity become the owner or pledgee of Certificates with the same rights as it would have if it were not the Depositor or an Affiliate thereof, except as expressly provided herein or in any other Basic Document. Certificates so owned by the Depositor or such Affiliate shall have an equal and proportionate benefit under the provisions of the Basic Documents, without preference, priority, or distinction as among all of the Certificates;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any Certificates owned by the Depositor or any Affiliate thereof, during the time such Certificates are owned by them, shall be without voting rights for any purpose set forth in this Agreement or the other Basic Documents (unless all the Certificates at any time are owned by the Depositor or any Affiliate thereof). Unless the Depositor has 100% of the Percentage Interest in the Certificates, each Certificate owned by the Depositor or any Affiliate thereof shall be without voting rights and disregarded for voting purposes under this Agreement only if a Responsible Officer of the Owner Trustee has actual knowledge that the Depositor or an Affiliate of the Depositor owns such Certificates. The Owner Trustee will not make any independent inquiry or investigation as to Certificates owned by persons not actually known by a Responsible Officer of the Owner Trustee to be the Depositor or an Affiliate of the Depositor.</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IV.5.  </w:t>
      </w:r>
      <w:r>
        <w:rPr>
          <w:rFonts w:ascii="Times New Roman" w:cs="Times New Roman" w:eastAsia="Times New Roman" w:hAnsi="Times New Roman"/>
          <w:sz w:val="19"/>
          <w:szCs w:val="19"/>
          <w:color w:val="000000"/>
        </w:rPr>
        <w:t>Action with Respect to Bankruptcy Action.</w:t>
      </w:r>
    </w:p>
    <w:p>
      <w:pPr>
        <w:spacing w:after="0" w:line="202" w:lineRule="exact"/>
        <w:rPr>
          <w:sz w:val="20"/>
          <w:szCs w:val="20"/>
          <w:color w:val="auto"/>
        </w:rPr>
      </w:pPr>
    </w:p>
    <w:p>
      <w:pPr>
        <w:ind w:left="1780" w:hanging="370"/>
        <w:spacing w:after="0"/>
        <w:tabs>
          <w:tab w:leader="none" w:pos="1780" w:val="left"/>
        </w:tabs>
        <w:numPr>
          <w:ilvl w:val="1"/>
          <w:numId w:val="3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not, without the prior written consent of the Owner Trustee and while any Notes are Outstanding,</w:t>
      </w:r>
    </w:p>
    <w:p>
      <w:pPr>
        <w:spacing w:after="0" w:line="31" w:lineRule="exact"/>
        <w:rPr>
          <w:rFonts w:ascii="Times New Roman" w:cs="Times New Roman" w:eastAsia="Times New Roman" w:hAnsi="Times New Roman"/>
          <w:sz w:val="19"/>
          <w:szCs w:val="19"/>
          <w:color w:val="1F3763"/>
        </w:rPr>
      </w:pPr>
    </w:p>
    <w:p>
      <w:pPr>
        <w:ind w:left="240" w:hanging="234"/>
        <w:spacing w:after="0"/>
        <w:tabs>
          <w:tab w:leader="none" w:pos="240"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institute any proceedings to adjudicate the Issuer bankrupt or insolvent, (ii) consent to the institution of bankruptcy or insolvency</w:t>
      </w:r>
    </w:p>
    <w:p>
      <w:pPr>
        <w:spacing w:after="0" w:line="9" w:lineRule="exact"/>
        <w:rPr>
          <w:rFonts w:ascii="Times New Roman" w:cs="Times New Roman" w:eastAsia="Times New Roman" w:hAnsi="Times New Roman"/>
          <w:sz w:val="19"/>
          <w:szCs w:val="19"/>
          <w:color w:val="auto"/>
        </w:rPr>
      </w:pPr>
    </w:p>
    <w:p>
      <w:pPr>
        <w:ind w:right="10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proceedings against the Issuer, (iii) file a petition seeking or consenting to reorganization or relief under any applicable federal or State law relating to bankruptcy with respect to the Issuer, (iv) consent to the appointment of a receiver, liquidator, assignee, trustee, sequestrator (or other similar official) of the Issuer or a substantial part of its property, (v) make any assignment for the benefit of the Issuer's creditors, (vi) admit in writing its inability to pay its debts generally as they become due, (vii) declare or effect a moratorium on its debt, or (viii) take any action in furtherance of any of the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07" w:name="page408"/>
    <w:bookmarkEnd w:id="407"/>
    <w:p>
      <w:pPr>
        <w:spacing w:after="0" w:line="200" w:lineRule="exact"/>
        <w:rPr>
          <w:sz w:val="20"/>
          <w:szCs w:val="20"/>
          <w:color w:val="auto"/>
        </w:rPr>
      </w:pPr>
    </w:p>
    <w:p>
      <w:pPr>
        <w:spacing w:after="0" w:line="2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foregoing (any of the above foregoing actions, a "Bankruptcy Action"). In considering whether to give or withhold written consent to a Bankruptcy Action by the Issuer, the Owner Trustee, with the consent of the Certificateholders (hereby given, which consent the Certificateholders believe to be in the best interests of the Certificateholders and the Issuer), shall consider the interest of the Noteholders in addition to the interests of the Issuer and whether the Issuer is insolvent;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Owner Trustee shall not be deemed to owe any fiduciary duty to the Noteholders. The Owner Trustee shall have no duty to give such written consent to a Bankruptcy Action by the Issuer if the Owner Trustee shall not have been furnished (at the expense of the Issuer or the Person that requested that such letter be furnished to the Owner Trustee) with a letter from an Independent accounting firm of national reputation stating that in the opinion of such firm the Issuer is then insolvent. The Owner Trustee (as such and in its individual capacity) shall not be personally liable to any Person on account of the Owner Trustee's good faith reliance on the provisions of this Section or in connection with the Owner Trustee's giving prior written consent to a Bankruptcy Action by the Issuer in accordance herewith, or withholding such consent, in good faith, and neither the Issuer nor any Certificateholder shall have any claim for breach of fiduciary duty or otherwise against the Owner Trustee (as such and in its individual capacity) for giving or withholding its consent to any such Bankruptcy Action.</w:t>
      </w:r>
    </w:p>
    <w:p>
      <w:pPr>
        <w:spacing w:after="0" w:line="393" w:lineRule="exact"/>
        <w:rPr>
          <w:sz w:val="20"/>
          <w:szCs w:val="20"/>
          <w:color w:val="auto"/>
        </w:rPr>
      </w:pPr>
    </w:p>
    <w:p>
      <w:pPr>
        <w:jc w:val="both"/>
        <w:ind w:firstLine="1410"/>
        <w:spacing w:after="0" w:line="268" w:lineRule="auto"/>
        <w:tabs>
          <w:tab w:leader="none" w:pos="1777" w:val="left"/>
        </w:tabs>
        <w:numPr>
          <w:ilvl w:val="0"/>
          <w:numId w:val="3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parties hereto stipulate and agree that no Certificateholder has power to commence any Bankruptcy Action on the part of the Issuer or to direct the Owner Trustee to take any Bankruptcy Action on the part of the Issuer except as provided in Section 4.5(a), subject to Section 10.12.</w:t>
      </w:r>
    </w:p>
    <w:p>
      <w:pPr>
        <w:spacing w:after="0" w:line="144" w:lineRule="exact"/>
        <w:rPr>
          <w:rFonts w:ascii="Times New Roman" w:cs="Times New Roman" w:eastAsia="Times New Roman" w:hAnsi="Times New Roman"/>
          <w:sz w:val="19"/>
          <w:szCs w:val="19"/>
          <w:color w:val="1F3763"/>
        </w:rPr>
      </w:pPr>
    </w:p>
    <w:p>
      <w:pPr>
        <w:ind w:right="220" w:firstLine="1410"/>
        <w:spacing w:after="0" w:line="268" w:lineRule="auto"/>
        <w:tabs>
          <w:tab w:leader="none" w:pos="1765" w:val="left"/>
        </w:tabs>
        <w:numPr>
          <w:ilvl w:val="0"/>
          <w:numId w:val="3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provisions of this Section do not constitute an acknowledgement or admission by the Issuer, the Owner Trustee, any Certificateholder or any creditor of the Issuer that the Issuer is eligible to be a debtor, under the United States Bankruptcy Code, 11 U.S.C. §§ 101 et seq., as amended.</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IV.6.  </w:t>
      </w:r>
      <w:r>
        <w:rPr>
          <w:rFonts w:ascii="Times New Roman" w:cs="Times New Roman" w:eastAsia="Times New Roman" w:hAnsi="Times New Roman"/>
          <w:sz w:val="19"/>
          <w:szCs w:val="19"/>
          <w:color w:val="000000"/>
        </w:rPr>
        <w:t>Covenants and Restrictions on Conduct of Business.</w:t>
      </w:r>
    </w:p>
    <w:p>
      <w:pPr>
        <w:spacing w:after="0" w:line="202" w:lineRule="exact"/>
        <w:rPr>
          <w:sz w:val="20"/>
          <w:szCs w:val="20"/>
          <w:color w:val="auto"/>
        </w:rPr>
      </w:pPr>
    </w:p>
    <w:p>
      <w:pPr>
        <w:ind w:left="1780" w:hanging="370"/>
        <w:spacing w:after="0"/>
        <w:tabs>
          <w:tab w:leader="none" w:pos="1780" w:val="left"/>
        </w:tabs>
        <w:numPr>
          <w:ilvl w:val="0"/>
          <w:numId w:val="35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agrees to abide by the following restrictions, other than as contemplated by the Basic Documents and</w:t>
      </w:r>
    </w:p>
    <w:p>
      <w:pPr>
        <w:spacing w:after="0" w:line="31" w:lineRule="exact"/>
        <w:rPr>
          <w:rFonts w:ascii="Times New Roman" w:cs="Times New Roman" w:eastAsia="Times New Roman" w:hAnsi="Times New Roman"/>
          <w:sz w:val="19"/>
          <w:szCs w:val="19"/>
          <w:color w:val="1F3763"/>
        </w:rPr>
      </w:pPr>
    </w:p>
    <w:p>
      <w:pPr>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related documentation:</w:t>
      </w:r>
    </w:p>
    <w:p>
      <w:pPr>
        <w:spacing w:after="0" w:line="179" w:lineRule="exact"/>
        <w:rPr>
          <w:rFonts w:ascii="Times New Roman" w:cs="Times New Roman" w:eastAsia="Times New Roman" w:hAnsi="Times New Roman"/>
          <w:sz w:val="19"/>
          <w:szCs w:val="19"/>
          <w:color w:val="1F3763"/>
        </w:rPr>
      </w:pPr>
    </w:p>
    <w:p>
      <w:pPr>
        <w:ind w:left="1680" w:hanging="234"/>
        <w:spacing w:after="0"/>
        <w:tabs>
          <w:tab w:leader="none" w:pos="1680" w:val="left"/>
        </w:tabs>
        <w:numPr>
          <w:ilvl w:val="1"/>
          <w:numId w:val="35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Issuer shall not incur any Indebtedness;</w:t>
      </w:r>
    </w:p>
    <w:p>
      <w:pPr>
        <w:spacing w:after="0" w:line="201" w:lineRule="exact"/>
        <w:rPr>
          <w:rFonts w:ascii="Times New Roman" w:cs="Times New Roman" w:eastAsia="Times New Roman" w:hAnsi="Times New Roman"/>
          <w:sz w:val="19"/>
          <w:szCs w:val="19"/>
          <w:color w:val="2F5496"/>
        </w:rPr>
      </w:pPr>
    </w:p>
    <w:p>
      <w:pPr>
        <w:ind w:left="1740" w:hanging="294"/>
        <w:spacing w:after="0"/>
        <w:tabs>
          <w:tab w:leader="none" w:pos="1740" w:val="left"/>
        </w:tabs>
        <w:numPr>
          <w:ilvl w:val="1"/>
          <w:numId w:val="35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Issuer shall not engage in any dissolution, liquidation, consolidation, merger or sale of assets;</w:t>
      </w:r>
    </w:p>
    <w:p>
      <w:pPr>
        <w:spacing w:after="0" w:line="201" w:lineRule="exact"/>
        <w:rPr>
          <w:rFonts w:ascii="Times New Roman" w:cs="Times New Roman" w:eastAsia="Times New Roman" w:hAnsi="Times New Roman"/>
          <w:sz w:val="19"/>
          <w:szCs w:val="19"/>
          <w:color w:val="2F5496"/>
        </w:rPr>
      </w:pPr>
    </w:p>
    <w:p>
      <w:pPr>
        <w:ind w:left="1780" w:hanging="334"/>
        <w:spacing w:after="0"/>
        <w:tabs>
          <w:tab w:leader="none" w:pos="1780" w:val="left"/>
        </w:tabs>
        <w:numPr>
          <w:ilvl w:val="1"/>
          <w:numId w:val="35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Issuer shall not engage in any business activity in which it is not currently engaged; and</w:t>
      </w:r>
    </w:p>
    <w:p>
      <w:pPr>
        <w:spacing w:after="0" w:line="201" w:lineRule="exact"/>
        <w:rPr>
          <w:rFonts w:ascii="Times New Roman" w:cs="Times New Roman" w:eastAsia="Times New Roman" w:hAnsi="Times New Roman"/>
          <w:sz w:val="19"/>
          <w:szCs w:val="19"/>
          <w:color w:val="2F5496"/>
        </w:rPr>
      </w:pPr>
    </w:p>
    <w:p>
      <w:pPr>
        <w:ind w:left="1780" w:hanging="334"/>
        <w:spacing w:after="0"/>
        <w:tabs>
          <w:tab w:leader="none" w:pos="1780" w:val="left"/>
        </w:tabs>
        <w:numPr>
          <w:ilvl w:val="1"/>
          <w:numId w:val="35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Issuer shall not form, or cause to be formed, any subsidiaries and shall not own or acquire any asset.</w:t>
      </w:r>
    </w:p>
    <w:p>
      <w:pPr>
        <w:spacing w:after="0" w:line="201" w:lineRule="exact"/>
        <w:rPr>
          <w:rFonts w:ascii="Times New Roman" w:cs="Times New Roman" w:eastAsia="Times New Roman" w:hAnsi="Times New Roman"/>
          <w:sz w:val="19"/>
          <w:szCs w:val="19"/>
          <w:color w:val="2F5496"/>
        </w:rPr>
      </w:pPr>
    </w:p>
    <w:p>
      <w:pPr>
        <w:ind w:left="1780" w:hanging="370"/>
        <w:spacing w:after="0"/>
        <w:tabs>
          <w:tab w:leader="none" w:pos="1780" w:val="left"/>
        </w:tabs>
        <w:numPr>
          <w:ilvl w:val="0"/>
          <w:numId w:val="35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w:t>
      </w:r>
    </w:p>
    <w:p>
      <w:pPr>
        <w:spacing w:after="0" w:line="201" w:lineRule="exact"/>
        <w:rPr>
          <w:rFonts w:ascii="Times New Roman" w:cs="Times New Roman" w:eastAsia="Times New Roman" w:hAnsi="Times New Roman"/>
          <w:sz w:val="19"/>
          <w:szCs w:val="19"/>
          <w:color w:val="1F3763"/>
        </w:rPr>
      </w:pPr>
    </w:p>
    <w:p>
      <w:pPr>
        <w:ind w:left="1680" w:hanging="234"/>
        <w:spacing w:after="0"/>
        <w:tabs>
          <w:tab w:leader="none" w:pos="1680" w:val="left"/>
        </w:tabs>
        <w:numPr>
          <w:ilvl w:val="1"/>
          <w:numId w:val="35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maintain books and records separate from any other Person or entity;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8" w:name="page409"/>
    <w:bookmarkEnd w:id="408"/>
    <w:p>
      <w:pPr>
        <w:spacing w:after="0" w:line="200" w:lineRule="exact"/>
        <w:rPr>
          <w:sz w:val="20"/>
          <w:szCs w:val="20"/>
          <w:color w:val="auto"/>
        </w:rPr>
      </w:pPr>
    </w:p>
    <w:p>
      <w:pPr>
        <w:spacing w:after="0" w:line="261" w:lineRule="exact"/>
        <w:rPr>
          <w:sz w:val="20"/>
          <w:szCs w:val="20"/>
          <w:color w:val="auto"/>
        </w:rPr>
      </w:pPr>
    </w:p>
    <w:p>
      <w:pPr>
        <w:ind w:left="1580" w:hanging="294"/>
        <w:spacing w:after="0"/>
        <w:tabs>
          <w:tab w:leader="none" w:pos="158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maintain its office and bank accounts separate from any other Person or entity;</w:t>
      </w:r>
    </w:p>
    <w:p>
      <w:pPr>
        <w:spacing w:after="0" w:line="201" w:lineRule="exact"/>
        <w:rPr>
          <w:rFonts w:ascii="Times New Roman" w:cs="Times New Roman" w:eastAsia="Times New Roman" w:hAnsi="Times New Roman"/>
          <w:sz w:val="19"/>
          <w:szCs w:val="19"/>
          <w:color w:val="2F5496"/>
        </w:rPr>
      </w:pPr>
    </w:p>
    <w:p>
      <w:pPr>
        <w:ind w:left="1620" w:hanging="334"/>
        <w:spacing w:after="0"/>
        <w:tabs>
          <w:tab w:leader="none" w:pos="162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not commingle its assets with those of any other Person or entity;</w:t>
      </w:r>
    </w:p>
    <w:p>
      <w:pPr>
        <w:spacing w:after="0" w:line="201" w:lineRule="exact"/>
        <w:rPr>
          <w:rFonts w:ascii="Times New Roman" w:cs="Times New Roman" w:eastAsia="Times New Roman" w:hAnsi="Times New Roman"/>
          <w:sz w:val="19"/>
          <w:szCs w:val="19"/>
          <w:color w:val="2F5496"/>
        </w:rPr>
      </w:pPr>
    </w:p>
    <w:p>
      <w:pPr>
        <w:ind w:left="540" w:firstLine="746"/>
        <w:spacing w:after="0" w:line="286" w:lineRule="auto"/>
        <w:tabs>
          <w:tab w:leader="none" w:pos="1608"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conduct its own business in its own name and use stationery or other business forms under its own name and not that of any Certificateholder or any Affiliate;</w:t>
      </w:r>
    </w:p>
    <w:p>
      <w:pPr>
        <w:spacing w:after="0" w:line="127" w:lineRule="exact"/>
        <w:rPr>
          <w:rFonts w:ascii="Times New Roman" w:cs="Times New Roman" w:eastAsia="Times New Roman" w:hAnsi="Times New Roman"/>
          <w:sz w:val="19"/>
          <w:szCs w:val="19"/>
          <w:color w:val="2F5496"/>
        </w:rPr>
      </w:pPr>
    </w:p>
    <w:p>
      <w:pPr>
        <w:ind w:left="540" w:right="540" w:firstLine="746"/>
        <w:spacing w:after="0" w:line="286" w:lineRule="auto"/>
        <w:tabs>
          <w:tab w:leader="none" w:pos="156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other than as contemplated by the Basic Documents and related documentation, pay its own liabilities and expenses only out of its own funds;</w:t>
      </w:r>
    </w:p>
    <w:p>
      <w:pPr>
        <w:spacing w:after="0" w:line="127" w:lineRule="exact"/>
        <w:rPr>
          <w:rFonts w:ascii="Times New Roman" w:cs="Times New Roman" w:eastAsia="Times New Roman" w:hAnsi="Times New Roman"/>
          <w:sz w:val="19"/>
          <w:szCs w:val="19"/>
          <w:color w:val="2F5496"/>
        </w:rPr>
      </w:pPr>
    </w:p>
    <w:p>
      <w:pPr>
        <w:ind w:left="1620" w:hanging="334"/>
        <w:spacing w:after="0"/>
        <w:tabs>
          <w:tab w:leader="none" w:pos="162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observe all formalities required under the Statutory Trust Statute;</w:t>
      </w:r>
    </w:p>
    <w:p>
      <w:pPr>
        <w:spacing w:after="0" w:line="201" w:lineRule="exact"/>
        <w:rPr>
          <w:rFonts w:ascii="Times New Roman" w:cs="Times New Roman" w:eastAsia="Times New Roman" w:hAnsi="Times New Roman"/>
          <w:sz w:val="19"/>
          <w:szCs w:val="19"/>
          <w:color w:val="2F5496"/>
        </w:rPr>
      </w:pPr>
    </w:p>
    <w:p>
      <w:pPr>
        <w:ind w:left="1680" w:hanging="394"/>
        <w:spacing w:after="0"/>
        <w:tabs>
          <w:tab w:leader="none" w:pos="1680" w:val="left"/>
        </w:tabs>
        <w:numPr>
          <w:ilvl w:val="0"/>
          <w:numId w:val="3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 guarantee or become obligated for the debts of any other Person or entity;</w:t>
      </w:r>
    </w:p>
    <w:p>
      <w:pPr>
        <w:spacing w:after="0" w:line="201" w:lineRule="exact"/>
        <w:rPr>
          <w:rFonts w:ascii="Times New Roman" w:cs="Times New Roman" w:eastAsia="Times New Roman" w:hAnsi="Times New Roman"/>
          <w:sz w:val="19"/>
          <w:szCs w:val="19"/>
          <w:color w:val="1F3763"/>
        </w:rPr>
      </w:pPr>
    </w:p>
    <w:p>
      <w:pPr>
        <w:ind w:left="1720" w:hanging="434"/>
        <w:spacing w:after="0"/>
        <w:tabs>
          <w:tab w:leader="none" w:pos="172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not hold out its credit as being available to satisfy the obligation of any other Person or entity;</w:t>
      </w:r>
    </w:p>
    <w:p>
      <w:pPr>
        <w:spacing w:after="0" w:line="201" w:lineRule="exact"/>
        <w:rPr>
          <w:rFonts w:ascii="Times New Roman" w:cs="Times New Roman" w:eastAsia="Times New Roman" w:hAnsi="Times New Roman"/>
          <w:sz w:val="19"/>
          <w:szCs w:val="19"/>
          <w:color w:val="2F5496"/>
        </w:rPr>
      </w:pPr>
    </w:p>
    <w:p>
      <w:pPr>
        <w:ind w:left="1620" w:hanging="334"/>
        <w:spacing w:after="0"/>
        <w:tabs>
          <w:tab w:leader="none" w:pos="162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not acquire the obligations or securities of its Certificateholders or its Affiliates;</w:t>
      </w:r>
    </w:p>
    <w:p>
      <w:pPr>
        <w:spacing w:after="0" w:line="201" w:lineRule="exact"/>
        <w:rPr>
          <w:rFonts w:ascii="Times New Roman" w:cs="Times New Roman" w:eastAsia="Times New Roman" w:hAnsi="Times New Roman"/>
          <w:sz w:val="19"/>
          <w:szCs w:val="19"/>
          <w:color w:val="2F5496"/>
        </w:rPr>
      </w:pPr>
    </w:p>
    <w:p>
      <w:pPr>
        <w:ind w:left="540" w:right="380" w:firstLine="746"/>
        <w:spacing w:after="0" w:line="286" w:lineRule="auto"/>
        <w:tabs>
          <w:tab w:leader="none" w:pos="156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other than as contemplated by the Basic Documents and related documentation, not make loans to any other Person or entity or buy or hold evidence of indebtedness issued by any other Person or entity;</w:t>
      </w:r>
    </w:p>
    <w:p>
      <w:pPr>
        <w:spacing w:after="0" w:line="127" w:lineRule="exact"/>
        <w:rPr>
          <w:rFonts w:ascii="Times New Roman" w:cs="Times New Roman" w:eastAsia="Times New Roman" w:hAnsi="Times New Roman"/>
          <w:sz w:val="19"/>
          <w:szCs w:val="19"/>
          <w:color w:val="2F5496"/>
        </w:rPr>
      </w:pPr>
    </w:p>
    <w:p>
      <w:pPr>
        <w:ind w:left="540" w:right="380" w:firstLine="746"/>
        <w:spacing w:after="0" w:line="286" w:lineRule="auto"/>
        <w:tabs>
          <w:tab w:leader="none" w:pos="1608"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other than as contemplated by the Basic Documents and related documentation, not pledge its assets for the benefit of any other Person or entity;</w:t>
      </w:r>
    </w:p>
    <w:p>
      <w:pPr>
        <w:spacing w:after="0" w:line="127" w:lineRule="exact"/>
        <w:rPr>
          <w:rFonts w:ascii="Times New Roman" w:cs="Times New Roman" w:eastAsia="Times New Roman" w:hAnsi="Times New Roman"/>
          <w:sz w:val="19"/>
          <w:szCs w:val="19"/>
          <w:color w:val="2F5496"/>
        </w:rPr>
      </w:pPr>
    </w:p>
    <w:p>
      <w:pPr>
        <w:ind w:left="540" w:right="60" w:firstLine="746"/>
        <w:spacing w:after="0" w:line="286" w:lineRule="auto"/>
        <w:tabs>
          <w:tab w:leader="none" w:pos="1668"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hold itself out as a separate entity from each Certificateholder and not conduct any business in the name of any Certificateholder;</w:t>
      </w:r>
    </w:p>
    <w:p>
      <w:pPr>
        <w:spacing w:after="0" w:line="127" w:lineRule="exact"/>
        <w:rPr>
          <w:rFonts w:ascii="Times New Roman" w:cs="Times New Roman" w:eastAsia="Times New Roman" w:hAnsi="Times New Roman"/>
          <w:sz w:val="19"/>
          <w:szCs w:val="19"/>
          <w:color w:val="2F5496"/>
        </w:rPr>
      </w:pPr>
    </w:p>
    <w:p>
      <w:pPr>
        <w:ind w:left="1720" w:hanging="434"/>
        <w:spacing w:after="0"/>
        <w:tabs>
          <w:tab w:leader="none" w:pos="172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correct any known misunderstanding regarding its separate identity;</w:t>
      </w:r>
    </w:p>
    <w:p>
      <w:pPr>
        <w:spacing w:after="0" w:line="201" w:lineRule="exact"/>
        <w:rPr>
          <w:rFonts w:ascii="Times New Roman" w:cs="Times New Roman" w:eastAsia="Times New Roman" w:hAnsi="Times New Roman"/>
          <w:sz w:val="19"/>
          <w:szCs w:val="19"/>
          <w:color w:val="2F5496"/>
        </w:rPr>
      </w:pPr>
    </w:p>
    <w:p>
      <w:pPr>
        <w:ind w:left="1700" w:hanging="414"/>
        <w:spacing w:after="0"/>
        <w:tabs>
          <w:tab w:leader="none" w:pos="1700"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not identify itself as a division (other than for tax reporting purposes) of any other Person or entity; and</w:t>
      </w:r>
    </w:p>
    <w:p>
      <w:pPr>
        <w:spacing w:after="0" w:line="201" w:lineRule="exact"/>
        <w:rPr>
          <w:rFonts w:ascii="Times New Roman" w:cs="Times New Roman" w:eastAsia="Times New Roman" w:hAnsi="Times New Roman"/>
          <w:sz w:val="19"/>
          <w:szCs w:val="19"/>
          <w:color w:val="2F5496"/>
        </w:rPr>
      </w:pPr>
    </w:p>
    <w:p>
      <w:pPr>
        <w:ind w:left="540" w:right="280" w:firstLine="746"/>
        <w:spacing w:after="0" w:line="286" w:lineRule="auto"/>
        <w:tabs>
          <w:tab w:leader="none" w:pos="1656" w:val="left"/>
        </w:tabs>
        <w:numPr>
          <w:ilvl w:val="0"/>
          <w:numId w:val="35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except as required or specifically provided in the Trust Agreement, the Issuer will conduct business with the Certificateholders or any Affiliate thereof on an arm's length basis.</w:t>
      </w:r>
    </w:p>
    <w:p>
      <w:pPr>
        <w:spacing w:after="0" w:line="127" w:lineRule="exact"/>
        <w:rPr>
          <w:sz w:val="20"/>
          <w:szCs w:val="20"/>
          <w:color w:val="auto"/>
        </w:rPr>
      </w:pPr>
    </w:p>
    <w:p>
      <w:pPr>
        <w:ind w:left="-160" w:right="300" w:firstLine="1410"/>
        <w:spacing w:after="0" w:line="262" w:lineRule="auto"/>
        <w:tabs>
          <w:tab w:leader="none" w:pos="1605" w:val="left"/>
        </w:tabs>
        <w:numPr>
          <w:ilvl w:val="0"/>
          <w:numId w:val="35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So long as the Notes or any other amounts owed under the Indenture remain outstanding, the Issuer shall not amend this Section 4.6 unless the Rating Agencies have been notified.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635635</wp:posOffset>
            </wp:positionV>
            <wp:extent cx="6732905"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820" w:top="1440" w:right="840" w:bottom="1440" w:gutter="0" w:footer="0" w:header="0"/>
        </w:sectPr>
      </w:pPr>
    </w:p>
    <w:bookmarkStart w:id="409" w:name="page410"/>
    <w:bookmarkEnd w:id="409"/>
    <w:p>
      <w:pPr>
        <w:spacing w:after="0" w:line="200" w:lineRule="exact"/>
        <w:rPr>
          <w:sz w:val="20"/>
          <w:szCs w:val="20"/>
          <w:color w:val="auto"/>
        </w:rPr>
      </w:pPr>
    </w:p>
    <w:p>
      <w:pPr>
        <w:spacing w:after="0" w:line="2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IV.7.  </w:t>
      </w:r>
      <w:r>
        <w:rPr>
          <w:rFonts w:ascii="Times New Roman" w:cs="Times New Roman" w:eastAsia="Times New Roman" w:hAnsi="Times New Roman"/>
          <w:sz w:val="19"/>
          <w:szCs w:val="19"/>
          <w:color w:val="000000"/>
        </w:rPr>
        <w:t>Acts of Certificateholders; Majority Control .</w:t>
      </w:r>
    </w:p>
    <w:p>
      <w:pPr>
        <w:spacing w:after="0" w:line="202" w:lineRule="exact"/>
        <w:rPr>
          <w:sz w:val="20"/>
          <w:szCs w:val="20"/>
          <w:color w:val="auto"/>
        </w:rPr>
      </w:pPr>
    </w:p>
    <w:p>
      <w:pPr>
        <w:ind w:firstLine="1410"/>
        <w:spacing w:after="0" w:line="259" w:lineRule="auto"/>
        <w:tabs>
          <w:tab w:leader="none" w:pos="1765" w:val="left"/>
        </w:tabs>
        <w:numPr>
          <w:ilvl w:val="0"/>
          <w:numId w:val="3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request, demand, authorization, direction, notice, consent, waiver or other action provided by this Agreement to be given or taken by Certificateholders may be embodied in and evidenced by one or more instruments of substantially similar tenor signed by such Certificateholders in person or by agents duly appointed in writing and shall include an attestation by the Certificateholder that such Certificateholder is the true and lawful holder of the Certificate or an indicated and specified Percentage Interest in the Certificate and the Owner Trustee shall be fully protected in relying on such attestation.</w:t>
      </w:r>
    </w:p>
    <w:p>
      <w:pPr>
        <w:spacing w:after="0" w:line="153" w:lineRule="exact"/>
        <w:rPr>
          <w:rFonts w:ascii="Times New Roman" w:cs="Times New Roman" w:eastAsia="Times New Roman" w:hAnsi="Times New Roman"/>
          <w:sz w:val="19"/>
          <w:szCs w:val="19"/>
          <w:color w:val="1F3763"/>
        </w:rPr>
      </w:pPr>
    </w:p>
    <w:p>
      <w:pPr>
        <w:ind w:right="60" w:firstLine="1410"/>
        <w:spacing w:after="0" w:line="286" w:lineRule="auto"/>
        <w:tabs>
          <w:tab w:leader="none" w:pos="1777" w:val="left"/>
        </w:tabs>
        <w:numPr>
          <w:ilvl w:val="0"/>
          <w:numId w:val="3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fact and date of the execution by any person of any such instrument or writing may be proved in any manner that the Owner Trustee deems sufficient.</w:t>
      </w:r>
    </w:p>
    <w:p>
      <w:pPr>
        <w:spacing w:after="0" w:line="127"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ownership of Certificates shall be proved by the Certificate Register.</w:t>
      </w:r>
    </w:p>
    <w:p>
      <w:pPr>
        <w:spacing w:after="0" w:line="201" w:lineRule="exact"/>
        <w:rPr>
          <w:rFonts w:ascii="Times New Roman" w:cs="Times New Roman" w:eastAsia="Times New Roman" w:hAnsi="Times New Roman"/>
          <w:sz w:val="19"/>
          <w:szCs w:val="19"/>
          <w:color w:val="1F3763"/>
        </w:rPr>
      </w:pPr>
    </w:p>
    <w:p>
      <w:pPr>
        <w:ind w:right="260" w:firstLine="1410"/>
        <w:spacing w:after="0" w:line="262" w:lineRule="auto"/>
        <w:tabs>
          <w:tab w:leader="none" w:pos="1777" w:val="left"/>
        </w:tabs>
        <w:numPr>
          <w:ilvl w:val="0"/>
          <w:numId w:val="3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request, demand, authorization, direction, notice, consent, waiver or other action by any Certificateholder shall bind the Holder of every Certificate issued upon the registration thereof or in exchange therefor or in lieu thereof, in respect of anything done, omitted or suffered to be done by the Owner Trustee or the Issuer in reliance thereon, whether or not notation of such action is made upon such Certificate.</w:t>
      </w:r>
    </w:p>
    <w:p>
      <w:pPr>
        <w:spacing w:after="0" w:line="150" w:lineRule="exact"/>
        <w:rPr>
          <w:rFonts w:ascii="Times New Roman" w:cs="Times New Roman" w:eastAsia="Times New Roman" w:hAnsi="Times New Roman"/>
          <w:sz w:val="19"/>
          <w:szCs w:val="19"/>
          <w:color w:val="1F3763"/>
        </w:rPr>
      </w:pPr>
    </w:p>
    <w:p>
      <w:pPr>
        <w:ind w:right="60" w:firstLine="1410"/>
        <w:spacing w:after="0" w:line="268" w:lineRule="auto"/>
        <w:tabs>
          <w:tab w:leader="none" w:pos="1765" w:val="left"/>
        </w:tabs>
        <w:numPr>
          <w:ilvl w:val="0"/>
          <w:numId w:val="3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 as otherwise provided herein, to the extent that there is more than one Certificateholder, any action which may be taken or consent or instructions which may be given by the Certificateholders under this Agreement may be taken by the Majority Certificateholders at the time of such action.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F5496"/>
        </w:rPr>
        <w:t>ARTICLE V.</w:t>
      </w:r>
    </w:p>
    <w:p>
      <w:pPr>
        <w:spacing w:after="0" w:line="23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b w:val="1"/>
          <w:bCs w:val="1"/>
          <w:color w:val="auto"/>
        </w:rPr>
        <w:t>AUTHORITY AND DUTIES OF OWNER TRUSTEE</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V.1.  </w:t>
      </w:r>
      <w:r>
        <w:rPr>
          <w:rFonts w:ascii="Times New Roman" w:cs="Times New Roman" w:eastAsia="Times New Roman" w:hAnsi="Times New Roman"/>
          <w:sz w:val="19"/>
          <w:szCs w:val="19"/>
          <w:color w:val="000000"/>
        </w:rPr>
        <w:t>General Authority.</w:t>
      </w:r>
    </w:p>
    <w:p>
      <w:pPr>
        <w:spacing w:after="0" w:line="202" w:lineRule="exact"/>
        <w:rPr>
          <w:sz w:val="20"/>
          <w:szCs w:val="20"/>
          <w:color w:val="auto"/>
        </w:rPr>
      </w:pPr>
    </w:p>
    <w:p>
      <w:pPr>
        <w:ind w:right="20" w:firstLine="1410"/>
        <w:spacing w:after="0" w:line="253" w:lineRule="auto"/>
        <w:tabs>
          <w:tab w:leader="none" w:pos="1765" w:val="left"/>
        </w:tabs>
        <w:numPr>
          <w:ilvl w:val="0"/>
          <w:numId w:val="35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is authorized and directed to execute and deliver, in the name of the Trust, the Basic Documents to which the Issuer is named as a party, each certificate or other document attached as an exhibit to or contemplated by the Basic Documents to which the Issuer is named as a party and any amendment thereto and on behalf of the Issuer, each State business license (and any renewal thereof) prepared by the Depositor or the Servicer including a Sales Finance Company Application (and any renewal thereof) with the Pennsylvania Department of Banking, Licensing Division, and a Financial Regulation Application (and any renewal thereof) with the Maryland Department of Labor, Licensing and Regulation, in each case, in such form as the Depositor shall approve as evidenced conclusively by the Owner Trustee's execution thereof, and on behalf of the Issuer, to direct the Indenture Trustee to authenticate and deliver Class A Notes in the aggregate principal amount of $[***], Class B Notes in the aggregate principal amount of $[***], Class C Notes in the aggregate principal amount of $[***], Class D Notes in the aggregate principal amount of $[***] and Class E Notes in the aggregate principal amount of $[***]. For the avoidance of doubt, with respect to any of the foregoing applications and any renewals thereof, the Owner Trustee, in its individual capacity, shall have no responsibility or liability for the representations and warranties of the Trust set forth herein. In addition to the</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10" w:name="page411"/>
    <w:bookmarkEnd w:id="410"/>
    <w:p>
      <w:pPr>
        <w:spacing w:after="0" w:line="2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foregoing, the Owner Trustee is authorized, but shall not be obligated, to take all actions required of the Issuer pursuant to the Basic Documents. The Owner Trustee is further authorized and empowered, but shall not be obligated, from time to time to take such action as is directed by the Servicer, the Depositor or the Majority Certificateholders hereunder, so long as such direction is authorized under this Agreement, such activities are consistent with the terms of the Basic Documents and to the extent that this Agreement expressly requires the consent of one or more Certificateholders, the Holders of the requisite Percentage Interest have consented to for such action.</w:t>
      </w:r>
    </w:p>
    <w:p>
      <w:pPr>
        <w:spacing w:after="0" w:line="154" w:lineRule="exact"/>
        <w:rPr>
          <w:sz w:val="20"/>
          <w:szCs w:val="20"/>
          <w:color w:val="auto"/>
        </w:rPr>
      </w:pPr>
    </w:p>
    <w:p>
      <w:pPr>
        <w:ind w:right="120" w:firstLine="1410"/>
        <w:spacing w:after="0" w:line="286" w:lineRule="auto"/>
        <w:tabs>
          <w:tab w:leader="none" w:pos="1777" w:val="left"/>
        </w:tabs>
        <w:numPr>
          <w:ilvl w:val="0"/>
          <w:numId w:val="35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at the written direction of the Depositor, shall sign on behalf of the Issuer any applicable tax returns of the Issuer, unless applicable law requires a Certificateholder to sign such documents.</w:t>
      </w:r>
    </w:p>
    <w:p>
      <w:pPr>
        <w:spacing w:after="0" w:line="127" w:lineRule="exact"/>
        <w:rPr>
          <w:sz w:val="20"/>
          <w:szCs w:val="20"/>
          <w:color w:val="auto"/>
        </w:rPr>
      </w:pPr>
    </w:p>
    <w:p>
      <w:pPr>
        <w:ind w:right="80" w:firstLine="1404"/>
        <w:spacing w:after="0" w:line="256" w:lineRule="auto"/>
        <w:rPr>
          <w:sz w:val="20"/>
          <w:szCs w:val="20"/>
          <w:color w:val="auto"/>
        </w:rPr>
      </w:pPr>
      <w:r>
        <w:rPr>
          <w:rFonts w:ascii="Times New Roman" w:cs="Times New Roman" w:eastAsia="Times New Roman" w:hAnsi="Times New Roman"/>
          <w:sz w:val="19"/>
          <w:szCs w:val="19"/>
          <w:color w:val="2F5496"/>
        </w:rPr>
        <w:t xml:space="preserve">SECTION V.2. </w:t>
      </w:r>
      <w:r>
        <w:rPr>
          <w:rFonts w:ascii="Times New Roman" w:cs="Times New Roman" w:eastAsia="Times New Roman" w:hAnsi="Times New Roman"/>
          <w:sz w:val="19"/>
          <w:szCs w:val="19"/>
          <w:color w:val="000000"/>
        </w:rPr>
        <w:t>General Duties. It shall be the duty of the Owner Trustee to discharge (or cause to be discharged) all</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of its responsibilities pursuant to the terms of this Agreement and to administer the Issuer in the interest of the Holders, subject to the Basic Documents and in accordance with the provisions of this Agreement. Notwithstanding the foregoing, the Owner Trustee shall be deemed to have discharged its duties and responsibilities hereunder and under the other Basic Documents to the extent the Servicer has agreed, in its role as the Administrator, in the Sale and Servicing Agreement to perform any act or to discharge any duty of the Issuer or the Owner Trustee hereunder or under any other Basic Document, and the Owner Trustee shall not be liable for the default or failure of the Servicer to carry out its obligations hereunder or under the Sale and Servicing Agreement.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V.3.  </w:t>
      </w:r>
      <w:r>
        <w:rPr>
          <w:rFonts w:ascii="Times New Roman" w:cs="Times New Roman" w:eastAsia="Times New Roman" w:hAnsi="Times New Roman"/>
          <w:sz w:val="19"/>
          <w:szCs w:val="19"/>
          <w:color w:val="000000"/>
        </w:rPr>
        <w:t>Action upon Instruction.</w:t>
      </w:r>
    </w:p>
    <w:p>
      <w:pPr>
        <w:spacing w:after="0" w:line="202" w:lineRule="exact"/>
        <w:rPr>
          <w:sz w:val="20"/>
          <w:szCs w:val="20"/>
          <w:color w:val="auto"/>
        </w:rPr>
      </w:pPr>
    </w:p>
    <w:p>
      <w:pPr>
        <w:ind w:firstLine="1410"/>
        <w:spacing w:after="0" w:line="254" w:lineRule="auto"/>
        <w:tabs>
          <w:tab w:leader="none" w:pos="1765" w:val="left"/>
        </w:tabs>
        <w:numPr>
          <w:ilvl w:val="0"/>
          <w:numId w:val="3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 shall have the right to direct the Owner Trustee in the operation and management of the Issuer, including the right to provide direction to the Owner Trustee to execute the documents in the name of the Issuer so long as such directions are not inconsistent with the express terms set forth herein or in the other Basic Documents. The Depositor shall not instruct the Owner Trustee in a manner inconsistent with this Agreement or the other Basic Documents. The Certificateholders shall have the right to direct the Owner Trustee solely to the extent and for the purposes expressly provided for in Article IV of this Agreement. Any direction to the Owner Trustee under this Agreement shall be deemed delivered and effective at such time as a Responsible Officer of the Owner Trustee has possession of and actual knowledge of such direction. The Owner Trustee is entitled to recognize as Majority Certificateholder the Person specified in the definition of "Majority Certificateholder" or such other Person as may be specified from time to time by written notification from the Depositor. The Owner Trustee shall have no liability for any action taken pursuant to its reliance on such written notification.</w:t>
      </w:r>
    </w:p>
    <w:p>
      <w:pPr>
        <w:spacing w:after="0" w:line="160" w:lineRule="exact"/>
        <w:rPr>
          <w:rFonts w:ascii="Times New Roman" w:cs="Times New Roman" w:eastAsia="Times New Roman" w:hAnsi="Times New Roman"/>
          <w:sz w:val="19"/>
          <w:szCs w:val="19"/>
          <w:color w:val="1F3763"/>
        </w:rPr>
      </w:pPr>
    </w:p>
    <w:p>
      <w:pPr>
        <w:ind w:right="80" w:firstLine="1410"/>
        <w:spacing w:after="0" w:line="268" w:lineRule="auto"/>
        <w:tabs>
          <w:tab w:leader="none" w:pos="1777" w:val="left"/>
        </w:tabs>
        <w:numPr>
          <w:ilvl w:val="0"/>
          <w:numId w:val="3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required to take any action hereunder or under any other Basic Document if the Owner Trustee shall have reasonably determined, or shall have been advised by counsel, that such action is likely to result in liability on the part of the Owner Trustee or is contrary to the terms hereof or of any other Basic Document or is otherwise contrary to law.</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1" w:name="page412"/>
    <w:bookmarkEnd w:id="411"/>
    <w:p>
      <w:pPr>
        <w:spacing w:after="0" w:line="269" w:lineRule="exact"/>
        <w:rPr>
          <w:sz w:val="20"/>
          <w:szCs w:val="20"/>
          <w:color w:val="auto"/>
        </w:rPr>
      </w:pPr>
    </w:p>
    <w:p>
      <w:pPr>
        <w:ind w:right="40" w:firstLine="1410"/>
        <w:spacing w:after="0" w:line="255" w:lineRule="auto"/>
        <w:tabs>
          <w:tab w:leader="none" w:pos="1765" w:val="left"/>
        </w:tabs>
        <w:numPr>
          <w:ilvl w:val="0"/>
          <w:numId w:val="35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Whenever the Owner Trustee is unable to decide between alternative courses of action permitted or required by the terms of this Agreement or any other Basic Document, the Owner Trustee shall promptly give notice (in such form as shall be appropriate under the circumstances) to the Depositor requesting instruction as to the course of action to be adopted, and to the extent the Owner Trustee acts in good faith in accordance with any written instruction of the Depositor received, the Owner Trustee shall not be liable on account of such action to any Person. If the Owner Trustee shall not have received appropriate instruction within ten days of such notice (or within such shorter period of time as reasonably may be specified in such notice or may be necessary under the circumstances) it may, but shall be under no duty to, take or refrain from taking such action, not inconsistent with this Agreement or the other Basic Documents, as it shall deem to be in the best interests of the Certificateholders, and shall have no liability to any Person for such action or inaction.</w:t>
      </w:r>
    </w:p>
    <w:p>
      <w:pPr>
        <w:spacing w:after="0" w:line="387" w:lineRule="exact"/>
        <w:rPr>
          <w:rFonts w:ascii="Times New Roman" w:cs="Times New Roman" w:eastAsia="Times New Roman" w:hAnsi="Times New Roman"/>
          <w:sz w:val="19"/>
          <w:szCs w:val="19"/>
          <w:color w:val="1F3763"/>
        </w:rPr>
      </w:pPr>
    </w:p>
    <w:p>
      <w:pPr>
        <w:ind w:right="20" w:firstLine="1410"/>
        <w:spacing w:after="0" w:line="254" w:lineRule="auto"/>
        <w:tabs>
          <w:tab w:leader="none" w:pos="1777" w:val="left"/>
        </w:tabs>
        <w:numPr>
          <w:ilvl w:val="0"/>
          <w:numId w:val="35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the Owner Trustee is unsure as to the application of any provision of this Agreement or any other Basic Document or any such provision is ambiguous as to its application, or is, or appears to be, in conflict with any other applicable provision, or in the event that this Agreement permits any determination by the Owner Trustee or is silent or is incomplete as to the course of action that the Owner Trustee is required to take with respect to a particular set of facts, the Owner Trustee may give notice (in such form as shall be appropriate under the circumstances) to the Depositor requesting instruction and, to the extent that the Owner Trustee acts or refrains from acting in good faith in accordance with any such instruction received, the Owner Trustee shall not be liable, on account of such action or inaction, to any Person. If the Owner Trustee shall not have received appropriate instruction within ten days of such notice (or within such shorter period of time as reasonably may be specified in such notice or may be necessary under the circumstances) it may, but shall be under no duty to, take or refrain from taking such action, not inconsistent with this Agreement or the other Basic Documents, as it shall deem to be in the best interests of the Certificateholders, and shall have no liability to any Person for such action or inaction.</w:t>
      </w:r>
    </w:p>
    <w:p>
      <w:pPr>
        <w:spacing w:after="0" w:line="389"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2F5496"/>
        </w:rPr>
        <w:t xml:space="preserve">SECTION V.4. </w:t>
      </w:r>
      <w:r>
        <w:rPr>
          <w:rFonts w:ascii="Times New Roman" w:cs="Times New Roman" w:eastAsia="Times New Roman" w:hAnsi="Times New Roman"/>
          <w:sz w:val="19"/>
          <w:szCs w:val="19"/>
          <w:color w:val="000000"/>
        </w:rPr>
        <w:t>No Duties Except as Specified in this Agreement or in Instructions. The Owner Trustee shall not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have any duty or obligation to manage, make any payment with respect to, register, record, sell, dispose of, or otherwise deal with the Owner Trust Estate, or to otherwise take or refrain from taking any action under, or in connection with, any document contemplated hereby to which the Issuer is a party, except as expressly provided by the terms of this Agreement or in any document or written instruction received by the Owner Trustee pursuant to Section 5.3; and no implied duties or obligations shall be read into this Agreement or any other Basic Document against the Owner Trustee. The Owner Trustee shall have no responsibility for preparing or filing any financing or continuation statement in any public office at any time, for the accuracy or correctness of any such statement or to otherwise perfect or maintain the perfection of any security interest or lien granted to it or the Issuer or to prepare or file any Commission filing (including any filings required pursuant to the Sarbanes-Oxley Act of 2002 or any rule or regulation promulgated thereunder), regulatory, or other filing (other than the Certificate of Trust and any amendment or cancellation thereof) or report for the Issuer, or to monitor or enforce the satisfaction of any risk retention, insurance, CTA or other regulatory requirements applicable to the Trust, its assets or its beneficial owners or to record this Agreement or any other Basic Document. The Owner Trustee nevertheless agrees that it will, at its own cost and expense, promptly take all action as may be necessary to discharge any Liens on any part of</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2" w:name="page413"/>
    <w:bookmarkEnd w:id="412"/>
    <w:p>
      <w:pPr>
        <w:spacing w:after="0" w:line="26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9"/>
          <w:szCs w:val="19"/>
          <w:color w:val="auto"/>
        </w:rPr>
        <w:t>the Owner Trust Estate that result from actions by, or claims against, the Owner Trustee (solely in its individual capacity) and that are not related to the ownership or the administration of the Owner Trust Estate.</w:t>
      </w:r>
    </w:p>
    <w:p>
      <w:pPr>
        <w:spacing w:after="0" w:line="127" w:lineRule="exact"/>
        <w:rPr>
          <w:sz w:val="20"/>
          <w:szCs w:val="20"/>
          <w:color w:val="auto"/>
        </w:rPr>
      </w:pPr>
    </w:p>
    <w:p>
      <w:pPr>
        <w:jc w:val="both"/>
        <w:ind w:right="100"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V.5. </w:t>
      </w:r>
      <w:r>
        <w:rPr>
          <w:rFonts w:ascii="Times New Roman" w:cs="Times New Roman" w:eastAsia="Times New Roman" w:hAnsi="Times New Roman"/>
          <w:sz w:val="19"/>
          <w:szCs w:val="19"/>
          <w:color w:val="000000"/>
        </w:rPr>
        <w:t>No Action Except under Specified Documents or Instructions. The Owner Trustee shall not manage,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control, use, sell, dispose of or otherwise deal with any part of the Owner Trust Estate except (a) in accordance with the powers granted to and the authority conferred upon the Owner Trustee pursuant to this Agreement, (b) in accordance with the Basic Documents, and (c) in accordance with any document or instruction delivered to the Owner Trustee pursuant to Section 5.3.</w:t>
      </w:r>
    </w:p>
    <w:p>
      <w:pPr>
        <w:spacing w:after="0" w:line="150"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2F5496"/>
        </w:rPr>
        <w:t xml:space="preserve">SECTION V.6. </w:t>
      </w:r>
      <w:r>
        <w:rPr>
          <w:rFonts w:ascii="Times New Roman" w:cs="Times New Roman" w:eastAsia="Times New Roman" w:hAnsi="Times New Roman"/>
          <w:sz w:val="19"/>
          <w:szCs w:val="19"/>
          <w:color w:val="000000"/>
        </w:rPr>
        <w:t>Restrictions. The Owner Trustee shall not take any action (a) that is inconsistent with the purposes of</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Issuer set forth in Section 2.3, (b) that, to the actual knowledge of a Responsible Officer of the Owner Trustee, would (i) affect the treatment of the Notes as indebtedness for U.S. federal income, state and local income, franchise and value added tax purposes, (ii) be deemed to cause a taxable exchange of the Notes for federal income or state income or franchise tax purposes, or (iii) for U.S. federal income tax purposes cause the Issuer, or any portion thereof, to be treated as an association or publicly traded partnership taxable as a corporation, or as a publicly traded partnership, or cease to be treated as other than a fixed investment trust described in Treasury Regulation section 301.7701-4(c) that is treated as a grantor trust under subpart E, Part I of subchapter J of the Code (unless, according to an Opinion of Counsel delivered to the Owner Trustee, the Issuer has already ceased to be treated as a grantor trust for such purposes)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 not in accordance with applicable law.</w:t>
      </w:r>
    </w:p>
    <w:p>
      <w:pPr>
        <w:spacing w:after="0" w:line="180"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2F5496"/>
        </w:rPr>
        <w:t xml:space="preserve">SECTION V.7. </w:t>
      </w:r>
      <w:r>
        <w:rPr>
          <w:rFonts w:ascii="Times New Roman" w:cs="Times New Roman" w:eastAsia="Times New Roman" w:hAnsi="Times New Roman"/>
          <w:sz w:val="19"/>
          <w:szCs w:val="19"/>
          <w:color w:val="000000"/>
        </w:rPr>
        <w:t>Covenants for Reporting of Repurchase Demands due to Breaches of Representations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Warranties. The Owner Trustee will (a) notify United Auto, the Depositor and the Servicer, as soon as practicable and in any event within five Business Days, of all demands or requests received by a Responsible Officer of the Owner Trustee (including to the Owner Trustee on behalf of the Issuer) for the repurchase of any Receivable pursuant to Section 5.1 of the Purchase Agreement or Sections 3.3 and 4.7 of the Sale and Servicing Agreement, (b) promptly upon written request by United Auto, the Depositor or the Servicer, provide to them any other information reasonably requested in good faith that is in the actual possession of the Owner Trustee and necessary to facilitate compliance by them with Rule 15Ga-1 under the Exchange Act, and Items 1104(e) and 1121(c) of Regulation AB and (c) if requested by United Auto, the Depositor or the Servicer, provide a written certification no later than 15 days following the end of any quarter or year that the Owner Trustee has not received any repurchase demands for such period, or if repurchase demands have been received during such period, that the Owner Trustee has provided all the information reasonably requested under clause (b) above. In no event will the Owner Trustee or the Issuer have any responsibility or liability in connection with any filing required to be made by a securitizer under the Exchange Act or Regulation AB. Except as set forth in this Section 5.7, the Owner Trustee shall have no additional duties or obligations with respect to any repurchase demand or to enforce any repurchase obligation of any Person hereunder or under any other Basic Document.</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13" w:name="page414"/>
    <w:bookmarkEnd w:id="413"/>
    <w:p>
      <w:pPr>
        <w:spacing w:after="0" w:line="269" w:lineRule="exact"/>
        <w:rPr>
          <w:sz w:val="20"/>
          <w:szCs w:val="20"/>
          <w:color w:val="auto"/>
        </w:rPr>
      </w:pPr>
    </w:p>
    <w:p>
      <w:pPr>
        <w:jc w:val="both"/>
        <w:ind w:right="20"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V.8. </w:t>
      </w:r>
      <w:r>
        <w:rPr>
          <w:rFonts w:ascii="Times New Roman" w:cs="Times New Roman" w:eastAsia="Times New Roman" w:hAnsi="Times New Roman"/>
          <w:sz w:val="19"/>
          <w:szCs w:val="19"/>
          <w:color w:val="000000"/>
        </w:rPr>
        <w:t>Regulatory Investigations. It shall be the Administrator's duty and responsibility, and not the Owner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Trustee's duty or responsibility, to cause the Trust to comply with, respond to, defend, participate in or otherwise act in connection with any regulatory, administrative, governmental, investigative or other obligation. proceeding or inquiry relating in any way to the Trust, its assets or the conduct of its business.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F5496"/>
        </w:rPr>
        <w:t>ARTICLE VI.</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CONCERNING THE OWNER TRUSTEE</w:t>
      </w:r>
    </w:p>
    <w:p>
      <w:pPr>
        <w:spacing w:after="0" w:line="20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2F5496"/>
        </w:rPr>
        <w:t xml:space="preserve">SECTION VI.1. </w:t>
      </w:r>
      <w:r>
        <w:rPr>
          <w:rFonts w:ascii="Times New Roman" w:cs="Times New Roman" w:eastAsia="Times New Roman" w:hAnsi="Times New Roman"/>
          <w:sz w:val="19"/>
          <w:szCs w:val="19"/>
          <w:color w:val="000000"/>
        </w:rPr>
        <w:t>Acceptance of Trusts and Duties. The Owner Trustee accepts the trusts hereby created and agrees to</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perform its duties hereunder with respect to such trusts but only upon the terms of this Agreement. The Owner Trustee also agrees to disburse all moneys actually received by it constituting part of the Owner Trust Estate upon the terms of the Basic Documents. The Owner Trustee shall not be answerable or accountable hereunder or under any Basic Document under any circumstances, except (i) for its own willful misconduct, bad faith or gross negligence, (ii) in the case of the inaccuracy of any representation or warranty contained in Section 6.3 expressly made by the Owner Trustee, (iii) for liabilities arising from the failure of the Owner Trustee to perform obligations expressly undertaken by it in the last sentence of Section 5.4, or (iv) for taxes, fees or other charges on, based on or measured by, any fees, commissions or compensation received by the Owner Trustee. In particular, but not by way of limitation (and subject to the exceptions set forth in the preceding sentence):</w:t>
      </w:r>
    </w:p>
    <w:p>
      <w:pPr>
        <w:spacing w:after="0" w:line="155" w:lineRule="exact"/>
        <w:rPr>
          <w:sz w:val="20"/>
          <w:szCs w:val="20"/>
          <w:color w:val="auto"/>
        </w:rPr>
      </w:pPr>
    </w:p>
    <w:p>
      <w:pPr>
        <w:jc w:val="both"/>
        <w:ind w:right="700" w:firstLine="1410"/>
        <w:spacing w:after="0" w:line="286" w:lineRule="auto"/>
        <w:tabs>
          <w:tab w:leader="none" w:pos="1765" w:val="left"/>
        </w:tabs>
        <w:numPr>
          <w:ilvl w:val="0"/>
          <w:numId w:val="3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liable for any actions taken or errors of judgment made in good faith by a Responsible Officer or employee of the Owner Trustee (except in the case of willful misconduct, bad faith or gross negligence);</w:t>
      </w:r>
    </w:p>
    <w:p>
      <w:pPr>
        <w:spacing w:after="0" w:line="127" w:lineRule="exact"/>
        <w:rPr>
          <w:rFonts w:ascii="Times New Roman" w:cs="Times New Roman" w:eastAsia="Times New Roman" w:hAnsi="Times New Roman"/>
          <w:sz w:val="19"/>
          <w:szCs w:val="19"/>
          <w:color w:val="1F3763"/>
        </w:rPr>
      </w:pPr>
    </w:p>
    <w:p>
      <w:pPr>
        <w:ind w:right="200" w:firstLine="1410"/>
        <w:spacing w:after="0" w:line="286" w:lineRule="auto"/>
        <w:tabs>
          <w:tab w:leader="none" w:pos="1777" w:val="left"/>
        </w:tabs>
        <w:numPr>
          <w:ilvl w:val="0"/>
          <w:numId w:val="3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liable with respect to any action taken or omitted to be taken by it in accordance with the instructions of the Depositor, Servicer or the Certificateholders;</w:t>
      </w:r>
    </w:p>
    <w:p>
      <w:pPr>
        <w:spacing w:after="0" w:line="127" w:lineRule="exact"/>
        <w:rPr>
          <w:rFonts w:ascii="Times New Roman" w:cs="Times New Roman" w:eastAsia="Times New Roman" w:hAnsi="Times New Roman"/>
          <w:sz w:val="19"/>
          <w:szCs w:val="19"/>
          <w:color w:val="1F3763"/>
        </w:rPr>
      </w:pPr>
    </w:p>
    <w:p>
      <w:pPr>
        <w:jc w:val="both"/>
        <w:ind w:right="20" w:firstLine="1410"/>
        <w:spacing w:after="0" w:line="262" w:lineRule="auto"/>
        <w:tabs>
          <w:tab w:leader="none" w:pos="1765" w:val="left"/>
        </w:tabs>
        <w:numPr>
          <w:ilvl w:val="0"/>
          <w:numId w:val="3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provision of this Agreement or any other Basic Document shall require the Owner Trustee to expend or risk its own funds or otherwise incur any financial liability in the performance of any of its rights or powers hereunder or under any other Basic Document if the Owner Trustee shall have reasonable grounds to believe that repayment of such funds or adequate indemnity against such risk or liability is not reasonably assured or provided to it;</w:t>
      </w:r>
    </w:p>
    <w:p>
      <w:pPr>
        <w:spacing w:after="0" w:line="150" w:lineRule="exact"/>
        <w:rPr>
          <w:rFonts w:ascii="Times New Roman" w:cs="Times New Roman" w:eastAsia="Times New Roman" w:hAnsi="Times New Roman"/>
          <w:sz w:val="19"/>
          <w:szCs w:val="19"/>
          <w:color w:val="1F3763"/>
        </w:rPr>
      </w:pPr>
    </w:p>
    <w:p>
      <w:pPr>
        <w:ind w:right="180" w:firstLine="1410"/>
        <w:spacing w:after="0" w:line="286" w:lineRule="auto"/>
        <w:tabs>
          <w:tab w:leader="none" w:pos="1777" w:val="left"/>
        </w:tabs>
        <w:numPr>
          <w:ilvl w:val="0"/>
          <w:numId w:val="3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under no circumstances shall the Owner Trustee be liable for indebtedness evidenced by or arising under any of the Basic Documents, including the principal of and interest on the Notes;</w:t>
      </w:r>
    </w:p>
    <w:p>
      <w:pPr>
        <w:spacing w:after="0" w:line="127" w:lineRule="exact"/>
        <w:rPr>
          <w:rFonts w:ascii="Times New Roman" w:cs="Times New Roman" w:eastAsia="Times New Roman" w:hAnsi="Times New Roman"/>
          <w:sz w:val="19"/>
          <w:szCs w:val="19"/>
          <w:color w:val="1F3763"/>
        </w:rPr>
      </w:pPr>
    </w:p>
    <w:p>
      <w:pPr>
        <w:ind w:right="40" w:firstLine="1410"/>
        <w:spacing w:after="0" w:line="259" w:lineRule="auto"/>
        <w:tabs>
          <w:tab w:leader="none" w:pos="1765" w:val="left"/>
        </w:tabs>
        <w:numPr>
          <w:ilvl w:val="0"/>
          <w:numId w:val="3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responsible or personally liable for or in respect of the validity or sufficiency of this Agreement or for the due execution hereof by the Depositor or any other Person or for the form, character, genuineness, sufficiency, accuracy, value or validity of any of the Owner Trust Estate or for or in respect of the validity or sufficiency of the Basic Documents or any other documents supplied to the Owner Trustee, and the Owner Trustee shall in no event assume or incur any liability, duty or obligation to the Indenture Trustee, any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14" w:name="page415"/>
    <w:bookmarkEnd w:id="414"/>
    <w:p>
      <w:pPr>
        <w:spacing w:after="0" w:line="26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9"/>
          <w:szCs w:val="19"/>
          <w:color w:val="auto"/>
        </w:rPr>
        <w:t>Noteholder or to any Certificateholder, the Depositor or any other Person, other than as expressly provided for herein and in the other Basic Documents;</w:t>
      </w:r>
    </w:p>
    <w:p>
      <w:pPr>
        <w:spacing w:after="0" w:line="151" w:lineRule="exact"/>
        <w:rPr>
          <w:sz w:val="20"/>
          <w:szCs w:val="20"/>
          <w:color w:val="auto"/>
        </w:rPr>
      </w:pPr>
    </w:p>
    <w:p>
      <w:pPr>
        <w:ind w:firstLine="1410"/>
        <w:spacing w:after="0" w:line="266" w:lineRule="auto"/>
        <w:tabs>
          <w:tab w:leader="none" w:pos="1753" w:val="left"/>
        </w:tabs>
        <w:numPr>
          <w:ilvl w:val="0"/>
          <w:numId w:val="36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responsible or personally liable for recording this Agreement or any other Basic Document, to prepare or file any financing or continuation statement in any public office at any time or to otherwise perfect or maintain the perfection of any ownership or security interest or lien or to prepare or file any tax, qualification to do business or securities law filing or report;</w:t>
      </w:r>
    </w:p>
    <w:p>
      <w:pPr>
        <w:spacing w:after="0" w:line="147" w:lineRule="exact"/>
        <w:rPr>
          <w:rFonts w:ascii="Times New Roman" w:cs="Times New Roman" w:eastAsia="Times New Roman" w:hAnsi="Times New Roman"/>
          <w:sz w:val="19"/>
          <w:szCs w:val="19"/>
          <w:color w:val="1F3763"/>
        </w:rPr>
      </w:pPr>
    </w:p>
    <w:p>
      <w:pPr>
        <w:ind w:right="40" w:firstLine="1410"/>
        <w:spacing w:after="0" w:line="255" w:lineRule="auto"/>
        <w:tabs>
          <w:tab w:leader="none" w:pos="1777" w:val="left"/>
        </w:tabs>
        <w:numPr>
          <w:ilvl w:val="0"/>
          <w:numId w:val="36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liable for the default, misconduct or negligence of the Issuer, the Custodian, the Indenture Trustee, Certificate Registrar, Certificate Paying Agent, the Servicer, the Backup Servicer or any other Person under any of the Basic Documents or otherwise and the Owner Trustee shall have no obligation or liability to perform the obligations under this Agreement or the other Basic Documents that are required to be performed by the Certificate Registrar, the Certificate Paying Agent, the Indenture Trustee, the Custodian, the Servicer, the Backup Servicer or any other Person, and the Owner Trustee may assume performance by the Certificate Paying Agent, the Certificate Registrar, the Custodian, the Servicer, the Backup Servicer, the Indenture Trustee and any other Person under this Agreement and the Basic Documents absent written notice to or actual knowledge of a Responsible Officer of the Owner Trustee to the contrary;</w:t>
      </w:r>
    </w:p>
    <w:p>
      <w:pPr>
        <w:spacing w:after="0" w:line="159" w:lineRule="exact"/>
        <w:rPr>
          <w:rFonts w:ascii="Times New Roman" w:cs="Times New Roman" w:eastAsia="Times New Roman" w:hAnsi="Times New Roman"/>
          <w:sz w:val="19"/>
          <w:szCs w:val="19"/>
          <w:color w:val="1F3763"/>
        </w:rPr>
      </w:pPr>
    </w:p>
    <w:p>
      <w:pPr>
        <w:ind w:right="40" w:firstLine="1410"/>
        <w:spacing w:after="0" w:line="256" w:lineRule="auto"/>
        <w:tabs>
          <w:tab w:leader="none" w:pos="1777" w:val="left"/>
        </w:tabs>
        <w:numPr>
          <w:ilvl w:val="0"/>
          <w:numId w:val="36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be under no obligation to exercise any of the rights or powers vested in it by this Agreement, or to institute, conduct or defend any litigation under this Agreement or otherwise or in relation to this Agreement or any other Basic Document, at the request, order or direction of the Certificateholders, unless the Certificateholders have offered to the Owner Trustee security or indemnity satisfactory to it against the costs, expenses, losses, damages and liabilities that may be incurred by the Owner Trustee thereby; the right of the Owner Trustee to perform any discretionary act enumerated in this Agreement or in any other Basic Document shall not be construed as a duty, and the Owner Trustee shall not be answerable for other than its gross negligence, bad faith or willful misconduct in the performance of any such act;</w:t>
      </w:r>
    </w:p>
    <w:p>
      <w:pPr>
        <w:spacing w:after="0" w:line="157" w:lineRule="exact"/>
        <w:rPr>
          <w:rFonts w:ascii="Times New Roman" w:cs="Times New Roman" w:eastAsia="Times New Roman" w:hAnsi="Times New Roman"/>
          <w:sz w:val="19"/>
          <w:szCs w:val="19"/>
          <w:color w:val="1F3763"/>
        </w:rPr>
      </w:pPr>
    </w:p>
    <w:p>
      <w:pPr>
        <w:ind w:right="100" w:firstLine="1410"/>
        <w:spacing w:after="0" w:line="255" w:lineRule="auto"/>
        <w:tabs>
          <w:tab w:leader="none" w:pos="1729" w:val="left"/>
        </w:tabs>
        <w:numPr>
          <w:ilvl w:val="0"/>
          <w:numId w:val="36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no event shall the Owner Trustee be personally liable for (i) any damages in the nature of special, indirect, punitive or consequential damages, however styled, including, without limitation, lost profits, or (ii) any losses due to forces beyond the control of the Owner Trustee, including, without limitation, strikes, work stoppages, acts of war or terrorism, disease, epidemic or pandemic, quarantine, civil unrest, insurrection, revolution, national emergency, nuclear or natural catastrophes or acts of God, interruptions, provision of any present or future law or regulation or any act of any court or governmental authority, computer hardware or software failure, malware or ransomware attack, unavailability of the Federal Reserve Bank wire or telex system or other applicable wire or funds transfer system, unavailability of any securities clearing system or loss or malfunctions of utilities or communications services;</w:t>
      </w:r>
    </w:p>
    <w:p>
      <w:pPr>
        <w:spacing w:after="0" w:line="159" w:lineRule="exact"/>
        <w:rPr>
          <w:rFonts w:ascii="Times New Roman" w:cs="Times New Roman" w:eastAsia="Times New Roman" w:hAnsi="Times New Roman"/>
          <w:sz w:val="19"/>
          <w:szCs w:val="19"/>
          <w:color w:val="1F3763"/>
        </w:rPr>
      </w:pPr>
    </w:p>
    <w:p>
      <w:pPr>
        <w:jc w:val="both"/>
        <w:ind w:right="100" w:firstLine="1410"/>
        <w:spacing w:after="0" w:line="262" w:lineRule="auto"/>
        <w:tabs>
          <w:tab w:leader="none" w:pos="1729" w:val="left"/>
        </w:tabs>
        <w:numPr>
          <w:ilvl w:val="0"/>
          <w:numId w:val="36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have any responsibility, obligation or duty to (or liability for failing to) (i) supervise, confirm, verify or monitor the performance of any other Person (including without limitation, the Depositor, the Servicer, the Indenture Trustee, the Custodian or the Administrator) or (ii) notify regarding or otherwise enforce the requirements or commitments applicable to any Person arising under, related to or otherwise in connection with</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5" w:name="page416"/>
    <w:bookmarkEnd w:id="415"/>
    <w:p>
      <w:pPr>
        <w:spacing w:after="0" w:line="2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any provision of the Basic Documents, and the Owner Trustee shall have no liability or responsibility for the acts of any other Person or the failure of any other Person to perform its requirements, commitments, obligations or duties arising under the Basic Documents or otherwise;</w:t>
      </w:r>
    </w:p>
    <w:p>
      <w:pPr>
        <w:spacing w:after="0" w:line="144" w:lineRule="exact"/>
        <w:rPr>
          <w:sz w:val="20"/>
          <w:szCs w:val="20"/>
          <w:color w:val="auto"/>
        </w:rPr>
      </w:pPr>
    </w:p>
    <w:p>
      <w:pPr>
        <w:ind w:right="60" w:firstLine="1410"/>
        <w:spacing w:after="0" w:line="286" w:lineRule="auto"/>
        <w:tabs>
          <w:tab w:leader="none" w:pos="1777" w:val="left"/>
        </w:tabs>
        <w:numPr>
          <w:ilvl w:val="0"/>
          <w:numId w:val="36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required to investigate any claims for the breach by any Person of a representation or warranty under any of the Basic Documents;</w:t>
      </w:r>
    </w:p>
    <w:p>
      <w:pPr>
        <w:spacing w:after="0" w:line="127" w:lineRule="exact"/>
        <w:rPr>
          <w:rFonts w:ascii="Times New Roman" w:cs="Times New Roman" w:eastAsia="Times New Roman" w:hAnsi="Times New Roman"/>
          <w:sz w:val="19"/>
          <w:szCs w:val="19"/>
          <w:color w:val="1F3763"/>
        </w:rPr>
      </w:pPr>
    </w:p>
    <w:p>
      <w:pPr>
        <w:ind w:firstLine="1410"/>
        <w:spacing w:after="0" w:line="254" w:lineRule="auto"/>
        <w:tabs>
          <w:tab w:leader="none" w:pos="1729" w:val="left"/>
        </w:tabs>
        <w:numPr>
          <w:ilvl w:val="0"/>
          <w:numId w:val="36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deemed to have actual knowledge or notice of any event or information, including any Event of Default, or be required to act upon any event or information (including the sending of any notice), unless a Responsible Officer of the Owner Trustee actually knows of such event or information or a Responsible Officer of the Owner Trustee receives written notice of such event or information; absent actual knowledge of a Responsible Officer of the Owner Trustee or receipt of written notice by a Responsible Officer of the Owner Trustee in accordance with this Section, the Owner Trustee may conclusively assume that no such event has occurred; the Owner Trustee shall have no obligation to inquire into, or investigate as to, the occurrence of any such event (including any Event of Default); and for purposes of determining the Owner Trustee's responsibility and liability hereunder, whenever reference is made in this Agreement to any event (including an Event of Default), such reference shall be construed to refer only to such event of which a Responsible Officer of the Owner Trustee has actual knowledge or has received written notice as described in this Section;</w:t>
      </w:r>
    </w:p>
    <w:p>
      <w:pPr>
        <w:spacing w:after="0" w:line="160" w:lineRule="exact"/>
        <w:rPr>
          <w:rFonts w:ascii="Times New Roman" w:cs="Times New Roman" w:eastAsia="Times New Roman" w:hAnsi="Times New Roman"/>
          <w:sz w:val="19"/>
          <w:szCs w:val="19"/>
          <w:color w:val="1F3763"/>
        </w:rPr>
      </w:pPr>
    </w:p>
    <w:p>
      <w:pPr>
        <w:ind w:right="200" w:firstLine="1410"/>
        <w:spacing w:after="0" w:line="257" w:lineRule="auto"/>
        <w:tabs>
          <w:tab w:leader="none" w:pos="1825" w:val="left"/>
        </w:tabs>
        <w:numPr>
          <w:ilvl w:val="0"/>
          <w:numId w:val="36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Trustee's receipt of delivery of any reports, information or other documents hereunder and any publicly available information is for informational purposes only and shall not constitute actual or constructive knowledge or notice to the Owner Trustee unless the Owner Trustee has an obligation under this Agreement or any of the other Basic Documents to review its content, including any Person's compliance with any of its covenants and obligations under the Basic Documents; the Owner Trustee shall be entitled to rely exclusively on Officer's Certificates provided by such Persons to confirm compliance with such covenants and obligations, but shall have no duty to request or otherwise monitor the delivery of such Officer's Certificates; and</w:t>
      </w:r>
    </w:p>
    <w:p>
      <w:pPr>
        <w:spacing w:after="0" w:line="156" w:lineRule="exact"/>
        <w:rPr>
          <w:rFonts w:ascii="Times New Roman" w:cs="Times New Roman" w:eastAsia="Times New Roman" w:hAnsi="Times New Roman"/>
          <w:sz w:val="19"/>
          <w:szCs w:val="19"/>
          <w:color w:val="1F3763"/>
        </w:rPr>
      </w:pPr>
    </w:p>
    <w:p>
      <w:pPr>
        <w:ind w:right="960" w:firstLine="1410"/>
        <w:spacing w:after="0" w:line="286" w:lineRule="auto"/>
        <w:tabs>
          <w:tab w:leader="none" w:pos="1777" w:val="left"/>
        </w:tabs>
        <w:numPr>
          <w:ilvl w:val="0"/>
          <w:numId w:val="36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responsible for determining whether any document defect or breach of representations or warranty under any of the Basic Documents has occurred.</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VI.2.  </w:t>
      </w:r>
      <w:r>
        <w:rPr>
          <w:rFonts w:ascii="Times New Roman" w:cs="Times New Roman" w:eastAsia="Times New Roman" w:hAnsi="Times New Roman"/>
          <w:sz w:val="19"/>
          <w:szCs w:val="19"/>
          <w:color w:val="000000"/>
        </w:rPr>
        <w:t>Furnishing of Documents; Tax Returns.</w:t>
      </w:r>
    </w:p>
    <w:p>
      <w:pPr>
        <w:spacing w:after="0" w:line="202" w:lineRule="exact"/>
        <w:rPr>
          <w:sz w:val="20"/>
          <w:szCs w:val="20"/>
          <w:color w:val="auto"/>
        </w:rPr>
      </w:pPr>
    </w:p>
    <w:p>
      <w:pPr>
        <w:ind w:right="40" w:firstLine="1410"/>
        <w:spacing w:after="0" w:line="257" w:lineRule="auto"/>
        <w:tabs>
          <w:tab w:leader="none" w:pos="1765" w:val="left"/>
        </w:tabs>
        <w:numPr>
          <w:ilvl w:val="0"/>
          <w:numId w:val="36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receipt of a written request therefor, the Owner Trustee, with the consent of the Servicer, shall cause duplicates or copies of the Basic Documents and all reports, notices, requests, demands, certificates, financial statements, opinions and any other instruments furnished to the Owner Trustee under the Basic Documents to be posted on the Certificate Paying Agent’s internet website which shall be initially located at www.CTSLink.com or at such other address as shall be specified by the Certificate Paying Agent from time to time in writing to the Certificateholders. Access to such internet website is available only with the use of a password provided by the Certificate Paying Agent.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6" w:name="page417"/>
    <w:bookmarkEnd w:id="416"/>
    <w:p>
      <w:pPr>
        <w:spacing w:after="0" w:line="269" w:lineRule="exact"/>
        <w:rPr>
          <w:sz w:val="20"/>
          <w:szCs w:val="20"/>
          <w:color w:val="auto"/>
        </w:rPr>
      </w:pPr>
    </w:p>
    <w:p>
      <w:pPr>
        <w:ind w:right="20" w:firstLine="1410"/>
        <w:spacing w:after="0" w:line="259" w:lineRule="auto"/>
        <w:tabs>
          <w:tab w:leader="none" w:pos="1777" w:val="left"/>
        </w:tabs>
        <w:numPr>
          <w:ilvl w:val="0"/>
          <w:numId w:val="3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in its capacity as Administrator, will prepare or, at the request of the Servicer, the Certificate Paying Agent will prepare (or cause to be prepared) for each Certificateholder or Certificate Owner such information in its possession that is customarily provided to a Certificateholder or Certificate Owner each year to enable each Certificateholder or Certificate Owner to prepare its federal and state income tax returns and will provide any further information reasonably requested by such Certificateholder or Certificate Owner to the extent such information is reasonably obtainable.</w:t>
      </w:r>
    </w:p>
    <w:p>
      <w:pPr>
        <w:spacing w:after="0" w:line="153" w:lineRule="exact"/>
        <w:rPr>
          <w:rFonts w:ascii="Times New Roman" w:cs="Times New Roman" w:eastAsia="Times New Roman" w:hAnsi="Times New Roman"/>
          <w:sz w:val="19"/>
          <w:szCs w:val="19"/>
          <w:color w:val="1F3763"/>
        </w:rPr>
      </w:pPr>
    </w:p>
    <w:p>
      <w:pPr>
        <w:ind w:right="160" w:firstLine="1410"/>
        <w:spacing w:after="0" w:line="262" w:lineRule="auto"/>
        <w:tabs>
          <w:tab w:leader="none" w:pos="1765" w:val="left"/>
        </w:tabs>
        <w:numPr>
          <w:ilvl w:val="0"/>
          <w:numId w:val="3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in its capacity as Administrator, will deliver to the Issuer, on or before April 30 of each year, beginning on April 30, 2026, a report regarding the Servicer's assessment of compliance with certain minimum servicing criteria during the immediately preceding calendar year, consistent with the requirements of Rules 13a-18 and 15d-18 of the Exchange Act and Item 1122 of Regulation AB.</w:t>
      </w:r>
    </w:p>
    <w:p>
      <w:pPr>
        <w:spacing w:after="0" w:line="150" w:lineRule="exact"/>
        <w:rPr>
          <w:rFonts w:ascii="Times New Roman" w:cs="Times New Roman" w:eastAsia="Times New Roman" w:hAnsi="Times New Roman"/>
          <w:sz w:val="19"/>
          <w:szCs w:val="19"/>
          <w:color w:val="1F3763"/>
        </w:rPr>
      </w:pPr>
    </w:p>
    <w:p>
      <w:pPr>
        <w:ind w:right="80" w:firstLine="1410"/>
        <w:spacing w:after="0" w:line="254" w:lineRule="auto"/>
        <w:tabs>
          <w:tab w:leader="none" w:pos="1777" w:val="left"/>
        </w:tabs>
        <w:numPr>
          <w:ilvl w:val="0"/>
          <w:numId w:val="3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in its capacity as Administrator, shall cause a firm of independent certified public accountants (the "Independent Accountants"), who may also render other services to the Servicer or its Affiliates, to deliver to the Owner Trustee, on or before April 30 (or 90 days after the end of the Issuer's fiscal year, if other than December 31) of each year, beginning April 30, 2026, a report, dated as of December 31 of the preceding calendar year, addressed to the board of directors of the Servicer, providing its attestation report on the servicing assessment delivered pursuant to Section 4.10(c) of the Sale and Servicing Agreement, including disclosure of any material instance of non-compliance, consistent with the requirements of Rule 13a-18 and 15d-18 of the Exchange Act and Item 1122(b) of Regulation AB. In the event such Independent Accountants require the Owner Trustee to agree to the procedures to be performed by such firm in any such reports, the Servicer shall direct the Owner Trustee in writing to so agree and the Owner Trustee will deliver such letter of agreement in conclusive reliance upon the direction of the Servicer, notwithstanding any contrary direction from the Depositor; it being understood and agreed that the Owner Trustee will not make any independent inquiry or investigation as to, and shall have no obligation or liability in respect of, the sufficiency, validity or correctness of such procedures.</w:t>
      </w:r>
    </w:p>
    <w:p>
      <w:pPr>
        <w:spacing w:after="0" w:line="157" w:lineRule="exact"/>
        <w:rPr>
          <w:rFonts w:ascii="Times New Roman" w:cs="Times New Roman" w:eastAsia="Times New Roman" w:hAnsi="Times New Roman"/>
          <w:sz w:val="19"/>
          <w:szCs w:val="19"/>
          <w:color w:val="1F3763"/>
        </w:rPr>
      </w:pPr>
    </w:p>
    <w:p>
      <w:pPr>
        <w:ind w:firstLine="1410"/>
        <w:spacing w:after="0" w:line="254" w:lineRule="auto"/>
        <w:tabs>
          <w:tab w:leader="none" w:pos="1765" w:val="left"/>
        </w:tabs>
        <w:numPr>
          <w:ilvl w:val="0"/>
          <w:numId w:val="3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request by a Certificateholder or Certificate Owner, and with the consent of the Servicer, the Owner Trustee shall, to the extent such documents are in its actual possession, cause the Servicer’s compliance report and the accountants’ attestation delivered pursuant to Sections 4.10 and 4.11 of the Sale and Servicing Agreement (and Sections 6.2(c) and (d) above), to be posted on the Certificate Paying Agent’s internet website which shall be initially located at www.CTSLink.com or at such other address as shall be specified by the Certificate Paying Agent from time to time in writing to the Certificateholders. Access to such internet website is available only with the use of a password provided by the Certificate Paying Agent. The Owner Trustee and the Certificate Paying Agent will make no representation or warranties as to the accuracy or completeness of such documents and will assume no responsibility therefor. In connection with providing access to the Certificate Paying Agent’s website, the Certificate Paying Agent may require registration and the acceptance of a disclaimer. Neither the Owner Trustee nor Certificate Paying Agent shall be liable for the dissemination of information in accordance with this Agreement or the other Basic Documents.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7" w:name="page418"/>
    <w:bookmarkEnd w:id="417"/>
    <w:p>
      <w:pPr>
        <w:spacing w:after="0" w:line="269"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2F5496"/>
        </w:rPr>
        <w:t xml:space="preserve">SECTION VI.3. </w:t>
      </w:r>
      <w:r>
        <w:rPr>
          <w:rFonts w:ascii="Times New Roman" w:cs="Times New Roman" w:eastAsia="Times New Roman" w:hAnsi="Times New Roman"/>
          <w:sz w:val="19"/>
          <w:szCs w:val="19"/>
          <w:color w:val="000000"/>
        </w:rPr>
        <w:t>Representations and Warranties. Computershare Delaware Trust Company hereby represents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warrants to the Depositor and the Holders, that:</w:t>
      </w:r>
    </w:p>
    <w:p>
      <w:pPr>
        <w:spacing w:after="0" w:line="127" w:lineRule="exact"/>
        <w:rPr>
          <w:sz w:val="20"/>
          <w:szCs w:val="20"/>
          <w:color w:val="auto"/>
        </w:rPr>
      </w:pPr>
    </w:p>
    <w:p>
      <w:pPr>
        <w:ind w:right="20" w:firstLine="1410"/>
        <w:spacing w:after="0" w:line="268" w:lineRule="auto"/>
        <w:tabs>
          <w:tab w:leader="none" w:pos="1765" w:val="left"/>
        </w:tabs>
        <w:numPr>
          <w:ilvl w:val="0"/>
          <w:numId w:val="36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is a Delaware limited purpose trust company with trust powers validly existing and in good standing under the laws of the State of Delaware. It has all requisite corporate power and authority to execute, deliver and perform its obligations under this Agreement.</w:t>
      </w:r>
    </w:p>
    <w:p>
      <w:pPr>
        <w:spacing w:after="0" w:line="144" w:lineRule="exact"/>
        <w:rPr>
          <w:rFonts w:ascii="Times New Roman" w:cs="Times New Roman" w:eastAsia="Times New Roman" w:hAnsi="Times New Roman"/>
          <w:sz w:val="19"/>
          <w:szCs w:val="19"/>
          <w:color w:val="1F3763"/>
        </w:rPr>
      </w:pPr>
    </w:p>
    <w:p>
      <w:pPr>
        <w:ind w:firstLine="1410"/>
        <w:spacing w:after="0" w:line="268" w:lineRule="auto"/>
        <w:tabs>
          <w:tab w:leader="none" w:pos="1777" w:val="left"/>
        </w:tabs>
        <w:numPr>
          <w:ilvl w:val="0"/>
          <w:numId w:val="36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It has taken all corporate action necessary to authorize the execution and delivery by it of this Agreement, and this Agreement will be executed and delivered by one of its officers who is duly authorized to execute and deliver this Agreement on its behalf.</w:t>
      </w:r>
    </w:p>
    <w:p>
      <w:pPr>
        <w:spacing w:after="0" w:line="144" w:lineRule="exact"/>
        <w:rPr>
          <w:rFonts w:ascii="Times New Roman" w:cs="Times New Roman" w:eastAsia="Times New Roman" w:hAnsi="Times New Roman"/>
          <w:sz w:val="19"/>
          <w:szCs w:val="19"/>
          <w:color w:val="1F3763"/>
        </w:rPr>
      </w:pPr>
    </w:p>
    <w:p>
      <w:pPr>
        <w:ind w:right="100" w:firstLine="1410"/>
        <w:spacing w:after="0" w:line="259" w:lineRule="auto"/>
        <w:tabs>
          <w:tab w:leader="none" w:pos="1765" w:val="left"/>
        </w:tabs>
        <w:numPr>
          <w:ilvl w:val="0"/>
          <w:numId w:val="36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Neither the execution nor the delivery by it of this Agreement, nor the consummation by it of the transactions contemplated hereby nor compliance by it with any of the terms or provisions hereof will contravene any federal or Delaware State law, governmental rule or regulation governing the banking or trust powers of Computershare Delaware Trust Company or any judgment or order binding on it, or constitute any default under its articles of association or by-laws or any indenture, mortgage, contract, agreement or instrument to which it is a party or by which any of its properties may be bound.</w:t>
      </w:r>
    </w:p>
    <w:p>
      <w:pPr>
        <w:spacing w:after="0" w:line="153" w:lineRule="exact"/>
        <w:rPr>
          <w:rFonts w:ascii="Times New Roman" w:cs="Times New Roman" w:eastAsia="Times New Roman" w:hAnsi="Times New Roman"/>
          <w:sz w:val="19"/>
          <w:szCs w:val="19"/>
          <w:color w:val="1F3763"/>
        </w:rPr>
      </w:pPr>
    </w:p>
    <w:p>
      <w:pPr>
        <w:ind w:right="60" w:firstLine="1410"/>
        <w:spacing w:after="0" w:line="257" w:lineRule="auto"/>
        <w:tabs>
          <w:tab w:leader="none" w:pos="1777" w:val="left"/>
        </w:tabs>
        <w:numPr>
          <w:ilvl w:val="0"/>
          <w:numId w:val="36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Agreement has been, or, when executed and delivered will have been, duly authorized, validly executed and delivered by Computershare Delaware Trust Company and constitutes, a valid and binding agreement of Computershare Delaware Trust Company, enforceable against Computershare Delaware Trust Company in accordance with its terms, except to the extent that enforceability may (i) be subject to insolvency, bankruptcy, reorganization, moratorium, or other similar laws, regulations or procedures of general applicability now or hereinafter in effect relating to or affecting creditor's rights generally and (ii) be limited by general principles of equity (whether considered in a proceeding at law or in equity).</w:t>
      </w:r>
    </w:p>
    <w:p>
      <w:pPr>
        <w:spacing w:after="0" w:line="156" w:lineRule="exact"/>
        <w:rPr>
          <w:rFonts w:ascii="Times New Roman" w:cs="Times New Roman" w:eastAsia="Times New Roman" w:hAnsi="Times New Roman"/>
          <w:sz w:val="19"/>
          <w:szCs w:val="19"/>
          <w:color w:val="1F3763"/>
        </w:rPr>
      </w:pPr>
    </w:p>
    <w:p>
      <w:pPr>
        <w:ind w:right="240" w:firstLine="1410"/>
        <w:spacing w:after="0" w:line="259" w:lineRule="auto"/>
        <w:tabs>
          <w:tab w:leader="none" w:pos="1765" w:val="left"/>
        </w:tabs>
        <w:numPr>
          <w:ilvl w:val="0"/>
          <w:numId w:val="36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There are no proceedings or investigations pending or, to the actual knowledge of a Responsible Officer of Computershare Delaware Trust Company, threatened, before any court, regulatory body, administrative agency or other governmental instrumentality having jurisdiction over Computershare Delaware Trust Company or its properties (i) asserting the invalidity of this Agreement or (ii) seeking any determination or ruling that might materially and adversely affect the performance by Computershare Delaware Trust Company of its obligations under, or the validity or enforceability of, this Agreement or any other Basic Document.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VI.4.  </w:t>
      </w:r>
      <w:r>
        <w:rPr>
          <w:rFonts w:ascii="Times New Roman" w:cs="Times New Roman" w:eastAsia="Times New Roman" w:hAnsi="Times New Roman"/>
          <w:sz w:val="19"/>
          <w:szCs w:val="19"/>
          <w:color w:val="000000"/>
        </w:rPr>
        <w:t>Reliance; Advice of Counsel.</w:t>
      </w:r>
    </w:p>
    <w:p>
      <w:pPr>
        <w:spacing w:after="0" w:line="202" w:lineRule="exact"/>
        <w:rPr>
          <w:sz w:val="20"/>
          <w:szCs w:val="20"/>
          <w:color w:val="auto"/>
        </w:rPr>
      </w:pPr>
    </w:p>
    <w:p>
      <w:pPr>
        <w:ind w:right="20" w:firstLine="1410"/>
        <w:spacing w:after="0" w:line="255" w:lineRule="auto"/>
        <w:tabs>
          <w:tab w:leader="none" w:pos="1765" w:val="left"/>
        </w:tabs>
        <w:numPr>
          <w:ilvl w:val="0"/>
          <w:numId w:val="36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incur no liability to anyone in acting upon any signature, instrument, notice, resolution, request, consent, order, judgment, certificate, report, opinion, bond or other document or paper believed by it to be genuine and believed by it to be signed by the proper party or parties. The Owner Trustee may request and conclusively rely (and shall be fully protected in relying) upon an Opinion of Counsel. The Owner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method of the determination of which is not specifically prescribed herein, the Owner Trustee may for all purposes hereof request and rely on a certificate, signed by the president or any vice president or by the treasurer, secretary or other authorized officers of the relevant party, as to such fact or matter, and such certificate shall</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8" w:name="page419"/>
    <w:bookmarkEnd w:id="418"/>
    <w:p>
      <w:pPr>
        <w:spacing w:after="0" w:line="26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constitute full protection to the Owner Trustee for any action taken or omitted to be taken by it in good faith in reliance thereon. The Owner Trustee need not investigate or re -calculate, evaluate, verify or independently determine the accuracy of any report, certificate, information, statement, representation or warranty or any fact of matter stated in any such document and may conclusively rely as to the truth of the statements and the correctness of the opinions expressed therein.</w:t>
      </w:r>
    </w:p>
    <w:p>
      <w:pPr>
        <w:spacing w:after="0" w:line="150" w:lineRule="exact"/>
        <w:rPr>
          <w:sz w:val="20"/>
          <w:szCs w:val="20"/>
          <w:color w:val="auto"/>
        </w:rPr>
      </w:pPr>
    </w:p>
    <w:p>
      <w:pPr>
        <w:ind w:right="60" w:firstLine="1410"/>
        <w:spacing w:after="0" w:line="255" w:lineRule="auto"/>
        <w:tabs>
          <w:tab w:leader="none" w:pos="1777" w:val="left"/>
        </w:tabs>
        <w:numPr>
          <w:ilvl w:val="0"/>
          <w:numId w:val="3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exercise or administration of the trusts hereunder and in the performance of its duties and obligations under this Agreement and the other Basic Documents, the Owner Trustee (i) may act directly or through its Affiliates, agents or attorneys pursuant to agreements entered into with any of them, and the Owner Trustee shall not be liable for the supervision, conduct, negligence or misconduct of such Affiliates, agents or attorneys if such agents or attorneys shall have been selected by the Owner Trustee with reasonable care, and (ii) may consult with counsel (and shall be entitled to maintain attorney-client privilege in connection with such representation), accountants and other skilled persons to be selected with reasonable care and employed by it. The Owner Trustee shall not be liable for anything done, suffered or omitted in good faith by it in accordance with the opinion or advice of any such counsel, accountants or other such persons and according to such opinion not contrary to this Agreement or any other Basic Document.</w:t>
      </w:r>
    </w:p>
    <w:p>
      <w:pPr>
        <w:spacing w:after="0" w:line="160"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VI.5. </w:t>
      </w:r>
      <w:r>
        <w:rPr>
          <w:rFonts w:ascii="Times New Roman" w:cs="Times New Roman" w:eastAsia="Times New Roman" w:hAnsi="Times New Roman"/>
          <w:sz w:val="19"/>
          <w:szCs w:val="19"/>
          <w:color w:val="000000"/>
        </w:rPr>
        <w:t>Not Acting in Individual Capacity. Except as provided in this Article VI, in accepting the trust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hereby created Computershare Delaware Trust Company acts solely as Owner Trustee hereunder and not in its individual capacity and all Persons having any claim against the Owner Trustee by reason of the transactions contemplated by this Agreement or any Basic Document shall look only to the Owner Trust Estate for payment or satisfaction thereof.</w:t>
      </w:r>
    </w:p>
    <w:p>
      <w:pPr>
        <w:spacing w:after="0" w:line="150"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2F5496"/>
        </w:rPr>
        <w:t xml:space="preserve">SECTION VI.6. </w:t>
      </w:r>
      <w:r>
        <w:rPr>
          <w:rFonts w:ascii="Times New Roman" w:cs="Times New Roman" w:eastAsia="Times New Roman" w:hAnsi="Times New Roman"/>
          <w:sz w:val="19"/>
          <w:szCs w:val="19"/>
          <w:color w:val="000000"/>
        </w:rPr>
        <w:t>Owner Trustee Not Liable for Certificates or Receivables. The recitals contained herein and in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Certificates (other than the countersignature of the Owner Trustee on the Certificates) shall be taken as the statements of the Depositor and the Owner Trustee assumes no responsibility for the correctness thereof. The Owner Trustee makes no representations as to the validity, enforceability or sufficiency of this Agreement, of any other Basic Document or of the Certificates (other than the signature and countersignature of the Owner Trustee on the Certificates) or the Notes, or of any Receivable or related documents. The Owner Trustee shall at no time have any responsibility or liability for or with respect to the legality, validity and enforceability of any Receivable, or the perfection and priority of any security interest created by any Receivable in any Financed Vehicle or the maintenance of any such perfection and priority, or for or with respect to the sufficiency of the Owner Trust Estate or its ability to generate the payments to be distributed to the Certificateholders under this Agreement or the Noteholders under the Indenture, including: the existence, condition and ownership of any Financed Vehicle; the existence and enforceability of any insurance thereon; the existence and contents of any Receivable on any computer or other record thereof; the validity of the assignment of any Receivable to the Issuer or of any intervening assignment; the completeness of any Receivable; the performance or enforcement of any Receivable; the compliance by the Depositor, the Servicer or any other Person with any warranty or representation made under any Basic Document or in</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9" w:name="page420"/>
    <w:bookmarkEnd w:id="419"/>
    <w:p>
      <w:pPr>
        <w:spacing w:after="0" w:line="26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color w:val="auto"/>
        </w:rPr>
        <w:t>any related document; or the accuracy of any such warranty or representation or any action of the Indenture Trustee or the Servicer or any subservicer taken in the name of the Owner Trustee.</w:t>
      </w:r>
    </w:p>
    <w:p>
      <w:pPr>
        <w:spacing w:after="0" w:line="127"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2F5496"/>
        </w:rPr>
        <w:t xml:space="preserve">SECTION VI.7. </w:t>
      </w:r>
      <w:r>
        <w:rPr>
          <w:rFonts w:ascii="Times New Roman" w:cs="Times New Roman" w:eastAsia="Times New Roman" w:hAnsi="Times New Roman"/>
          <w:sz w:val="19"/>
          <w:szCs w:val="19"/>
          <w:color w:val="000000"/>
        </w:rPr>
        <w:t>Owner Trustee May Own Securities. The Owner Trustee in its individual or any other capacity may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become the owner or pledgee of Securities and may deal with the Depositor, the Indenture Trustee, the Certificate Registrar, the Certificate Paying Agent and the Servicer in banking transactions with the same rights as it would have if it were not Owner Trustee.</w:t>
      </w:r>
    </w:p>
    <w:p>
      <w:pPr>
        <w:spacing w:after="0" w:line="14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2F5496"/>
        </w:rPr>
        <w:t xml:space="preserve">SECTION VI.8. </w:t>
      </w:r>
      <w:r>
        <w:rPr>
          <w:rFonts w:ascii="Times New Roman" w:cs="Times New Roman" w:eastAsia="Times New Roman" w:hAnsi="Times New Roman"/>
          <w:sz w:val="19"/>
          <w:szCs w:val="19"/>
          <w:color w:val="000000"/>
        </w:rPr>
        <w:t>Payments from Owner Trust Estate. All payments to be made by the Certificate Paying Agent under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this Agreement or any of the other Basic Documents to which the Issuer or the Owner Trustee is a party shall be made only from the income and proceeds of the Owner Trust Estate and only to the extent that the Certificate Paying Agent shall have received income or proceeds from the Owner Trust Estate to make such payments in accordance with the terms hereof. Neither Computershare Delaware Trust Company, nor Computershare Trust Company, N.A., nor any successors thereto, in their individual capacity, shall be liable for any amounts payable under this Agreement or any of the other Basic Documents to which the Issuer or the Owner Trustee is a party.</w:t>
      </w:r>
    </w:p>
    <w:p>
      <w:pPr>
        <w:spacing w:after="0" w:line="157"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2F5496"/>
        </w:rPr>
        <w:t xml:space="preserve">SECTION VI.9. </w:t>
      </w:r>
      <w:r>
        <w:rPr>
          <w:rFonts w:ascii="Times New Roman" w:cs="Times New Roman" w:eastAsia="Times New Roman" w:hAnsi="Times New Roman"/>
          <w:sz w:val="19"/>
          <w:szCs w:val="19"/>
          <w:color w:val="000000"/>
        </w:rPr>
        <w:t>Doing Business in Other Jurisdictions». Notwithstanding anything contained herein to the contrary,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neither Computershare Delaware Trust Company, nor the Owner Trustee shall be required to take any action if the taking of such action will, even after the appointment of a co-trustee or separate trustee in accordance with Section 9.5, (a) require the consent or approval or authorization or order of or the giving of notice to, or the registration with or the taking of any other action in respect of, any State or other governmental authority or agency of any jurisdiction other than the State of Delaware; (b) result in any fee, tax or other governmental charge under the laws of any jurisdiction or political subdivisions thereof other than the State of Delaware becoming payable by Computershare Delaware Trust Company (or any successor thereto); or (c) subject Computershare Delaware Trust Company (or any successor thereto) to personal jurisdiction in any jurisdiction other than the State of Delaware for causes of action arising from acts unrelated to the consummation of the transactions by Computershare Delaware Trust Company (or any successor thereto) or the Owner Trustee, as the case may be, contemplated hereby.</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VI.10.  </w:t>
      </w:r>
      <w:r>
        <w:rPr>
          <w:rFonts w:ascii="Times New Roman" w:cs="Times New Roman" w:eastAsia="Times New Roman" w:hAnsi="Times New Roman"/>
          <w:sz w:val="19"/>
          <w:szCs w:val="19"/>
          <w:color w:val="000000"/>
        </w:rPr>
        <w:t>Imputed Information.</w:t>
      </w:r>
    </w:p>
    <w:p>
      <w:pPr>
        <w:spacing w:after="0" w:line="202"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Except as otherwise expressly set forth in this Agreement, (a) a Responsible Officer of the Owner Trustee shall not be imputed with any knowledge of, or information possessed or obtained by, another Responsible Officer of Computershare Delaware Trust Company in any of its other capacities hereunder or under the other Basic Documents or vice versa (other than in instances where such capacities are performed by the same Responsible Officer(s)), and (b) a responsible officer of any Affiliate of Computershare Delaware Trust Company shall not be imputed with any knowledge of, or information possessed or obtained by, another Responsible Officer of Computershare Delaware Trust Company, and vice versa, in any of its respective capacities hereunder (other than in instances where such capacities are performed by the same Responsible Officer(s)).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20" w:name="page421"/>
    <w:bookmarkEnd w:id="420"/>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F5496"/>
        </w:rPr>
        <w:t>ARTICLE VII.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COMPENSATION OF OWNER TRUSTEE</w:t>
      </w:r>
    </w:p>
    <w:p>
      <w:pPr>
        <w:spacing w:after="0" w:line="204" w:lineRule="exact"/>
        <w:rPr>
          <w:sz w:val="20"/>
          <w:szCs w:val="20"/>
          <w:color w:val="auto"/>
        </w:rPr>
      </w:pPr>
    </w:p>
    <w:p>
      <w:pPr>
        <w:ind w:right="300" w:firstLine="1404"/>
        <w:spacing w:after="0" w:line="257" w:lineRule="auto"/>
        <w:rPr>
          <w:sz w:val="20"/>
          <w:szCs w:val="20"/>
          <w:color w:val="auto"/>
        </w:rPr>
      </w:pPr>
      <w:r>
        <w:rPr>
          <w:rFonts w:ascii="Times New Roman" w:cs="Times New Roman" w:eastAsia="Times New Roman" w:hAnsi="Times New Roman"/>
          <w:sz w:val="19"/>
          <w:szCs w:val="19"/>
          <w:color w:val="2F5496"/>
        </w:rPr>
        <w:t xml:space="preserve">SECTION VII.1. </w:t>
      </w:r>
      <w:r>
        <w:rPr>
          <w:rFonts w:ascii="Times New Roman" w:cs="Times New Roman" w:eastAsia="Times New Roman" w:hAnsi="Times New Roman"/>
          <w:sz w:val="19"/>
          <w:szCs w:val="19"/>
          <w:color w:val="000000"/>
        </w:rPr>
        <w:t>Owner Trustee's Fees and Expenses. The Owner Trustee shall receive as compensation for its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services hereunder such fees as have been separately agreed upon before the date hereof between United Auto and the Owner Trustee, and the Owner Trustee shall be entitled to be reimbursed by the Depositor for its other reasonable expenses hereunder, including the reasonable compensation, expenses and disbursements of such agents, representatives, experts and counsel as the Owner Trustee may employ in connection with the exercise and performance of its rights and its duties hereunder and under the other Basic Documents. United Auto shall be jointly and severally liable for the fees and expenses owing to the Owner Trustee under this Section 7.1.</w:t>
      </w:r>
    </w:p>
    <w:p>
      <w:pPr>
        <w:spacing w:after="0" w:line="157"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2F5496"/>
        </w:rPr>
        <w:t xml:space="preserve">SECTION VII.2. </w:t>
      </w:r>
      <w:r>
        <w:rPr>
          <w:rFonts w:ascii="Times New Roman" w:cs="Times New Roman" w:eastAsia="Times New Roman" w:hAnsi="Times New Roman"/>
          <w:sz w:val="19"/>
          <w:szCs w:val="19"/>
          <w:color w:val="000000"/>
        </w:rPr>
        <w:t>Indemnification. The Depositor shall be liable as primary obligor for, and shall indemnify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Computershare Delaware Trust Company in its individual capacity and as the Owner Trustee and its officers, directors, successors, assigns, agents and employees (collectively, the "Indemnified Parties") from and against, any and all liabilities, obligations, losses, damages, taxes, fees, claims, actions and suits, and any and all reasonable costs, expenses and disbursements (including court costs and reasonable legal fees and expenses, and including any attorney’s fees, costs, and expenses incurred in connection with (i) investigating, preparing for, defending itself or the Issuer in any dispute or legal proceeding that is related directly or indirectly in any way to the Issuer, the Basic Documents, the Owner Trust Estate, or the Certificates, (ii) any enforcement (including any action, claim, or suit brought) by the Owner Trustee of any indemnification or other obligation of the Issuer, the Servicer, any other party to the Basic Documents or any other Persons and (iii) a successful defense, in whole or in part, of any claim that the Owner Trustee breached its standard of care) of any kind and nature whatsoever (collectively, "Expenses") which may at any time be imposed on, incurred by, or asserted against the Owner Trustee or any Indemnified Party in any way relating to or arising out of this Agreement, the other Basic Documents, the Owner Trust Estate, the administration of the Owner Trust Estate or the action or inaction of the Owner Trustee hereunder, except only that the Depositor shall not be liable for or required to indemnify the Owner Trustee from and against Expenses arising or resulting from any of the matters described in the third sentence of Section 6.1. In any event of any claim, action or proceeding for which indemnity will be sought pursuant to this Section 7.2, the Owner Trustee's choice of legal counsel shall be subject to the approval of the Depositor which approval shall not be unreasonably withheld, and the Owner Trustee shall be entitled to maintain attorney -client privilege with any such chosen legal counsel. United Auto shall be jointly and severally liable for the indemnification duties and obligations of the Depositor which are described in this Section 7.2. The indemnities contained in this Section and the rights under Section 7.1 shall survive the resignation, assignment, removal or termination of the Owner Trustee or the termination of this Agreement.</w:t>
      </w:r>
    </w:p>
    <w:p>
      <w:pPr>
        <w:spacing w:after="0" w:line="167"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2F5496"/>
        </w:rPr>
        <w:t xml:space="preserve">SECTION VII.3. </w:t>
      </w:r>
      <w:r>
        <w:rPr>
          <w:rFonts w:ascii="Times New Roman" w:cs="Times New Roman" w:eastAsia="Times New Roman" w:hAnsi="Times New Roman"/>
          <w:sz w:val="19"/>
          <w:szCs w:val="19"/>
          <w:color w:val="000000"/>
        </w:rPr>
        <w:t>Payments to the Owner Trustee. Any amounts paid to the Owner Trustee pursuant to this Article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VII shall be deemed not to be a part of the Owner Trust Estate immediately after such payment.</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21" w:name="page422"/>
    <w:bookmarkEnd w:id="421"/>
    <w:p>
      <w:pPr>
        <w:spacing w:after="0" w:line="269" w:lineRule="exact"/>
        <w:rPr>
          <w:sz w:val="20"/>
          <w:szCs w:val="20"/>
          <w:color w:val="auto"/>
        </w:rPr>
      </w:pPr>
    </w:p>
    <w:p>
      <w:pPr>
        <w:ind w:right="240" w:firstLine="1404"/>
        <w:spacing w:after="0" w:line="259" w:lineRule="auto"/>
        <w:rPr>
          <w:sz w:val="20"/>
          <w:szCs w:val="20"/>
          <w:color w:val="auto"/>
        </w:rPr>
      </w:pPr>
      <w:r>
        <w:rPr>
          <w:rFonts w:ascii="Times New Roman" w:cs="Times New Roman" w:eastAsia="Times New Roman" w:hAnsi="Times New Roman"/>
          <w:sz w:val="19"/>
          <w:szCs w:val="19"/>
          <w:color w:val="2F5496"/>
        </w:rPr>
        <w:t xml:space="preserve">SECTION VII.4. </w:t>
      </w:r>
      <w:r>
        <w:rPr>
          <w:rFonts w:ascii="Times New Roman" w:cs="Times New Roman" w:eastAsia="Times New Roman" w:hAnsi="Times New Roman"/>
          <w:sz w:val="19"/>
          <w:szCs w:val="19"/>
          <w:color w:val="000000"/>
        </w:rPr>
        <w:t>Non- recourse Obligations. Notwithstanding anything in this Agreement or any Basic Document,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Owner Trustee agrees in its individual capacity and in its capacity as Owner Trustee for the Trust that, until such time as the Indenture is satisfied and discharged, all obligations of the Issuer to the Owner Trustee individually or as Owner Trustee for the Issuer shall be with recourse to the Owner Trust Estate except in accordance with the priority of payments set forth in Section 5.7 of the Sale and Servicing Agreement and Section 5.6 of the Indenture, as applicable.</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VIII.</w:t>
      </w:r>
    </w:p>
    <w:p>
      <w:pPr>
        <w:spacing w:after="0" w:line="2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TERMINATION OF TRUST AGREEMENT</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VIII.1.  </w:t>
      </w:r>
      <w:r>
        <w:rPr>
          <w:rFonts w:ascii="Times New Roman" w:cs="Times New Roman" w:eastAsia="Times New Roman" w:hAnsi="Times New Roman"/>
          <w:sz w:val="19"/>
          <w:szCs w:val="19"/>
          <w:color w:val="000000"/>
        </w:rPr>
        <w:t>Termination of Trust Agreement .</w:t>
      </w:r>
    </w:p>
    <w:p>
      <w:pPr>
        <w:spacing w:after="0" w:line="202" w:lineRule="exact"/>
        <w:rPr>
          <w:sz w:val="20"/>
          <w:szCs w:val="20"/>
          <w:color w:val="auto"/>
        </w:rPr>
      </w:pPr>
    </w:p>
    <w:p>
      <w:pPr>
        <w:ind w:firstLine="1410"/>
        <w:spacing w:after="0" w:line="255" w:lineRule="auto"/>
        <w:tabs>
          <w:tab w:leader="none" w:pos="1765" w:val="left"/>
        </w:tabs>
        <w:numPr>
          <w:ilvl w:val="0"/>
          <w:numId w:val="36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dissolve and wind-up in accordance with Section 3808 of the Statutory Trust Statute upon the maturity or other liquidation of the last Receivable (including the purchase by the Servicer at its option of the corpus of the Issuer as described in Section 10.1 of the Sale and Servicing Agreement) and the subsequent distribution of amounts in respect of such Receivables as provided in the Basic Documents. The Servicer shall provide notice as soon as practicable to the Owner Trustee, Certificate Registrar and Certificate Paying Agent of any prospective dissolution, winding-up and termination pursuant to this Section. The bankruptcy, liquidation, dissolution, death or incapacity of any Certificateholder shall not (x) operate to terminate this Agreement or the Issuer, (y) entitle such Certificateholder's legal representatives or heirs to claim an accounting or to take any action or proceeding in any court for a partition or winding up of all or any part of the Issuer or Owner Trust Estate nor (z) otherwise affect the rights, obligations and liabilities of the parties hereto.</w:t>
      </w:r>
    </w:p>
    <w:p>
      <w:pPr>
        <w:spacing w:after="0" w:line="155" w:lineRule="exact"/>
        <w:rPr>
          <w:rFonts w:ascii="Times New Roman" w:cs="Times New Roman" w:eastAsia="Times New Roman" w:hAnsi="Times New Roman"/>
          <w:sz w:val="19"/>
          <w:szCs w:val="19"/>
          <w:color w:val="1F3763"/>
        </w:rPr>
      </w:pPr>
    </w:p>
    <w:p>
      <w:pPr>
        <w:ind w:left="1780" w:hanging="370"/>
        <w:spacing w:after="0"/>
        <w:tabs>
          <w:tab w:leader="none" w:pos="1780" w:val="left"/>
        </w:tabs>
        <w:numPr>
          <w:ilvl w:val="0"/>
          <w:numId w:val="36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Neither the Depositor nor the Certificateholders shall be entitled to revoke or terminate the Issuer.</w:t>
      </w:r>
    </w:p>
    <w:p>
      <w:pPr>
        <w:spacing w:after="0" w:line="201" w:lineRule="exact"/>
        <w:rPr>
          <w:rFonts w:ascii="Times New Roman" w:cs="Times New Roman" w:eastAsia="Times New Roman" w:hAnsi="Times New Roman"/>
          <w:sz w:val="19"/>
          <w:szCs w:val="19"/>
          <w:color w:val="1F3763"/>
        </w:rPr>
      </w:pPr>
    </w:p>
    <w:p>
      <w:pPr>
        <w:ind w:right="20" w:firstLine="1410"/>
        <w:spacing w:after="0" w:line="254" w:lineRule="auto"/>
        <w:tabs>
          <w:tab w:leader="none" w:pos="1765" w:val="left"/>
        </w:tabs>
        <w:numPr>
          <w:ilvl w:val="0"/>
          <w:numId w:val="36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Notice of any dissolution, winding-up and termination of the Issuer, specifying the Distribution Date for payment of the final distribution by the Certificate Paying Agent and cancellation, shall be made available by the Certificate Registrar to the Servicer and Certificateholders within five Business Days of receipt of such notice from the Servicer given pursuant to Section 10.1(c) of the Sale and Servicing Agreement, stating (i) the Distribution Date upon or with respect to which final payment of the Certificates shall be made, (ii) the amount of any such final payment, and (iii) with respect to any Definitive Certificates, that the Record Date otherwise applicable to such Distribution Date is not applicable and payments will be made only upon presentation and surrender of the Certificates at the office of the Certificate Registrar therein specified. The Servicer on behalf of the Owner Trustee shall give such notice to the Indenture Trustee at the time such notice is given to the Certificateholders. Upon presentation and surrender of the Certificates to the Certificate Registrar, the Certificate Paying Agent shall cause to be distributed to the Certificateholders amounts distributable to the Certificateholders on such Distribution Date pursuant to Section 5.7 of the Sale and Servicing Agreement.</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22" w:name="page423"/>
    <w:bookmarkEnd w:id="422"/>
    <w:p>
      <w:pPr>
        <w:spacing w:after="0" w:line="269" w:lineRule="exact"/>
        <w:rPr>
          <w:sz w:val="20"/>
          <w:szCs w:val="20"/>
          <w:color w:val="auto"/>
        </w:rPr>
      </w:pPr>
    </w:p>
    <w:p>
      <w:pPr>
        <w:ind w:right="40" w:firstLine="1404"/>
        <w:spacing w:after="0" w:line="256" w:lineRule="auto"/>
        <w:rPr>
          <w:sz w:val="20"/>
          <w:szCs w:val="20"/>
          <w:color w:val="auto"/>
        </w:rPr>
      </w:pPr>
      <w:r>
        <w:rPr>
          <w:rFonts w:ascii="Times New Roman" w:cs="Times New Roman" w:eastAsia="Times New Roman" w:hAnsi="Times New Roman"/>
          <w:sz w:val="19"/>
          <w:szCs w:val="19"/>
          <w:color w:val="auto"/>
        </w:rPr>
        <w:t>In the event that a Certificateholder shall not surrender its Certificate for cancellation within six months after the date specified in the above mentioned written notice, the Certificate Registrar shall make available a second written notice to such Certificateholder to surrender its Certificate for cancellation and receive the final distribution with respect thereto. If within one year after the second notice such Certificate shall not have been surrendered for cancellation, the Certificate Registrar may take appropriate steps, or may appoint an agent to take appropriate steps, to contact the Certificateholder concerning surrender of its Certificate, and the cost thereof shall be paid out of the funds and other assets that shall remain subject to this Agreement. Any funds remaining in the Issuer after exhaustion of such remedies shall be distributed, subject to applicable escheat laws, by the Certificate Paying Agent to the Holders.</w:t>
      </w:r>
    </w:p>
    <w:p>
      <w:pPr>
        <w:spacing w:after="0" w:line="157" w:lineRule="exact"/>
        <w:rPr>
          <w:sz w:val="20"/>
          <w:szCs w:val="20"/>
          <w:color w:val="auto"/>
        </w:rPr>
      </w:pPr>
    </w:p>
    <w:p>
      <w:pPr>
        <w:ind w:right="140" w:firstLine="1410"/>
        <w:spacing w:after="0" w:line="254" w:lineRule="auto"/>
        <w:tabs>
          <w:tab w:leader="none" w:pos="1777" w:val="left"/>
        </w:tabs>
        <w:numPr>
          <w:ilvl w:val="0"/>
          <w:numId w:val="36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the completion of the winding up of the Issuer by the Depositor in accordance with Section 3808 of the Statutory Trust Statute and its termination, the Owner Trustee, at the written direction and expense of the Depositor, shall cause the Certificate of Trust to be canceled by executing and filing a certificate of cancellation with the Secretary of State in accordance with the provisions of Section 3810 of the Statutory Trust Statute and thereupon the Issuer and this Trust Agreement shall terminate (other than the rights to indemnification under Section 7.2 and the rights under Section 7.1, which shall survive the termination of this Trust Agreement). Upon the satisfaction and discharge of the Indenture, and receipt of a certificate from the Indenture Trustee stating that all Noteholders have been paid in full and that the Indenture Trustee is aware of no claims remaining against the Issuer in respect of the Indenture and the Notes, the Administrator, in the absence of actual knowledge of any other claim against the Issuer, shall be deemed to have made reasonable provision to pay all claims and obligations (including conditional, contingent or unmatured obligations) for purposes of Section 3808(e) of the Statutory Trust Statute.</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F5496"/>
        </w:rPr>
        <w:t>ARTICLE IX.</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SUCCESSOR OWNER TRUSTEES AND ADDITIONAL OWNER TRUSTEES</w:t>
      </w:r>
    </w:p>
    <w:p>
      <w:pPr>
        <w:spacing w:after="0" w:line="20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2F5496"/>
        </w:rPr>
        <w:t xml:space="preserve">SECTION IX.1. </w:t>
      </w:r>
      <w:r>
        <w:rPr>
          <w:rFonts w:ascii="Times New Roman" w:cs="Times New Roman" w:eastAsia="Times New Roman" w:hAnsi="Times New Roman"/>
          <w:sz w:val="19"/>
          <w:szCs w:val="19"/>
          <w:color w:val="000000"/>
        </w:rPr>
        <w:t>Eligibility Requirements for Owner Trustee. The Owner Trustee shall at all times be an entity (i)</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satisfying the provisions of Section 3807(a) of the Statutory Trust Statute; (ii) authorized to exercise corporate trust powers; and (iii) having (or having a parent that has) a combined capital and surplus of at least $50,000,000 and subject to supervision or examination by federal or State authorities. If such entity shall publish reports of condition at least annually, pursuant to law or to the requirements of the aforesaid supervising or examining authority, then for the purpose of this Section, the combined capital and surplus of such entity shall be deemed to be its combined capital and surplus as set forth in its most recent report of condition so published. In case at any time the Owner Trustee shall cease to be eligible in accordance with the provisions of this Section, the Owner Trustee shall resign immediately in the manner and with the effect specified in Section 9.2.</w:t>
      </w:r>
    </w:p>
    <w:p>
      <w:pPr>
        <w:spacing w:after="0" w:line="160"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IX.2. </w:t>
      </w:r>
      <w:r>
        <w:rPr>
          <w:rFonts w:ascii="Times New Roman" w:cs="Times New Roman" w:eastAsia="Times New Roman" w:hAnsi="Times New Roman"/>
          <w:sz w:val="19"/>
          <w:szCs w:val="19"/>
          <w:color w:val="000000"/>
        </w:rPr>
        <w:t>Resignation or Removal of Owner Trustee. The Owner Trustee may at any time resign and be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discharged from the trusts hereby created by giving written notice thereof to the Depositor and the Servicer. Upon receiving such notice of resignation, the Depositor shall promptly appoint a successor Owner Trustee by written instrument, in duplicate, one copy of which instrument shall be delivered to the resigning Owner Trustee and one copy to</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23" w:name="page424"/>
    <w:bookmarkEnd w:id="423"/>
    <w:p>
      <w:pPr>
        <w:spacing w:after="0" w:line="2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the successor Owner Trustee. If no successor Owner Trustee shall have been so appointed and have accepted appointment within 30 days after the giving of such notice of resignation, the resigning Owner Trustee or the Certificateholders may, at the expense of the Issuer, petition any court of competent jurisdiction for the appointment of a successor Owner Trustee; all fees, costs and expenses (including court costs and reasonable attorneys' fees and expenses) incurred by the Owner Trustee in connection with such petition will be paid by the Issuer pursuant to Section 5.7(b) of the Sale and Servicing Agreement or Section 5.6 of the Indenture, and to the extent not paid thereby, by the initial Servicer.</w:t>
      </w:r>
    </w:p>
    <w:p>
      <w:pPr>
        <w:spacing w:after="0" w:line="157" w:lineRule="exact"/>
        <w:rPr>
          <w:sz w:val="20"/>
          <w:szCs w:val="20"/>
          <w:color w:val="auto"/>
        </w:rPr>
      </w:pPr>
    </w:p>
    <w:p>
      <w:pPr>
        <w:ind w:right="80" w:firstLine="1404"/>
        <w:spacing w:after="0" w:line="255" w:lineRule="auto"/>
        <w:rPr>
          <w:sz w:val="20"/>
          <w:szCs w:val="20"/>
          <w:color w:val="auto"/>
        </w:rPr>
      </w:pPr>
      <w:r>
        <w:rPr>
          <w:rFonts w:ascii="Times New Roman" w:cs="Times New Roman" w:eastAsia="Times New Roman" w:hAnsi="Times New Roman"/>
          <w:sz w:val="19"/>
          <w:szCs w:val="19"/>
          <w:color w:val="auto"/>
        </w:rPr>
        <w:t>If at any time the Owner Trustee shall cease to be eligible in accordance with the provisions of Section 9.1 and shall fail to resign after written request therefor by the Depositor, or if at any time the Owner Trustee shall be legally unable to act, or shall be adjudged bankrupt or insolvent, or a receiver of the Owner Trustee or of its property shall be appointed, or any public officer shall take charge or control of the Owner Trustee or of its property or affairs for the purpose of rehabilitation, conservation or liquidation, then the Depositor may remove the Owner Trustee upon advance written notice. If the Depositor shall remove the Owner Trustee under the authority of the immediately preceding sentence, the Depositor shall promptly (i) appoint a successor Owner Trustee by written instrument, in duplicate, one copy of which instrument shall be delivered to the outgoing Owner Trustee so removed and one copy to the successor Owner Trustee, and (ii) pay all fees owed to the outgoing Owner Trustee.</w:t>
      </w:r>
    </w:p>
    <w:p>
      <w:pPr>
        <w:spacing w:after="0" w:line="160" w:lineRule="exact"/>
        <w:rPr>
          <w:sz w:val="20"/>
          <w:szCs w:val="20"/>
          <w:color w:val="auto"/>
        </w:rPr>
      </w:pPr>
    </w:p>
    <w:p>
      <w:pPr>
        <w:ind w:right="280" w:firstLine="1404"/>
        <w:spacing w:after="0" w:line="262" w:lineRule="auto"/>
        <w:rPr>
          <w:sz w:val="20"/>
          <w:szCs w:val="20"/>
          <w:color w:val="auto"/>
        </w:rPr>
      </w:pPr>
      <w:r>
        <w:rPr>
          <w:rFonts w:ascii="Times New Roman" w:cs="Times New Roman" w:eastAsia="Times New Roman" w:hAnsi="Times New Roman"/>
          <w:sz w:val="19"/>
          <w:szCs w:val="19"/>
          <w:color w:val="auto"/>
        </w:rPr>
        <w:t>Any resignation or removal of the Owner Trustee and appointment of a successor Owner Trustee pursuant to any of the provisions of this Section shall not become effective until acceptance of appointment by the successor Owner Trustee pursuant to Section 9.3 and payment of all fees and expenses owed to the outgoing Owner Trustee. The Depositor shall provide notice of such resignation or removal of the Owner Trustee to each of the Rating Agencies.</w:t>
      </w:r>
    </w:p>
    <w:p>
      <w:pPr>
        <w:spacing w:after="0" w:line="150"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2F5496"/>
        </w:rPr>
        <w:t xml:space="preserve">SECTION IX.3. </w:t>
      </w:r>
      <w:r>
        <w:rPr>
          <w:rFonts w:ascii="Times New Roman" w:cs="Times New Roman" w:eastAsia="Times New Roman" w:hAnsi="Times New Roman"/>
          <w:sz w:val="19"/>
          <w:szCs w:val="19"/>
          <w:color w:val="000000"/>
        </w:rPr>
        <w:t>Successor Owner Trustee. Any successor Owner Trustee appointed pursuant to Section 9.2 shall</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execute, acknowledge and deliver to the Depositor, the Servicer and to its predecessor Owner Trustee an instrument accepting such appointment under this Agreement, and thereupon the resignation or removal of the predecessor Owner Trustee shall become effective and such successor Owner Trustee, without any further act, deed or conveyance, shall become fully vested with all the rights, powers, duties and obligations of its predecessor under this Agreement, with like effect as if originally named as Owner Trustee. The predecessor Owner Trustee shall upon payment of its fees and expenses deliver to the successor Owner Trustee all documents and statements and monies held by it under this Agreement; and the Depositor and the predecessor Owner Trustee shall execute and deliver such instruments and do such other things as may reasonably be required for fully and certainly vesting and confirming in the successor Owner Trustee all such rights, powers, duties and obligations.</w:t>
      </w:r>
    </w:p>
    <w:p>
      <w:pPr>
        <w:spacing w:after="0" w:line="155"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No successor Owner Trustee shall accept appointment as provided in this Section unless at the time of such acceptance such successor Owner Trustee shall be eligible pursuant to Section 9.1.</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24" w:name="page425"/>
    <w:bookmarkEnd w:id="424"/>
    <w:p>
      <w:pPr>
        <w:spacing w:after="0" w:line="269"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Upon acceptance of appointment by a successor Owner Trustee pursuant to this Section, the Servicer shall mail notice of the successor of such Owner Trustee to the Certificate Registrar, the Certificate Paying Agent, the Indenture Trustee, the Noteholders and the Rating Agencies. Upon receipt of such notice, the Certificate Registrar will make available notice of such appointment to the Certificateholders. If the Servicer shall fail to mail such notice within ten days after acceptance of appointment by the successor Owner Trustee, the successor Owner Trustee shall cause such notice to be mailed at the expense of the Servicer.</w:t>
      </w:r>
    </w:p>
    <w:p>
      <w:pPr>
        <w:spacing w:after="0" w:line="154"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2F5496"/>
        </w:rPr>
        <w:t xml:space="preserve">SECTION IX.4. </w:t>
      </w:r>
      <w:r>
        <w:rPr>
          <w:rFonts w:ascii="Times New Roman" w:cs="Times New Roman" w:eastAsia="Times New Roman" w:hAnsi="Times New Roman"/>
          <w:sz w:val="19"/>
          <w:szCs w:val="19"/>
          <w:color w:val="000000"/>
        </w:rPr>
        <w:t>Merger or Consolidation of Owner Trustee. Any entity into which the Owner Trustee may be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merged or converted or with which it may be consolidated, or any entity resulting from any merger, conversion or consolidation to which the Owner Trustee shall be a party, or any entity succeeding to all or substantially all of the corporate trust business of the Owner Trustee, shall be the successor of the Owner Trustee hereunder, provided such entity shall be eligible pursuant to Section 9.1, without the execution or filing of any instrument or any further act on the part of any of the parties hereto, anything herein to the contrary notwithstanding;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that once effective, the Owner Trustee shall mail notice of such merger or consolidation to the Depositor and the Servicer (who shall notify the Rating Agencies).</w:t>
      </w:r>
    </w:p>
    <w:p>
      <w:pPr>
        <w:spacing w:after="0" w:line="157"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2F5496"/>
        </w:rPr>
        <w:t xml:space="preserve">SECTION IX.5. </w:t>
      </w:r>
      <w:r>
        <w:rPr>
          <w:rFonts w:ascii="Times New Roman" w:cs="Times New Roman" w:eastAsia="Times New Roman" w:hAnsi="Times New Roman"/>
          <w:sz w:val="19"/>
          <w:szCs w:val="19"/>
          <w:color w:val="000000"/>
        </w:rPr>
        <w:t>Appointment of Co -Trustee or Separate Trustee. Notwithstanding any other provisions of this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Agreement, at any time, for the purpose of meeting any legal requirements of any jurisdiction in which any part of the Owner Trust Estate or any Financed Vehicle may at the time be located, for enforcement matters, or for conflict of interest matters, the Servicer and the Owner Trustee acting jointly shall have the power and shall execute and deliver all instruments to appoint one or more Persons approved by the Owner Trustee to act as co-trustee, jointly with the Owner Trustee, or separate trustee or separate trustees, of all or any part of the Owner Trust Estate, and to vest in such Person, in such capacity, such title to the Owner Trust Estate, or any part thereof, and, subject to the other provisions of this Section, such powers, duties, obligations, rights and trusts as the Servicer and the Owner Trustee may consider necessary or desirable. If the Servicer shall not have joined in such appointment within 15 days after the receipt by it of a request to do so, the Owner Trustee shall have the power to make such appointment. No co-trustee or separate trustee under this Agreement shall be required to meet the terms of eligibility as a successor trustee pursuant to Section 9.1 and no notice of the appointment of any co-trustee or separate trustee shall be required pursuant to Section 9.3. A co-trustee or separate trustee appointed hereunder is not an agent of the Owner Trustee.</w:t>
      </w:r>
    </w:p>
    <w:p>
      <w:pPr>
        <w:spacing w:after="0" w:line="165"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Each separate trustee and co-trustee shall, to the extent permitted by law, be appointed and act subject to the following provisions and conditions:</w:t>
      </w:r>
    </w:p>
    <w:p>
      <w:pPr>
        <w:spacing w:after="0" w:line="127" w:lineRule="exact"/>
        <w:rPr>
          <w:sz w:val="20"/>
          <w:szCs w:val="20"/>
          <w:color w:val="auto"/>
        </w:rPr>
      </w:pPr>
    </w:p>
    <w:p>
      <w:pPr>
        <w:ind w:right="40" w:firstLine="1410"/>
        <w:spacing w:after="0" w:line="256" w:lineRule="auto"/>
        <w:tabs>
          <w:tab w:leader="none" w:pos="1765" w:val="left"/>
        </w:tabs>
        <w:numPr>
          <w:ilvl w:val="0"/>
          <w:numId w:val="36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rights, powers, duties and obligations conferred or imposed upon the Owner Trustee shall be conferred upon and exercised or performed by the Owner Trustee and such separate trustee or co-trustee jointly (it being understood that such separate trustee or co-trustee is not authorized to act separately without the Owner Trustee joining in such act), except to the extent that under any law of any jurisdiction in which any particular act or acts are to be performed, the Owner Trustee shall be incompetent or unqualified to perform such act or acts, in which event such rights, powers, duties and obligations (including the holding of title to the Owner Trust Estate or any portion thereof in any such jurisdiction) shall be exercised and performed singly by such separate trustee or co-trustee, but solely at the direction of the Owner Trustee;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25" w:name="page426"/>
    <w:bookmarkEnd w:id="425"/>
    <w:p>
      <w:pPr>
        <w:spacing w:after="0" w:line="269" w:lineRule="exact"/>
        <w:rPr>
          <w:sz w:val="20"/>
          <w:szCs w:val="20"/>
          <w:color w:val="auto"/>
        </w:rPr>
      </w:pPr>
    </w:p>
    <w:p>
      <w:pPr>
        <w:ind w:right="320" w:firstLine="1410"/>
        <w:spacing w:after="0" w:line="286" w:lineRule="auto"/>
        <w:tabs>
          <w:tab w:leader="none" w:pos="1777" w:val="left"/>
        </w:tabs>
        <w:numPr>
          <w:ilvl w:val="0"/>
          <w:numId w:val="3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trustee under this Agreement shall be personally liable by reason of any act or omission of any other trustee under this Agreement; and</w:t>
      </w:r>
    </w:p>
    <w:p>
      <w:pPr>
        <w:spacing w:after="0" w:line="127" w:lineRule="exact"/>
        <w:rPr>
          <w:rFonts w:ascii="Times New Roman" w:cs="Times New Roman" w:eastAsia="Times New Roman" w:hAnsi="Times New Roman"/>
          <w:sz w:val="19"/>
          <w:szCs w:val="19"/>
          <w:color w:val="1F3763"/>
        </w:rPr>
      </w:pPr>
    </w:p>
    <w:p>
      <w:pPr>
        <w:ind w:right="680" w:firstLine="1410"/>
        <w:spacing w:after="0" w:line="286" w:lineRule="auto"/>
        <w:tabs>
          <w:tab w:leader="none" w:pos="1765" w:val="left"/>
        </w:tabs>
        <w:numPr>
          <w:ilvl w:val="0"/>
          <w:numId w:val="3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and the Owner Trustee acting jointly may at any time accept the resignation of or remove any separate trustee or co-trustee.</w:t>
      </w:r>
    </w:p>
    <w:p>
      <w:pPr>
        <w:spacing w:after="0" w:line="127"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Any notice, request or other writing given to the Owner Trustee shall be deemed to have been given to each of the then separate trustees and co-trustees as effectively as if given to each of them. Every instrument appointing any separate trustee or co-trustee shall refer to this Agreement and the conditions of this Article. Each separate trustee and co-trustee, upon its acceptance of the trusts conferred, shall (i) be vested with the estates or property specified in its instrument of appointment, either jointly with the Owner Trustee or separately, as may be provided therein, subject to all the provisions of this Agreement, specifically including every provision of this Agreement relating to the conduct of, affecting the liability of, or affording protection to, the Owner Trustee, and (ii) agree to indemnify the Owner Trustee for its acts or omissions pursuant to its appointment hereto. Each such appointment instrument shall be filed with the Owner Trustee and a copy thereof given to the Servicer.</w:t>
      </w:r>
    </w:p>
    <w:p>
      <w:pPr>
        <w:spacing w:after="0" w:line="160"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Any separate trustee or co-trustee may at any time appoint the Owner Trustee, its agent or attorney-in-fact with full power and authority, to the extent not prohibited by law, to do any lawful act under or in respect of this Agreement on its behalf and in its name. If any separate trustee or co-trustee shall die, become incapable of acting, resign or be removed, all of its estates, properties, rights, remedies and trusts shall vest in and be exercised by the Owner Trustee, to the extent permitted by law, without the appointment of a new or successor trustee.</w:t>
      </w:r>
    </w:p>
    <w:p>
      <w:pPr>
        <w:spacing w:after="0" w:line="154"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2F5496"/>
        </w:rPr>
        <w:t xml:space="preserve">SECTION IX.6. </w:t>
      </w:r>
      <w:r>
        <w:rPr>
          <w:rFonts w:ascii="Times New Roman" w:cs="Times New Roman" w:eastAsia="Times New Roman" w:hAnsi="Times New Roman"/>
          <w:sz w:val="19"/>
          <w:szCs w:val="19"/>
          <w:color w:val="000000"/>
        </w:rPr>
        <w:t>Eligibility Requirements for Certificate Registrar. The Certificate Registrar shall at all times be a</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corporation or banking association having a combined capital and surplus of at least $50,000,000 and subject to supervision or examination by federal or State authorities. If the Certificate Registrar shall publish reports of condition at least annually, pursuant to law or to the requirements of the aforesaid supervising or examining authority, then for the purpose of this Section, the combined capital and surplus of such corporation shall be deemed to be its combined capital and surplus as set forth in its most recent report of condition so published. In case at any time the Certificate Registrar shall cease to be eligible in accordance with the provisions of this Section, the Certificate Registrar shall resign immediately in the manner and with the effect specified in Section 9.7.</w:t>
      </w:r>
    </w:p>
    <w:p>
      <w:pPr>
        <w:spacing w:after="0" w:line="157" w:lineRule="exact"/>
        <w:rPr>
          <w:sz w:val="20"/>
          <w:szCs w:val="20"/>
          <w:color w:val="auto"/>
        </w:rPr>
      </w:pPr>
    </w:p>
    <w:p>
      <w:pPr>
        <w:ind w:right="140" w:firstLine="1404"/>
        <w:spacing w:after="0" w:line="255" w:lineRule="auto"/>
        <w:rPr>
          <w:sz w:val="20"/>
          <w:szCs w:val="20"/>
          <w:color w:val="auto"/>
        </w:rPr>
      </w:pPr>
      <w:r>
        <w:rPr>
          <w:rFonts w:ascii="Times New Roman" w:cs="Times New Roman" w:eastAsia="Times New Roman" w:hAnsi="Times New Roman"/>
          <w:sz w:val="19"/>
          <w:szCs w:val="19"/>
          <w:color w:val="2F5496"/>
        </w:rPr>
        <w:t xml:space="preserve">SECTION IX.7. </w:t>
      </w:r>
      <w:r>
        <w:rPr>
          <w:rFonts w:ascii="Times New Roman" w:cs="Times New Roman" w:eastAsia="Times New Roman" w:hAnsi="Times New Roman"/>
          <w:sz w:val="19"/>
          <w:szCs w:val="19"/>
          <w:color w:val="000000"/>
        </w:rPr>
        <w:t>Resignation or Removal of Certificate Registrar. The Certificate Registrar may at any time resign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and be discharged from its obligations hereunder by giving written notice thereof to the Depositor and the Owner Trustee. Upon receiving such notice of resignation, the Depositor shall promptly appoint a successor Certificate Registrar by written instrument, in duplicate, one original of which instrument shall be delivered to the resigning Certificate Registrar and one original to the successor Certificate Registrar (with a copy to the Depositor, the Servicer and the Owner Trustee). If no successor Certificate Registrar shall have been so appointed and have accepted appointment within 30 days after the giving of such notice of resignation, the resigning Certificate Registrar or the Certificateholders may petition any court of competent jurisdiction for the appointment of a successor Certificate Registrar.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26" w:name="page427"/>
    <w:bookmarkEnd w:id="426"/>
    <w:p>
      <w:pPr>
        <w:spacing w:after="0" w:line="269"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If at any time the Certificate Registrar shall cease to be eligible in accordance with the provisions of Section 9.6 and shall fail to resign after written request therefor by the Depositor, or if at any time the Certificate Registrar shall be legally unable to act, or shall be adjudged bankrupt or insolvent, or a receiver of the Certificate Registrar or of its property shall be appointed, or any public officer shall take charge or control of the Certificate Registrar or of its property or affairs for the purpose of rehabilitation, conservation or liquidation, then the Depositor may remove the Certificate Registrar. If the Depositor shall remove the Certificate Registrar under the authority of the immediately preceding sentence, the Depositor shall promptly appoint a successor Certificate Registrar by written instrument, in duplicate, one original of which instrument shall be delivered to the outgoing Certificate Registrar so removed and one original to the successor Certificate Registrar (with a copy to the Depositor, the Servicer and the Owner Trustee) and payment of all fees owed to the outgoing Certificate Registrar.</w:t>
      </w:r>
    </w:p>
    <w:p>
      <w:pPr>
        <w:spacing w:after="0" w:line="155" w:lineRule="exact"/>
        <w:rPr>
          <w:sz w:val="20"/>
          <w:szCs w:val="20"/>
          <w:color w:val="auto"/>
        </w:rPr>
      </w:pPr>
    </w:p>
    <w:p>
      <w:pPr>
        <w:jc w:val="both"/>
        <w:ind w:right="60" w:firstLine="1404"/>
        <w:spacing w:after="0" w:line="268" w:lineRule="auto"/>
        <w:rPr>
          <w:sz w:val="20"/>
          <w:szCs w:val="20"/>
          <w:color w:val="auto"/>
        </w:rPr>
      </w:pPr>
      <w:r>
        <w:rPr>
          <w:rFonts w:ascii="Times New Roman" w:cs="Times New Roman" w:eastAsia="Times New Roman" w:hAnsi="Times New Roman"/>
          <w:sz w:val="19"/>
          <w:szCs w:val="19"/>
          <w:color w:val="auto"/>
        </w:rPr>
        <w:t>Any resignation or removal of the Certificate Registrar and appointment of a successor Certificate Registrar pursuant to any of the provisions of this Section shall not become effective until acceptance of appointment by the successor Certificate Registrar pursuant to Section 9.8 and payment of all fees and expenses owed to the outgoing Certificate Registrar.</w:t>
      </w:r>
    </w:p>
    <w:p>
      <w:pPr>
        <w:spacing w:after="0" w:line="144"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2F5496"/>
        </w:rPr>
        <w:t xml:space="preserve">SECTION IX.8. </w:t>
      </w:r>
      <w:r>
        <w:rPr>
          <w:rFonts w:ascii="Times New Roman" w:cs="Times New Roman" w:eastAsia="Times New Roman" w:hAnsi="Times New Roman"/>
          <w:sz w:val="19"/>
          <w:szCs w:val="19"/>
          <w:color w:val="000000"/>
        </w:rPr>
        <w:t>Successor Certificate Registrar. Any successor Certificate Registrar appointed pursuant to Section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9.7 shall execute, acknowledge and deliver to its predecessor Certificate Registrar an instrument accepting such appointment under this Agreement (with a copy to the Depositor, the Servicer and the Owner Trustee), and thereupon the resignation or removal of the predecessor Certificate Registrar shall become effective and such successor Certificate Registrar, without any further act, deed or conveyance, shall become fully vested with all the rights, powers, duties and obligations of its predecessor under this Agreement, with like effect as if originally named as Certificate Registrar. The predecessor Certificate Registrar shall upon payment of its fees and expenses deliver to the successor Certificate Registrar all documents and statements and monies held by it under this Agreement; and the Depositor and the predecessor Certificate Registrar shall execute and deliver such instruments and do such other things as may reasonably be required for fully and certainly vesting and confirming in the successor Certificate Registrar all such rights, powers, duties and obligations.</w:t>
      </w:r>
    </w:p>
    <w:p>
      <w:pPr>
        <w:spacing w:after="0" w:line="160" w:lineRule="exact"/>
        <w:rPr>
          <w:sz w:val="20"/>
          <w:szCs w:val="20"/>
          <w:color w:val="auto"/>
        </w:rPr>
      </w:pPr>
    </w:p>
    <w:p>
      <w:pPr>
        <w:ind w:right="440" w:firstLine="1404"/>
        <w:spacing w:after="0" w:line="286" w:lineRule="auto"/>
        <w:rPr>
          <w:sz w:val="20"/>
          <w:szCs w:val="20"/>
          <w:color w:val="auto"/>
        </w:rPr>
      </w:pPr>
      <w:r>
        <w:rPr>
          <w:rFonts w:ascii="Times New Roman" w:cs="Times New Roman" w:eastAsia="Times New Roman" w:hAnsi="Times New Roman"/>
          <w:sz w:val="19"/>
          <w:szCs w:val="19"/>
          <w:color w:val="auto"/>
        </w:rPr>
        <w:t>No successor Certificate Registrar shall accept appointment as provided in this Section unless at the time of such acceptance such successor Certificate Registrar shall be eligible pursuant to Section 9.6.</w:t>
      </w:r>
    </w:p>
    <w:p>
      <w:pPr>
        <w:spacing w:after="0" w:line="127"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Upon acceptance of appointment by a successor Certificate Registrar pursuant to this Section, the Servicer shall mail notice of the successor of such Certificate Registrar to the Certificateholders and the Indenture Trustee. If the Servicer shall fail to mail such notice within ten days after acceptance of appointment by the successor Certificate Registrar, the successor Certificate Registrar shall cause such notice to be mailed at the expense of the Servicer.</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27" w:name="page428"/>
    <w:bookmarkEnd w:id="427"/>
    <w:p>
      <w:pPr>
        <w:spacing w:after="0" w:line="269"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2F5496"/>
        </w:rPr>
        <w:t xml:space="preserve">SECTION IX.9. </w:t>
      </w:r>
      <w:r>
        <w:rPr>
          <w:rFonts w:ascii="Times New Roman" w:cs="Times New Roman" w:eastAsia="Times New Roman" w:hAnsi="Times New Roman"/>
          <w:sz w:val="19"/>
          <w:szCs w:val="19"/>
          <w:color w:val="000000"/>
        </w:rPr>
        <w:t>Merger or Consolidation of Certificate Registrar. Any entity into which the Certificate Registrar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may be merged or converted or with which it may be consolidated, or any entity resulting from any merger, conversion or consolidation to which the Certificate Registrar shall be a party, or any entity succeeding to all or substantially all of the corporate trust business of the Certificate Registrar, shall be the successor of the Certificate Registrar hereunder, provided such entity shall be eligible pursuant to Section 9.6, without the execution or filing of any instrument or any further act on the part of any of the parties hereto, anything herein to the contrary notwithstanding.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F5496"/>
        </w:rPr>
        <w:t>ARTICLE X.</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X.1.  </w:t>
      </w:r>
      <w:r>
        <w:rPr>
          <w:rFonts w:ascii="Times New Roman" w:cs="Times New Roman" w:eastAsia="Times New Roman" w:hAnsi="Times New Roman"/>
          <w:sz w:val="19"/>
          <w:szCs w:val="19"/>
          <w:color w:val="000000"/>
        </w:rPr>
        <w:t>Amendments.</w:t>
      </w:r>
    </w:p>
    <w:p>
      <w:pPr>
        <w:spacing w:after="0" w:line="202" w:lineRule="exact"/>
        <w:rPr>
          <w:sz w:val="20"/>
          <w:szCs w:val="20"/>
          <w:color w:val="auto"/>
        </w:rPr>
      </w:pPr>
    </w:p>
    <w:p>
      <w:pPr>
        <w:ind w:firstLine="1410"/>
        <w:spacing w:after="0" w:line="254" w:lineRule="auto"/>
        <w:tabs>
          <w:tab w:leader="none" w:pos="1765" w:val="left"/>
        </w:tabs>
        <w:numPr>
          <w:ilvl w:val="0"/>
          <w:numId w:val="3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This Agreement may be amended by the parties hereto, and with prior written notice by the Depositor to the Rating Agencies, without the consent of any of the Noteholders or the Certificateholders, (i) to cure any ambiguity, (ii) to correct or supplement any provision in this Agreement that may be inconsistent with any other provision in this Agreement, the Offering Memorandum or any certificate offering memorandum relating to the future offer and sale of the Certificates, or (iii) as described in Section 2.12, to add provisions necessary to prevent any application of the Treasury Regulations under the Code that would result in the recharacterization of any of the Notes as equity;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 such amendment may materially adversely affect the interests of any Noteholder, as evidenced by an Opinion of Counsel (which opinion shall be delivered by counsel that is not an employee of United Auto or its Affiliates) to such effect delivered to the Owner Trustee and the Indenture Trustee;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no such amendment may materially adversely affect the interests of any Certificateholder as evidenced by an Opinion of Counsel (which opinion shall be delivered by counsel that is not an employee of United Auto or its Affiliates) to such effect delivered to the Owner Trustee and the Indenture Trustee.</w:t>
      </w:r>
    </w:p>
    <w:p>
      <w:pPr>
        <w:spacing w:after="0" w:line="388" w:lineRule="exact"/>
        <w:rPr>
          <w:rFonts w:ascii="Times New Roman" w:cs="Times New Roman" w:eastAsia="Times New Roman" w:hAnsi="Times New Roman"/>
          <w:sz w:val="19"/>
          <w:szCs w:val="19"/>
          <w:color w:val="1F3763"/>
        </w:rPr>
      </w:pPr>
    </w:p>
    <w:p>
      <w:pPr>
        <w:ind w:right="40" w:firstLine="1410"/>
        <w:spacing w:after="0" w:line="255" w:lineRule="auto"/>
        <w:tabs>
          <w:tab w:leader="none" w:pos="1777" w:val="left"/>
        </w:tabs>
        <w:numPr>
          <w:ilvl w:val="0"/>
          <w:numId w:val="3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This Agreement may also be amended from time to time by the parties hereto, with prior written notice by the Depositor to the Rating Agencies and, to the extent such amendment adversely affects the interests of the Noteholders, with the consent of the Majority Noteholders and the consent of the Majority Certificateholders, for the purpose of adding any provisions to or changing in any manner or eliminating any of the provisions of this Agreement or of modifying in any manner the rights of the Noteholders or the Certificateholders;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amendment shall (a) increase or reduce in any manner the amount of, or accelerate or delay the timing of, or change the allocation or priority of, collections of payments on or in respect of the Receivables or distributions that are required to be made for the benefit of the Noteholders or the Certificateholders, or (b) reduce the percentage of the Outstanding Amount of the Notes without the consent of all Noteholders and the Certificateholders adversely affected by such amendment.</w:t>
      </w:r>
    </w:p>
    <w:p>
      <w:pPr>
        <w:spacing w:after="0" w:line="159" w:lineRule="exact"/>
        <w:rPr>
          <w:rFonts w:ascii="Times New Roman" w:cs="Times New Roman" w:eastAsia="Times New Roman" w:hAnsi="Times New Roman"/>
          <w:sz w:val="19"/>
          <w:szCs w:val="19"/>
          <w:color w:val="1F3763"/>
        </w:rPr>
      </w:pPr>
    </w:p>
    <w:p>
      <w:pPr>
        <w:ind w:right="360" w:firstLine="1410"/>
        <w:spacing w:after="0" w:line="286" w:lineRule="auto"/>
        <w:tabs>
          <w:tab w:leader="none" w:pos="1765" w:val="left"/>
        </w:tabs>
        <w:numPr>
          <w:ilvl w:val="0"/>
          <w:numId w:val="3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extent that any amendment would affect the rights or obligations of United Auto hereunder, the written consent of United Auto shall be a condition precedent to the effectiveness of such amendment.</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28" w:name="page429"/>
    <w:bookmarkEnd w:id="428"/>
    <w:p>
      <w:pPr>
        <w:spacing w:after="0" w:line="269" w:lineRule="exact"/>
        <w:rPr>
          <w:sz w:val="20"/>
          <w:szCs w:val="20"/>
          <w:color w:val="auto"/>
        </w:rPr>
      </w:pPr>
    </w:p>
    <w:p>
      <w:pPr>
        <w:ind w:right="100" w:firstLine="1410"/>
        <w:spacing w:after="0" w:line="268" w:lineRule="auto"/>
        <w:tabs>
          <w:tab w:leader="none" w:pos="1777" w:val="left"/>
        </w:tabs>
        <w:numPr>
          <w:ilvl w:val="0"/>
          <w:numId w:val="37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extent that any amendment would affect the rights or obligations of the Certificate Registrar or Certificate Paying Agent hereunder, the written consent of the Certificate Registrar or Certificate Paying Agent, as applicable shall be a condition precedent to the effectiveness of such amendment.</w:t>
      </w:r>
    </w:p>
    <w:p>
      <w:pPr>
        <w:spacing w:after="0" w:line="144" w:lineRule="exact"/>
        <w:rPr>
          <w:sz w:val="20"/>
          <w:szCs w:val="20"/>
          <w:color w:val="auto"/>
        </w:rPr>
      </w:pPr>
    </w:p>
    <w:p>
      <w:pPr>
        <w:jc w:val="both"/>
        <w:ind w:right="200" w:firstLine="1404"/>
        <w:spacing w:after="0" w:line="268" w:lineRule="auto"/>
        <w:rPr>
          <w:sz w:val="20"/>
          <w:szCs w:val="20"/>
          <w:color w:val="auto"/>
        </w:rPr>
      </w:pPr>
      <w:r>
        <w:rPr>
          <w:rFonts w:ascii="Times New Roman" w:cs="Times New Roman" w:eastAsia="Times New Roman" w:hAnsi="Times New Roman"/>
          <w:sz w:val="19"/>
          <w:szCs w:val="19"/>
          <w:color w:val="auto"/>
        </w:rPr>
        <w:t>Promptly after the execution of any such amendment or consent, the Owner Trustee shall furnish written notification of the substance of such amendment or consent to the Indenture Trustee and the Depositor (who shall send such notification to each of the Rating Agencies).</w:t>
      </w:r>
    </w:p>
    <w:p>
      <w:pPr>
        <w:spacing w:after="0" w:line="14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It shall not be necessary for the consent of the Certificateholders or the Noteholders pursuant to this Section to approve the particular form of any proposed amendment or consent, but it shall be sufficient if such consent shall approve the substance thereof. The manner of obtaining such consents (and any other consents of the Certificateholders provided for in this Agreement or in any other Basic Document) and of evidencing the authorization of the execution thereof by the Certificateholders shall be subject to such reasonable requirements as the Owner Trustee may prescribe. Promptly after the execution of any amendment to the Certificate of Trust, the Owner Trustee shall cause the filing of such amendment with the Secretary of State.</w:t>
      </w:r>
    </w:p>
    <w:p>
      <w:pPr>
        <w:spacing w:after="0" w:line="157"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auto"/>
        </w:rPr>
        <w:t>Notwithstanding any other provision of this Section, this Agreement and/or the Certificate of Trust may only be amended if, prior to such amendment, the Depositor delivers an Opinion of Counsel to the Indenture Trustee and the Owner Trustee stating that the execution of such amendment (i) is authorized or permitted by this Agreement and that all conditions precedent to the execution and delivery of such amendment have been satisfied and (ii) will not (a) cause the Issuer to be characterized for U.S. federal income tax purposes as an association or a publicly traded partnership taxable as a corporation, (b) cause the Issuer to cease to be treated as other than a fixed investment trust described in Treasury Regulation section 301.7701-4(c) that is treated as a grantor trust under subpart E, Part I of subchapter J of the Code (unless, according to such Opinion of Counsel, the Issuer has already ceased to be treated as a grantor trust for such purposes), or (c) otherwise have any material adverse impact on the federal income tax treatment of any Outstanding Notes or Certificates. The Owner Trustee may, but shall not be obligated to, enter into any such amendment which affects the Owner Trustee's own rights, duties or immunities under this Agreement or otherwise. The reasonable fees and expenses of the Owner Trustee in connection with any amendment or supplement hereto shall be paid by the Depositor.</w:t>
      </w:r>
    </w:p>
    <w:p>
      <w:pPr>
        <w:spacing w:after="0" w:line="157" w:lineRule="exact"/>
        <w:rPr>
          <w:sz w:val="20"/>
          <w:szCs w:val="20"/>
          <w:color w:val="auto"/>
        </w:rPr>
      </w:pPr>
    </w:p>
    <w:p>
      <w:pPr>
        <w:ind w:right="140" w:firstLine="1404"/>
        <w:spacing w:after="0" w:line="259" w:lineRule="auto"/>
        <w:rPr>
          <w:sz w:val="20"/>
          <w:szCs w:val="20"/>
          <w:color w:val="auto"/>
        </w:rPr>
      </w:pPr>
      <w:r>
        <w:rPr>
          <w:rFonts w:ascii="Times New Roman" w:cs="Times New Roman" w:eastAsia="Times New Roman" w:hAnsi="Times New Roman"/>
          <w:sz w:val="19"/>
          <w:szCs w:val="19"/>
          <w:color w:val="2F5496"/>
        </w:rPr>
        <w:t xml:space="preserve">SECTION X.2. </w:t>
      </w:r>
      <w:r>
        <w:rPr>
          <w:rFonts w:ascii="Times New Roman" w:cs="Times New Roman" w:eastAsia="Times New Roman" w:hAnsi="Times New Roman"/>
          <w:sz w:val="19"/>
          <w:szCs w:val="19"/>
          <w:color w:val="000000"/>
        </w:rPr>
        <w:t>No Legal Title to Owner Trust Estate in Certificateholders. The Certificateholders shall not have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legal title to any part of the Owner Trust Estate. The Certificateholders shall be entitled to receive distributions in accordance with Article XI. No transfer, by operation of law or otherwise, of any right, title or interest of the Certificateholders to and in its beneficial ownership interest in the Owner Trust Estate shall operate to terminate this Agreement or the trust hereunder or entitle any transferee to an accounting or to the transfer to it of legal title to any part of the Owner Trust Estate.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29" w:name="page430"/>
    <w:bookmarkEnd w:id="429"/>
    <w:p>
      <w:pPr>
        <w:spacing w:after="0" w:line="269" w:lineRule="exact"/>
        <w:rPr>
          <w:sz w:val="20"/>
          <w:szCs w:val="20"/>
          <w:color w:val="auto"/>
        </w:rPr>
      </w:pPr>
    </w:p>
    <w:p>
      <w:pPr>
        <w:ind w:right="260" w:firstLine="1404"/>
        <w:spacing w:after="0" w:line="259" w:lineRule="auto"/>
        <w:rPr>
          <w:sz w:val="20"/>
          <w:szCs w:val="20"/>
          <w:color w:val="auto"/>
        </w:rPr>
      </w:pPr>
      <w:r>
        <w:rPr>
          <w:rFonts w:ascii="Times New Roman" w:cs="Times New Roman" w:eastAsia="Times New Roman" w:hAnsi="Times New Roman"/>
          <w:sz w:val="19"/>
          <w:szCs w:val="19"/>
          <w:color w:val="2F5496"/>
        </w:rPr>
        <w:t xml:space="preserve">SECTION X.3. </w:t>
      </w:r>
      <w:r>
        <w:rPr>
          <w:rFonts w:ascii="Times New Roman" w:cs="Times New Roman" w:eastAsia="Times New Roman" w:hAnsi="Times New Roman"/>
          <w:sz w:val="19"/>
          <w:szCs w:val="19"/>
          <w:color w:val="000000"/>
        </w:rPr>
        <w:t>Limitations on Rights of Others. The provisions of this Agreement are solely for the benefit of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Owner Trustee, the Depositor, the Certificateholders, the Servicer, the Certificate Registrar, the Certificate Paying Agent and, to the extent expressly provided herein and in the other Basic Documents, the Indenture Trustee and the Noteholders, and nothing in this Agreement, whether express or implied, shall be construed to give to any other Person any legal or equitable right, remedy or claim in the Owner Trust Estate or under or in respect of this Agreement or any covenants, conditions or provisions contained herein.</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X.4.  </w:t>
      </w:r>
      <w:r>
        <w:rPr>
          <w:rFonts w:ascii="Times New Roman" w:cs="Times New Roman" w:eastAsia="Times New Roman" w:hAnsi="Times New Roman"/>
          <w:sz w:val="19"/>
          <w:szCs w:val="19"/>
          <w:color w:val="000000"/>
        </w:rPr>
        <w:t>Notices.</w:t>
      </w:r>
    </w:p>
    <w:p>
      <w:pPr>
        <w:spacing w:after="0" w:line="202" w:lineRule="exact"/>
        <w:rPr>
          <w:sz w:val="20"/>
          <w:szCs w:val="20"/>
          <w:color w:val="auto"/>
        </w:rPr>
      </w:pPr>
    </w:p>
    <w:p>
      <w:pPr>
        <w:ind w:right="40" w:firstLine="1410"/>
        <w:spacing w:after="0" w:line="256" w:lineRule="auto"/>
        <w:tabs>
          <w:tab w:leader="none" w:pos="1765" w:val="left"/>
        </w:tabs>
        <w:numPr>
          <w:ilvl w:val="0"/>
          <w:numId w:val="3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Unless otherwise expressly specified or permitted by the terms hereof, all notices shall be in writing and shall be deemed given upon receipt personally delivered, delivered by overnight courier or mailed first class mail or certified mail, in each case return receipt requested, and shall be deemed to have been duly given upon receipt, if to the Owner Trustee, addressed to the Corporate Trust Office, to the attention of Computershare Corporate Trust; if to the Certificate Registrar, addressed to its Corporate Trust Office; if to the Depositor, addressed to United Auto Credit Financing LLC, c/o United Auto Credit Corporation, 1071 Camelback, Suite 100, Newport Beach, California 92660, Attention: Chief Financial Officer; or, as to each party, at such other address as shall be designated by such party in a written notice to each other party.</w:t>
      </w:r>
    </w:p>
    <w:p>
      <w:pPr>
        <w:spacing w:after="0" w:line="157" w:lineRule="exact"/>
        <w:rPr>
          <w:rFonts w:ascii="Times New Roman" w:cs="Times New Roman" w:eastAsia="Times New Roman" w:hAnsi="Times New Roman"/>
          <w:sz w:val="19"/>
          <w:szCs w:val="19"/>
          <w:color w:val="1F3763"/>
        </w:rPr>
      </w:pPr>
    </w:p>
    <w:p>
      <w:pPr>
        <w:ind w:right="480" w:firstLine="1410"/>
        <w:spacing w:after="0" w:line="268" w:lineRule="auto"/>
        <w:tabs>
          <w:tab w:leader="none" w:pos="1777" w:val="left"/>
        </w:tabs>
        <w:numPr>
          <w:ilvl w:val="0"/>
          <w:numId w:val="3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notice required or permitted to be given to a Certificateholder shall be given by first-class mail, postage prepaid, at the address of the Holders. Any notice so mailed within the time prescribed in this Agreement shall be conclusively presumed to have been duly given, whether or not the Certificateholder receives such notice.</w:t>
      </w:r>
    </w:p>
    <w:p>
      <w:pPr>
        <w:spacing w:after="0" w:line="144" w:lineRule="exact"/>
        <w:rPr>
          <w:rFonts w:ascii="Times New Roman" w:cs="Times New Roman" w:eastAsia="Times New Roman" w:hAnsi="Times New Roman"/>
          <w:sz w:val="19"/>
          <w:szCs w:val="19"/>
          <w:color w:val="1F3763"/>
        </w:rPr>
      </w:pPr>
    </w:p>
    <w:p>
      <w:pPr>
        <w:ind w:right="220" w:firstLine="1410"/>
        <w:spacing w:after="0" w:line="286" w:lineRule="auto"/>
        <w:tabs>
          <w:tab w:leader="none" w:pos="1765" w:val="left"/>
        </w:tabs>
        <w:numPr>
          <w:ilvl w:val="0"/>
          <w:numId w:val="3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Where this Agreement provides for notice or delivery of documents to the Rating Agencies, failure to give such notice or deliver such documents shall not affect any other rights or obligations created hereunder.</w:t>
      </w:r>
    </w:p>
    <w:p>
      <w:pPr>
        <w:spacing w:after="0" w:line="127"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2F5496"/>
        </w:rPr>
        <w:t xml:space="preserve">SECTION X.5. </w:t>
      </w:r>
      <w:r>
        <w:rPr>
          <w:rFonts w:ascii="Times New Roman" w:cs="Times New Roman" w:eastAsia="Times New Roman" w:hAnsi="Times New Roman"/>
          <w:sz w:val="19"/>
          <w:szCs w:val="19"/>
          <w:color w:val="000000"/>
        </w:rPr>
        <w:t>Severability. Any provision of this Agreement or the Certificates that is prohibited or unenforceable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in any jurisdiction shall, as to such jurisdiction, be ineffective to the extent of such prohibition or unenforceability without invalidating the remaining provisions hereof and thereof, and any such prohibition or unenforceability in any jurisdiction shall not invalidate or render unenforceable such provision in any other jurisdiction.</w:t>
      </w:r>
    </w:p>
    <w:p>
      <w:pPr>
        <w:spacing w:after="0" w:line="150" w:lineRule="exact"/>
        <w:rPr>
          <w:sz w:val="20"/>
          <w:szCs w:val="20"/>
          <w:color w:val="auto"/>
        </w:rPr>
      </w:pPr>
    </w:p>
    <w:p>
      <w:pPr>
        <w:ind w:right="100" w:firstLine="1404"/>
        <w:spacing w:after="0" w:line="255" w:lineRule="auto"/>
        <w:rPr>
          <w:sz w:val="20"/>
          <w:szCs w:val="20"/>
          <w:color w:val="auto"/>
        </w:rPr>
      </w:pPr>
      <w:r>
        <w:rPr>
          <w:rFonts w:ascii="Times New Roman" w:cs="Times New Roman" w:eastAsia="Times New Roman" w:hAnsi="Times New Roman"/>
          <w:sz w:val="19"/>
          <w:szCs w:val="19"/>
          <w:color w:val="2F5496"/>
        </w:rPr>
        <w:t xml:space="preserve">SECTION X.6. </w:t>
      </w:r>
      <w:r>
        <w:rPr>
          <w:rFonts w:ascii="Times New Roman" w:cs="Times New Roman" w:eastAsia="Times New Roman" w:hAnsi="Times New Roman"/>
          <w:sz w:val="19"/>
          <w:szCs w:val="19"/>
          <w:color w:val="000000"/>
        </w:rPr>
        <w:t>Electronic Signature; Separate Counterparts. This Agreement shall be valid, binding,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0" w:name="page431"/>
    <w:bookmarkEnd w:id="430"/>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pursuant to Section 3.3 or when required under the Uniform Commercial Code or other Signature Law due to the character or intended character of the writings.</w:t>
      </w:r>
    </w:p>
    <w:p>
      <w:pPr>
        <w:spacing w:after="0" w:line="150"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2F5496"/>
        </w:rPr>
        <w:t xml:space="preserve">SECTION X.7. </w:t>
      </w:r>
      <w:r>
        <w:rPr>
          <w:rFonts w:ascii="Times New Roman" w:cs="Times New Roman" w:eastAsia="Times New Roman" w:hAnsi="Times New Roman"/>
          <w:sz w:val="19"/>
          <w:szCs w:val="19"/>
          <w:color w:val="000000"/>
        </w:rPr>
        <w:t>Assignments. This Agreement shall inure to the benefit of and be binding upon the parties hereto,</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and their respective successors and permitted assigns.</w:t>
      </w:r>
    </w:p>
    <w:p>
      <w:pPr>
        <w:spacing w:after="0" w:line="127"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2F5496"/>
        </w:rPr>
        <w:t xml:space="preserve">SECTION X.8. </w:t>
      </w:r>
      <w:r>
        <w:rPr>
          <w:rFonts w:ascii="Times New Roman" w:cs="Times New Roman" w:eastAsia="Times New Roman" w:hAnsi="Times New Roman"/>
          <w:sz w:val="19"/>
          <w:szCs w:val="19"/>
          <w:color w:val="000000"/>
        </w:rPr>
        <w:t>No Recourse. Each Certificateholder, by its acceptance of its Certificate or beneficial interest therein,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acknowledges that the Certificate represents a beneficial interest in the Issuer only and does not represent interests in or obligations of the Depositor, the Servicer, the Owner Trustee, the Indenture Trustee, or any of their respective Affiliates and no recourse may be had against such parties or their assets, except as may be expressly set forth or contemplated in this Agreement, the Certificates or the other Basic Documents.</w:t>
      </w:r>
    </w:p>
    <w:p>
      <w:pPr>
        <w:spacing w:after="0" w:line="154"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2F5496"/>
        </w:rPr>
        <w:t xml:space="preserve">SECTION X.9. </w:t>
      </w:r>
      <w:r>
        <w:rPr>
          <w:rFonts w:ascii="Times New Roman" w:cs="Times New Roman" w:eastAsia="Times New Roman" w:hAnsi="Times New Roman"/>
          <w:sz w:val="19"/>
          <w:szCs w:val="19"/>
          <w:color w:val="000000"/>
        </w:rPr>
        <w:t>Headings. The headings of the various Articles and Sections herein are for convenience of reference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only and shall not define or limit any of the terms or provisions hereof.</w:t>
      </w:r>
    </w:p>
    <w:p>
      <w:pPr>
        <w:spacing w:after="0" w:line="125" w:lineRule="exact"/>
        <w:rPr>
          <w:sz w:val="20"/>
          <w:szCs w:val="20"/>
          <w:color w:val="auto"/>
        </w:rPr>
      </w:pPr>
    </w:p>
    <w:p>
      <w:pPr>
        <w:ind w:right="60" w:firstLine="1404"/>
        <w:spacing w:after="0" w:line="252" w:lineRule="auto"/>
        <w:rPr>
          <w:sz w:val="20"/>
          <w:szCs w:val="20"/>
          <w:color w:val="auto"/>
        </w:rPr>
      </w:pPr>
      <w:r>
        <w:rPr>
          <w:rFonts w:ascii="Times New Roman" w:cs="Times New Roman" w:eastAsia="Times New Roman" w:hAnsi="Times New Roman"/>
          <w:sz w:val="19"/>
          <w:szCs w:val="19"/>
          <w:color w:val="2F5496"/>
        </w:rPr>
        <w:t xml:space="preserve">SECTION X.10. </w:t>
      </w:r>
      <w:r>
        <w:rPr>
          <w:rFonts w:ascii="Times New Roman" w:cs="Times New Roman" w:eastAsia="Times New Roman" w:hAnsi="Times New Roman"/>
          <w:sz w:val="19"/>
          <w:szCs w:val="19"/>
          <w:color w:val="000000"/>
        </w:rPr>
        <w:t>GOVERNING LAW.</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THIS AGREEMENT SHALL BE GOVERNED BY,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CONSTRUED IN ACCORDANCE WITH, THE LAWS OF THE STATE OF DELAWARE, WITHOUT REFERENCE TO ITS CONFLICT OF LAW PROVISIONS, AND THE OBLIGATIONS, RIGHTS AND REMEDIES OF THE PARTIES HEREUNDER SHALL BE DETERMINED IN ACCORDANCE WITH SUCH LAWS. EACH PARTY HERETO HEREBY WAIVES, AND EACH CERTIFICATEHOLDER BY VIRTUE OF ITS ACQUISITION OF ANY CERTIFICATE IS HEREBY DEEMED TO WAIVE, IN EACH CASE, TO THE FULLEST EXTENT PERMITTED BY APPLICABLE LAW, TRIAL BY JURY IN ANY JUDICIAL PROCEEDING INVOLVING, DIRECTLY OR INDIRECTLY, ANY MATTER (WHETHER SOUNDING IN TORT, CONTRACT OR OTHERWISE) IN ANY WAY ARISING OUT OF, RELATED TO, OR CONNECTED WITH THIS AGREEMENT OR ANY OTHER BASIC DOCUMENT OR THE TRANSACTIONS RELATED THERETO, IN EACH CASE WHETHER NOW EXISTING OR HEREAFTER ARISING, AND WHETHER FOUNDED IN CONTRACT OR TORT OR OTHERWISE AND EACH PARTY HEREBY AGREES AND CONSENTS, AND EACH CERTIFICATEHOLDER BY VIRTUE OF ITS ACQUISITION OF ANY CERTIFICATE IS HEREBY DEEMED TO AGREE AND CONSENT, THAT ANY SUCH CLAIM, DEMAND, ACTION OR CAUSE OF ACTION SHALL BE DECIDED BY COURT TRIAL WITHOUT A JURY, AND THAT ANY PARTY TO THIS AGREEMENT MAY FILE AN ORIGINAL COUNTERPART OR A COPY OF THIS SECTION WITH ANY COURT AS WRITTEN EVIDENCE OF THE CONSENT OF THE SIGNATORIES HERETO AND OF EACH CERTIFICATEHOLDER TO THE WAIVER OF THEIR RIGHT TO TRIAL BY JURY.</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31" w:name="page432"/>
    <w:bookmarkEnd w:id="431"/>
    <w:p>
      <w:pPr>
        <w:spacing w:after="0" w:line="269"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2F5496"/>
        </w:rPr>
        <w:t xml:space="preserve">SECTION X.11. </w:t>
      </w:r>
      <w:r>
        <w:rPr>
          <w:rFonts w:ascii="Times New Roman" w:cs="Times New Roman" w:eastAsia="Times New Roman" w:hAnsi="Times New Roman"/>
          <w:sz w:val="19"/>
          <w:szCs w:val="19"/>
          <w:color w:val="000000"/>
        </w:rPr>
        <w:t>Servicer as Administrator. The Servicer, in its capacity as Administrator of the Issuer, is authorized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to prepare, or cause to be prepared, execute and deliver on behalf of the Issuer all such documents, reports, filings, instruments, certificates and opinions as it shall be the duty of the Issuer or Owner Trustee to prepare, file or deliver pursuant to the Basic Documents. Upon written request, the Owner Trustee on behalf of the Issuer shall execute and deliver to the Servicer a limited power of attorney appointing the Servicer as the Issuer’s agent and attorney-in-fact to prepare, or cause to be prepared, execute and deliver all such documents, reports, filings, instruments, certificates and opinions. Additionally, the Servicer, in its capacity as Administrator, shall comply with all reporting requirements set forth in Sections 6.2(b), (c) and (d) of this Agreement.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X.12.  </w:t>
      </w:r>
      <w:r>
        <w:rPr>
          <w:rFonts w:ascii="Times New Roman" w:cs="Times New Roman" w:eastAsia="Times New Roman" w:hAnsi="Times New Roman"/>
          <w:sz w:val="19"/>
          <w:szCs w:val="19"/>
          <w:color w:val="000000"/>
        </w:rPr>
        <w:t>Nonpetition Covenant.</w:t>
      </w:r>
    </w:p>
    <w:p>
      <w:pPr>
        <w:spacing w:after="0" w:line="202" w:lineRule="exact"/>
        <w:rPr>
          <w:sz w:val="20"/>
          <w:szCs w:val="20"/>
          <w:color w:val="auto"/>
        </w:rPr>
      </w:pPr>
    </w:p>
    <w:p>
      <w:pPr>
        <w:ind w:right="60" w:firstLine="1410"/>
        <w:spacing w:after="0" w:line="262" w:lineRule="auto"/>
        <w:tabs>
          <w:tab w:leader="none" w:pos="1765" w:val="left"/>
        </w:tabs>
        <w:numPr>
          <w:ilvl w:val="0"/>
          <w:numId w:val="3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fullest extent permitted by applicable law, notwithstanding any prior termination of this Agreement, other than in accordance with the procedures set forth in Sections 2.11(b) and 4.5, the Certificateholders shall not, prior to the date which is one year and one day after the termination of this Agreement, invoke, cause or otherwise consent to any Bankruptcy Action with respect to the Issuer or the Depositor.</w:t>
      </w:r>
    </w:p>
    <w:p>
      <w:pPr>
        <w:spacing w:after="0" w:line="150" w:lineRule="exact"/>
        <w:rPr>
          <w:rFonts w:ascii="Times New Roman" w:cs="Times New Roman" w:eastAsia="Times New Roman" w:hAnsi="Times New Roman"/>
          <w:sz w:val="19"/>
          <w:szCs w:val="19"/>
          <w:color w:val="1F3763"/>
        </w:rPr>
      </w:pPr>
    </w:p>
    <w:p>
      <w:pPr>
        <w:ind w:right="100" w:firstLine="1410"/>
        <w:spacing w:after="0" w:line="262" w:lineRule="auto"/>
        <w:tabs>
          <w:tab w:leader="none" w:pos="1777" w:val="left"/>
        </w:tabs>
        <w:numPr>
          <w:ilvl w:val="0"/>
          <w:numId w:val="3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To the fullest extent permitted by applicable law, notwithstanding any prior termination of this Agreement, other than in accordance with the procedures set forth in Sections 2.11(b) and 4.5, the Owner Trustee shall not, prior to the date which is one year and one day after the termination of this Agreement, invoke, cause or otherwise consent to any Bankruptcy Action with respect to the Issuer or the Depositor.</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F5496"/>
        </w:rPr>
        <w:t>ARTICLE XI.</w:t>
      </w:r>
    </w:p>
    <w:p>
      <w:pPr>
        <w:spacing w:after="0" w:line="23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auto"/>
        </w:rPr>
        <w:t>APPLICATION OF TRUST FUNDS; CERTAIN DUTIES</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2F5496"/>
        </w:rPr>
        <w:t xml:space="preserve">SECTION XI.1.  </w:t>
      </w:r>
      <w:r>
        <w:rPr>
          <w:rFonts w:ascii="Times New Roman" w:cs="Times New Roman" w:eastAsia="Times New Roman" w:hAnsi="Times New Roman"/>
          <w:sz w:val="19"/>
          <w:szCs w:val="19"/>
          <w:color w:val="000000"/>
        </w:rPr>
        <w:t>Establishment of Trust Accounts.</w:t>
      </w:r>
    </w:p>
    <w:p>
      <w:pPr>
        <w:spacing w:after="0" w:line="202" w:lineRule="exact"/>
        <w:rPr>
          <w:sz w:val="20"/>
          <w:szCs w:val="20"/>
          <w:color w:val="auto"/>
        </w:rPr>
      </w:pPr>
    </w:p>
    <w:p>
      <w:pPr>
        <w:ind w:right="460" w:firstLine="1410"/>
        <w:spacing w:after="0" w:line="259" w:lineRule="auto"/>
        <w:tabs>
          <w:tab w:leader="none" w:pos="1765" w:val="left"/>
        </w:tabs>
        <w:numPr>
          <w:ilvl w:val="0"/>
          <w:numId w:val="3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for the benefit of the Certificateholders, cause the Certificate Paying Agent to establish and maintain in the name of the Trust a distribution non-interest bearing account (the "Certificate Distribution Account"), bearing a designation clearly indicating that the funds deposited therein are held for the benefit of the Certificateholders. The Certificate Distribution Account shall be maintained as an Eligible Account and shall initially be established by the Certificate Paying Agent pursuant to the Sale and Servicing Agreement.</w:t>
      </w:r>
    </w:p>
    <w:p>
      <w:pPr>
        <w:spacing w:after="0" w:line="153" w:lineRule="exact"/>
        <w:rPr>
          <w:rFonts w:ascii="Times New Roman" w:cs="Times New Roman" w:eastAsia="Times New Roman" w:hAnsi="Times New Roman"/>
          <w:sz w:val="19"/>
          <w:szCs w:val="19"/>
          <w:color w:val="1F3763"/>
        </w:rPr>
      </w:pPr>
    </w:p>
    <w:p>
      <w:pPr>
        <w:ind w:firstLine="1410"/>
        <w:spacing w:after="0" w:line="257" w:lineRule="auto"/>
        <w:tabs>
          <w:tab w:leader="none" w:pos="1777" w:val="left"/>
        </w:tabs>
        <w:numPr>
          <w:ilvl w:val="0"/>
          <w:numId w:val="37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Issuer shall possess all right, title and interest in all funds on deposit from time to time in the Certificate Distribution Account and in all proceeds thereof. Except as otherwise expressly provided herein, the Certificate Distribution Account shall be under the sole dominion and control of the Certificate Paying Agent for the benefit of the Certificateholders. If, at any time, the Certificate Distribution Account ceases to be an Eligible Account, the Servicer shall, with the Certificate Paying Agent’s assistance if necessary, within five Business Days (or such longer period to which the Rating Agencies’ consent) establish a new Certificate Distribution Account as an Eligible Account and shall transfer any cash or any investments to such new Certificate Distribution Account.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32" w:name="page433"/>
    <w:bookmarkEnd w:id="432"/>
    <w:p>
      <w:pPr>
        <w:spacing w:after="0" w:line="26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2F5496"/>
        </w:rPr>
        <w:t xml:space="preserve">SECTION XI.2.  </w:t>
      </w:r>
      <w:r>
        <w:rPr>
          <w:rFonts w:ascii="Times New Roman" w:cs="Times New Roman" w:eastAsia="Times New Roman" w:hAnsi="Times New Roman"/>
          <w:sz w:val="19"/>
          <w:szCs w:val="19"/>
          <w:color w:val="000000"/>
        </w:rPr>
        <w:t>Application of Trust Funds.</w:t>
      </w:r>
    </w:p>
    <w:p>
      <w:pPr>
        <w:spacing w:after="0" w:line="202" w:lineRule="exact"/>
        <w:rPr>
          <w:sz w:val="20"/>
          <w:szCs w:val="20"/>
          <w:color w:val="auto"/>
        </w:rPr>
      </w:pPr>
    </w:p>
    <w:p>
      <w:pPr>
        <w:ind w:left="-20" w:right="40" w:firstLine="1410"/>
        <w:spacing w:after="0" w:line="268" w:lineRule="auto"/>
        <w:tabs>
          <w:tab w:leader="none" w:pos="1745" w:val="left"/>
        </w:tabs>
        <w:numPr>
          <w:ilvl w:val="0"/>
          <w:numId w:val="37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each Distribution Date the Certificate Paying Agent shall distribute amounts deposited in the Certificate Distribution Account pursuant to the Sale and Servicing Agreement or Indenture, as applicable, with respect to such Distribution Date in the following order of priority:</w:t>
      </w:r>
    </w:p>
    <w:p>
      <w:pPr>
        <w:spacing w:after="0" w:line="144" w:lineRule="exact"/>
        <w:rPr>
          <w:rFonts w:ascii="Times New Roman" w:cs="Times New Roman" w:eastAsia="Times New Roman" w:hAnsi="Times New Roman"/>
          <w:sz w:val="19"/>
          <w:szCs w:val="19"/>
          <w:color w:val="1F3763"/>
        </w:rPr>
      </w:pPr>
    </w:p>
    <w:p>
      <w:pPr>
        <w:ind w:left="1760" w:hanging="334"/>
        <w:spacing w:after="0"/>
        <w:tabs>
          <w:tab w:leader="none" w:pos="1760" w:val="left"/>
        </w:tabs>
        <w:numPr>
          <w:ilvl w:val="1"/>
          <w:numId w:val="37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make payments to the Certificateholders any remaining amount deposited therein; and</w:t>
      </w:r>
    </w:p>
    <w:p>
      <w:pPr>
        <w:spacing w:after="0" w:line="201" w:lineRule="exact"/>
        <w:rPr>
          <w:rFonts w:ascii="Times New Roman" w:cs="Times New Roman" w:eastAsia="Times New Roman" w:hAnsi="Times New Roman"/>
          <w:sz w:val="19"/>
          <w:szCs w:val="19"/>
          <w:color w:val="2F5496"/>
        </w:rPr>
      </w:pPr>
    </w:p>
    <w:p>
      <w:pPr>
        <w:ind w:left="1820" w:hanging="394"/>
        <w:spacing w:after="0"/>
        <w:tabs>
          <w:tab w:leader="none" w:pos="1820" w:val="left"/>
        </w:tabs>
        <w:numPr>
          <w:ilvl w:val="1"/>
          <w:numId w:val="37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clear and terminate the Certificate Distribution Account upon the termination of this Agreement.</w:t>
      </w:r>
    </w:p>
    <w:p>
      <w:pPr>
        <w:spacing w:after="0" w:line="201" w:lineRule="exact"/>
        <w:rPr>
          <w:rFonts w:ascii="Times New Roman" w:cs="Times New Roman" w:eastAsia="Times New Roman" w:hAnsi="Times New Roman"/>
          <w:sz w:val="19"/>
          <w:szCs w:val="19"/>
          <w:color w:val="2F5496"/>
        </w:rPr>
      </w:pPr>
    </w:p>
    <w:p>
      <w:pPr>
        <w:ind w:left="-20" w:firstLine="1410"/>
        <w:spacing w:after="0" w:line="254" w:lineRule="auto"/>
        <w:tabs>
          <w:tab w:leader="none" w:pos="1757" w:val="left"/>
        </w:tabs>
        <w:numPr>
          <w:ilvl w:val="0"/>
          <w:numId w:val="37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any withholding tax is imposed on the Issuer's payment (or allocations of income) to a Certificateholder, such tax shall reduce the amount otherwise distributable to such Certificateholder in accordance with this Section. The Owner Trustee or Certificate Paying Agent is hereby authorized and directed to retain from amounts otherwise distributable to the Certificateholders sufficient funds for the payment of any tax that is legally owed by the Issuer (but such authorization shall not prevent the Owner Trustee or the Certificate Paying Agent from contesting any such tax in appropriate proceedings and withholding payment of such tax, if permitted by law, pending the outcome of such proceedings). The amount of any withholding tax imposed with respect to a Certificateholder shall be treated as cash distributed to such Certificateholder at the time it is withheld by the Issuer and remitted to the appropriate taxing authority. If there is a possibility that withholding tax is payable with respect to a distribution (such as a distribution to a non-U.S. Certificateholder), the Owner Trustee or the Certificate Paying Agent may in its sole discretion withhold such amounts in accordance with this paragraph.</w:t>
      </w:r>
    </w:p>
    <w:p>
      <w:pPr>
        <w:spacing w:after="0" w:line="160" w:lineRule="exact"/>
        <w:rPr>
          <w:rFonts w:ascii="Times New Roman" w:cs="Times New Roman" w:eastAsia="Times New Roman" w:hAnsi="Times New Roman"/>
          <w:sz w:val="19"/>
          <w:szCs w:val="19"/>
          <w:color w:val="1F3763"/>
        </w:rPr>
      </w:pPr>
    </w:p>
    <w:p>
      <w:pPr>
        <w:ind w:left="-20" w:right="20" w:firstLine="1410"/>
        <w:spacing w:after="0" w:line="253" w:lineRule="auto"/>
        <w:tabs>
          <w:tab w:leader="none" w:pos="1745" w:val="left"/>
        </w:tabs>
        <w:numPr>
          <w:ilvl w:val="0"/>
          <w:numId w:val="37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Holder of a Certificate shall, on or prior to the date such Holder becomes a Holder, provide the Owner Trustee and the Certificate Paying Agent with Internal Revenue Service form W-9, W-8BEN, W-8BEN-E or W-8ECI (or successor forms), as appropriate, and any documentation or certification required or reasonably appropriate for the Certificate Paying Agent to satisfy its obligations with respect to the tax laws of the United States. Any such Holder agrees by its acceptance of a Certificate, on an ongoing basis, to provide updated certification when required by law and to notify the Owner Trustee and the Certificate Paying Agent should subsequent circumstances arise affecting the information provided the Owner Trustee or the Certificate Paying Agent pursuant to this paragraph. The Owner Trustee and the Certificate Paying Agent shall be fully protected in relying upon, and each Holder by its acceptance of a Certificate hereunder agrees to indemnify and hold the Owner Trustee and the Certificate Paying Agent harmless against all claims or liability of any kind arising in connection with or related to the Owner Trustee's and the Certificate Paying Agent's reliance upon any documents, forms or information provided by any Holder to the Owner Trustee and the Certificate Paying Agent. Upon request from the Certificate Paying Agent, the Issuer will provide such additional information that it may have to assist the Certificate Paying Agent in making any withholdings or informational reports.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649605</wp:posOffset>
            </wp:positionV>
            <wp:extent cx="6732905" cy="406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80" w:top="1440" w:right="700" w:bottom="1440" w:gutter="0" w:footer="0" w:header="0"/>
        </w:sectPr>
      </w:pPr>
    </w:p>
    <w:bookmarkStart w:id="433" w:name="page434"/>
    <w:bookmarkEnd w:id="433"/>
    <w:p>
      <w:pPr>
        <w:spacing w:after="0" w:line="269" w:lineRule="exact"/>
        <w:rPr>
          <w:sz w:val="20"/>
          <w:szCs w:val="20"/>
          <w:color w:val="auto"/>
        </w:rPr>
      </w:pPr>
    </w:p>
    <w:p>
      <w:pPr>
        <w:ind w:right="20" w:firstLine="1410"/>
        <w:spacing w:after="0" w:line="256" w:lineRule="auto"/>
        <w:tabs>
          <w:tab w:leader="none" w:pos="1777" w:val="left"/>
        </w:tabs>
        <w:numPr>
          <w:ilvl w:val="0"/>
          <w:numId w:val="37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Holder of a Certificate that is organized under the laws of a jurisdiction outside the United States acknowledges and agrees that the Certificate Paying Agent shall have the right to deduct and withhold any required U.S. withholding tax, including any withholding tax pursuant to FATCA, on any amounts payable with respect to the Certificates (without any corresponding gross-up or other indemnification), if any such Holder either is subject to withholding under FATCA, fails to comply with the documentation requirements in Section 11.2(c), or otherwise fails to establish a complete exemption form such withholding tax to the reasonable satisfaction of the Certificate Paying Agent. Nothing within this paragraph shall be interpreted in such a manner as to contradict Section 3.4(i) of this Agreement.</w:t>
      </w:r>
    </w:p>
    <w:p>
      <w:pPr>
        <w:spacing w:after="0" w:line="157"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2F5496"/>
        </w:rPr>
        <w:t xml:space="preserve">SECTION XI.3. </w:t>
      </w:r>
      <w:r>
        <w:rPr>
          <w:rFonts w:ascii="Times New Roman" w:cs="Times New Roman" w:eastAsia="Times New Roman" w:hAnsi="Times New Roman"/>
          <w:sz w:val="19"/>
          <w:szCs w:val="19"/>
          <w:color w:val="000000"/>
        </w:rPr>
        <w:t>Method of Payment. Distributions required to be made to the Certificateholders on any Distribution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Date shall be made to each Certificateholder of record on the related Record Date either by wire transfer, in immediately available funds, to (i) for the Book-Entry Certificates, the account of the Clearing Agency and (ii) for the Definitive Certificates, such Certificateholder at a bank or other entity having appropriate facilities therefor, if such Certificateholder shall have provided to the Certificate Registrar and the Certificate Paying Agent appropriate written instructions at least five Business Days prior to such Distribution Date, or, if not, by check mailed to such Certificateholder at the address of such Certificate Owner appearing in the Certificate Register.</w:t>
      </w:r>
    </w:p>
    <w:p>
      <w:pPr>
        <w:spacing w:after="0" w:line="157"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2F5496"/>
        </w:rPr>
        <w:t xml:space="preserve">SECTION XI.4. </w:t>
      </w:r>
      <w:r>
        <w:rPr>
          <w:rFonts w:ascii="Times New Roman" w:cs="Times New Roman" w:eastAsia="Times New Roman" w:hAnsi="Times New Roman"/>
          <w:sz w:val="19"/>
          <w:szCs w:val="19"/>
          <w:color w:val="000000"/>
        </w:rPr>
        <w:t>Investment of Funds. In the absence of written investment direction, the Certificate Paying Agent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may hold funds uninvested without any obligation or liability to pay for interest or earnings.</w:t>
      </w:r>
    </w:p>
    <w:p>
      <w:pPr>
        <w:spacing w:after="0" w:line="127"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2F5496"/>
        </w:rPr>
        <w:t xml:space="preserve">SECTION XI.5. </w:t>
      </w:r>
      <w:r>
        <w:rPr>
          <w:rFonts w:ascii="Times New Roman" w:cs="Times New Roman" w:eastAsia="Times New Roman" w:hAnsi="Times New Roman"/>
          <w:sz w:val="19"/>
          <w:szCs w:val="19"/>
          <w:color w:val="000000"/>
        </w:rPr>
        <w:t>U.S.A. Patriot Act Compliance. The parties hereto acknowledge that in accordance with laws,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107 -56) and regulations promulgated by U.S. Department of Treasury or the Office of Foreign Asset Control (collectively, "Banking AML Law"), the Owner Trustee is required to obtain, verify, and record information relating to individuals and entities that establish a business relationship or open an account with the Owner Trustee. Each party hereto agrees that it shall provide the Owner Trustee with such information and documentation as the Owner Trustee may request from time to time in order to enable the Owner Trustee to comply with all applicable requirements of Banking AML Law, including, but not limited to, information or documentation used to identify and verify each party's identity, including, but not limited to, each party's name, physical address, tax identification number, organizational documents, certificates of good standing, licenses to do business or other pertinent identifying information. By accepting and holding a Certificate or beneficial ownership interest in a Certificate, each Holder thereof shall be deemed to have made each of the agreements and acknowledgements made by the parties hereto in this Section 11.5. In addition to the Owner Trustee's obligations under Banking AML Law, the Corporate Transparency Act (31 U.S.C. § 5336) and its implementing regulations (collectively, the "CTA" and together with Banking AML Law, "AML Law"), may require the Trust to file reports with the U.S. Financial Crimes Enforcement Network/FinCEN. It shall be the Depositor's duty and not the Owner Trustee's duty to prepare such filings, cause the Trust to make such filings, and to cause the Trust to comply with its obligations under the CTA, if any.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4" w:name="page435"/>
    <w:bookmarkEnd w:id="434"/>
    <w:p>
      <w:pPr>
        <w:spacing w:after="0" w:line="269"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The parties hereto, and each Certificateholder and Certificate Owner, by virtue of its acceptance of a Certificate or beneficial interest in a Certificate, agree that, for purposes of AML Law, to the fullest extent permitted by law, the Certificateholders and the Certificate Owners are the sole direct owners of the Trust, acknowledge that the Owner Trustee acts solely as a directed trustee at the direction of the Servicer, the Depositor, the Certificateholders and the Certificate Owners or other instructing party as contemplated hereunder and that one or more Controlling Parties of the Servicer, the Depositor, the Certificateholders, the Certificate Owners or such other instructing party, are and shall be deemed to be the parties with the power and authority to exercise substantial control over the Trust.</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35" w:name="page436"/>
    <w:bookmarkEnd w:id="435"/>
    <w:p>
      <w:pPr>
        <w:spacing w:after="0" w:line="269"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IN WITNESS WHEREOF, the parties hereto have caused this Trust Agreement to be duly executed by their respective officers hereunto duly authorized as of the day and year first above written.</w:t>
      </w:r>
    </w:p>
    <w:p>
      <w:pPr>
        <w:spacing w:after="0" w:line="1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COMPUTERSHARE DELAWARE TRUST COMPANY,</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as Owner Trustee</w:t>
      </w:r>
    </w:p>
    <w:p>
      <w:pPr>
        <w:spacing w:after="0" w:line="3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as Certificate Registrar and Certificate Paying</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Agent</w:t>
      </w:r>
    </w:p>
    <w:p>
      <w:pPr>
        <w:spacing w:after="0" w:line="3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UNITED AUTO CREDIT FINANCING LLC,</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as Depositor</w:t>
      </w:r>
    </w:p>
    <w:p>
      <w:pPr>
        <w:sectPr>
          <w:pgSz w:w="11900" w:h="16840" w:orient="portrait"/>
          <w:cols w:equalWidth="0" w:num="1">
            <w:col w:w="10560"/>
          </w:cols>
          <w:pgMar w:left="660" w:top="1440" w:right="680" w:bottom="1440" w:gutter="0" w:footer="0" w:header="0"/>
        </w:sectPr>
      </w:pPr>
    </w:p>
    <w:p>
      <w:pPr>
        <w:spacing w:after="0" w:line="3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Jonathan Sandison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ectPr>
          <w:pgSz w:w="11900" w:h="16840" w:orient="portrait"/>
          <w:cols w:equalWidth="0" w:num="2">
            <w:col w:w="5600" w:space="440"/>
            <w:col w:w="4520"/>
          </w:cols>
          <w:pgMar w:left="660" w:top="1440" w:right="680"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ACKNOWLEDGED AND AGREED TO: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Solely with respect to Sections 7.1, 7.2, 9.2 and 11.5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9840" w:type="dxa"/>
            <w:vAlign w:val="bottom"/>
          </w:tcPr>
          <w:p>
            <w:pPr>
              <w:spacing w:after="0"/>
              <w:rPr>
                <w:sz w:val="19"/>
                <w:szCs w:val="19"/>
                <w:color w:val="auto"/>
              </w:rPr>
            </w:pP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98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Jonathan Sandison</w:t>
            </w:r>
          </w:p>
        </w:tc>
      </w:tr>
      <w:tr>
        <w:trPr>
          <w:trHeight w:val="251"/>
        </w:trPr>
        <w:tc>
          <w:tcPr>
            <w:tcW w:w="72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98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1430"/>
        </w:trPr>
        <w:tc>
          <w:tcPr>
            <w:tcW w:w="720" w:type="dxa"/>
            <w:vAlign w:val="bottom"/>
            <w:tcBorders>
              <w:bottom w:val="single" w:sz="8" w:color="EEEEEE"/>
            </w:tcBorders>
          </w:tcPr>
          <w:p>
            <w:pPr>
              <w:spacing w:after="0"/>
              <w:rPr>
                <w:sz w:val="24"/>
                <w:szCs w:val="24"/>
                <w:color w:val="auto"/>
              </w:rPr>
            </w:pPr>
          </w:p>
        </w:tc>
        <w:tc>
          <w:tcPr>
            <w:tcW w:w="9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436" w:name="page437"/>
    <w:bookmarkEnd w:id="436"/>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20" w:type="dxa"/>
            <w:vAlign w:val="bottom"/>
          </w:tcPr>
          <w:p>
            <w:pPr>
              <w:spacing w:after="0"/>
              <w:rPr>
                <w:sz w:val="21"/>
                <w:szCs w:val="21"/>
                <w:color w:val="auto"/>
              </w:rPr>
            </w:pPr>
          </w:p>
        </w:tc>
        <w:tc>
          <w:tcPr>
            <w:tcW w:w="8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EXHIBIT A</w:t>
            </w:r>
          </w:p>
        </w:tc>
        <w:tc>
          <w:tcPr>
            <w:tcW w:w="0" w:type="dxa"/>
            <w:vAlign w:val="bottom"/>
          </w:tcPr>
          <w:p>
            <w:pPr>
              <w:spacing w:after="0"/>
              <w:rPr>
                <w:sz w:val="1"/>
                <w:szCs w:val="1"/>
                <w:color w:val="auto"/>
              </w:rPr>
            </w:pPr>
          </w:p>
        </w:tc>
      </w:tr>
      <w:tr>
        <w:trPr>
          <w:trHeight w:val="420"/>
        </w:trPr>
        <w:tc>
          <w:tcPr>
            <w:tcW w:w="18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NUMBER</w:t>
            </w: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FORM OF CERTIFICATE</w:t>
            </w:r>
          </w:p>
        </w:tc>
        <w:tc>
          <w:tcPr>
            <w:tcW w:w="0" w:type="dxa"/>
            <w:vAlign w:val="bottom"/>
          </w:tcPr>
          <w:p>
            <w:pPr>
              <w:spacing w:after="0"/>
              <w:rPr>
                <w:sz w:val="1"/>
                <w:szCs w:val="1"/>
                <w:color w:val="auto"/>
              </w:rPr>
            </w:pPr>
          </w:p>
        </w:tc>
      </w:tr>
      <w:tr>
        <w:trPr>
          <w:trHeight w:val="228"/>
        </w:trPr>
        <w:tc>
          <w:tcPr>
            <w:tcW w:w="1820" w:type="dxa"/>
            <w:vAlign w:val="bottom"/>
            <w:vMerge w:val="continue"/>
          </w:tcPr>
          <w:p>
            <w:pPr>
              <w:spacing w:after="0"/>
              <w:rPr>
                <w:sz w:val="19"/>
                <w:szCs w:val="19"/>
                <w:color w:val="auto"/>
              </w:rPr>
            </w:pPr>
          </w:p>
        </w:tc>
        <w:tc>
          <w:tcPr>
            <w:tcW w:w="8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9"/>
                <w:szCs w:val="19"/>
                <w:color w:val="auto"/>
              </w:rPr>
              <w:t>R-[__]</w:t>
            </w:r>
          </w:p>
        </w:tc>
        <w:tc>
          <w:tcPr>
            <w:tcW w:w="8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Nominal Principal Amount: $[_________]</w:t>
            </w: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8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Units: [________]</w:t>
            </w: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8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Percentage Interest: [___]%</w:t>
            </w:r>
          </w:p>
        </w:tc>
        <w:tc>
          <w:tcPr>
            <w:tcW w:w="0" w:type="dxa"/>
            <w:vAlign w:val="bottom"/>
          </w:tcPr>
          <w:p>
            <w:pPr>
              <w:spacing w:after="0"/>
              <w:rPr>
                <w:sz w:val="1"/>
                <w:szCs w:val="1"/>
                <w:color w:val="auto"/>
              </w:rPr>
            </w:pPr>
          </w:p>
        </w:tc>
      </w:tr>
      <w:tr>
        <w:trPr>
          <w:trHeight w:val="251"/>
        </w:trPr>
        <w:tc>
          <w:tcPr>
            <w:tcW w:w="1820" w:type="dxa"/>
            <w:vAlign w:val="bottom"/>
          </w:tcPr>
          <w:p>
            <w:pPr>
              <w:spacing w:after="0"/>
              <w:rPr>
                <w:sz w:val="21"/>
                <w:szCs w:val="21"/>
                <w:color w:val="auto"/>
              </w:rPr>
            </w:pPr>
          </w:p>
        </w:tc>
        <w:tc>
          <w:tcPr>
            <w:tcW w:w="8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CUSIP: [_____]</w:t>
            </w:r>
          </w:p>
        </w:tc>
        <w:tc>
          <w:tcPr>
            <w:tcW w:w="0" w:type="dxa"/>
            <w:vAlign w:val="bottom"/>
          </w:tcPr>
          <w:p>
            <w:pPr>
              <w:spacing w:after="0"/>
              <w:rPr>
                <w:sz w:val="1"/>
                <w:szCs w:val="1"/>
                <w:color w:val="auto"/>
              </w:rPr>
            </w:pPr>
          </w:p>
        </w:tc>
      </w:tr>
      <w:tr>
        <w:trPr>
          <w:trHeight w:val="456"/>
        </w:trPr>
        <w:tc>
          <w:tcPr>
            <w:tcW w:w="1820" w:type="dxa"/>
            <w:vAlign w:val="bottom"/>
          </w:tcPr>
          <w:p>
            <w:pPr>
              <w:spacing w:after="0"/>
              <w:rPr>
                <w:sz w:val="24"/>
                <w:szCs w:val="24"/>
                <w:color w:val="auto"/>
              </w:rPr>
            </w:pP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SEE REVERSE FOR CERTAIN DEFINITIONS</w:t>
            </w:r>
          </w:p>
        </w:tc>
        <w:tc>
          <w:tcPr>
            <w:tcW w:w="0" w:type="dxa"/>
            <w:vAlign w:val="bottom"/>
          </w:tcPr>
          <w:p>
            <w:pPr>
              <w:spacing w:after="0"/>
              <w:rPr>
                <w:sz w:val="1"/>
                <w:szCs w:val="1"/>
                <w:color w:val="auto"/>
              </w:rPr>
            </w:pPr>
          </w:p>
        </w:tc>
      </w:tr>
      <w:tr>
        <w:trPr>
          <w:trHeight w:val="397"/>
        </w:trPr>
        <w:tc>
          <w:tcPr>
            <w:tcW w:w="1820" w:type="dxa"/>
            <w:vAlign w:val="bottom"/>
          </w:tcPr>
          <w:p>
            <w:pPr>
              <w:spacing w:after="0"/>
              <w:rPr>
                <w:sz w:val="24"/>
                <w:szCs w:val="24"/>
                <w:color w:val="auto"/>
              </w:rPr>
            </w:pP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THIS CERTIFICATE IS NOT TRANSFERABLE,</w:t>
            </w: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EXCEPT UNDER THE LIMITED CONDITIONS</w:t>
            </w:r>
          </w:p>
        </w:tc>
        <w:tc>
          <w:tcPr>
            <w:tcW w:w="0" w:type="dxa"/>
            <w:vAlign w:val="bottom"/>
          </w:tcPr>
          <w:p>
            <w:pPr>
              <w:spacing w:after="0"/>
              <w:rPr>
                <w:sz w:val="1"/>
                <w:szCs w:val="1"/>
                <w:color w:val="auto"/>
              </w:rPr>
            </w:pPr>
          </w:p>
        </w:tc>
      </w:tr>
      <w:tr>
        <w:trPr>
          <w:trHeight w:val="251"/>
        </w:trPr>
        <w:tc>
          <w:tcPr>
            <w:tcW w:w="1820" w:type="dxa"/>
            <w:vAlign w:val="bottom"/>
          </w:tcPr>
          <w:p>
            <w:pPr>
              <w:spacing w:after="0"/>
              <w:rPr>
                <w:sz w:val="21"/>
                <w:szCs w:val="21"/>
                <w:color w:val="auto"/>
              </w:rPr>
            </w:pP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SPECIFIED IN THE TRUST AGREEMENT</w:t>
            </w:r>
          </w:p>
        </w:tc>
        <w:tc>
          <w:tcPr>
            <w:tcW w:w="0" w:type="dxa"/>
            <w:vAlign w:val="bottom"/>
          </w:tcPr>
          <w:p>
            <w:pPr>
              <w:spacing w:after="0"/>
              <w:rPr>
                <w:sz w:val="1"/>
                <w:szCs w:val="1"/>
                <w:color w:val="auto"/>
              </w:rPr>
            </w:pPr>
          </w:p>
        </w:tc>
      </w:tr>
      <w:tr>
        <w:trPr>
          <w:trHeight w:val="420"/>
        </w:trPr>
        <w:tc>
          <w:tcPr>
            <w:tcW w:w="1820" w:type="dxa"/>
            <w:vAlign w:val="bottom"/>
          </w:tcPr>
          <w:p>
            <w:pPr>
              <w:spacing w:after="0"/>
              <w:rPr>
                <w:sz w:val="24"/>
                <w:szCs w:val="24"/>
                <w:color w:val="auto"/>
              </w:rPr>
            </w:pP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UNITED AUTO CREDIT SECURITIZATION TRUST 2025-1</w:t>
            </w:r>
          </w:p>
        </w:tc>
        <w:tc>
          <w:tcPr>
            <w:tcW w:w="0" w:type="dxa"/>
            <w:vAlign w:val="bottom"/>
          </w:tcPr>
          <w:p>
            <w:pPr>
              <w:spacing w:after="0"/>
              <w:rPr>
                <w:sz w:val="1"/>
                <w:szCs w:val="1"/>
                <w:color w:val="auto"/>
              </w:rPr>
            </w:pPr>
          </w:p>
        </w:tc>
      </w:tr>
      <w:tr>
        <w:trPr>
          <w:trHeight w:val="420"/>
        </w:trPr>
        <w:tc>
          <w:tcPr>
            <w:tcW w:w="1820" w:type="dxa"/>
            <w:vAlign w:val="bottom"/>
          </w:tcPr>
          <w:p>
            <w:pPr>
              <w:spacing w:after="0"/>
              <w:rPr>
                <w:sz w:val="24"/>
                <w:szCs w:val="24"/>
                <w:color w:val="auto"/>
              </w:rPr>
            </w:pP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_________________________________</w:t>
            </w:r>
          </w:p>
        </w:tc>
        <w:tc>
          <w:tcPr>
            <w:tcW w:w="0" w:type="dxa"/>
            <w:vAlign w:val="bottom"/>
          </w:tcPr>
          <w:p>
            <w:pPr>
              <w:spacing w:after="0"/>
              <w:rPr>
                <w:sz w:val="1"/>
                <w:szCs w:val="1"/>
                <w:color w:val="auto"/>
              </w:rPr>
            </w:pPr>
          </w:p>
        </w:tc>
      </w:tr>
      <w:tr>
        <w:trPr>
          <w:trHeight w:val="420"/>
        </w:trPr>
        <w:tc>
          <w:tcPr>
            <w:tcW w:w="1820" w:type="dxa"/>
            <w:vAlign w:val="bottom"/>
          </w:tcPr>
          <w:p>
            <w:pPr>
              <w:spacing w:after="0"/>
              <w:rPr>
                <w:sz w:val="24"/>
                <w:szCs w:val="24"/>
                <w:color w:val="auto"/>
              </w:rPr>
            </w:pPr>
          </w:p>
        </w:tc>
        <w:tc>
          <w:tcPr>
            <w:tcW w:w="8760" w:type="dxa"/>
            <w:vAlign w:val="bottom"/>
          </w:tcPr>
          <w:p>
            <w:pPr>
              <w:jc w:val="center"/>
              <w:ind w:right="1724"/>
              <w:spacing w:after="0"/>
              <w:rPr>
                <w:sz w:val="20"/>
                <w:szCs w:val="20"/>
                <w:color w:val="auto"/>
              </w:rPr>
            </w:pPr>
            <w:r>
              <w:rPr>
                <w:rFonts w:ascii="Times New Roman" w:cs="Times New Roman" w:eastAsia="Times New Roman" w:hAnsi="Times New Roman"/>
                <w:sz w:val="19"/>
                <w:szCs w:val="19"/>
                <w:color w:val="auto"/>
              </w:rPr>
              <w:t>AUTOMOBILE RECEIVABLES BACKED CERTIFICATE</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evidencing a beneficial ownership interest in certain distributions of the Issuer, as defined below, the property of which includes a pool of motor vehicle retail installment sale contracts secured by new and used automobiles, vans or light and medium duty trucks.</w:t>
      </w:r>
    </w:p>
    <w:p>
      <w:pPr>
        <w:spacing w:after="0" w:line="125" w:lineRule="exact"/>
        <w:rPr>
          <w:sz w:val="20"/>
          <w:szCs w:val="20"/>
          <w:color w:val="auto"/>
        </w:rPr>
      </w:pPr>
    </w:p>
    <w:p>
      <w:pPr>
        <w:ind w:right="140" w:firstLine="696"/>
        <w:spacing w:after="0" w:line="255" w:lineRule="auto"/>
        <w:rPr>
          <w:sz w:val="20"/>
          <w:szCs w:val="20"/>
          <w:color w:val="auto"/>
        </w:rPr>
      </w:pPr>
      <w:r>
        <w:rPr>
          <w:rFonts w:ascii="Times New Roman" w:cs="Times New Roman" w:eastAsia="Times New Roman" w:hAnsi="Times New Roman"/>
          <w:sz w:val="19"/>
          <w:szCs w:val="19"/>
          <w:b w:val="1"/>
          <w:bCs w:val="1"/>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0" w:lineRule="exact"/>
        <w:rPr>
          <w:sz w:val="20"/>
          <w:szCs w:val="20"/>
          <w:color w:val="auto"/>
        </w:rPr>
      </w:pPr>
    </w:p>
    <w:p>
      <w:pPr>
        <w:ind w:right="140" w:firstLine="696"/>
        <w:spacing w:after="0" w:line="259" w:lineRule="auto"/>
        <w:rPr>
          <w:sz w:val="20"/>
          <w:szCs w:val="20"/>
          <w:color w:val="auto"/>
        </w:rPr>
      </w:pPr>
      <w:r>
        <w:rPr>
          <w:rFonts w:ascii="Times New Roman" w:cs="Times New Roman" w:eastAsia="Times New Roman" w:hAnsi="Times New Roman"/>
          <w:sz w:val="19"/>
          <w:szCs w:val="19"/>
          <w:b w:val="1"/>
          <w:bCs w:val="1"/>
          <w:color w:val="auto"/>
        </w:rPr>
        <w:t>THIS CERTIFICATE HAS NOT BEEN REGISTERED UNDER THE SECURITIES ACT OF 1933, AS AMENDED (THE "SECURITIES ACT"), OR ANY STATE SECURITIES LAWS AND MAY NOT BE OFFERED, SOLD, PLEDGED OR OTHERWISE TRANSFERRED EXCEPT (A) TO THE SPONSOR, THE DEPOSITOR OR ANY OF THEIR AFFILIATES,</w:t>
      </w:r>
    </w:p>
    <w:p>
      <w:pPr>
        <w:spacing w:after="0" w:line="1" w:lineRule="exact"/>
        <w:rPr>
          <w:sz w:val="20"/>
          <w:szCs w:val="20"/>
          <w:color w:val="auto"/>
        </w:rPr>
      </w:pPr>
    </w:p>
    <w:p>
      <w:pPr>
        <w:ind w:right="60" w:firstLine="6"/>
        <w:spacing w:after="0" w:line="253" w:lineRule="auto"/>
        <w:tabs>
          <w:tab w:leader="none" w:pos="304" w:val="left"/>
        </w:tabs>
        <w:numPr>
          <w:ilvl w:val="0"/>
          <w:numId w:val="3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TO A PERSON IT REASONABLY BELIEVES IS A "QUALIFIED INSTITUTIONAL BUYER" AS DEFINED IN RULE 144A UNDER THE SECURITIES ACT ("RULE 144A") THAT PURCHASES FOR ITS OWN ACCOUNT OR FOR THE ACCOUNT OF A QUALIFIED INSTITUTIONAL BUYER TO WHOM NOTICE IS GIVEN THAT THE TRANSFER IS BEING MADE IN RELIANCE ON RULE 144A, OR (C) IN ACCORDANCE WITH ALL APPLICABLE SECURITIES LAWS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889000</wp:posOffset>
            </wp:positionV>
            <wp:extent cx="6732905" cy="406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7" w:name="page438"/>
    <w:bookmarkEnd w:id="437"/>
    <w:p>
      <w:pPr>
        <w:spacing w:after="0" w:line="2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b w:val="1"/>
          <w:bCs w:val="1"/>
          <w:color w:val="auto"/>
        </w:rPr>
        <w:t>ANY STATE OF THE UNITED STATES AND ANY OTHER APPLICABLE JURISDICTION. EACH PURCHASER WILL BE DEEMED TO HAVE MADE CERTAIN REPRESENTATIONS AND AGREEMENTS SET FORTH IN THE TRUST AGREEMENT. ANY TRANSFER IN VIOLATION OF THE FOREGOING WILL BE OF NO FORCE AND EFFECT, WILL BE VOID AB INITIO, AND WILL NOT OPERATE TO TRANSFER ANY RIGHTS TO THE TRANSFEREE, NOTWITHSTANDING ANY INSTRUCTIONS TO THE CONTRARY TO THE ISSUER, THE OWNER TRUSTEE, OR ANY INTERMEDIARY. IF AT ANY TIME, THE ISSUER DETERMINES OR IS NOTIFIED THAT THE HOLDER OF SUCH CERTIFICATE OR PERCENTAGE INTEREST IN SUCH CERTIFICATE WAS IN BREACH, AT THE TIME GIVEN, OF ANY OF THE REPRESENTATIONS SET FORTH IN THE TRUST AGREEMENT, THE ISSUER, CERTIFICATE REGISTRAR, CERTIFICATE PAYING AGENT AND THE OWNER TRUSTEE MAY CONSIDER THE ACQUISITION OF THIS CERTIFICATE OR SUCH INTEREST IN SUCH CERTIFICATE VOID AND REQUIRE THAT THIS CERTIFICATE OR SUCH INTEREST HEREIN BE TRANSFERRED TO A PERSON DESIGNATED BY THE ISSUER</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b w:val="1"/>
          <w:bCs w:val="1"/>
          <w:color w:val="auto"/>
        </w:rPr>
        <w:t>EACH PURCHASER AND TRANSFEREE OF THIS CERTIFICATE (OR ANY INTEREST HEREIN) SHALL BE DEEMED TO REPRESENT AND WARRANT THAT IT IS NOT AND WILL NOT BECOME (1) AN "EMPLOYEE BENEFIT PLAN" (AS DEFINED IN SECTION 3(3) OF THE EMPLOYEE RETIREMENT INCOME SECURITY ACT OF 1974, AS AMENDED ("ERISA")) THAT IS SUBJECT TO TITLE I OF ERISA, (2) A "PLAN" (AS DEFINED IN SECTION 4975(e)(1) OF THE INTERNAL REVENUE CODE OF 1986, AS AMENDED (THE "CODE")) THAT IS SUBJECT TO SECTION 4975 OF THE CODE, (3) AN ENTITY WHOSE UNDERLYING ASSETS ARE CONSIDERED TO INCLUDE ASSETS OF AN EMPLOYEE BENEFIT PLAN OR PLAN DESCRIBED IN CLAUSE (1) OR (2) ABOVE (EACH, A "BENEFIT PLAN ENTITY"), (4) AN ENTITY THAT IS SUBJECT TO ANY FEDERAL, STATE, LOCAL OR NON-U.S. LAWS OR REGULATIONS THAT ARE SUBSTANTIALLY SIMILAR TO PART 4 OF TITLE I OF ERISA OR SECTION 4975 OF THE CODE (EACH, A "SIMILAR LAW") OR (5) ANY PERSON WHO IS DIRECTLY OR INDIRECTLY PURCHASING, HOLDING OR DISPOSING THIS CERTIFICATE OR ANY INTEREST HEREIN ON BEHALF OF, AS FIDUCIARY OF, AS TRUSTEE OF, OR WITH ASSETS OF, ANY BENEFIT PLAN ENTITY OR ANY ENTITY THAT IS SUBJECT TO ANY SIMILAR LAW. EACH PURCHASER OF THIS CERTIFICATE (OR ANY INTEREST HEREIN) AND EACH PROSPECTIVE CERTIFICATEHOLDER, UPON ACCEPTING THIS CERTIFICATE (OR ANY INTEREST HEREIN), SHALL BE DEEMED TO MAKE ALL OF THE CERTIFICATIONS, REPRESENTATIONS AND WARRANTIES SET FORTH IN THE TRUST AGREEMENT.</w:t>
      </w:r>
    </w:p>
    <w:p>
      <w:pPr>
        <w:spacing w:after="0" w:line="156"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b w:val="1"/>
          <w:bCs w:val="1"/>
          <w:color w:val="auto"/>
        </w:rPr>
        <w:t>EACH PURCHASER OR TRANSFEREE OF THIS CERTIFICATE AGREES THAT NO SALE OR TRANSFER OF A CERTIFICATE SHALL BE PERMITTED (INCLUDING, WITHOUT LIMITATION, BY PLEDGE OR HYPOTHECATION), AND NO SUCH SALE OR TRANSFER SHALL BE REGISTERED AS EFFECTIVE BY THE CERTIFICATE REGISTRAR IF THE SALE OR TRANSFER THEREOF INCREASES TO MORE THAN NINETY-FIVE</w:t>
      </w:r>
    </w:p>
    <w:p>
      <w:pPr>
        <w:ind w:right="1480" w:firstLine="6"/>
        <w:spacing w:after="0" w:line="262" w:lineRule="auto"/>
        <w:tabs>
          <w:tab w:leader="none" w:pos="368" w:val="left"/>
        </w:tabs>
        <w:numPr>
          <w:ilvl w:val="0"/>
          <w:numId w:val="3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PERSONS THE TOTAL NUMBER OF BENEFICIAL OWNERS OF THE CLASS E NOTES AND THE CERTIFICATES. FOR</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438" w:name="page439"/>
    <w:bookmarkEnd w:id="438"/>
    <w:p>
      <w:pPr>
        <w:spacing w:after="0" w:line="2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b w:val="1"/>
          <w:bCs w:val="1"/>
          <w:color w:val="auto"/>
        </w:rPr>
        <w:t>PURPOSES OF DETERMINING THE TOTAL NUMBER OF BENEFICIAL OWNERS OF THE CERTIFICATES AND CLASS E NOTES, A BENEFICIAL OWNER OF AN INTEREST IN A PARTNERSHIP, GRANTOR TRUST, S CORPORATION OR OTHER FLOW-THROUGH ENTITY THAT OWNS, DIRECTLY OR THROUGH OTHER FLOW-THROUGH ENTITIES, A CERTIFICATE OR CLASS E NOTE IS TREATED AS A BENEFICIAL OWNER OF SUCH CERTIFICATE OR CLASS E NOTE IF (I) SUBSTANTIALLY ALL OF THE VALUE OF THE BENEFICIAL OWNER'S INTEREST (DIRECTLY OR INDIRECTLY) IN THE FLOW-THROUGH ENTITY IS ATTRIBUTED TO THE FLOW-THROUGH ENTITY'S INTEREST IN THE CERTIFICATE OR CLASS E NOTE AND (II) A PRINCIPAL PURPOSE OF THE USE OF THE FLOW-THROUGH ENTITY TO HOLD THE CERTIFICATE OR CLASS E NOTE IS TO SATISFY THE 95 HOLDER LIMITATION SET OUT ABOVE. EACH PURCHASER OF A BENEFICIAL INTEREST IN A CERTIFICATE AND EACH PROSPECTIVE OWNER OF A BENEFICIAL INTEREST IN A CERTIFICATE, UPON ACCEPTING A BENEFICIAL INTEREST IN A CERTIFICATE, SHALL BE DEEMED TO MAKE ALL OF THE CERTIFICATIONS, REPRESENTATIONS AND WARRANTIES SET FORTH IN THE TRUST AGREEMENT.</w:t>
      </w:r>
    </w:p>
    <w:p>
      <w:pPr>
        <w:spacing w:after="0" w:line="165" w:lineRule="exact"/>
        <w:rPr>
          <w:sz w:val="20"/>
          <w:szCs w:val="20"/>
          <w:color w:val="auto"/>
        </w:rPr>
      </w:pPr>
    </w:p>
    <w:p>
      <w:pPr>
        <w:ind w:right="60" w:firstLine="696"/>
        <w:spacing w:after="0" w:line="263" w:lineRule="auto"/>
        <w:rPr>
          <w:sz w:val="20"/>
          <w:szCs w:val="20"/>
          <w:color w:val="auto"/>
        </w:rPr>
      </w:pPr>
      <w:r>
        <w:rPr>
          <w:rFonts w:ascii="Times New Roman" w:cs="Times New Roman" w:eastAsia="Times New Roman" w:hAnsi="Times New Roman"/>
          <w:sz w:val="19"/>
          <w:szCs w:val="19"/>
          <w:b w:val="1"/>
          <w:bCs w:val="1"/>
          <w:color w:val="auto"/>
        </w:rPr>
        <w:t>EACH PURCHASER OR TRANSFEREE OF THIS CERTIFICATE REPRESENTS TO THE ISSUER, CERTIFICATE REGISTRAR, CERTIFICATE PAYING AGENT AND OWNER TRUSTEE BY ACCEPTANCE OF THIS CERTIFICATE OR BENEFICIAL INTEREST THEREIN THAT IT IS NOT AND WILL NOT BECOME SUBJECT TO ANY WITHHOLDING UNDER FATCA.</w:t>
      </w:r>
    </w:p>
    <w:p>
      <w:pPr>
        <w:spacing w:after="0" w:line="149"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THIS CERTIFICATE MAY BE TRANSFERRED ONLY IN MINIMUM DENOMINATIONS OF $14,500 AND INTEGRAL MULTIPLES OF $1 IN EXCESS THEREOF. NO DISTRIBUTIONS OF MONEYS TO THE CERTIFICATEHOLDERS UNDER THE BASIC DOCUMENTS SHALL BE DEEMED TO REDUCE THE NOMINAL PRINCIPAL AMOUNT OF ANY CERTIFICATE PRIOR TO PAYMENT IN FULL OF ALL OUTSTANDING NOTES; PROVIDED, HOWEVER, THAT THE FINAL $100,000 DISTRIBUTED TO THE CERTIFICATEHOLDERS UNDER THE BASIC DOCUMENTS UPON FINAL DISTRIBUTION OF THE OWNER TRUST ESTATE AND TERMINATION OF THE ISSUER SHALL BE DEEMED TO REPAY THE AGGREGATE NOMINAL PRINCIPAL AMOUNT OF THE CERTIFICATES IN FULL; PROVIDED, FURTHER, THAT ANY FAILURE TO PAY IN FULL THE OUTSTANDING NOMINAL PRINCIPAL AMOUNT OF A CERTIFICATE ON SUCH FINAL DISTRIBUTION DATE SHALL NOT RESULT IN ANY RECOURSE TO, CLAIM AGAINST OR LIABILITY OF ANY PERSON FOR SUCH SHORTFALL.</w:t>
      </w:r>
    </w:p>
    <w:p>
      <w:pPr>
        <w:spacing w:after="0" w:line="3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THIS CERTIFIES THAT CEDE &amp; CO. is the registered owner of a $[_____] nominal principal amount in United Auto Credit</w:t>
      </w:r>
    </w:p>
    <w:p>
      <w:pPr>
        <w:spacing w:after="0" w:line="32"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9"/>
          <w:szCs w:val="19"/>
          <w:color w:val="auto"/>
        </w:rPr>
        <w:t>Securitization Trust 2025-1 (the "Issuer") formed by United Auto Credit Financing LLC, a Delaware limited liability company (the "Depositor").</w:t>
      </w:r>
    </w:p>
    <w:p>
      <w:pPr>
        <w:spacing w:after="0" w:line="149" w:lineRule="exact"/>
        <w:rPr>
          <w:sz w:val="20"/>
          <w:szCs w:val="20"/>
          <w:color w:val="auto"/>
        </w:rPr>
      </w:pPr>
    </w:p>
    <w:p>
      <w:pPr>
        <w:ind w:right="180" w:firstLine="696"/>
        <w:spacing w:after="0" w:line="268" w:lineRule="auto"/>
        <w:rPr>
          <w:sz w:val="20"/>
          <w:szCs w:val="20"/>
          <w:color w:val="auto"/>
        </w:rPr>
      </w:pPr>
      <w:r>
        <w:rPr>
          <w:rFonts w:ascii="Times New Roman" w:cs="Times New Roman" w:eastAsia="Times New Roman" w:hAnsi="Times New Roman"/>
          <w:sz w:val="19"/>
          <w:szCs w:val="19"/>
          <w:color w:val="auto"/>
        </w:rPr>
        <w:t>The Issuer was created pursuant to a Trust Agreement dated as of January 30, 2025, as amended and restated by the Amended and Restated Trust Agreement, dated as of February 28, 2025 and effective on the Closing Date (as amended and restated the "Trust Agreement"), between the Depositor, Computershare Trust Company, N.A., as certificate registrar (in such capacity, the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39" w:name="page440"/>
    <w:bookmarkEnd w:id="439"/>
    <w:p>
      <w:pPr>
        <w:spacing w:after="0" w:line="26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9"/>
          <w:szCs w:val="19"/>
          <w:color w:val="auto"/>
        </w:rPr>
        <w:t>"Certificate Registrar") and certificate paying agent (in such capacity, the "Certificate Paying Agent") and Computershare Delaware Trust Company, as owner trustee (the "Owner Trustee"), a summary of certain of the pertinent provisions of which is set forth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extent not otherwise defined herein, the capitalized terms used herein have the meanings assigned to them in the Trust Agreement.</w:t>
      </w:r>
    </w:p>
    <w:p>
      <w:pPr>
        <w:spacing w:after="0" w:line="180" w:lineRule="exact"/>
        <w:rPr>
          <w:sz w:val="20"/>
          <w:szCs w:val="20"/>
          <w:color w:val="auto"/>
        </w:rPr>
      </w:pPr>
    </w:p>
    <w:p>
      <w:pPr>
        <w:ind w:right="20" w:firstLine="696"/>
        <w:spacing w:after="0" w:line="253" w:lineRule="auto"/>
        <w:rPr>
          <w:sz w:val="20"/>
          <w:szCs w:val="20"/>
          <w:color w:val="auto"/>
        </w:rPr>
      </w:pPr>
      <w:r>
        <w:rPr>
          <w:rFonts w:ascii="Times New Roman" w:cs="Times New Roman" w:eastAsia="Times New Roman" w:hAnsi="Times New Roman"/>
          <w:sz w:val="19"/>
          <w:szCs w:val="19"/>
          <w:color w:val="auto"/>
        </w:rPr>
        <w:t xml:space="preserve">This is a duly authorized Certificate designated as "Automobile Receivables Backed Certificate" (herein called the "Certificate") . The Issuer has also issued five classes of Notes designated as the Class A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Automobile Receivables Backed Notes (the "Class A Notes"), Class B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Automobile Receivables Backed Notes (the "Class B Notes"), Class 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Automobile Receivables Backed Notes (the "Class C Notes"), Class D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Automobile Receivables Backed Notes (the "Class D Notes") and Class 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Automobile Receivables Backed Notes (the "Class E Notes" and collectively with the Class A Notes, the Class B Notes, the Class C Notes and the Class D Notes, the "Notes") under an Indenture, dated as of February 28, 2025, between the Issuer and Computershare Trust Company, N.A., as Indenture Trustee. This Certificate is issued under and is subject to the terms, provisions and conditions of the Trust Agreement, to which Trust Agreement the holder of this Certificate by virtue of the acceptance hereof assents and by which such holder is bound. The property of the Issuer primarily includes a pool of motor vehicle retail installment sale contracts secured by new and used automobiles, vans or light and medium duty trucks (the "Receivables"), all monies due thereunder after the Cutoff Date, security interests in the vehicles financed thereby, certain bank accounts and the proceeds thereof, proceeds from claims on certain insurance policies and certain other rights under the Trust Agreement, the Sale and Servicing Agreement, all right to and interest of the Depositor in and to the Purchase Agreement, dated as of February 28, 2025, between United Auto Credit Corporation, as Seller, and the Depositor, as Purchaser, and all proceeds of the foregoing.</w:t>
      </w:r>
    </w:p>
    <w:p>
      <w:pPr>
        <w:spacing w:after="0" w:line="161" w:lineRule="exact"/>
        <w:rPr>
          <w:sz w:val="20"/>
          <w:szCs w:val="20"/>
          <w:color w:val="auto"/>
        </w:rPr>
      </w:pPr>
    </w:p>
    <w:p>
      <w:pPr>
        <w:ind w:right="140" w:firstLine="696"/>
        <w:spacing w:after="0" w:line="268" w:lineRule="auto"/>
        <w:rPr>
          <w:sz w:val="20"/>
          <w:szCs w:val="20"/>
          <w:color w:val="auto"/>
        </w:rPr>
      </w:pPr>
      <w:r>
        <w:rPr>
          <w:rFonts w:ascii="Times New Roman" w:cs="Times New Roman" w:eastAsia="Times New Roman" w:hAnsi="Times New Roman"/>
          <w:sz w:val="19"/>
          <w:szCs w:val="19"/>
          <w:color w:val="auto"/>
        </w:rPr>
        <w:t>The holder of this Certificate acknowledges and agrees that its rights to receive distributions in respect of this Certificate are subordinated to the rights of the Noteholders as described in the Sale and Servicing Agreement, the Indenture and the Trust Agreement, as applicable.</w:t>
      </w:r>
    </w:p>
    <w:p>
      <w:pPr>
        <w:spacing w:after="0" w:line="144"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Distributions on this Certificate will be made as provided in the Trust Agreement and the Sale and Servicing Agreement or any other Basic Document by wire transfer or check mailed to the Certificateholder without the presentation or surrender of this Certificate or the making of any notation hereon. Except as otherwise provided in the Trust Agreement and notwithstanding the above, the final distribution on this Certificate will be made after due notice by the Certificate Registrar of the pendency of such distribution and only upon presentation and surrender of this Certificate at the office or agency maintained for the purpose by the Certificate Registrar in the Corporate Trust Office of the Certificate Registrar.</w:t>
      </w:r>
    </w:p>
    <w:p>
      <w:pPr>
        <w:spacing w:after="0" w:line="157" w:lineRule="exact"/>
        <w:rPr>
          <w:sz w:val="20"/>
          <w:szCs w:val="20"/>
          <w:color w:val="auto"/>
        </w:rPr>
      </w:pPr>
    </w:p>
    <w:p>
      <w:pPr>
        <w:ind w:right="260" w:firstLine="696"/>
        <w:spacing w:after="0" w:line="286" w:lineRule="auto"/>
        <w:rPr>
          <w:sz w:val="20"/>
          <w:szCs w:val="20"/>
          <w:color w:val="auto"/>
        </w:rPr>
      </w:pPr>
      <w:r>
        <w:rPr>
          <w:rFonts w:ascii="Times New Roman" w:cs="Times New Roman" w:eastAsia="Times New Roman" w:hAnsi="Times New Roman"/>
          <w:sz w:val="19"/>
          <w:szCs w:val="19"/>
          <w:color w:val="auto"/>
        </w:rPr>
        <w:t>Reference is hereby made to the further provisions of this Certificate set forth on the reverse hereof, which further provisions shall for all purposes have the same effect as if set forth at this place.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0" w:name="page441"/>
    <w:bookmarkEnd w:id="440"/>
    <w:p>
      <w:pPr>
        <w:spacing w:after="0" w:line="269"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Unless the certificate of authentication hereon shall have been executed by an authorized officer of the Certificate Registrar, by manual signature, this Certificate shall not entitle the holder hereof to any benefit under the Trust Agreement or the Sale and Servicing Agreement or be valid for any purpose.</w:t>
      </w:r>
    </w:p>
    <w:p>
      <w:pPr>
        <w:spacing w:after="0" w:line="144" w:lineRule="exact"/>
        <w:rPr>
          <w:sz w:val="20"/>
          <w:szCs w:val="20"/>
          <w:color w:val="auto"/>
        </w:rPr>
      </w:pPr>
    </w:p>
    <w:p>
      <w:pPr>
        <w:ind w:right="20" w:firstLine="696"/>
        <w:spacing w:after="0" w:line="268" w:lineRule="auto"/>
        <w:rPr>
          <w:sz w:val="20"/>
          <w:szCs w:val="20"/>
          <w:color w:val="auto"/>
        </w:rPr>
      </w:pPr>
      <w:r>
        <w:rPr>
          <w:rFonts w:ascii="Times New Roman" w:cs="Times New Roman" w:eastAsia="Times New Roman" w:hAnsi="Times New Roman"/>
          <w:sz w:val="19"/>
          <w:szCs w:val="19"/>
          <w:color w:val="auto"/>
        </w:rPr>
        <w:t>THIS CERTIFICATE SHALL BE GOVERNED BY, AND CONSTRUED IN ACCORDANCE WITH, THE LAWS OF THE STATE OF DELAWARE, WITHOUT REFERENCE TO ITS CONFLICT OF LAW PROVISIONS, AND THE OBLIGATIONS, RIGHTS AND REMEDIES OF THE PARTIES HEREUNDER SHALL BE DETERMINED IN ACCORDANCE WITH SUCH LAWS.</w:t>
      </w:r>
    </w:p>
    <w:p>
      <w:pPr>
        <w:spacing w:after="0" w:line="144"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THE CERTIFICATEHOLDER BY VIRTUE OF ITS ACQUISITION OF THIS CERTIFICATE IS HEREBY DEEMED TO WAIVE TO THE FULLEST EXTENT PERMITTED BY APPLICABLE LAW, TRIAL BY JURY IN ANY JUDICIAL PROCEEDING INVOLVING, DIRECTLY OR INDIRECTLY, ANY MATTER (WHETHER SOUNDING IN TORT, CONTRACT OR OTHERWISE) IN ANY WAY ARISING OUT OF, RELATED TO, OR CONNECTED WITH THE TRUST AGREEMENT OR ANY OTHER BASIC DOCUMENT OR THE TRANSACTIONS RELATED THERETO, IN EACH CASE, WHETHER NOW EXISTING OR HEREAFTER ARISING, AND WHETHER FOUNDED IN CONTRACT OR TORT OR OTHERWISE AND THE CERTIFICATEHOLDER BY VIRTUE OF ITS ACQUISITION OF THIS CERTIFICATE IS HEREBY DEEMED TO AGREE AND CONSENT, THAT ANY SUCH CLAIM, DEMAND, ACTION OR CAUSE OF ACTION SHALL BE DECIDED BY COURT TRIAL WITHOUT A JURY, AND THAT ANY PARTY TO THE TRUST AGREEMENT MAY FILE AN ORIGINAL COUNTERPART OR A COPY OF SECTION 10.10 OF THE TRUST AGREEMENT WITH ANY COURT AS WRITTEN EVIDENCE OF THE CONSENT OF THE SIGNATORIES THERETO AND OF THE CERTIFICATEHOLDER TO THE WAIVER OF THEIR RIGHT TO TRIAL BY JURY.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1" w:name="page442"/>
    <w:bookmarkEnd w:id="441"/>
    <w:p>
      <w:pPr>
        <w:spacing w:after="0" w:line="269"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Owner Trustee, on behalf of the Issuer and not in its individual capacity, has caused this Certificate to be duly executed.</w:t>
      </w:r>
    </w:p>
    <w:p>
      <w:pPr>
        <w:spacing w:after="0" w:line="1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UNITED AUTO CREDIT SECURITIZATION TRUST 2025-1</w:t>
      </w:r>
    </w:p>
    <w:p>
      <w:pPr>
        <w:sectPr>
          <w:pgSz w:w="11900" w:h="16840" w:orient="portrait"/>
          <w:cols w:equalWidth="0" w:num="1">
            <w:col w:w="10200"/>
          </w:cols>
          <w:pgMar w:left="660" w:top="1440" w:right="1040" w:bottom="1440" w:gutter="0" w:footer="0" w:header="0"/>
        </w:sectPr>
      </w:pPr>
    </w:p>
    <w:p>
      <w:pPr>
        <w:spacing w:after="0" w:line="3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Computershare Delaware Trust Company, not in its individual capacity but solely as Owner Trustee</w:t>
      </w:r>
    </w:p>
    <w:p>
      <w:pPr>
        <w:spacing w:after="0" w:line="200" w:lineRule="exact"/>
        <w:rPr>
          <w:sz w:val="20"/>
          <w:szCs w:val="20"/>
          <w:color w:val="auto"/>
        </w:rPr>
      </w:pPr>
    </w:p>
    <w:p>
      <w:pPr>
        <w:sectPr>
          <w:pgSz w:w="11900" w:h="16840" w:orient="portrait"/>
          <w:cols w:equalWidth="0" w:num="2">
            <w:col w:w="5040" w:space="360"/>
            <w:col w:w="4800"/>
          </w:cols>
          <w:pgMar w:left="660" w:top="1440" w:right="10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March ___,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ectPr>
          <w:pgSz w:w="11900" w:h="16840" w:orient="portrait"/>
          <w:cols w:equalWidth="0" w:num="2">
            <w:col w:w="4060" w:space="720"/>
            <w:col w:w="5420"/>
          </w:cols>
          <w:pgMar w:left="660" w:top="1440" w:right="1040" w:bottom="1440" w:gutter="0" w:footer="0" w:header="0"/>
          <w:type w:val="continuous"/>
        </w:sectPr>
      </w:pPr>
    </w:p>
    <w:p>
      <w:pPr>
        <w:spacing w:after="0" w:line="1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CERTIFICATE REGISTRAR'S CERTIFICATE OF AUTHENTICATION</w:t>
      </w:r>
    </w:p>
    <w:p>
      <w:pPr>
        <w:sectPr>
          <w:pgSz w:w="11900" w:h="16840" w:orient="portrait"/>
          <w:cols w:equalWidth="0" w:num="1">
            <w:col w:w="10200"/>
          </w:cols>
          <w:pgMar w:left="660" w:top="1440" w:right="1040" w:bottom="1440" w:gutter="0" w:footer="0" w:header="0"/>
          <w:type w:val="continuous"/>
        </w:sectPr>
      </w:pP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This is the Certificate referred to in the within-mentioned Trust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in its individual capacity but solely as Certificate Registrar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1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660" w:top="1440" w:right="1040" w:bottom="1440" w:gutter="0" w:footer="0" w:header="0"/>
          <w:type w:val="continuous"/>
        </w:sectPr>
      </w:pPr>
    </w:p>
    <w:bookmarkStart w:id="442" w:name="page443"/>
    <w:bookmarkEnd w:id="442"/>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(Reverse of Certificate)</w:t>
      </w:r>
    </w:p>
    <w:p>
      <w:pPr>
        <w:spacing w:after="0" w:line="202" w:lineRule="exact"/>
        <w:rPr>
          <w:sz w:val="20"/>
          <w:szCs w:val="20"/>
          <w:color w:val="auto"/>
        </w:rPr>
      </w:pPr>
    </w:p>
    <w:p>
      <w:pPr>
        <w:ind w:right="100" w:firstLine="696"/>
        <w:spacing w:after="0" w:line="256" w:lineRule="auto"/>
        <w:rPr>
          <w:sz w:val="20"/>
          <w:szCs w:val="20"/>
          <w:color w:val="auto"/>
        </w:rPr>
      </w:pPr>
      <w:r>
        <w:rPr>
          <w:rFonts w:ascii="Times New Roman" w:cs="Times New Roman" w:eastAsia="Times New Roman" w:hAnsi="Times New Roman"/>
          <w:sz w:val="19"/>
          <w:szCs w:val="19"/>
          <w:color w:val="auto"/>
        </w:rPr>
        <w:t>This Certificate does not represent an obligation of, or an interest in, the Depositor, the Servicer, the Owner Trustee or any Affiliates of any of them and no recourse may be had against such parties or their assets, except as may be expressly set forth or contemplated herein or in the Trust Agreement, the Indenture or the other Basic Documents. In addition, this Certificate is not guaranteed by any governmental agency or instrumentality and is limited in right of payment to certain collections with respect to the Receivables, all as more specifically set forth herein and in the Sale and Servicing Agreement. A copy of each of the Sale and Servicing Agreement and the Trust Agreement may be examined during normal business hours at the principal office of the Depositor, and at such other places, if any, designated by the Depositor, by any Certificateholder upon written request.</w:t>
      </w:r>
    </w:p>
    <w:p>
      <w:pPr>
        <w:spacing w:after="0" w:line="157"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The Trust Agreement permits, with certain exceptions therein provided, the amendment thereof and the modification of the rights and obligations of the Depositor under the Trust Agreement at any time by the Depositor and the Owner Trustee with the consent of the Majority Noteholders and the Certificateholder. Any such consent by the Holder of this Certificate shall be conclusive and binding on such Holder and on all future Holders of this Certificate and of any Certificate issued upon the transfer hereof or in exchange hereof or in lieu hereof whether or not notation of such consent is made upon this Certificate. The Trust Agreement also permits the amendment thereof, in certain limited circumstances, without the consent of the Certificateholders.</w:t>
      </w:r>
    </w:p>
    <w:p>
      <w:pPr>
        <w:spacing w:after="0" w:line="157"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9"/>
          <w:szCs w:val="19"/>
          <w:color w:val="auto"/>
        </w:rPr>
        <w:t>As provided in the Trust Agreement and subject to certain limitations therein set forth, the transfer of this Certificate is registrable in the Certificate Register upon surrender of this Certificate for registration of transfer at the offices or agencies of the Certificate Registrar at its Corporate Trust Office, accompanied by a written instrument of transfer in form satisfactory to the Depositor, Owner Trustee and the Certificate Registrar duly executed by the holder hereof or such holder's attorney duly authorized in writing, and thereupon a new Certificate evidencing the same aggregate interest in the Issuer will be issued to the designated transferee. The initial Certificate Registrar appointed under the Trust Agreement is Computershare Trust Company, N.A. No service charge will be made for any such registration of transfer or exchange, but the Owner Trustee or the Certificate Registrar may require payment of a sum sufficient to cover any tax or governmental charge payable in connection therewith.</w:t>
      </w:r>
    </w:p>
    <w:p>
      <w:pPr>
        <w:spacing w:after="0" w:line="160" w:lineRule="exact"/>
        <w:rPr>
          <w:sz w:val="20"/>
          <w:szCs w:val="20"/>
          <w:color w:val="auto"/>
        </w:rPr>
      </w:pPr>
    </w:p>
    <w:p>
      <w:pPr>
        <w:ind w:right="80" w:firstLine="696"/>
        <w:spacing w:after="0" w:line="254" w:lineRule="auto"/>
        <w:rPr>
          <w:sz w:val="20"/>
          <w:szCs w:val="20"/>
          <w:color w:val="auto"/>
        </w:rPr>
      </w:pPr>
      <w:r>
        <w:rPr>
          <w:rFonts w:ascii="Times New Roman" w:cs="Times New Roman" w:eastAsia="Times New Roman" w:hAnsi="Times New Roman"/>
          <w:sz w:val="19"/>
          <w:szCs w:val="19"/>
          <w:color w:val="auto"/>
        </w:rPr>
        <w:t>No sale or transfer of a Certificate shall be permitted (including, without limitation, by pledge or hypothecation), and no such sale or transfer shall be registered by the Certificate Registrar or be effective hereunder, if the sale or transfer thereof increases to more than 95 the sum of the number of Certificateholders and Certificate Owners (and, if different, each owner of a beneficial interest in a Certificate) and Class E Noteholders. For purposes of determining the total number of beneficial owners of the Certificates and Class E Notes, a beneficial owner of an interest in a partnership, grantor trust, S corporation or other flow-through entity that owns, directly or through other flow-through entities, a beneficial interest in a Certificate or Class E Note is treated as a holder of such Certificate or Class E Note if (i) substantially all of the value of the beneficial owner's interest (directly or indirectly) in the flow through entity is attributed to the flow-through entity's interest in the Certificate or Class E Note and (ii) a principal purpose of the use of the flow- through entity to hold the Certificate or Class E Note is to satisfy the 95 holder limitation set out above. If using a Flow-Through Entity to acquire this Certificate, the Holder hereof shall be</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43" w:name="page444"/>
    <w:bookmarkEnd w:id="443"/>
    <w:p>
      <w:pPr>
        <w:spacing w:after="0" w:line="2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deemed to have represented that it is not using the flow-through entity in order to avoid the ninety-five (95) holder limitation set out above. If a beneficial owner of a Certificate or a member of its expanded group, as defined in Treasury Regulation Section 1.385-1(c)(4) (including through a controlled partnership as defined in Treasury Regulation Section 1.385 -1(c)(1)), becomes the beneficial owner of a Note (directly, or through its expanded group), the Depositor is authorized, at its discretion, to compel such beneficial owner to sell its Certificate to a person who is not the beneficial owner of a Note (directly, or through its expanded group), so long as such sale does not otherwise cause a material adverse effect on the Issuer.</w:t>
      </w:r>
    </w:p>
    <w:p>
      <w:pPr>
        <w:spacing w:after="0" w:line="157" w:lineRule="exact"/>
        <w:rPr>
          <w:sz w:val="20"/>
          <w:szCs w:val="20"/>
          <w:color w:val="auto"/>
        </w:rPr>
      </w:pPr>
    </w:p>
    <w:p>
      <w:pPr>
        <w:ind w:right="40" w:firstLine="696"/>
        <w:spacing w:after="0" w:line="234" w:lineRule="exact"/>
        <w:rPr>
          <w:sz w:val="20"/>
          <w:szCs w:val="20"/>
          <w:color w:val="auto"/>
        </w:rPr>
      </w:pPr>
      <w:r>
        <w:rPr>
          <w:rFonts w:ascii="Times New Roman" w:cs="Times New Roman" w:eastAsia="Times New Roman" w:hAnsi="Times New Roman"/>
          <w:sz w:val="19"/>
          <w:szCs w:val="19"/>
          <w:color w:val="auto"/>
        </w:rPr>
        <w:t>No sale or transfer of a Certificate shall be permitted (including, without limitation, by pledge or hypothecation), and no such sale or transfer shall be registered by the Certificate Registrar or be effective hereunder, to anyone who cannot supply IRS Form W- 9, W-8BEN,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8BEN-E or W-8ECI or such other form as may be reasonably required in form satisfactory to the Certificate Registrar duly executed by the Certificateholder or such Person's attorney duly authorized in writing.</w:t>
      </w:r>
    </w:p>
    <w:p>
      <w:pPr>
        <w:spacing w:after="0" w:line="172"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The Owner Trustee, Certificate Registrar and Certificate Paying Agent, and any agent of the Owner Trustee, Certificate Registrar or Certificate Paying Agent may treat the Person in whose name this Certificate is registered as the owner hereof for all purposes, and none of the Owner Trustee, Certificate Registrar, nor Certificate Paying Agent nor any such agent shall be affected by any notice to the contrary.</w:t>
      </w:r>
    </w:p>
    <w:p>
      <w:pPr>
        <w:spacing w:after="0" w:line="150" w:lineRule="exact"/>
        <w:rPr>
          <w:sz w:val="20"/>
          <w:szCs w:val="20"/>
          <w:color w:val="auto"/>
        </w:rPr>
      </w:pPr>
    </w:p>
    <w:p>
      <w:pPr>
        <w:ind w:right="20" w:firstLine="696"/>
        <w:spacing w:after="0" w:line="259" w:lineRule="auto"/>
        <w:rPr>
          <w:sz w:val="20"/>
          <w:szCs w:val="20"/>
          <w:color w:val="auto"/>
        </w:rPr>
      </w:pPr>
      <w:r>
        <w:rPr>
          <w:rFonts w:ascii="Times New Roman" w:cs="Times New Roman" w:eastAsia="Times New Roman" w:hAnsi="Times New Roman"/>
          <w:sz w:val="19"/>
          <w:szCs w:val="19"/>
          <w:color w:val="auto"/>
        </w:rPr>
        <w:t>The obligations and responsibilities created by the Trust Agreement and the Issuer created thereby shall terminate in accordance with Article VIII of the Trust Agreement. The Servicer may at its option purchase the corpus of the Issuer at a price specified in the Sale and Servicing Agreement, and such purchase of the Receivables and other property of the Issuer will effect early retirement of the Certificate; however, such right of purchase is exercisable, subject to certain restrictions, only as of the last day of any Collection Period as of which the Pool Balance of the Receivables is 10.00% or less of the Original Pool Balance.</w:t>
      </w:r>
    </w:p>
    <w:p>
      <w:pPr>
        <w:spacing w:after="0" w:line="154"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A Certificate may not be acquired by or for the account of (i) an "employee benefit plan" (as defined in Section 3(3) of the Employee Retirement Income Security Act of 1974, as amended ("ERISA")) that is subject to Title I of ERISA, (ii) a "plan" (as defined in Section 4975(e)(1) of the Internal Revenue Code of 1986, as amended (the "Code")) that is subject to Section 4975 of the Code, (iii) an entity whose underlying assets are considered to include assets of an employee benefit plan or plan described in clause (i) or (ii) above (each, a "Benefit Plan Entity"), (iv) an entity that is subject to any federal, State, local or non-U.S. laws or regulations that are substantially similar to Part 4 of Title I of ERISA or Section 4975 of the Code (each, a "Similar Law") or (v) any person who is directly or indirectly purchasing, holding or disposing this Certificate or any interest herein on behalf of, as fiduciary of, as trustee of, or with assets of, any Benefit Plan Entity or any entity that is subject to any Similar Law. By accepting and holding a Certificate (or any interest herein), the Holder thereof shall be deemed to have represented and warranted that it is not and will not become a Benefit Plan Entity or any entity that is subject to any Similar Law.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4" w:name="page445"/>
    <w:bookmarkEnd w:id="444"/>
    <w:p>
      <w:pPr>
        <w:spacing w:after="0" w:line="269"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Except as permitted by Regulation RR, 17 C.F.R. § 246.1, et seq. (the "Credit Risk Retention Rules"), the Certificateholder will not sell, transfer, finance or hedge any portion of the Certificates held for the purposes of the Credit Risk Retention Rules for the duration required in the Credit Risk Retention Rules.</w:t>
      </w:r>
    </w:p>
    <w:p>
      <w:pPr>
        <w:spacing w:after="0" w:line="144" w:lineRule="exact"/>
        <w:rPr>
          <w:sz w:val="20"/>
          <w:szCs w:val="20"/>
          <w:color w:val="auto"/>
        </w:rPr>
      </w:pPr>
    </w:p>
    <w:p>
      <w:pPr>
        <w:jc w:val="both"/>
        <w:ind w:right="140" w:firstLine="696"/>
        <w:spacing w:after="0" w:line="268" w:lineRule="auto"/>
        <w:rPr>
          <w:sz w:val="20"/>
          <w:szCs w:val="20"/>
          <w:color w:val="auto"/>
        </w:rPr>
      </w:pPr>
      <w:r>
        <w:rPr>
          <w:rFonts w:ascii="Times New Roman" w:cs="Times New Roman" w:eastAsia="Times New Roman" w:hAnsi="Times New Roman"/>
          <w:sz w:val="19"/>
          <w:szCs w:val="19"/>
          <w:color w:val="auto"/>
        </w:rPr>
        <w:t>The statements contained herein shall be taken as the statements of the Depositor or the Servicer, as the case may be, and the Owner Trustee assumes no responsibility for the correctness thereof. The Owner Trustee makes no representations as to the validity or sufficiency of this Certificate or of any Receivable or related document.</w:t>
      </w:r>
    </w:p>
    <w:p>
      <w:pPr>
        <w:spacing w:after="0" w:line="144" w:lineRule="exact"/>
        <w:rPr>
          <w:sz w:val="20"/>
          <w:szCs w:val="20"/>
          <w:color w:val="auto"/>
        </w:rPr>
      </w:pPr>
    </w:p>
    <w:p>
      <w:pPr>
        <w:jc w:val="both"/>
        <w:ind w:right="40" w:firstLine="696"/>
        <w:spacing w:after="0" w:line="258" w:lineRule="auto"/>
        <w:rPr>
          <w:sz w:val="20"/>
          <w:szCs w:val="20"/>
          <w:color w:val="auto"/>
        </w:rPr>
      </w:pPr>
      <w:r>
        <w:rPr>
          <w:rFonts w:ascii="Times New Roman" w:cs="Times New Roman" w:eastAsia="Times New Roman" w:hAnsi="Times New Roman"/>
          <w:sz w:val="19"/>
          <w:szCs w:val="19"/>
          <w:color w:val="auto"/>
        </w:rPr>
        <w:t>Unless the certificate of authentication hereon shall have been executed by an authorized officer of the Certificate Registrar, by manual signature, this Certificate shall not entitle the Holder hereof to any benefit under the Trust Agreement or the Sale and Servicing Agreement or be valid for any purpose.</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45" w:name="page446"/>
    <w:bookmarkEnd w:id="445"/>
    <w:p>
      <w:pPr>
        <w:spacing w:after="0" w:line="26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color w:val="auto"/>
        </w:rPr>
        <w:t>ASSIGNMENT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FOR VALUE RECEIVED the undersigned hereby sells, assigns and transfers unto</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PLEASE INSERT SOCIAL SECURITY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OTHER IDENTIFYING NUMBER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ASSIGNEE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(Please print or type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6707505"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within Certificate,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670750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 Attorney to transfer said Certificate on the books of the Certificate Registrar, with full power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substitution in the premises.</w:t>
      </w:r>
    </w:p>
    <w:p>
      <w:pPr>
        <w:sectPr>
          <w:pgSz w:w="11900" w:h="16840" w:orient="portrait"/>
          <w:cols w:equalWidth="0" w:num="1">
            <w:col w:w="10500"/>
          </w:cols>
          <w:pgMar w:left="660" w:top="1440" w:right="740" w:bottom="144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3" w:lineRule="exact"/>
        <w:rPr>
          <w:sz w:val="20"/>
          <w:szCs w:val="20"/>
          <w:color w:val="auto"/>
        </w:rPr>
      </w:pPr>
    </w:p>
    <w:p>
      <w:pPr>
        <w:sectPr>
          <w:pgSz w:w="11900" w:h="16840" w:orient="portrait"/>
          <w:cols w:equalWidth="0" w:num="2">
            <w:col w:w="8880" w:space="720"/>
            <w:col w:w="900"/>
          </w:cols>
          <w:pgMar w:left="660" w:top="1440" w:right="740"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00"/>
          </w:cols>
          <w:pgMar w:left="660" w:top="1440" w:right="7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224091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22409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40" w:orient="portrait"/>
          <w:cols w:equalWidth="0" w:num="2">
            <w:col w:w="8880" w:space="720"/>
            <w:col w:w="900"/>
          </w:cols>
          <w:pgMar w:left="660" w:top="1440" w:right="7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firstLine="6"/>
        <w:spacing w:after="0" w:line="259" w:lineRule="auto"/>
        <w:tabs>
          <w:tab w:leader="none" w:pos="144" w:val="left"/>
        </w:tabs>
        <w:numPr>
          <w:ilvl w:val="0"/>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The signature to this assignment must correspond with the name of the registered owner as it appears on the face of the within Certificate in every particular, without alteration, enlargement or any change whatever. Such signature must be guaranteed by an "eligible guarantor institution" meeting the requirements of the Certificate Registrar, which requirements include membership or participation in STAMP or such other "signature guarantee program" as may be determined by the Certificate Registrar in addition to, or in substitution for, STAMP, all in accordance with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763905</wp:posOffset>
            </wp:positionV>
            <wp:extent cx="6732905" cy="406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type w:val="continuous"/>
        </w:sectPr>
      </w:pPr>
    </w:p>
    <w:bookmarkStart w:id="446" w:name="page447"/>
    <w:bookmarkEnd w:id="446"/>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B</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CERTIFICATE OF TRUST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AUTO CREDIT SECURITIZATION TRUST 2025-1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Certificate of Trust of United Auto Credit Securitization Trust 2025-1 (the "Trust") is being duly executed by the</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undersigned, as trustee, and filed to form a statutory trust under the Delaware Statutory Trust Act (12 Del. C. § 3801 et seq.) (the "Act").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1.Name: The name of the statutory trust formed hereby is United Auto Credit Securitization Trust 2025-1.</w:t>
      </w:r>
    </w:p>
    <w:p>
      <w:pPr>
        <w:spacing w:after="0" w:line="202" w:lineRule="exact"/>
        <w:rPr>
          <w:sz w:val="20"/>
          <w:szCs w:val="20"/>
          <w:color w:val="auto"/>
        </w:rPr>
      </w:pPr>
    </w:p>
    <w:p>
      <w:pPr>
        <w:ind w:right="180" w:firstLine="696"/>
        <w:spacing w:after="0" w:line="286" w:lineRule="auto"/>
        <w:rPr>
          <w:sz w:val="20"/>
          <w:szCs w:val="20"/>
          <w:color w:val="auto"/>
        </w:rPr>
      </w:pPr>
      <w:r>
        <w:rPr>
          <w:rFonts w:ascii="Times New Roman" w:cs="Times New Roman" w:eastAsia="Times New Roman" w:hAnsi="Times New Roman"/>
          <w:sz w:val="19"/>
          <w:szCs w:val="19"/>
          <w:color w:val="auto"/>
        </w:rPr>
        <w:t>2.Delaware Trustee: The name and business address of the trustee of the Trust with its principal place of business in the State of Delaware are Computershare Delaware Trust Company, 919 North Market Street, Suite 1600, Wilmington, Delaware 19801.</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3.Effective Date: This Certificate of Trust shall be effective upon filing.</w:t>
      </w:r>
    </w:p>
    <w:p>
      <w:pPr>
        <w:spacing w:after="0" w:line="202"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undersigned, being the sole trustee of the Trust, has duly executed this Certificate of Trust in accordance with Section 3811(a)(1) of the Act.</w:t>
      </w:r>
    </w:p>
    <w:p>
      <w:pPr>
        <w:spacing w:after="0" w:line="1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COMPUTERSHARE DELAWARE TRUST</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COMPANY, not in its individual</w:t>
      </w:r>
    </w:p>
    <w:p>
      <w:pPr>
        <w:spacing w:after="0" w:line="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capacity but solely as trustee</w:t>
      </w:r>
    </w:p>
    <w:p>
      <w:pPr>
        <w:spacing w:after="0" w:line="200" w:lineRule="exact"/>
        <w:rPr>
          <w:sz w:val="20"/>
          <w:szCs w:val="20"/>
          <w:color w:val="auto"/>
        </w:rPr>
      </w:pPr>
    </w:p>
    <w:p>
      <w:pPr>
        <w:spacing w:after="0" w:line="2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894715</wp:posOffset>
            </wp:positionV>
            <wp:extent cx="6732905" cy="406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7" w:name="page448"/>
    <w:bookmarkEnd w:id="447"/>
    <w:p>
      <w:pPr>
        <w:jc w:val="right"/>
        <w:spacing w:after="0"/>
        <w:rPr>
          <w:sz w:val="20"/>
          <w:szCs w:val="20"/>
          <w:color w:val="auto"/>
        </w:rPr>
      </w:pPr>
      <w:r>
        <w:rPr>
          <w:rFonts w:ascii="Times New Roman" w:cs="Times New Roman" w:eastAsia="Times New Roman" w:hAnsi="Times New Roman"/>
          <w:sz w:val="16"/>
          <w:szCs w:val="16"/>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CUSTODIAN AGREEMENT</w:t>
      </w:r>
    </w:p>
    <w:p>
      <w:pPr>
        <w:spacing w:after="0" w:line="3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b w:val="1"/>
          <w:bCs w:val="1"/>
          <w:color w:val="auto"/>
        </w:rPr>
        <w:t>between</w:t>
      </w:r>
    </w:p>
    <w:p>
      <w:pPr>
        <w:spacing w:after="0" w:line="39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UNITED AUTO CREDIT CORPORATION,</w:t>
      </w:r>
    </w:p>
    <w:p>
      <w:pPr>
        <w:spacing w:after="0" w:line="3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as Custodian,</w:t>
      </w:r>
    </w:p>
    <w:p>
      <w:pPr>
        <w:spacing w:after="0" w:line="3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39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COMPUTERSHARE TRUST COMPANY, N.A.,</w:t>
      </w:r>
    </w:p>
    <w:p>
      <w:pPr>
        <w:spacing w:after="0" w:line="3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as Indenture Trustee</w:t>
      </w:r>
    </w:p>
    <w:p>
      <w:pPr>
        <w:spacing w:after="0" w:line="37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Dated as of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917575</wp:posOffset>
            </wp:positionV>
            <wp:extent cx="6732905" cy="406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121" w:right="680" w:bottom="1440" w:gutter="0" w:footer="0" w:header="0"/>
        </w:sectPr>
      </w:pPr>
    </w:p>
    <w:bookmarkStart w:id="448" w:name="page449"/>
    <w:bookmarkEnd w:id="448"/>
    <w:p>
      <w:pPr>
        <w:spacing w:after="0" w:line="269"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THIS CUSTODIAN AGREEMENT, dated as of February 28, 2025 (this "Agreement"), is between UNITED AUTO CREDIT CORPORATION, as custodian (in such capacity, the "Custodian") and COMPUTERSHARE TRUST COMPANY, N.A., as indenture trustee acting on behalf of the holders of the Notes (the "Indenture Trustee"). Capitalized terms used herein which are not defined herein shall have the meanings set forth in the Purchase Agreement, the Sale and Servicing Agreement or the Indenture (each, as hereinafter defined).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 I T N E S S E T H:</w:t>
      </w:r>
    </w:p>
    <w:p>
      <w:pPr>
        <w:spacing w:after="0" w:line="202"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auto"/>
        </w:rPr>
        <w:t>WHEREAS, United Auto Credit Corporation ("United Auto") and United Auto Credit Financing LLC (the "Depositor") have entered into a Purchase Agreement, dated as of February 28, 2025 (the "Purchase Agreement"), pursuant to which United Auto has sold, transferred and assigned to the Depositor all of its right, title and interest in and to the Receivables and certain Other Conveyed Property;</w:t>
      </w:r>
    </w:p>
    <w:p>
      <w:pPr>
        <w:spacing w:after="0" w:line="144"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9"/>
          <w:szCs w:val="19"/>
          <w:color w:val="auto"/>
        </w:rPr>
        <w:t>WHEREAS, the Issuer, United Auto, as Servicer (the "Servicer"), the Depositor and Computershare Trust Company, N.A., as Indenture Trustee and Backup Servicer, have entered into a Sale and Servicing Agreement, dated as of February 28, 2025 (the "Sale and Servicing Agreement"), pursuant to which the Depositor has sold, transferred and assigned to the Issuer all of Depositor's right, title and interest in and to the Receivables and certain Other Conveyed Property;</w:t>
      </w:r>
    </w:p>
    <w:p>
      <w:pPr>
        <w:spacing w:after="0" w:line="150"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WHEREAS, the Issuer has entered into an Indenture, dated as of February 28, 2025 (the "Indenture"), between the Issuer and the Indenture Trustee, pursuant to which the Issuer issued the Notes secured by the Receivables and certain other Collateral; and</w:t>
      </w:r>
    </w:p>
    <w:p>
      <w:pPr>
        <w:spacing w:after="0" w:line="127" w:lineRule="exact"/>
        <w:rPr>
          <w:sz w:val="20"/>
          <w:szCs w:val="20"/>
          <w:color w:val="auto"/>
        </w:rPr>
      </w:pPr>
    </w:p>
    <w:p>
      <w:pPr>
        <w:ind w:right="260" w:firstLine="696"/>
        <w:spacing w:after="0" w:line="286" w:lineRule="auto"/>
        <w:rPr>
          <w:sz w:val="20"/>
          <w:szCs w:val="20"/>
          <w:color w:val="auto"/>
        </w:rPr>
      </w:pPr>
      <w:r>
        <w:rPr>
          <w:rFonts w:ascii="Times New Roman" w:cs="Times New Roman" w:eastAsia="Times New Roman" w:hAnsi="Times New Roman"/>
          <w:sz w:val="19"/>
          <w:szCs w:val="19"/>
          <w:color w:val="auto"/>
        </w:rPr>
        <w:t>WHEREAS, the Indenture Trustee wishes to appoint the Custodian to hold the Receivable Files as the custodian on behalf of the Indenture Trustee.</w:t>
      </w:r>
    </w:p>
    <w:p>
      <w:pPr>
        <w:spacing w:after="0" w:line="127"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NOW, THEREFORE, in consideration of the mutual agreements herein contained and other good and valuable consideration the receipt and adequacy of which are hereby acknowledged, the parties agree as follows:</w:t>
      </w:r>
    </w:p>
    <w:p>
      <w:pPr>
        <w:spacing w:after="0" w:line="127" w:lineRule="exact"/>
        <w:rPr>
          <w:sz w:val="20"/>
          <w:szCs w:val="20"/>
          <w:color w:val="auto"/>
        </w:rPr>
      </w:pPr>
    </w:p>
    <w:p>
      <w:pPr>
        <w:ind w:firstLine="702"/>
        <w:spacing w:after="0" w:line="254" w:lineRule="auto"/>
        <w:tabs>
          <w:tab w:leader="none" w:pos="936" w:val="left"/>
        </w:tabs>
        <w:numPr>
          <w:ilvl w:val="0"/>
          <w:numId w:val="3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Appointment of Custodian; Acknowledgement of Receipt. Subject to the terms and conditions hereof, the Indenture Trustee hereby revocably appoints the Custodian, and the Custodian hereby accepts such appointment, as custodian and bailee on behalf of the Issuer and the Indenture Trustee, to maintain exclusive custody of the Receivable Files relating to the Receivables from time to time pledged to the Indenture Trustee as part of the Other Conveyed Property; provided, that it is understood and agreed that the Indenture Trustee shall not be responsible for the acts or omissions of the Custodian. In performing its duties hereunder, the Custodian agrees to act with reasonable care, using that degree of skill and attention that a commercial bank acting in the capacity of a custodian would exercise with respect to files relating to comparable automotive or other receivables that it services or holds for itself or others (the "Standard of Care"). The Custodian hereby, as of the Closing Date, acknowledges receipt of the Receivable File for each Receivable listed in the Schedule of Receivables attached as Schedule A to the Sale and Servicing Agreement, subject to any exceptions noted on the Custodian's Acknowledgement (as defined below). As evidence of its acknowledgement of such receipt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9" w:name="page450"/>
    <w:bookmarkEnd w:id="449"/>
    <w:p>
      <w:pPr>
        <w:spacing w:after="0" w:line="26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9"/>
          <w:szCs w:val="19"/>
          <w:color w:val="auto"/>
        </w:rPr>
        <w:t>such Receivables, the Custodian shall execute and deliver on the Closing Date the Custodian's Acknowledgement attached hereto as Exhibit A (the "Custodian's Acknowledgement").</w:t>
      </w:r>
    </w:p>
    <w:p>
      <w:pPr>
        <w:spacing w:after="0" w:line="127" w:lineRule="exact"/>
        <w:rPr>
          <w:sz w:val="20"/>
          <w:szCs w:val="20"/>
          <w:color w:val="auto"/>
        </w:rPr>
      </w:pPr>
    </w:p>
    <w:p>
      <w:pPr>
        <w:ind w:right="20" w:firstLine="702"/>
        <w:spacing w:after="0" w:line="256" w:lineRule="auto"/>
        <w:tabs>
          <w:tab w:leader="none" w:pos="936" w:val="left"/>
        </w:tabs>
        <w:numPr>
          <w:ilvl w:val="0"/>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Maintenance of Receivables Files at Office. The Custodian agrees to maintain the Receivable Files (or access to any Receivable Files stored in electronic format) at its office located at 1071 Camelback Street, Suite 100, Newport Beach, California 92660 or at such other office in the United States as shall from time to time be identified to the Indenture Trustee upon prior written notice. The Custodian will hold the Receivable Files in such office on behalf of the Issuer and the Indenture Trustee, clearly identified as being separate from any other instruments and files on its records, including other instruments and files held by the Custodian and in compliance with Section 3(a) of this Agreement. With respect to each Receivable evidenced by an Electronic Contract, the Custodian shall maintain an Authoritative Copy of such Electronic Contract in the UACC 2025-1 ABS Vault Partition.</w:t>
      </w:r>
    </w:p>
    <w:p>
      <w:pPr>
        <w:spacing w:after="0" w:line="157"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Duties of Custodian.</w:t>
      </w:r>
    </w:p>
    <w:p>
      <w:pPr>
        <w:spacing w:after="0" w:line="201" w:lineRule="exact"/>
        <w:rPr>
          <w:rFonts w:ascii="Times New Roman" w:cs="Times New Roman" w:eastAsia="Times New Roman" w:hAnsi="Times New Roman"/>
          <w:sz w:val="19"/>
          <w:szCs w:val="19"/>
          <w:color w:val="auto"/>
        </w:rPr>
      </w:pPr>
    </w:p>
    <w:p>
      <w:pPr>
        <w:ind w:firstLine="1410"/>
        <w:spacing w:after="0" w:line="252" w:lineRule="auto"/>
        <w:tabs>
          <w:tab w:leader="none" w:pos="1717" w:val="left"/>
        </w:tabs>
        <w:numPr>
          <w:ilvl w:val="1"/>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Safekeeping. The Custodian shall hold the Receivable Files, including any receivables systems on which the Receivable Files are electronically stored, on behalf of the Issuer and the Indenture Trustee clearly identified as being separate from all other files or records maintained by the Custodian at the same location and shall maintain, or cause to be maintained, such accurate and complete accounts, records and computer systems, including the E-Vault System, pertaining to each Receivable File as will enable the Indenture Trustee and the Servicer to comply with the terms and conditions of the Sale and Servicing Agreement, provided, however, the Custodian may convert a Receivable that is "tangible chattel paper" (within the meaning of the UCC as in effect in the State of New York) to "electronic chattel paper" (within the meaning of the UCC as in effect in the State of New York) and may convert a Receivable that is "electronic chattel paper" (within the meaning of the UCC as in effect in the State of New York) to "tangible chattel paper" (within the meaning of the UCC as in effect in the State of New York). Each Receivable shall be identified on the books and records of the Custodian in a manner that (i) is consistent with the Standard of Care, (ii) indicates that the Receivables are held by the Custodian on behalf of the Issuer and the Indenture Trustee and (iii) is otherwise necessary, as reasonably determined by the Custodian, to comply with the terms of this Agreement. The Custodian shall conduct, or cause to be conducted, periodic physical inspections of the Receivable Files held by it under this Agreement, and of the related accounts, records and computer systems, in such a manner as shall enable the Indenture Trustee and the Custodian to verify the accuracy of the Custodian's inventory and recordkeeping. Such inspections shall be conducted at such times, in such manner and by such Persons including, without limitation, Independent Accountants, as the Indenture Trustee may request and the cost of such inspections shall be borne directly by the Custodian and not by the Indenture Trustee. The Custodian shall promptly report to the Indenture Trustee any failure on its part to hold the Receivable Files and maintain its accounts, records and computer systems as herein provided and promptly take appropriate action to remedy any such failure. Upon request, the Custodian shall make copies or other electronic file records (e.g. diskettes, CDs, etc.) (the "Copies") of the Receivable Files and shall deliver such Copies to the Indenture Trustee and the Indenture Trustee shall hold such Copies on behalf of the Noteholders. Subject to Sections 3(d) and 3(f) of this Agreement, the Custodian shall, or shall cause any sub-contractor to, at all times maintain (i) the original (or certified copy) of the fully executed original retail installment sales contract or promissory note; provided, however, this shall not apply to a Receivable that has</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0" w:name="page451"/>
    <w:bookmarkEnd w:id="450"/>
    <w:p>
      <w:pPr>
        <w:spacing w:after="0" w:line="2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been converted from "tangible chattel paper" (within the meaning of the UCC as in effect in the State of New York) to "electronic chattel paper" (within the meaning of the UCC as in effect in the State of New York), and, for an Electronic Contract, the Authoritative Copy of such Electronic Contract as described in Section 3(f) of this Agreement and (ii) the original of the Lien Certificate or application therefor (if no such Lien Certificate has yet been issued), in each case relating to each Receivable in a fire resistant vault, consistent with the Standard of Care; provided, however, the Lien Certificate may be maintained with a sub-contractor pursuant to Section 8 of this Agreement or electronically by the Registrar of Titles of the applicable State pursuant to applicable State laws, with confirmation thereof maintained by the Custodian or a sub-contractor.</w:t>
      </w:r>
    </w:p>
    <w:p>
      <w:pPr>
        <w:spacing w:after="0" w:line="157" w:lineRule="exact"/>
        <w:rPr>
          <w:sz w:val="20"/>
          <w:szCs w:val="20"/>
          <w:color w:val="auto"/>
        </w:rPr>
      </w:pPr>
    </w:p>
    <w:p>
      <w:pPr>
        <w:ind w:firstLine="1410"/>
        <w:spacing w:after="0" w:line="256" w:lineRule="auto"/>
        <w:tabs>
          <w:tab w:leader="none" w:pos="1729"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Access to Records. The Custodian shall, subject only to the Custodian's security requirements applicable to its own employees having access to similar records held by the Custodian, which requirements shall be consistent with the Standard of Care, and at such times as may be reasonably imposed by the Custodian, permit only the (i) the Indenture Trustee on behalf of the Noteholders or (ii) following the discharge of the Indenture, the Owner Trustee, acting at the direction of the Majority Certificateholders or, in each case, its duly authorized representatives, attorneys or auditors to inspect, at the Servicer's expense, the Receivable Files and the related accounts, records and computer systems maintained by the Custodian pursuant hereto at such times as the Indenture Trustee or Owner Trustee, as applicable, may reasonably request.</w:t>
      </w:r>
    </w:p>
    <w:p>
      <w:pPr>
        <w:spacing w:after="0" w:line="157" w:lineRule="exact"/>
        <w:rPr>
          <w:rFonts w:ascii="Times New Roman" w:cs="Times New Roman" w:eastAsia="Times New Roman" w:hAnsi="Times New Roman"/>
          <w:sz w:val="19"/>
          <w:szCs w:val="19"/>
          <w:color w:val="auto"/>
        </w:rPr>
      </w:pPr>
    </w:p>
    <w:p>
      <w:pPr>
        <w:ind w:right="60" w:firstLine="1410"/>
        <w:spacing w:after="0" w:line="286" w:lineRule="auto"/>
        <w:tabs>
          <w:tab w:leader="none" w:pos="1717"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of Documents. Consistent with the Standard of Care, the Custodian may release any Receivable in the Receivable Files to the Servicer, if appropriate, under the circumstances provided in Section 3.4(b) of the Sale and Servicing Agreement.</w:t>
      </w:r>
    </w:p>
    <w:p>
      <w:pPr>
        <w:spacing w:after="0" w:line="127" w:lineRule="exact"/>
        <w:rPr>
          <w:rFonts w:ascii="Times New Roman" w:cs="Times New Roman" w:eastAsia="Times New Roman" w:hAnsi="Times New Roman"/>
          <w:sz w:val="19"/>
          <w:szCs w:val="19"/>
          <w:color w:val="auto"/>
        </w:rPr>
      </w:pPr>
    </w:p>
    <w:p>
      <w:pPr>
        <w:ind w:right="20" w:firstLine="1410"/>
        <w:spacing w:after="0" w:line="262" w:lineRule="auto"/>
        <w:tabs>
          <w:tab w:leader="none" w:pos="1729"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Administration; Reports. The Custodian shall, in general, attend to all non-discretionary details in connection with maintaining custody of the Receivable Files on behalf of the Indenture Trustee. In addition, the Custodian shall assist the Issuer, the Servicer and the Indenture Trustee, as applicable, generally in the preparation of any routine reports to Noteholders or to regulatory bodies, to the extent necessitated by the Custodian's custody of the Receivable Files.</w:t>
      </w:r>
    </w:p>
    <w:p>
      <w:pPr>
        <w:spacing w:after="0" w:line="150" w:lineRule="exact"/>
        <w:rPr>
          <w:rFonts w:ascii="Times New Roman" w:cs="Times New Roman" w:eastAsia="Times New Roman" w:hAnsi="Times New Roman"/>
          <w:sz w:val="19"/>
          <w:szCs w:val="19"/>
          <w:color w:val="auto"/>
        </w:rPr>
      </w:pPr>
    </w:p>
    <w:p>
      <w:pPr>
        <w:ind w:right="100" w:firstLine="1410"/>
        <w:spacing w:after="0" w:line="256" w:lineRule="auto"/>
        <w:tabs>
          <w:tab w:leader="none" w:pos="1717"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of Lien Certificates. On or before the Closing Date, the Custodian shall deliver to the Indenture Trustee a listing in the form attached hereto as Schedule II of Exhibit A, of all Receivables with respect to which a Lien Certificate, showing United Auto as secured party, was not included in the related Receivable File as of such date. In addition, the Custodian shall deliver to the Indenture Trustee an exception report, in the form attached hereto as Schedule I of Exhibit A, (i) no later than the last Business Day of the calendar month during which the 90th day after the Closing Date occurred, (ii) no later than the last Business Day of the calendar month during which the 180th day after the Closing Date occurred and (iii) at any other time upon the written request of the Indenture Trustee.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1" w:name="page452"/>
    <w:bookmarkEnd w:id="451"/>
    <w:p>
      <w:pPr>
        <w:spacing w:after="0" w:line="269" w:lineRule="exact"/>
        <w:rPr>
          <w:sz w:val="20"/>
          <w:szCs w:val="20"/>
          <w:color w:val="auto"/>
        </w:rPr>
      </w:pPr>
    </w:p>
    <w:p>
      <w:pPr>
        <w:ind w:left="1700" w:hanging="290"/>
        <w:spacing w:after="0"/>
        <w:tabs>
          <w:tab w:leader="none" w:pos="1700" w:val="left"/>
        </w:tabs>
        <w:numPr>
          <w:ilvl w:val="1"/>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Covenants with respect to Electronic Contracts.</w:t>
      </w:r>
    </w:p>
    <w:p>
      <w:pPr>
        <w:spacing w:after="0" w:line="201" w:lineRule="exact"/>
        <w:rPr>
          <w:rFonts w:ascii="Times New Roman" w:cs="Times New Roman" w:eastAsia="Times New Roman" w:hAnsi="Times New Roman"/>
          <w:sz w:val="19"/>
          <w:szCs w:val="19"/>
          <w:color w:val="auto"/>
        </w:rPr>
      </w:pPr>
    </w:p>
    <w:p>
      <w:pPr>
        <w:jc w:val="both"/>
        <w:ind w:left="1420" w:right="120" w:firstLine="795"/>
        <w:spacing w:after="0" w:line="233" w:lineRule="exact"/>
        <w:tabs>
          <w:tab w:leader="none" w:pos="2597" w:val="left"/>
        </w:tabs>
        <w:numPr>
          <w:ilvl w:val="2"/>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shall not appoint any Person, other than its own personnel (or personnel of its agents or sub-contractors or the Indenture Trustee), as "System Users" or "Credentialed Persons" (in each case as defined in the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Vault System Description) in respect of the UACC 2025-1 ABS Vault Partition and the Receivables contained therein and shall not otherwise permit any Person to have access thereto (other than in connection with audits not prohibited hereunder);</w:t>
      </w:r>
    </w:p>
    <w:p>
      <w:pPr>
        <w:spacing w:after="0" w:line="171" w:lineRule="exact"/>
        <w:rPr>
          <w:rFonts w:ascii="Times New Roman" w:cs="Times New Roman" w:eastAsia="Times New Roman" w:hAnsi="Times New Roman"/>
          <w:sz w:val="19"/>
          <w:szCs w:val="19"/>
          <w:color w:val="auto"/>
        </w:rPr>
      </w:pPr>
    </w:p>
    <w:p>
      <w:pPr>
        <w:ind w:left="1420" w:firstLine="795"/>
        <w:spacing w:after="0" w:line="262" w:lineRule="auto"/>
        <w:tabs>
          <w:tab w:leader="none" w:pos="2651" w:val="left"/>
        </w:tabs>
        <w:numPr>
          <w:ilvl w:val="2"/>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shall maintain, or cause to be maintained, each Electronic Contract such that (A) a watermark on the Authoritative Copy thereof shall read "View of Authoritative Copy", (B) a watermark on any copy of an Authoritative Copy thereof or a copy of such Contract that constitutes "electronic chattel paper" shall read "View of Non-Authoritative Copy", and (C) the Required Legend is placed on each perceivable rendering thereof;</w:t>
      </w:r>
    </w:p>
    <w:p>
      <w:pPr>
        <w:spacing w:after="0" w:line="131" w:lineRule="exact"/>
        <w:rPr>
          <w:rFonts w:ascii="Times New Roman" w:cs="Times New Roman" w:eastAsia="Times New Roman" w:hAnsi="Times New Roman"/>
          <w:sz w:val="19"/>
          <w:szCs w:val="19"/>
          <w:color w:val="auto"/>
        </w:rPr>
      </w:pPr>
    </w:p>
    <w:p>
      <w:pPr>
        <w:ind w:left="1420" w:right="180" w:firstLine="795"/>
        <w:spacing w:after="0" w:line="249" w:lineRule="exact"/>
        <w:tabs>
          <w:tab w:leader="none" w:pos="2704" w:val="left"/>
        </w:tabs>
        <w:numPr>
          <w:ilvl w:val="2"/>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shall not transfer, "Export" (as defined in the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Vault System Description) or destroy any Electronic Contract, except in accordance with the terms hereof and the other Basic Documents; and</w:t>
      </w:r>
    </w:p>
    <w:p>
      <w:pPr>
        <w:spacing w:after="0" w:line="170" w:lineRule="exact"/>
        <w:rPr>
          <w:rFonts w:ascii="Times New Roman" w:cs="Times New Roman" w:eastAsia="Times New Roman" w:hAnsi="Times New Roman"/>
          <w:sz w:val="19"/>
          <w:szCs w:val="19"/>
          <w:color w:val="auto"/>
        </w:rPr>
      </w:pPr>
    </w:p>
    <w:p>
      <w:pPr>
        <w:ind w:left="1420" w:right="80" w:firstLine="795"/>
        <w:spacing w:after="0" w:line="286" w:lineRule="auto"/>
        <w:tabs>
          <w:tab w:leader="none" w:pos="2693" w:val="left"/>
        </w:tabs>
        <w:numPr>
          <w:ilvl w:val="2"/>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shall at all times maintain "control" (within the meaning of Section 9-105 of the UCC) of the Receivables that are Electronic Contracts.</w:t>
      </w:r>
    </w:p>
    <w:p>
      <w:pPr>
        <w:spacing w:after="0" w:line="127" w:lineRule="exact"/>
        <w:rPr>
          <w:rFonts w:ascii="Times New Roman" w:cs="Times New Roman" w:eastAsia="Times New Roman" w:hAnsi="Times New Roman"/>
          <w:sz w:val="19"/>
          <w:szCs w:val="19"/>
          <w:color w:val="auto"/>
        </w:rPr>
      </w:pPr>
    </w:p>
    <w:p>
      <w:pPr>
        <w:jc w:val="both"/>
        <w:ind w:right="300" w:firstLine="702"/>
        <w:spacing w:after="0" w:line="262" w:lineRule="auto"/>
        <w:tabs>
          <w:tab w:leader="none" w:pos="936"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Instructions; Authority to Act. The Custodian shall be deemed to have received proper instructions with respect to the Receivable Files upon its receipt of written instructions signed by a Responsible Officer of the Indenture Trustee or, following the discharge of the Indenture, the Issuer. Such instructions may be general or specific in terms. A copy of any such instructions shall be furnished by the Indenture Trustee or the Issuer, as applicable.</w:t>
      </w:r>
    </w:p>
    <w:p>
      <w:pPr>
        <w:spacing w:after="0" w:line="150" w:lineRule="exact"/>
        <w:rPr>
          <w:rFonts w:ascii="Times New Roman" w:cs="Times New Roman" w:eastAsia="Times New Roman" w:hAnsi="Times New Roman"/>
          <w:sz w:val="19"/>
          <w:szCs w:val="19"/>
          <w:color w:val="auto"/>
        </w:rPr>
      </w:pPr>
    </w:p>
    <w:p>
      <w:pPr>
        <w:ind w:right="120" w:firstLine="702"/>
        <w:spacing w:after="0" w:line="286" w:lineRule="auto"/>
        <w:tabs>
          <w:tab w:leader="none" w:pos="936"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Custodian Fee. For its services under this Agreement, the Custodian shall be entitled to reasonable compensation to be paid by the Servicer.</w:t>
      </w:r>
    </w:p>
    <w:p>
      <w:pPr>
        <w:spacing w:after="0" w:line="127" w:lineRule="exact"/>
        <w:rPr>
          <w:rFonts w:ascii="Times New Roman" w:cs="Times New Roman" w:eastAsia="Times New Roman" w:hAnsi="Times New Roman"/>
          <w:sz w:val="19"/>
          <w:szCs w:val="19"/>
          <w:color w:val="auto"/>
        </w:rPr>
      </w:pPr>
    </w:p>
    <w:p>
      <w:pPr>
        <w:ind w:right="60" w:firstLine="702"/>
        <w:spacing w:after="0" w:line="254" w:lineRule="auto"/>
        <w:tabs>
          <w:tab w:leader="none" w:pos="936"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Indemnification by the Custodian. The Custodian agrees to indemnify the Issuer, the Owner Trustee, the Backup Servicer and the Indenture Trustee, their respective officers, directors, agents and employees thereof and the Noteholders and the Certificateholders against any and all liabilities, obligations, losses, damage, payments, costs or expenses of any kind whatsoever (including the fees and expenses of counsel and including, without limitation, any attorney's fees, costs (including court costs) and expenses incurred in connection with (a) any enforcement (including any action, claim or suit brought) by an indemnified party pursuant to this paragraph of any indemnification or other obligation of the Custodian, any other party to the Basic Documents or any other Persons and (b) a successful defense, in whole or in part, of any claim that the Owner Trustee, the Indenture Trustee or the Backup Servicer breached its standard of care) that may be imposed on, incurred or asserted against the Issuer, the Owner Trustee, the Backup Servicer and the Indenture Trustee and their respective officers, directors, employees, agents, attorneys and successors and assigns as the result of any act or omission in any way relating to the maintenance</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2" w:name="page453"/>
    <w:bookmarkEnd w:id="452"/>
    <w:p>
      <w:pPr>
        <w:spacing w:after="0" w:line="2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and custody by the Custodian of the Receivable Files (including, without limitation, any attorney's fees, costs (including court costs) and expenses incurred in connection with (a) any enforcement (including any action, claim or suit brought) by the Owner Trustee, Indenture Trustee or Backup Servicer of any indemnification or other obligation of the Custodian, any other party to the Basic Documents or any other Persons and (b) a successful defense, in whole or in part, of any claim that the Owner Trustee, the Indenture Trustee or the Backup Servicer breached its standard of care); provided, however, that the Custodian shall not be liable for any portion of any such liabilities, obligations, losses, damages, payments or costs or expenses due to the willful misconduct, bad faith or gross negligence of the Issuer, the Owner Trustee, the Backup Servicer or the Indenture Trustee or the officers, directors, employees and agents thereof. In no event shall the Custodian be directly liable to any third party for acts or omissions of the Custodian. The indemnity obligations hereunder shall survive any termination or assignment of this Agreement or the resignation or removal of any party. In the event the Custodian fails to provide such indemnity payments due pursuant to this Section to the Owner Trustee, Indenture Trustee or Backup Servicer, the Owner Trustee, Indenture Trustee and Backup Servicer shall collect such indemnity amounts pursuant to Section 7.2 of the Trust Agreement (with respect to the Owner Trustee), Section 5.7(b) of the Sale and Servicing Agreement or Section 5.6 of the Indenture, as applicable.</w:t>
      </w:r>
    </w:p>
    <w:p>
      <w:pPr>
        <w:spacing w:after="0" w:line="165" w:lineRule="exact"/>
        <w:rPr>
          <w:sz w:val="20"/>
          <w:szCs w:val="20"/>
          <w:color w:val="auto"/>
        </w:rPr>
      </w:pPr>
    </w:p>
    <w:p>
      <w:pPr>
        <w:ind w:right="20" w:firstLine="702"/>
        <w:spacing w:after="0" w:line="268" w:lineRule="auto"/>
        <w:tabs>
          <w:tab w:leader="none" w:pos="936" w:val="left"/>
        </w:tabs>
        <w:numPr>
          <w:ilvl w:val="0"/>
          <w:numId w:val="3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Advice of Counsel. The Custodian and the Indenture Trustee further agree that the Custodian shall be entitled to rely and act upon advice of counsel with respect to its performance hereunder as Custodian and shall be without liability for any action reasonably taken in good faith pursuant to such advice, provided that such action is not in violation of applicable federal or State law.</w:t>
      </w:r>
    </w:p>
    <w:p>
      <w:pPr>
        <w:spacing w:after="0" w:line="144" w:lineRule="exact"/>
        <w:rPr>
          <w:rFonts w:ascii="Times New Roman" w:cs="Times New Roman" w:eastAsia="Times New Roman" w:hAnsi="Times New Roman"/>
          <w:sz w:val="19"/>
          <w:szCs w:val="19"/>
          <w:color w:val="auto"/>
        </w:rPr>
      </w:pPr>
    </w:p>
    <w:p>
      <w:pPr>
        <w:ind w:firstLine="702"/>
        <w:spacing w:after="0" w:line="256" w:lineRule="auto"/>
        <w:tabs>
          <w:tab w:leader="none" w:pos="936" w:val="left"/>
        </w:tabs>
        <w:numPr>
          <w:ilvl w:val="0"/>
          <w:numId w:val="3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Delegation of Duties. The Custodian may delegate duties under this Agreement to an Affiliate of the Custodian without first obtaining the consent of any Person. The Custodian also may at any time perform through sub-contractors the duties under this Agreement, without the consent of the Issuer, the Owner Trustee or the Backup Servicer, but with the prior written consent of the Indenture Trustee or, following the discharge of the Indenture, the Issuer; provided, however, that the Custodian's use of eOriginal, DealerTrack</w:t>
      </w:r>
      <w:r>
        <w:rPr>
          <w:rFonts w:ascii="Times New Roman" w:cs="Times New Roman" w:eastAsia="Times New Roman" w:hAnsi="Times New Roman"/>
          <w:sz w:val="13"/>
          <w:szCs w:val="13"/>
          <w:color w:val="auto"/>
        </w:rPr>
        <w:t>®</w:t>
      </w:r>
      <w:r>
        <w:rPr>
          <w:rFonts w:ascii="Times New Roman" w:cs="Times New Roman" w:eastAsia="Times New Roman" w:hAnsi="Times New Roman"/>
          <w:sz w:val="19"/>
          <w:szCs w:val="19"/>
          <w:color w:val="auto"/>
        </w:rPr>
        <w:t xml:space="preserve"> and other digital document service providers will not require the consent of any Person. No delegation or sub-contracting by the Custodian of its duties herein in the manner described in this Section 8 shall relieve the Custodian of its responsibility with respect to such duties.</w:t>
      </w:r>
    </w:p>
    <w:p>
      <w:pPr>
        <w:spacing w:after="0" w:line="157" w:lineRule="exact"/>
        <w:rPr>
          <w:rFonts w:ascii="Times New Roman" w:cs="Times New Roman" w:eastAsia="Times New Roman" w:hAnsi="Times New Roman"/>
          <w:sz w:val="19"/>
          <w:szCs w:val="19"/>
          <w:color w:val="auto"/>
        </w:rPr>
      </w:pPr>
    </w:p>
    <w:p>
      <w:pPr>
        <w:ind w:firstLine="702"/>
        <w:spacing w:after="0" w:line="254" w:lineRule="auto"/>
        <w:tabs>
          <w:tab w:leader="none" w:pos="936" w:val="left"/>
        </w:tabs>
        <w:numPr>
          <w:ilvl w:val="0"/>
          <w:numId w:val="3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Period, Termination, and Amendment; Interpretive and Additional Provisions. This Agreement shall become effective as of the date hereof and shall continue in full force and effect until it (i) shall automatically terminate following the winding-up and termination of the Issuer and the termination of the Trust Agreement in accordance with the terms of the Trust Agreement or (ii) is otherwise terminated as hereinafter provided. This Agreement may be amended at any time by mutual agreement of the parties hereto with the prior written consent of the Backup Servicer and the Indenture Trustee and may be terminated by any party by giving written notice to the other parties, such termination to take effect no sooner than 30 days after the date of such notice. The Owner Trustee's, the Indenture Trustee's and the Backup Servicer's costs and expenses related to any such amendment shall be paid by the Issuer pursuant to Article VII of the Trust Agreement (with respect to the Owner Trustee), Section 5.7(b) of the Sale and Servicing Agreement or Section 5.6 of the Indenture, as applicable. So long as United Auto is serving as Custodian, any termination or resignation of United Auto as Servicer under the Sale and Servicing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3" w:name="page454"/>
    <w:bookmarkEnd w:id="453"/>
    <w:p>
      <w:pPr>
        <w:spacing w:after="0" w:line="2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Agreement shall terminate United Auto as Custodian under this Agreement. The Indenture Trustee (at the direction of the Majority Noteholders) or, following the discharge of the Indenture, the Owner Trustee (acting at the direction of the Majority Certificateholders) shall have the right to appoint an eligible successor Custodian. If no successor Custodian has been appointed when the predecessor Custodian ceases to act as Custodian hereunder, the Indenture Trustee will, without further action, be automatically appointed the successor Custodian and shall enter into a new custodian agreement. The Indenture Trustee will be released from its duties and obligations as successor Custodian on the date that a new custodian agrees to appointment as successor Custodian. Upon any termination or amendment of this Agreement, the Indenture Trustee, in the case of amendments, and the party seeking termination, in the case of terminations, shall give written notice to the Custodian, who shall deliver such notice to the Rating Agencies. Immediately after receipt of notice of termination of this Agreement, the Custodian shall deliver the Receivable Files to the successor Custodian on behalf of the Noteholders and at the Custodian's expense, at such place or places as the successor Custodian may designate, and the successor Custodian, or its agent, as the case may be, shall act as custodian for such Receivables Files on behalf of the Noteholders or following the discharge of the Indenture, the Certificateholders. If, within 72 hours after the termination of this Agreement, the Custodian has not delivered the Receivable Files in accordance with the preceding sentence, the Indenture Trustee may enter the premises of the Custodian and remove the Receivable Files from such premises. In connection with the administration of this Agreement, the parties may agree from time to time upon the interpretation of the provisions of this Agreement as may in their joint opinion be consistent with the general tenor and purposes of this Agreement, any such interpretation to be signed by all parties and annexed hereto.</w:t>
      </w:r>
    </w:p>
    <w:p>
      <w:pPr>
        <w:spacing w:after="0" w:line="169" w:lineRule="exact"/>
        <w:rPr>
          <w:sz w:val="20"/>
          <w:szCs w:val="20"/>
          <w:color w:val="auto"/>
        </w:rPr>
      </w:pPr>
    </w:p>
    <w:p>
      <w:pPr>
        <w:ind w:right="20" w:firstLine="702"/>
        <w:spacing w:after="0" w:line="259" w:lineRule="auto"/>
        <w:tabs>
          <w:tab w:leader="none" w:pos="1032" w:val="left"/>
        </w:tabs>
        <w:numPr>
          <w:ilvl w:val="0"/>
          <w:numId w:val="3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GOVERNING LAW. THIS AGREEMENT SHALL BE GOVERNED BY AND CONSTRUED IN ACCORDANCE WITH THE LAWS OF THE STATE OF NEW YORK, WITHOUT REGARD TO THE CONFLICT OF LAW PROVISIONS THEREOF (OTHER THAN SECTIONS 5-1401 AND 5-1402 OF THE NEW YORK GENERAL OBLIGATIONS LAW).</w:t>
      </w:r>
    </w:p>
    <w:p>
      <w:pPr>
        <w:spacing w:after="0" w:line="25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EACH OF THE PARTIES HERETO HEREBY AGREES TO THE NON-EXCLUSIVE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4" w:name="page455"/>
    <w:bookmarkEnd w:id="454"/>
    <w:p>
      <w:pPr>
        <w:spacing w:after="0" w:line="269" w:lineRule="exact"/>
        <w:rPr>
          <w:sz w:val="20"/>
          <w:szCs w:val="20"/>
          <w:color w:val="auto"/>
        </w:rPr>
      </w:pPr>
    </w:p>
    <w:p>
      <w:pPr>
        <w:ind w:right="40" w:firstLine="702"/>
        <w:spacing w:after="0" w:line="253" w:lineRule="auto"/>
        <w:tabs>
          <w:tab w:leader="none" w:pos="1032" w:val="left"/>
        </w:tabs>
        <w:numPr>
          <w:ilvl w:val="0"/>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All demands, notices and communications hereunder shall be in writing, electronically delivered or mailed, and shall be deemed to have been duly given upon receipt (a) in the case of the Custodian, at the following address: United Auto Credit Corporation, 1071 Camelback Street, Suite 100, Newport Beach, California 92660, Attention: Chief Financial Officer, or via electronic delivery to finance@unitedautocredit.net, (b) in the case of the Indenture Trustee, at the following address: Computershare Trust Company, N.A., 1505 Energy Park Drive, St. Paul, Minnesota 55108, Attention: Computershare Corporate Trust – Asset-Backed Administration, or via electronic delivery to Mike.Oller@computershare.com, (c) in the case of in the case of DBRS, at the following address: 140 Broadway, 35th Floor, New York, New York 10005, Attention: ABS Surveillance, or via electronic delivery to abs_sureillance@dbrs.com, and (d) in the case of Standard &amp; Poor's, via electronic delivery to Servicer_reports@sandp.com; for any information not available in electronic format, hard copies should be sent to the following address: 55 Water Street, 41st floor, New York, New York 10041-0003, Attention: ABS Surveillance Group, or at such other address as shall be designated by such party in a written notice to the other parties. Where this Agreement provides for notice or delivery of documents to the Rating Agencies, failure to give such notice or deliver such documents shall not affect any other rights or obligations created hereunder.</w:t>
      </w:r>
    </w:p>
    <w:p>
      <w:pPr>
        <w:spacing w:after="0" w:line="165" w:lineRule="exact"/>
        <w:rPr>
          <w:rFonts w:ascii="Times New Roman" w:cs="Times New Roman" w:eastAsia="Times New Roman" w:hAnsi="Times New Roman"/>
          <w:sz w:val="19"/>
          <w:szCs w:val="19"/>
          <w:color w:val="auto"/>
        </w:rPr>
      </w:pPr>
    </w:p>
    <w:p>
      <w:pPr>
        <w:ind w:right="340" w:firstLine="702"/>
        <w:spacing w:after="0" w:line="262" w:lineRule="auto"/>
        <w:tabs>
          <w:tab w:leader="none" w:pos="1032" w:val="left"/>
        </w:tabs>
        <w:numPr>
          <w:ilvl w:val="0"/>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Binding Effect. This Agreement shall be binding upon and shall inure to the benefit of the parties hereto and their respective successors and assigns. Concurrently with the appointment of a successor Indenture Trustee under the Sale and Servicing Agreement, the parties hereto shall amend this Agreement to make said successor Indenture Trustee the successor to the Indenture Trustee hereunder.</w:t>
      </w:r>
    </w:p>
    <w:p>
      <w:pPr>
        <w:spacing w:after="0" w:line="150" w:lineRule="exact"/>
        <w:rPr>
          <w:rFonts w:ascii="Times New Roman" w:cs="Times New Roman" w:eastAsia="Times New Roman" w:hAnsi="Times New Roman"/>
          <w:sz w:val="19"/>
          <w:szCs w:val="19"/>
          <w:color w:val="auto"/>
        </w:rPr>
      </w:pPr>
    </w:p>
    <w:p>
      <w:pPr>
        <w:ind w:firstLine="702"/>
        <w:spacing w:after="0" w:line="253" w:lineRule="auto"/>
        <w:tabs>
          <w:tab w:leader="none" w:pos="1032" w:val="left"/>
        </w:tabs>
        <w:numPr>
          <w:ilvl w:val="0"/>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Limitation of Liability. It is expressly understood and agreed by the parties hereto that (a) this Agreement is executed and delivered by Computershare Delaware Trust Company, not individually or personally but solely as owner trustee of the Issuer, in the exercise of the powers and authority conferred and vested in it, (b) each of the representations, covenants, undertakings and agreements herein made on the part of the Issuer is made and intended not as personal representations, covenants, undertakings and agreements by Computershare Delaware Trust Company but is made and intended for the purpose of binding only the Issuer, (c) nothing herein contained shall be construed as creating any liability on Computershare Delaware Trust Company, individually or personally, to perform any covenant either expressed or implied contained herein, all such liability, if any, being expressly waived by the parties hereto and by any Person claiming by, through or under the parties hereto, (d) Computershare Delaware Trust Company has not verified or made any investigation as to the accuracy or completeness of any of the representations and warranties made by the Issuer or any other party in this Agreement, and (e) under no circumstances shall Computershare Delaware Trust Company be personally liable for the payment of any indebtedness or expenses of the Issuer or be liable for the breach or failure of any obligation, duty (including fiduciary duty, if any), representation, warranty or covenant made or undertaken by the Issuer under this Agreement or any other related documents.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55" w:name="page456"/>
    <w:bookmarkEnd w:id="455"/>
    <w:p>
      <w:pPr>
        <w:spacing w:after="0" w:line="269" w:lineRule="exact"/>
        <w:rPr>
          <w:sz w:val="20"/>
          <w:szCs w:val="20"/>
          <w:color w:val="auto"/>
        </w:rPr>
      </w:pPr>
    </w:p>
    <w:p>
      <w:pPr>
        <w:ind w:firstLine="702"/>
        <w:spacing w:after="0" w:line="253" w:lineRule="auto"/>
        <w:tabs>
          <w:tab w:leader="none" w:pos="1032" w:val="left"/>
        </w:tabs>
        <w:numPr>
          <w:ilvl w:val="0"/>
          <w:numId w:val="3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Electronic Signatures. This Agreement shall be valid, binding and enforceable against a party only when executed and delivered by an authorized individual on behalf of the party by means of (a)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(b) an original manual signature or (c)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6" w:name="page457"/>
    <w:bookmarkEnd w:id="456"/>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each of the parties hereto has caused this Agreement to be executed in its name and on its behalf by a duly authorized officer on the day and year first above written.</w:t>
      </w:r>
    </w:p>
    <w:p>
      <w:pPr>
        <w:spacing w:after="0" w:line="1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as Indenture Trustee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Title:</w:t>
      </w:r>
    </w:p>
    <w:p>
      <w:pPr>
        <w:spacing w:after="0" w:line="18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as Custodian</w:t>
      </w:r>
    </w:p>
    <w:p>
      <w:pPr>
        <w:sectPr>
          <w:pgSz w:w="11900" w:h="16840" w:orient="portrait"/>
          <w:cols w:equalWidth="0" w:num="1">
            <w:col w:w="10500"/>
          </w:cols>
          <w:pgMar w:left="660" w:top="1440" w:right="7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Jonathan Sandison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ectPr>
          <w:pgSz w:w="11900" w:h="16840" w:orient="portrait"/>
          <w:cols w:equalWidth="0" w:num="2">
            <w:col w:w="4740" w:space="300"/>
            <w:col w:w="5460"/>
          </w:cols>
          <w:pgMar w:left="660" w:top="1440" w:right="740"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foregoing Custodian Agreement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 hereby confirmed and accepted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the date first above written.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UNITED AUTO CREDIT SECURITIZATION TRUST 2025-1,</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as Issuer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COMPUTERSHARE DELAWARE TRUST COMPANY, not in its individual capacity but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solely as Owner Trustee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behalf of the Trust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894715</wp:posOffset>
            </wp:positionV>
            <wp:extent cx="6732905" cy="406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type w:val="continuous"/>
        </w:sectPr>
      </w:pPr>
    </w:p>
    <w:bookmarkStart w:id="457" w:name="page458"/>
    <w:bookmarkEnd w:id="457"/>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CUSTODIAN'S ACKNOWLEDGEMENT</w:t>
      </w:r>
    </w:p>
    <w:p>
      <w:pPr>
        <w:spacing w:after="0" w:line="204"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color w:val="auto"/>
        </w:rPr>
        <w:t>United Auto Credit Corporation (the "Custodian") acts as Custodian under a Custodian Agreement, dated as of February 28, 2025, between the Custodian and Computershare Trust Company, N.A., as Indenture Trustee, pursuant to which the Custodian holds on behalf of the Indenture Trustee for the benefit of the Noteholders certain "Receivable Files," as defined in the Sale and Servicing Agreement, dated as of February 28, 2025 (the "Sale and Servicing Agreement"), among United Auto Credit Securitization Trust 2025-1, as Issuer, United Auto Credit Financing LLC, as Depositor, United Auto Credit Corporation, as Servicer, and Computershare Trust Company, N.A., as Indenture Trustee and Backup Servicer. The Custodian hereby acknowledges receipt of the Receivable File for each Receivable listed in the Schedule of Receivables attached as Schedule A to the Sale and Servicing Agreement, except as noted in the Custodian Exception List attached as Schedule I hereto and the Lien Perfection Exception List attached as Schedule II hereto.</w:t>
      </w:r>
    </w:p>
    <w:p>
      <w:pPr>
        <w:spacing w:after="0" w:line="160" w:lineRule="exact"/>
        <w:rPr>
          <w:sz w:val="20"/>
          <w:szCs w:val="20"/>
          <w:color w:val="auto"/>
        </w:rPr>
      </w:pPr>
    </w:p>
    <w:p>
      <w:pPr>
        <w:ind w:right="16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Custodian has caused this acknowledgement to be executed by its duly authorized officer as of this _____ day of ________, 20___.</w:t>
      </w:r>
    </w:p>
    <w:p>
      <w:pPr>
        <w:spacing w:after="0" w:line="1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894715</wp:posOffset>
            </wp:positionV>
            <wp:extent cx="6732905" cy="406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8" w:name="page459"/>
    <w:bookmarkEnd w:id="458"/>
    <w:p>
      <w:pPr>
        <w:spacing w:after="0" w:line="26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I</w:t>
      </w:r>
    </w:p>
    <w:p>
      <w:pPr>
        <w:spacing w:after="0" w:line="20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color w:val="auto"/>
        </w:rPr>
        <w:t>Custodian Exception List</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color w:val="auto"/>
        </w:rPr>
        <w:t>[On File with United Auto, the Indenture Trustee and Katten Muchin Rosenman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683260</wp:posOffset>
            </wp:positionV>
            <wp:extent cx="6732905" cy="406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459" w:name="page460"/>
    <w:bookmarkEnd w:id="459"/>
    <w:p>
      <w:pPr>
        <w:spacing w:after="0" w:line="26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II</w:t>
      </w:r>
    </w:p>
    <w:p>
      <w:pPr>
        <w:spacing w:after="0" w:line="20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color w:val="auto"/>
        </w:rPr>
        <w:t>Lien Perfection Exception List</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color w:val="auto"/>
        </w:rPr>
        <w:t>[On File with United Auto, the Indenture Trustee and Katten Muchin Rosenman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US_302588609v4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683260</wp:posOffset>
            </wp:positionV>
            <wp:extent cx="6732905" cy="406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16"/>
          <w:szCs w:val="16"/>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SALE AND SERVICING</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AGREEMENT</w:t>
      </w:r>
    </w:p>
    <w:p>
      <w:pPr>
        <w:spacing w:after="0" w:line="200" w:lineRule="exact"/>
        <w:rPr>
          <w:sz w:val="20"/>
          <w:szCs w:val="20"/>
          <w:color w:val="auto"/>
        </w:rPr>
      </w:pPr>
    </w:p>
    <w:p>
      <w:pPr>
        <w:spacing w:after="0" w:line="36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among</w:t>
      </w:r>
    </w:p>
    <w:p>
      <w:pPr>
        <w:spacing w:after="0" w:line="200" w:lineRule="exact"/>
        <w:rPr>
          <w:sz w:val="20"/>
          <w:szCs w:val="20"/>
          <w:color w:val="auto"/>
        </w:rPr>
      </w:pPr>
    </w:p>
    <w:p>
      <w:pPr>
        <w:spacing w:after="0" w:line="38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UNITED AUTO CREDIT SECURITIZATION TRUST 2025-1,</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Issuer,</w:t>
      </w:r>
    </w:p>
    <w:p>
      <w:pPr>
        <w:spacing w:after="0" w:line="200" w:lineRule="exact"/>
        <w:rPr>
          <w:sz w:val="20"/>
          <w:szCs w:val="20"/>
          <w:color w:val="auto"/>
        </w:rPr>
      </w:pPr>
    </w:p>
    <w:p>
      <w:pPr>
        <w:spacing w:after="0" w:line="36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UNITED AUTO CREDIT FINANCING LLC,</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Depositor,</w:t>
      </w:r>
    </w:p>
    <w:p>
      <w:pPr>
        <w:spacing w:after="0" w:line="200" w:lineRule="exact"/>
        <w:rPr>
          <w:sz w:val="20"/>
          <w:szCs w:val="20"/>
          <w:color w:val="auto"/>
        </w:rPr>
      </w:pPr>
    </w:p>
    <w:p>
      <w:pPr>
        <w:spacing w:after="0" w:line="36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UNITED AUTO CREDIT CORPORATION,</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Servicer,</w:t>
      </w:r>
    </w:p>
    <w:p>
      <w:pPr>
        <w:spacing w:after="0" w:line="200" w:lineRule="exact"/>
        <w:rPr>
          <w:sz w:val="20"/>
          <w:szCs w:val="20"/>
          <w:color w:val="auto"/>
        </w:rPr>
      </w:pPr>
    </w:p>
    <w:p>
      <w:pPr>
        <w:spacing w:after="0" w:line="36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and</w:t>
      </w:r>
    </w:p>
    <w:p>
      <w:pPr>
        <w:spacing w:after="0" w:line="200" w:lineRule="exact"/>
        <w:rPr>
          <w:sz w:val="20"/>
          <w:szCs w:val="20"/>
          <w:color w:val="auto"/>
        </w:rPr>
      </w:pPr>
    </w:p>
    <w:p>
      <w:pPr>
        <w:spacing w:after="0" w:line="38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Backup Servicer and Indenture Trustee</w:t>
      </w:r>
    </w:p>
    <w:p>
      <w:pPr>
        <w:spacing w:after="0" w:line="200" w:lineRule="exact"/>
        <w:rPr>
          <w:sz w:val="20"/>
          <w:szCs w:val="20"/>
          <w:color w:val="auto"/>
        </w:rPr>
      </w:pPr>
    </w:p>
    <w:p>
      <w:pPr>
        <w:spacing w:after="0" w:line="36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Dated as of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794385</wp:posOffset>
            </wp:positionV>
            <wp:extent cx="6732905" cy="406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133" w:right="680" w:bottom="1440" w:gutter="0" w:footer="0" w:header="0"/>
        </w:sectPr>
      </w:pPr>
    </w:p>
    <w:bookmarkStart w:id="461" w:name="page462"/>
    <w:bookmarkEnd w:id="461"/>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560" w:type="dxa"/>
            <w:vAlign w:val="bottom"/>
          </w:tcPr>
          <w:p>
            <w:pPr>
              <w:spacing w:after="0"/>
              <w:rPr>
                <w:sz w:val="21"/>
                <w:szCs w:val="21"/>
                <w:color w:val="auto"/>
              </w:rPr>
            </w:pPr>
          </w:p>
        </w:tc>
        <w:tc>
          <w:tcPr>
            <w:tcW w:w="7400" w:type="dxa"/>
            <w:vAlign w:val="bottom"/>
          </w:tcPr>
          <w:p>
            <w:pPr>
              <w:ind w:left="1740"/>
              <w:spacing w:after="0"/>
              <w:rPr>
                <w:sz w:val="20"/>
                <w:szCs w:val="20"/>
                <w:color w:val="auto"/>
              </w:rPr>
            </w:pPr>
            <w:r>
              <w:rPr>
                <w:rFonts w:ascii="Times New Roman" w:cs="Times New Roman" w:eastAsia="Times New Roman" w:hAnsi="Times New Roman"/>
                <w:sz w:val="19"/>
                <w:szCs w:val="19"/>
                <w:color w:val="auto"/>
              </w:rPr>
              <w:t>TABLE OF CONTENTS</w:t>
            </w:r>
          </w:p>
        </w:tc>
        <w:tc>
          <w:tcPr>
            <w:tcW w:w="600" w:type="dxa"/>
            <w:vAlign w:val="bottom"/>
          </w:tcPr>
          <w:p>
            <w:pPr>
              <w:spacing w:after="0"/>
              <w:rPr>
                <w:sz w:val="21"/>
                <w:szCs w:val="21"/>
                <w:color w:val="auto"/>
              </w:rPr>
            </w:pPr>
          </w:p>
        </w:tc>
      </w:tr>
      <w:tr>
        <w:trPr>
          <w:trHeight w:val="457"/>
        </w:trPr>
        <w:tc>
          <w:tcPr>
            <w:tcW w:w="25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Page</w:t>
            </w:r>
          </w:p>
        </w:tc>
      </w:tr>
      <w:tr>
        <w:trPr>
          <w:trHeight w:val="251"/>
        </w:trPr>
        <w:tc>
          <w:tcPr>
            <w:tcW w:w="2560" w:type="dxa"/>
            <w:vAlign w:val="bottom"/>
          </w:tcPr>
          <w:p>
            <w:pPr>
              <w:spacing w:after="0"/>
              <w:rPr>
                <w:sz w:val="20"/>
                <w:szCs w:val="20"/>
                <w:color w:val="auto"/>
              </w:rPr>
            </w:pPr>
            <w:r>
              <w:rPr>
                <w:rFonts w:ascii="Times New Roman" w:cs="Times New Roman" w:eastAsia="Times New Roman" w:hAnsi="Times New Roman"/>
                <w:sz w:val="19"/>
                <w:szCs w:val="19"/>
                <w:color w:val="auto"/>
              </w:rPr>
              <w:t>ARTICLE I Definitions</w:t>
            </w:r>
          </w:p>
        </w:tc>
        <w:tc>
          <w:tcPr>
            <w:tcW w:w="7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301"/>
        </w:trPr>
        <w:tc>
          <w:tcPr>
            <w:tcW w:w="25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SECTION 1.1.</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Definitions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5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Other Definitional Provisions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324"/>
        </w:trPr>
        <w:tc>
          <w:tcPr>
            <w:tcW w:w="99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II Conveyance of Receivables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30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2.1.</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Conveyance of Receivables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2.2.</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2.3.</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Further Encumbrance of Trust Property</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5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2.4.</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Intention of the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9"/>
                <w:szCs w:val="19"/>
                <w:color w:val="auto"/>
              </w:rPr>
              <w:t>ARTICLE III The Receivables</w:t>
            </w:r>
          </w:p>
        </w:tc>
        <w:tc>
          <w:tcPr>
            <w:tcW w:w="7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30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3.1.</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Representations and Warranties of United Auto</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3.2.</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Representations and Warranties of Depositor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3.3.</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Repurchase upon Breach</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5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3.4.</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Custody of Receivable Files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324"/>
        </w:trPr>
        <w:tc>
          <w:tcPr>
            <w:tcW w:w="99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IV Administration and Servicing of Receivables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r>
      <w:tr>
        <w:trPr>
          <w:trHeight w:val="30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4.1.</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Duties of the Servicer and the Backup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4.2.</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Collection of Receivable Payments; Modifications of Receivables; Lockbox Agreements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4.3.</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Realization upon Receivables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4.4.</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Insurance</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4.5.</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Maintenance of Security Interests in Vehicles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4.6.</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Covenants, Representations, and Warranties of Servicer and United Auto</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4.7.</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Purchase of Receivables Upon Breach of Covenant or Modification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4.8.</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Total Servicing Fee; Payment of Certain Expenses by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4.9.</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Servicer's Certificate</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4.10.</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Annual Statement as to Compliance, Notice of Servicer Termination Event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4.11.</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Annual Independent Public Accountants' Reports.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4.12.</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Access to Certain Documentation and Information Regarding Receivables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5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4.13.</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Monthly Tape</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324"/>
        </w:trPr>
        <w:tc>
          <w:tcPr>
            <w:tcW w:w="99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 Trust Accounts; Distributions; Statements to Noteholders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301"/>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5.1.</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Establishment of Trust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5.2.</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5.3.</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Certain Reimbursements to the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28"/>
        </w:trPr>
        <w:tc>
          <w:tcPr>
            <w:tcW w:w="2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5.4.</w:t>
            </w: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Application of Collections. All collections for the Collection Period shall be applied by the</w:t>
            </w:r>
          </w:p>
        </w:tc>
        <w:tc>
          <w:tcPr>
            <w:tcW w:w="600" w:type="dxa"/>
            <w:vAlign w:val="bottom"/>
          </w:tcPr>
          <w:p>
            <w:pPr>
              <w:spacing w:after="0"/>
              <w:rPr>
                <w:sz w:val="19"/>
                <w:szCs w:val="19"/>
                <w:color w:val="auto"/>
              </w:rPr>
            </w:pPr>
          </w:p>
        </w:tc>
      </w:tr>
      <w:tr>
        <w:trPr>
          <w:trHeight w:val="228"/>
        </w:trPr>
        <w:tc>
          <w:tcPr>
            <w:tcW w:w="256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Servicer as follows: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51"/>
        </w:trPr>
        <w:tc>
          <w:tcPr>
            <w:tcW w:w="2560" w:type="dxa"/>
            <w:vAlign w:val="bottom"/>
          </w:tcPr>
          <w:p>
            <w:pPr>
              <w:spacing w:after="0"/>
              <w:rPr>
                <w:sz w:val="21"/>
                <w:szCs w:val="21"/>
                <w:color w:val="auto"/>
              </w:rPr>
            </w:pPr>
          </w:p>
        </w:tc>
        <w:tc>
          <w:tcPr>
            <w:tcW w:w="7400" w:type="dxa"/>
            <w:vAlign w:val="bottom"/>
          </w:tcPr>
          <w:p>
            <w:pPr>
              <w:ind w:left="2680"/>
              <w:spacing w:after="0"/>
              <w:rPr>
                <w:sz w:val="20"/>
                <w:szCs w:val="20"/>
                <w:color w:val="auto"/>
              </w:rPr>
            </w:pPr>
            <w:r>
              <w:rPr>
                <w:rFonts w:ascii="Times New Roman" w:cs="Times New Roman" w:eastAsia="Times New Roman" w:hAnsi="Times New Roman"/>
                <w:sz w:val="19"/>
                <w:szCs w:val="19"/>
                <w:color w:val="auto"/>
              </w:rPr>
              <w:t>2</w:t>
            </w:r>
          </w:p>
        </w:tc>
        <w:tc>
          <w:tcPr>
            <w:tcW w:w="600" w:type="dxa"/>
            <w:vAlign w:val="bottom"/>
          </w:tcPr>
          <w:p>
            <w:pPr>
              <w:spacing w:after="0"/>
              <w:rPr>
                <w:sz w:val="21"/>
                <w:szCs w:val="21"/>
                <w:color w:val="auto"/>
              </w:rPr>
            </w:pPr>
          </w:p>
        </w:tc>
      </w:tr>
      <w:tr>
        <w:trPr>
          <w:trHeight w:val="1022"/>
        </w:trPr>
        <w:tc>
          <w:tcPr>
            <w:tcW w:w="2560" w:type="dxa"/>
            <w:vAlign w:val="bottom"/>
            <w:tcBorders>
              <w:bottom w:val="single" w:sz="8" w:color="EEEEEE"/>
            </w:tcBorders>
          </w:tcPr>
          <w:p>
            <w:pPr>
              <w:spacing w:after="0"/>
              <w:rPr>
                <w:sz w:val="24"/>
                <w:szCs w:val="24"/>
                <w:color w:val="auto"/>
              </w:rPr>
            </w:pPr>
          </w:p>
        </w:tc>
        <w:tc>
          <w:tcPr>
            <w:tcW w:w="74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2" w:name="page463"/>
    <w:bookmarkEnd w:id="462"/>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5.5.</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5.6.</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Additional Deposits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5.7.</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Distributions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5.8.</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Reserve Account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5.9.</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5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5.10.</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Statements to Noteholders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324"/>
        </w:trPr>
        <w:tc>
          <w:tcPr>
            <w:tcW w:w="2520" w:type="dxa"/>
            <w:vAlign w:val="bottom"/>
          </w:tcPr>
          <w:p>
            <w:pPr>
              <w:spacing w:after="0"/>
              <w:rPr>
                <w:sz w:val="20"/>
                <w:szCs w:val="20"/>
                <w:color w:val="auto"/>
              </w:rPr>
            </w:pPr>
            <w:r>
              <w:rPr>
                <w:rFonts w:ascii="Times New Roman" w:cs="Times New Roman" w:eastAsia="Times New Roman" w:hAnsi="Times New Roman"/>
                <w:sz w:val="19"/>
                <w:szCs w:val="19"/>
                <w:color w:val="auto"/>
              </w:rPr>
              <w:t>ARTICLE VI [Reserved]</w:t>
            </w:r>
          </w:p>
        </w:tc>
        <w:tc>
          <w:tcPr>
            <w:tcW w:w="7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420"/>
        </w:trPr>
        <w:tc>
          <w:tcPr>
            <w:tcW w:w="2520" w:type="dxa"/>
            <w:vAlign w:val="bottom"/>
          </w:tcPr>
          <w:p>
            <w:pPr>
              <w:spacing w:after="0"/>
              <w:rPr>
                <w:sz w:val="20"/>
                <w:szCs w:val="20"/>
                <w:color w:val="auto"/>
              </w:rPr>
            </w:pPr>
            <w:r>
              <w:rPr>
                <w:rFonts w:ascii="Times New Roman" w:cs="Times New Roman" w:eastAsia="Times New Roman" w:hAnsi="Times New Roman"/>
                <w:sz w:val="19"/>
                <w:szCs w:val="19"/>
                <w:color w:val="auto"/>
              </w:rPr>
              <w:t>ARTICLE VII The Depositor</w:t>
            </w:r>
          </w:p>
        </w:tc>
        <w:tc>
          <w:tcPr>
            <w:tcW w:w="7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30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7.1.</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Representations of Depositor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7.2.</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Limited Liability Company Existence</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7.3.</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Liability of Depositor; Indemnities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7.4.</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Merger or Consolidation of, or Assumption of the Obligations of, Depositor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7.5.</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Depositor Not to Resign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7.6.</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Limitation on Liability of Depositor and Others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5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7.7.</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Ownership of the Certificates or Notes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324"/>
        </w:trPr>
        <w:tc>
          <w:tcPr>
            <w:tcW w:w="99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VIII The Servicer and the Backup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30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8.1.</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Representations of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8.2.</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Representations of Backup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8.3.</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Liability of Servicer and Backup Servicer; Indemnities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8.4.</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Merger or Consolidation of, or Assumption of the Obligations of the Servicer or Backup</w:t>
            </w:r>
          </w:p>
        </w:tc>
        <w:tc>
          <w:tcPr>
            <w:tcW w:w="600" w:type="dxa"/>
            <w:vAlign w:val="bottom"/>
          </w:tcPr>
          <w:p>
            <w:pPr>
              <w:spacing w:after="0"/>
              <w:rPr>
                <w:sz w:val="19"/>
                <w:szCs w:val="19"/>
                <w:color w:val="auto"/>
              </w:rPr>
            </w:pPr>
          </w:p>
        </w:tc>
      </w:tr>
      <w:tr>
        <w:trPr>
          <w:trHeight w:val="228"/>
        </w:trPr>
        <w:tc>
          <w:tcPr>
            <w:tcW w:w="25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8.5.</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Limitation on Liability of Servicer, Backup Servicer and Others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8.6.</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Delegation of Duties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8.7.</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Servicer and Backup Servicer Not to Resign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r>
      <w:tr>
        <w:trPr>
          <w:trHeight w:val="25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8.8.</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Rights of the Backup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324"/>
        </w:trPr>
        <w:tc>
          <w:tcPr>
            <w:tcW w:w="2520" w:type="dxa"/>
            <w:vAlign w:val="bottom"/>
          </w:tcPr>
          <w:p>
            <w:pPr>
              <w:spacing w:after="0"/>
              <w:rPr>
                <w:sz w:val="20"/>
                <w:szCs w:val="20"/>
                <w:color w:val="auto"/>
              </w:rPr>
            </w:pPr>
            <w:r>
              <w:rPr>
                <w:rFonts w:ascii="Times New Roman" w:cs="Times New Roman" w:eastAsia="Times New Roman" w:hAnsi="Times New Roman"/>
                <w:sz w:val="19"/>
                <w:szCs w:val="19"/>
                <w:color w:val="auto"/>
              </w:rPr>
              <w:t>ARTICLE IX Default</w:t>
            </w:r>
          </w:p>
        </w:tc>
        <w:tc>
          <w:tcPr>
            <w:tcW w:w="7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30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9.1.</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Servicer Termination Event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9.2.</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Consequences of a Servicer Termination Event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9.3.</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Appointment of Successor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9.4.</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Notification to Noteholders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9.5.</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Waiver of Past Defaults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25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9.6.</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Backup Servicer Termination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324"/>
        </w:trPr>
        <w:tc>
          <w:tcPr>
            <w:tcW w:w="2520" w:type="dxa"/>
            <w:vAlign w:val="bottom"/>
          </w:tcPr>
          <w:p>
            <w:pPr>
              <w:spacing w:after="0"/>
              <w:rPr>
                <w:sz w:val="20"/>
                <w:szCs w:val="20"/>
                <w:color w:val="auto"/>
              </w:rPr>
            </w:pPr>
            <w:r>
              <w:rPr>
                <w:rFonts w:ascii="Times New Roman" w:cs="Times New Roman" w:eastAsia="Times New Roman" w:hAnsi="Times New Roman"/>
                <w:sz w:val="19"/>
                <w:szCs w:val="19"/>
                <w:color w:val="auto"/>
              </w:rPr>
              <w:t>ARTICLE X Termination</w:t>
            </w:r>
          </w:p>
        </w:tc>
        <w:tc>
          <w:tcPr>
            <w:tcW w:w="7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324"/>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10.1.</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Optional Purchase of All Receivables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324"/>
        </w:trPr>
        <w:tc>
          <w:tcPr>
            <w:tcW w:w="99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XI Administrative Duties of the Servicer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301"/>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11.1.</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Administrative Duties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11.2.</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Records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28"/>
        </w:trPr>
        <w:tc>
          <w:tcPr>
            <w:tcW w:w="2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11.3.</w:t>
            </w:r>
          </w:p>
        </w:tc>
        <w:tc>
          <w:tcPr>
            <w:tcW w:w="74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Additional Information to be Furnished to the Issuer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51"/>
        </w:trPr>
        <w:tc>
          <w:tcPr>
            <w:tcW w:w="2520" w:type="dxa"/>
            <w:vAlign w:val="bottom"/>
          </w:tcPr>
          <w:p>
            <w:pPr>
              <w:spacing w:after="0"/>
              <w:rPr>
                <w:sz w:val="21"/>
                <w:szCs w:val="21"/>
                <w:color w:val="auto"/>
              </w:rPr>
            </w:pPr>
          </w:p>
        </w:tc>
        <w:tc>
          <w:tcPr>
            <w:tcW w:w="74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3</w:t>
            </w:r>
          </w:p>
        </w:tc>
        <w:tc>
          <w:tcPr>
            <w:tcW w:w="600" w:type="dxa"/>
            <w:vAlign w:val="bottom"/>
          </w:tcPr>
          <w:p>
            <w:pPr>
              <w:spacing w:after="0"/>
              <w:rPr>
                <w:sz w:val="21"/>
                <w:szCs w:val="21"/>
                <w:color w:val="auto"/>
              </w:rPr>
            </w:pPr>
          </w:p>
        </w:tc>
      </w:tr>
      <w:tr>
        <w:trPr>
          <w:trHeight w:val="1022"/>
        </w:trPr>
        <w:tc>
          <w:tcPr>
            <w:tcW w:w="2520" w:type="dxa"/>
            <w:vAlign w:val="bottom"/>
            <w:tcBorders>
              <w:bottom w:val="single" w:sz="8" w:color="EEEEEE"/>
            </w:tcBorders>
          </w:tcPr>
          <w:p>
            <w:pPr>
              <w:spacing w:after="0"/>
              <w:rPr>
                <w:sz w:val="24"/>
                <w:szCs w:val="24"/>
                <w:color w:val="auto"/>
              </w:rPr>
            </w:pPr>
          </w:p>
        </w:tc>
        <w:tc>
          <w:tcPr>
            <w:tcW w:w="744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3" w:name="page464"/>
    <w:bookmarkEnd w:id="463"/>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XII Miscellaneous Provisions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301"/>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Amendment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12.2.</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Protection of Title to Trust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12.3.</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Notices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12.4.</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Assignment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12.5.</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Limitations on Rights of Others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12.6.</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Severability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12.7.</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Separate 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12.8.</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Headings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12.9.</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12.10.</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Assignment to Indenture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12.11.</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Nonpetition 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12.12.</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Limitation of Liability of Owner Trustee and Indenture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12.13.</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Concerning the Owner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12.14.</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Indenture Trustee to Report Repurchase Demands due to Breaches of Representations and</w:t>
            </w:r>
          </w:p>
        </w:tc>
        <w:tc>
          <w:tcPr>
            <w:tcW w:w="54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Warranties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12.15.</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Independence of the Servicer</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12.16.</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No Joint Venture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12.17.</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State Business Licenses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28"/>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12.18.</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AML Law.</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51"/>
        </w:trPr>
        <w:tc>
          <w:tcPr>
            <w:tcW w:w="2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12.19.</w:t>
            </w:r>
          </w:p>
        </w:tc>
        <w:tc>
          <w:tcPr>
            <w:tcW w:w="79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Electronic Signatures</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SCHEDULES</w:t>
      </w:r>
    </w:p>
    <w:p>
      <w:pPr>
        <w:spacing w:after="0" w:line="13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color w:val="auto"/>
        </w:rPr>
        <w:t>Schedule A</w:t>
      </w:r>
      <w:r>
        <w:rPr>
          <w:sz w:val="20"/>
          <w:szCs w:val="20"/>
          <w:color w:val="auto"/>
        </w:rPr>
        <w:tab/>
      </w:r>
      <w:r>
        <w:rPr>
          <w:rFonts w:ascii="Times New Roman" w:cs="Times New Roman" w:eastAsia="Times New Roman" w:hAnsi="Times New Roman"/>
          <w:sz w:val="19"/>
          <w:szCs w:val="19"/>
          <w:color w:val="auto"/>
        </w:rPr>
        <w:t>Schedule of Receivables</w:t>
      </w:r>
    </w:p>
    <w:p>
      <w:pPr>
        <w:spacing w:after="0" w:line="13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color w:val="auto"/>
        </w:rPr>
        <w:t>Schedule B</w:t>
      </w:r>
      <w:r>
        <w:rPr>
          <w:sz w:val="20"/>
          <w:szCs w:val="20"/>
          <w:color w:val="auto"/>
        </w:rPr>
        <w:tab/>
      </w:r>
      <w:r>
        <w:rPr>
          <w:rFonts w:ascii="Times New Roman" w:cs="Times New Roman" w:eastAsia="Times New Roman" w:hAnsi="Times New Roman"/>
          <w:sz w:val="19"/>
          <w:szCs w:val="19"/>
          <w:color w:val="auto"/>
        </w:rPr>
        <w:t>Representations and Warranties of the Depositor and United Auto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EXHIBITS</w:t>
      </w:r>
    </w:p>
    <w:p>
      <w:pPr>
        <w:spacing w:after="0" w:line="13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color w:val="auto"/>
        </w:rPr>
        <w:t>Exhibit A</w:t>
      </w:r>
      <w:r>
        <w:rPr>
          <w:sz w:val="20"/>
          <w:szCs w:val="20"/>
          <w:color w:val="auto"/>
        </w:rPr>
        <w:tab/>
      </w:r>
      <w:r>
        <w:rPr>
          <w:rFonts w:ascii="Times New Roman" w:cs="Times New Roman" w:eastAsia="Times New Roman" w:hAnsi="Times New Roman"/>
          <w:sz w:val="19"/>
          <w:szCs w:val="19"/>
          <w:color w:val="auto"/>
        </w:rPr>
        <w:t>Form of Servicer's Certificate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4" w:name="page465"/>
    <w:bookmarkEnd w:id="464"/>
    <w:p>
      <w:pPr>
        <w:spacing w:after="0" w:line="269"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color w:val="auto"/>
        </w:rPr>
        <w:t>This SALE AND SERVICING AGREEMENT, dated as of February 28, 2025, is among UNITED AUTO CREDIT SECURITIZATION TRUST 2025- 1, a Delaware statutory trust (the "Issuer"), UNITED AUTO CREDIT FINANCING LLC, a Delaware limited liability company (the "Depositor"), UNITED AUTO CREDIT CORPORATION, a California corporation (the "Servicer"), and COMPUTERSHARE TRUST COMPANY, N.A., a national banking association, in its capacity as Backup Servicer and Indenture Trustee.</w:t>
      </w:r>
    </w:p>
    <w:p>
      <w:pPr>
        <w:spacing w:after="0" w:line="154"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WHEREAS the Issuer desires to purchase a portfolio of Receivables arising in connection with motor vehicle retail installment sales contracts acquired by United Auto Credit Corporation through motor vehicle dealers;</w:t>
      </w:r>
    </w:p>
    <w:p>
      <w:pPr>
        <w:spacing w:after="0" w:line="127" w:lineRule="exact"/>
        <w:rPr>
          <w:sz w:val="20"/>
          <w:szCs w:val="20"/>
          <w:color w:val="auto"/>
        </w:rPr>
      </w:pPr>
    </w:p>
    <w:p>
      <w:pPr>
        <w:ind w:right="520" w:firstLine="696"/>
        <w:spacing w:after="0" w:line="286" w:lineRule="auto"/>
        <w:rPr>
          <w:sz w:val="20"/>
          <w:szCs w:val="20"/>
          <w:color w:val="auto"/>
        </w:rPr>
      </w:pPr>
      <w:r>
        <w:rPr>
          <w:rFonts w:ascii="Times New Roman" w:cs="Times New Roman" w:eastAsia="Times New Roman" w:hAnsi="Times New Roman"/>
          <w:sz w:val="19"/>
          <w:szCs w:val="19"/>
          <w:color w:val="auto"/>
        </w:rPr>
        <w:t>WHEREAS on the Closing Date the Depositor will purchase the Receivables from United Auto Credit Corporation and is willing to sell all such Receivables to the Issuer;</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WHEREAS the Servicer is willing to service all such Receivables; and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WHEREAS the Backup Servicer is willing to provide backup servicing for all such Receivables.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NOW, THEREFORE, in consideration of the premises and the mutual covenants herein contained, the parties hereto agree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F5496"/>
        </w:rPr>
        <w:t>ARTICLE 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Definitions</w:t>
      </w:r>
    </w:p>
    <w:p>
      <w:pPr>
        <w:spacing w:after="0" w:line="202" w:lineRule="exact"/>
        <w:rPr>
          <w:sz w:val="20"/>
          <w:szCs w:val="20"/>
          <w:color w:val="auto"/>
        </w:rPr>
      </w:pPr>
    </w:p>
    <w:p>
      <w:pPr>
        <w:ind w:right="60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I.1. </w:t>
      </w:r>
      <w:r>
        <w:rPr>
          <w:rFonts w:ascii="Times New Roman" w:cs="Times New Roman" w:eastAsia="Times New Roman" w:hAnsi="Times New Roman"/>
          <w:sz w:val="19"/>
          <w:szCs w:val="19"/>
          <w:color w:val="000000"/>
        </w:rPr>
        <w:t>Definitions. Whenever used in this Agreement, the following words and phrases shall have the following</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meanings: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"Accounting Date" means, with respect to any Collection Period, the last day of such Collection Period.</w:t>
      </w:r>
    </w:p>
    <w:p>
      <w:pPr>
        <w:spacing w:after="0" w:line="202"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auto"/>
        </w:rPr>
        <w:t>"Affected Investor" means, at any time, any Noteholder, or holder of a beneficial interest in any Note, that is itself, or is managed by an institution that is, subject to (i) the EU Securitization Regulation as in effect at such time, or (ii) the U.K. Securitization Rules as in effect at such time.</w:t>
      </w:r>
    </w:p>
    <w:p>
      <w:pPr>
        <w:spacing w:after="0" w:line="144"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"Affiliate" means, with respect to any specified Person, any other Person controlling or controlled by or under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A Person shall not be deemed to be an Affiliate of any Person solely because such other Person has the contractual right or obligation to manage such Person unless such other Person controls such Person through equity ownership or otherwise.</w:t>
      </w:r>
    </w:p>
    <w:p>
      <w:pPr>
        <w:spacing w:after="0" w:line="157"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auto"/>
        </w:rPr>
        <w:t>"Aggregate Principal Balance" means, with respect to any date of determination, the sum of the Principal Balances for all Receivables (other than (i) any Receivable that became a Defaulted Receivable prior to the end of the related Collection Period and (ii) any Receivable that became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758190</wp:posOffset>
            </wp:positionV>
            <wp:extent cx="6732905" cy="406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65" w:name="page466"/>
    <w:bookmarkEnd w:id="465"/>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Purchased Receivable prior to the end of the related Collection Period), as of the date of determination.</w:t>
      </w:r>
    </w:p>
    <w:p>
      <w:pPr>
        <w:spacing w:after="0" w:line="202"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"Agreement" means this Sale and Servicing Agreement, as amended, supplemented or otherwise modified from time to time in accordance with the terms hereof.</w:t>
      </w:r>
    </w:p>
    <w:p>
      <w:pPr>
        <w:spacing w:after="0" w:line="127"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"Amount Financed" means, with respect to a Receivable, the aggregate amount advanced under such Receivable toward the purchase price of the Financed Vehicle and any related costs, including amounts advanced in respect of accessories, insurance premiums, Service Contracts, car club and warranty contracts, other items customarily financed as part of motor vehicle retail installment sales contracts or promissory notes, and related costs.</w:t>
      </w:r>
    </w:p>
    <w:p>
      <w:pPr>
        <w:spacing w:after="0" w:line="150"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color w:val="auto"/>
        </w:rPr>
        <w:t>"Annual Percentage Rate" or "APR" of a Receivable means the annual percentage rate of finance charges or service charges, as stated in the related Contract.</w:t>
      </w:r>
    </w:p>
    <w:p>
      <w:pPr>
        <w:spacing w:after="0" w:line="127" w:lineRule="exact"/>
        <w:rPr>
          <w:sz w:val="20"/>
          <w:szCs w:val="20"/>
          <w:color w:val="auto"/>
        </w:rPr>
      </w:pPr>
    </w:p>
    <w:p>
      <w:pPr>
        <w:ind w:right="20" w:firstLine="696"/>
        <w:spacing w:after="0" w:line="268" w:lineRule="auto"/>
        <w:rPr>
          <w:sz w:val="20"/>
          <w:szCs w:val="20"/>
          <w:color w:val="auto"/>
        </w:rPr>
      </w:pPr>
      <w:r>
        <w:rPr>
          <w:rFonts w:ascii="Times New Roman" w:cs="Times New Roman" w:eastAsia="Times New Roman" w:hAnsi="Times New Roman"/>
          <w:sz w:val="19"/>
          <w:szCs w:val="19"/>
          <w:color w:val="auto"/>
        </w:rPr>
        <w:t>"Authoritative Copy" means, with respect to any Electronic Contract, a copy of such Electronic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spacing w:after="0" w:line="144" w:lineRule="exact"/>
        <w:rPr>
          <w:sz w:val="20"/>
          <w:szCs w:val="20"/>
          <w:color w:val="auto"/>
        </w:rPr>
      </w:pPr>
    </w:p>
    <w:p>
      <w:pPr>
        <w:ind w:right="260" w:firstLine="696"/>
        <w:spacing w:after="0" w:line="286" w:lineRule="auto"/>
        <w:rPr>
          <w:sz w:val="20"/>
          <w:szCs w:val="20"/>
          <w:color w:val="auto"/>
        </w:rPr>
      </w:pPr>
      <w:r>
        <w:rPr>
          <w:rFonts w:ascii="Times New Roman" w:cs="Times New Roman" w:eastAsia="Times New Roman" w:hAnsi="Times New Roman"/>
          <w:sz w:val="19"/>
          <w:szCs w:val="19"/>
          <w:color w:val="auto"/>
        </w:rPr>
        <w:t>"Available Funds" means, with respect to any Distribution Date, the sum of (i) the Collected Funds for the related Collection Period and (ii) amounts released from the Reserve Account pursuant to Section 5.8(c).</w:t>
      </w:r>
    </w:p>
    <w:p>
      <w:pPr>
        <w:spacing w:after="0" w:line="127"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"Backup Servicer" means Computershare Trust Company, N.A., or any successor backup servicer appointed in accordance with Section 8.7.</w:t>
      </w:r>
    </w:p>
    <w:p>
      <w:pPr>
        <w:spacing w:after="0" w:line="127" w:lineRule="exact"/>
        <w:rPr>
          <w:sz w:val="20"/>
          <w:szCs w:val="20"/>
          <w:color w:val="auto"/>
        </w:rPr>
      </w:pPr>
    </w:p>
    <w:p>
      <w:pPr>
        <w:ind w:right="100" w:firstLine="696"/>
        <w:spacing w:after="0" w:line="259" w:lineRule="auto"/>
        <w:rPr>
          <w:sz w:val="20"/>
          <w:szCs w:val="20"/>
          <w:color w:val="auto"/>
        </w:rPr>
      </w:pPr>
      <w:r>
        <w:rPr>
          <w:rFonts w:ascii="Times New Roman" w:cs="Times New Roman" w:eastAsia="Times New Roman" w:hAnsi="Times New Roman"/>
          <w:sz w:val="19"/>
          <w:szCs w:val="19"/>
          <w:color w:val="auto"/>
        </w:rPr>
        <w:t>"Base Servicing Fee" means, with respect to any Collection Period, the fee payable to the Servicer for services rendered during such Collection Period, which shall be equal to the product of (i) the Servicing Fee Rate, times (ii) the Aggregate Principal Balance of the Receivables as of the opening of business on the first day of such Collection Period (or, in the case of the first Distribution Date, as of the Cutoff Date), times (iii) one-twelfth (or in the case of the first Distribution Date, the actual number of days during the Collection Period divided by 360).</w:t>
      </w:r>
    </w:p>
    <w:p>
      <w:pPr>
        <w:spacing w:after="0" w:line="154" w:lineRule="exact"/>
        <w:rPr>
          <w:sz w:val="20"/>
          <w:szCs w:val="20"/>
          <w:color w:val="auto"/>
        </w:rPr>
      </w:pPr>
    </w:p>
    <w:p>
      <w:pPr>
        <w:ind w:right="80" w:firstLine="696"/>
        <w:spacing w:after="0" w:line="259" w:lineRule="auto"/>
        <w:rPr>
          <w:sz w:val="20"/>
          <w:szCs w:val="20"/>
          <w:color w:val="auto"/>
        </w:rPr>
      </w:pPr>
      <w:r>
        <w:rPr>
          <w:rFonts w:ascii="Times New Roman" w:cs="Times New Roman" w:eastAsia="Times New Roman" w:hAnsi="Times New Roman"/>
          <w:sz w:val="19"/>
          <w:szCs w:val="19"/>
          <w:color w:val="auto"/>
        </w:rPr>
        <w:t>"Basic Documents" means this Agreement, the Certificate of Trust, the Trust Agreement, the Indenture, the Notes, the Custodian Agreement, the Lockbox Agreement, the Purchase Agreement, the Note Purchase Agreement, the United Auto E-Vault Services Agreement and the E Collateral Control Agreement and other documents and certificates (including account control agreements, if any) delivered in connection therewith. The Basic Documents to be executed by any party are referred to as "such party's Basic Documents," "its Basic Documents" or by a similar expression.</w:t>
      </w:r>
    </w:p>
    <w:p>
      <w:pPr>
        <w:spacing w:after="0" w:line="154" w:lineRule="exact"/>
        <w:rPr>
          <w:sz w:val="20"/>
          <w:szCs w:val="20"/>
          <w:color w:val="auto"/>
        </w:rPr>
      </w:pPr>
    </w:p>
    <w:p>
      <w:pPr>
        <w:jc w:val="both"/>
        <w:ind w:right="380" w:firstLine="696"/>
        <w:spacing w:after="0" w:line="256" w:lineRule="auto"/>
        <w:rPr>
          <w:sz w:val="20"/>
          <w:szCs w:val="20"/>
          <w:color w:val="auto"/>
        </w:rPr>
      </w:pPr>
      <w:r>
        <w:rPr>
          <w:rFonts w:ascii="Times New Roman" w:cs="Times New Roman" w:eastAsia="Times New Roman" w:hAnsi="Times New Roman"/>
          <w:sz w:val="19"/>
          <w:szCs w:val="19"/>
          <w:color w:val="auto"/>
        </w:rPr>
        <w:t>"Business Day" means any day other than a Saturday, a Sunday, a legal holiday or other day on which commercial banking institutions located in Wilmington, Delaware, Newport Beach, California, St. Paul, Minnesota or New York, New York or any other location of any successor Servicer, successor Owner Trustee, successor Certificate Paying Agent, or successor Indenture Trustee are authorized or obligated by law, executive order or governmental decree to be closed.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6" w:name="page467"/>
    <w:bookmarkEnd w:id="466"/>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"Certificates" has the meaning assigned to such term in the Trust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"Certificate Distribution Account" means the account designated as such, established and maintained pursuant to Section 5.1(a)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(iv).</w:t>
      </w:r>
    </w:p>
    <w:p>
      <w:pPr>
        <w:spacing w:after="0" w:line="180" w:lineRule="exact"/>
        <w:rPr>
          <w:sz w:val="20"/>
          <w:szCs w:val="20"/>
          <w:color w:val="auto"/>
        </w:rPr>
      </w:pPr>
    </w:p>
    <w:p>
      <w:pPr>
        <w:ind w:right="300" w:firstLine="696"/>
        <w:spacing w:after="0" w:line="286" w:lineRule="auto"/>
        <w:rPr>
          <w:sz w:val="20"/>
          <w:szCs w:val="20"/>
          <w:color w:val="auto"/>
        </w:rPr>
      </w:pPr>
      <w:r>
        <w:rPr>
          <w:rFonts w:ascii="Times New Roman" w:cs="Times New Roman" w:eastAsia="Times New Roman" w:hAnsi="Times New Roman"/>
          <w:sz w:val="19"/>
          <w:szCs w:val="19"/>
          <w:color w:val="auto"/>
        </w:rPr>
        <w:t>"Certificate Paying Agent" means Computershare Trust Company, N.A., in its capacity as certificate paying agent under the Trust Agreement.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"Certificate Register" means the register mentioned pursuant to Section 3.4 of the Trust Agreement.</w:t>
      </w:r>
    </w:p>
    <w:p>
      <w:pPr>
        <w:spacing w:after="0" w:line="202" w:lineRule="exact"/>
        <w:rPr>
          <w:sz w:val="20"/>
          <w:szCs w:val="20"/>
          <w:color w:val="auto"/>
        </w:rPr>
      </w:pPr>
    </w:p>
    <w:p>
      <w:pPr>
        <w:ind w:right="540" w:firstLine="696"/>
        <w:spacing w:after="0" w:line="286" w:lineRule="auto"/>
        <w:rPr>
          <w:sz w:val="20"/>
          <w:szCs w:val="20"/>
          <w:color w:val="auto"/>
        </w:rPr>
      </w:pPr>
      <w:r>
        <w:rPr>
          <w:rFonts w:ascii="Times New Roman" w:cs="Times New Roman" w:eastAsia="Times New Roman" w:hAnsi="Times New Roman"/>
          <w:sz w:val="19"/>
          <w:szCs w:val="19"/>
          <w:color w:val="auto"/>
        </w:rPr>
        <w:t>"Certificate Registrar" means Computershare Trust Company, N.A., in its capacity as certificate registrar under the Trust Agreement.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"Certificateholders" has the meaning assigned to such term in the Trust Agreement.</w:t>
      </w:r>
    </w:p>
    <w:p>
      <w:pPr>
        <w:spacing w:after="0" w:line="202" w:lineRule="exact"/>
        <w:rPr>
          <w:sz w:val="20"/>
          <w:szCs w:val="20"/>
          <w:color w:val="auto"/>
        </w:rPr>
      </w:pPr>
    </w:p>
    <w:p>
      <w:pPr>
        <w:ind w:right="400" w:firstLine="696"/>
        <w:spacing w:after="0" w:line="286" w:lineRule="auto"/>
        <w:rPr>
          <w:sz w:val="20"/>
          <w:szCs w:val="20"/>
          <w:color w:val="auto"/>
        </w:rPr>
      </w:pPr>
      <w:r>
        <w:rPr>
          <w:rFonts w:ascii="Times New Roman" w:cs="Times New Roman" w:eastAsia="Times New Roman" w:hAnsi="Times New Roman"/>
          <w:sz w:val="19"/>
          <w:szCs w:val="19"/>
          <w:color w:val="auto"/>
        </w:rPr>
        <w:t>"Class" means the Class A Notes, the Class B Notes, the Class C Notes, the Class D Notes and/or the Class E Notes, as the context requires.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"Class A Notes" has the meaning assigned to such term in the Indenture.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"Class B Notes" has the meaning assigned to such term in the Indenture.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"Class C Notes" has the meaning assigned to such term in the Indenture.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"Class D Notes" has the meaning assigned to such term in the Indenture.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"Class E Notes" has the meaning assigned to such term in the Indenture.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"Closing Date" means March 12, 2025.</w:t>
      </w:r>
    </w:p>
    <w:p>
      <w:pPr>
        <w:spacing w:after="0" w:line="202" w:lineRule="exact"/>
        <w:rPr>
          <w:sz w:val="20"/>
          <w:szCs w:val="20"/>
          <w:color w:val="auto"/>
        </w:rPr>
      </w:pPr>
    </w:p>
    <w:p>
      <w:pPr>
        <w:ind w:right="360" w:firstLine="696"/>
        <w:spacing w:after="0" w:line="268" w:lineRule="auto"/>
        <w:rPr>
          <w:sz w:val="20"/>
          <w:szCs w:val="20"/>
          <w:color w:val="auto"/>
        </w:rPr>
      </w:pPr>
      <w:r>
        <w:rPr>
          <w:rFonts w:ascii="Times New Roman" w:cs="Times New Roman" w:eastAsia="Times New Roman" w:hAnsi="Times New Roman"/>
          <w:sz w:val="19"/>
          <w:szCs w:val="19"/>
          <w:color w:val="auto"/>
        </w:rPr>
        <w:t>"Collateral Insurance" means a vendor's single interest or other collateral protection insurance policy with respect to all Financed Vehicles obtained by the Servicer, which policy shall by its terms insure against physical loss and damage in the event any Obligor fails to maintain physical loss and damage insurance with respect to the related Financed Vehicle.</w:t>
      </w:r>
    </w:p>
    <w:p>
      <w:pPr>
        <w:spacing w:after="0" w:line="144"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"Collected Funds" means, with respect to any Distribution Date, the sum (to the extent not duplicative) of (i) the amount of funds in the Collection Account representing collections on the Receivables during or in respect of the related Collection Period (including amounts pursuant to Section 10.1(b)), (ii) all Net Liquidation Proceeds, insurance proceeds with respect to Receivables that are not Defaulted Receivables, Recoveries and Dealer recourse payments received with respect to the Receivables during the related Collection Period, (iii) net Investment Earnings on amounts on deposit in the Collection Account, the Reserve Account and the Note Distribution Account, (iv) Purchase Amounts received in respect of the related Collection Period, (v) following acceleration of the Notes and the liquidation of the Issuer's assets, the amount of money or property collected, (vi) the proceeds of any purchase or sale of assets of the Issuer pursuant to the exercise by the Servicer or the Depositor of their optional redemption right and (vii) amounts in excess of the Specified Reserve Balance that are released from the Reserve Account.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67" w:name="page468"/>
    <w:bookmarkEnd w:id="467"/>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"Collection Account" means the account designated as such, established and maintained pursuant to Section 5.1(a)(i).</w:t>
      </w:r>
    </w:p>
    <w:p>
      <w:pPr>
        <w:spacing w:after="0" w:line="202"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9"/>
          <w:szCs w:val="19"/>
          <w:color w:val="auto"/>
        </w:rPr>
        <w:t>"Collection Period" means, with respect to each Distribution Date, the preceding calendar month or, in the case of the initial Collection Period and Distribution Date, the period beginning on the opening of business on the day after the Cutoff Date and ending on the close of business on March 31, 2025. Any amount stated "as of the close of business" shall give effect to the following calculations as determined as of the end of the day on such day: (i) all applications of Collected Funds and (ii) all distributions.</w:t>
      </w:r>
    </w:p>
    <w:p>
      <w:pPr>
        <w:spacing w:after="0" w:line="150" w:lineRule="exact"/>
        <w:rPr>
          <w:sz w:val="20"/>
          <w:szCs w:val="20"/>
          <w:color w:val="auto"/>
        </w:rPr>
      </w:pPr>
    </w:p>
    <w:p>
      <w:pPr>
        <w:ind w:right="480" w:firstLine="696"/>
        <w:spacing w:after="0" w:line="286" w:lineRule="auto"/>
        <w:rPr>
          <w:sz w:val="20"/>
          <w:szCs w:val="20"/>
          <w:color w:val="auto"/>
        </w:rPr>
      </w:pPr>
      <w:r>
        <w:rPr>
          <w:rFonts w:ascii="Times New Roman" w:cs="Times New Roman" w:eastAsia="Times New Roman" w:hAnsi="Times New Roman"/>
          <w:sz w:val="19"/>
          <w:szCs w:val="19"/>
          <w:color w:val="auto"/>
        </w:rPr>
        <w:t>"Collection Records" means all manually prepared or computer generated records relating to collection efforts or payment histories with respect to the Receivables.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"Commission" means the United States Securities and Exchange Commission.</w:t>
      </w:r>
    </w:p>
    <w:p>
      <w:pPr>
        <w:spacing w:after="0" w:line="202" w:lineRule="exact"/>
        <w:rPr>
          <w:sz w:val="20"/>
          <w:szCs w:val="20"/>
          <w:color w:val="auto"/>
        </w:rPr>
      </w:pPr>
    </w:p>
    <w:p>
      <w:pPr>
        <w:ind w:right="380" w:firstLine="696"/>
        <w:spacing w:after="0" w:line="286" w:lineRule="auto"/>
        <w:rPr>
          <w:sz w:val="20"/>
          <w:szCs w:val="20"/>
          <w:color w:val="auto"/>
        </w:rPr>
      </w:pPr>
      <w:r>
        <w:rPr>
          <w:rFonts w:ascii="Times New Roman" w:cs="Times New Roman" w:eastAsia="Times New Roman" w:hAnsi="Times New Roman"/>
          <w:sz w:val="19"/>
          <w:szCs w:val="19"/>
          <w:color w:val="auto"/>
        </w:rPr>
        <w:t>"Computer Tape" means the computer tapes or other electronic media furnished by the Servicer to the Issuer and its assigns describing certain characteristics of the Receivables as of the Cutoff Date.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"Contract" means a motor vehicle retail installment sales contract or promissory note.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"Control" has the meaning specified in Section 8-106 of the UCC.</w:t>
      </w:r>
    </w:p>
    <w:p>
      <w:pPr>
        <w:spacing w:after="0" w:line="202" w:lineRule="exact"/>
        <w:rPr>
          <w:sz w:val="20"/>
          <w:szCs w:val="20"/>
          <w:color w:val="auto"/>
        </w:rPr>
      </w:pPr>
    </w:p>
    <w:p>
      <w:pPr>
        <w:ind w:right="160" w:firstLine="696"/>
        <w:spacing w:after="0" w:line="259" w:lineRule="auto"/>
        <w:rPr>
          <w:sz w:val="20"/>
          <w:szCs w:val="20"/>
          <w:color w:val="auto"/>
        </w:rPr>
      </w:pPr>
      <w:r>
        <w:rPr>
          <w:rFonts w:ascii="Times New Roman" w:cs="Times New Roman" w:eastAsia="Times New Roman" w:hAnsi="Times New Roman"/>
          <w:sz w:val="19"/>
          <w:szCs w:val="19"/>
          <w:color w:val="auto"/>
        </w:rPr>
        <w:t>"Controlling Class" means (i) if any Class A Notes are Outstanding, the Class A Notes, (ii) if no Class A Notes are Outstanding, the Class B Notes, (iii) if no Class A Notes are Outstanding and no Class B Notes are Outstanding, the Class C Notes, (iv) if no Class A Notes are Outstanding, no Class B Notes are Outstanding and no Class C Notes are Outstanding, the Class D Notes or (v) if no Class A Notes are Outstanding, no Class B Notes are Outstanding, no Class C Notes are Outstanding and no Class D Notes are Outstanding, the Class E Notes.</w:t>
      </w:r>
    </w:p>
    <w:p>
      <w:pPr>
        <w:spacing w:after="0" w:line="154"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color w:val="auto"/>
        </w:rPr>
        <w:t>"Corporate Trust Office" means (i) with respect to the Owner Trustee or the Certificate Registrar, the principal corporate trust office of the Owner Trustee, which at the time of execution of this agreement is 919 North Market Street, Suite 1600 Wilmington, DE 19801, Attention: Corporate Trust Services, and (ii) with respect to the Indenture Trustee or the Backup Servicer, the principal office thereof at which at any particular time its corporate trust business shall be administered, which at the time of execution of this agreement is 1505 Energy Park Drive, St. Paul, Minnesota 55108, Attention: Computershare Corporate Trust – Asset-Backed Administration.</w:t>
      </w:r>
    </w:p>
    <w:p>
      <w:pPr>
        <w:spacing w:after="0" w:line="154"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"Cram Down Loss" means, with respect to a Receivable that has not become a Defaulted Receivable, if a court of appropriate jurisdiction in a proceeding related to an Insolvency Event shall have issued an order reducing the amount owed on such Receivable or otherwise modifying or restructuring the Scheduled Receivables Payments to be made on such Receivable, an amount equal to (i) the excess of the Principal Balance of such Receivable immediately prior to such order over the Principal Balance of such Receivable as so reduced and/or (ii) if such court shall have issued an order reducing the effective rate of interest on such Receivable, the excess of the Principal Balance of such Receivable immediately prior to such order over the net present value (using as the discount rate the higher of the APR on such Receivable or the rate of interest, if any, specified by the court in such order) of the Scheduled Receivables Payments as so modified or restructured. A "Cram Down Loss" shall be deemed to have occurred on the date of issuance of such order.</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68" w:name="page469"/>
    <w:bookmarkEnd w:id="468"/>
    <w:p>
      <w:pPr>
        <w:spacing w:after="0" w:line="200" w:lineRule="exact"/>
        <w:rPr>
          <w:sz w:val="20"/>
          <w:szCs w:val="20"/>
          <w:color w:val="auto"/>
        </w:rPr>
      </w:pPr>
    </w:p>
    <w:p>
      <w:pPr>
        <w:spacing w:after="0" w:line="261" w:lineRule="exact"/>
        <w:rPr>
          <w:sz w:val="20"/>
          <w:szCs w:val="20"/>
          <w:color w:val="auto"/>
        </w:rPr>
      </w:pPr>
    </w:p>
    <w:p>
      <w:pPr>
        <w:ind w:right="160" w:firstLine="696"/>
        <w:spacing w:after="0" w:line="268" w:lineRule="auto"/>
        <w:rPr>
          <w:sz w:val="20"/>
          <w:szCs w:val="20"/>
          <w:color w:val="auto"/>
        </w:rPr>
      </w:pPr>
      <w:r>
        <w:rPr>
          <w:rFonts w:ascii="Times New Roman" w:cs="Times New Roman" w:eastAsia="Times New Roman" w:hAnsi="Times New Roman"/>
          <w:sz w:val="19"/>
          <w:szCs w:val="19"/>
          <w:color w:val="auto"/>
        </w:rPr>
        <w:t>"Custodian" means United Auto or any other Person named from time to time as custodian in the Custodian Agreement acting as agent for the Indenture Trustee, which Person other than United Auto must be acceptable to the Indenture Trustee (acting at the direction of the Majority Noteholders).</w:t>
      </w:r>
    </w:p>
    <w:p>
      <w:pPr>
        <w:spacing w:after="0" w:line="144" w:lineRule="exact"/>
        <w:rPr>
          <w:sz w:val="20"/>
          <w:szCs w:val="20"/>
          <w:color w:val="auto"/>
        </w:rPr>
      </w:pPr>
    </w:p>
    <w:p>
      <w:pPr>
        <w:ind w:right="180" w:firstLine="696"/>
        <w:spacing w:after="0" w:line="268" w:lineRule="auto"/>
        <w:rPr>
          <w:sz w:val="20"/>
          <w:szCs w:val="20"/>
          <w:color w:val="auto"/>
        </w:rPr>
      </w:pPr>
      <w:r>
        <w:rPr>
          <w:rFonts w:ascii="Times New Roman" w:cs="Times New Roman" w:eastAsia="Times New Roman" w:hAnsi="Times New Roman"/>
          <w:sz w:val="19"/>
          <w:szCs w:val="19"/>
          <w:color w:val="auto"/>
        </w:rPr>
        <w:t>"Custodian Agreement" means the Custodian Agreement, dated as of February 28, 2025, between United Auto, as the Custodian, and the Indenture Trustee, or any successor Custodian Agreement from time to time in effect between the Custodian named therein and the Indenture Trustee.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"Cutoff Date" means February 28, 2025.</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"DBRS" means DBRS, Inc.</w:t>
      </w:r>
    </w:p>
    <w:p>
      <w:pPr>
        <w:spacing w:after="0" w:line="202" w:lineRule="exact"/>
        <w:rPr>
          <w:sz w:val="20"/>
          <w:szCs w:val="20"/>
          <w:color w:val="auto"/>
        </w:rPr>
      </w:pPr>
    </w:p>
    <w:p>
      <w:pPr>
        <w:ind w:right="380" w:firstLine="696"/>
        <w:spacing w:after="0" w:line="286" w:lineRule="auto"/>
        <w:rPr>
          <w:sz w:val="20"/>
          <w:szCs w:val="20"/>
          <w:color w:val="auto"/>
        </w:rPr>
      </w:pPr>
      <w:r>
        <w:rPr>
          <w:rFonts w:ascii="Times New Roman" w:cs="Times New Roman" w:eastAsia="Times New Roman" w:hAnsi="Times New Roman"/>
          <w:sz w:val="19"/>
          <w:szCs w:val="19"/>
          <w:color w:val="auto"/>
        </w:rPr>
        <w:t>"Dealer" means a dealer who sold a Financed Vehicle and who originated and assigned the respective Receivable to United Auto under a Dealer Agreement or pursuant to a Dealer Assignment.</w:t>
      </w:r>
    </w:p>
    <w:p>
      <w:pPr>
        <w:spacing w:after="0" w:line="127"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"Dealer Agreement" means any agreement between a Dealer and United Auto relating to the acquisition of Receivables from a Dealer by United Auto.</w:t>
      </w:r>
    </w:p>
    <w:p>
      <w:pPr>
        <w:spacing w:after="0" w:line="127" w:lineRule="exact"/>
        <w:rPr>
          <w:sz w:val="20"/>
          <w:szCs w:val="20"/>
          <w:color w:val="auto"/>
        </w:rPr>
      </w:pPr>
    </w:p>
    <w:p>
      <w:pPr>
        <w:ind w:right="540" w:firstLine="696"/>
        <w:spacing w:after="0" w:line="286" w:lineRule="auto"/>
        <w:rPr>
          <w:sz w:val="20"/>
          <w:szCs w:val="20"/>
          <w:color w:val="auto"/>
        </w:rPr>
      </w:pPr>
      <w:r>
        <w:rPr>
          <w:rFonts w:ascii="Times New Roman" w:cs="Times New Roman" w:eastAsia="Times New Roman" w:hAnsi="Times New Roman"/>
          <w:sz w:val="19"/>
          <w:szCs w:val="19"/>
          <w:color w:val="auto"/>
        </w:rPr>
        <w:t>"Dealer Assignment" means, with respect to a Receivable, the executed assignment executed by a Dealer conveying such Receivable to United Auto.</w:t>
      </w:r>
    </w:p>
    <w:p>
      <w:pPr>
        <w:spacing w:after="0" w:line="127"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"Defaulted Receivable" means, with respect to any Collection Period, a Receivable for which, as of the last day of the Collection Period, any of the following are true: (i) the Servicer has repossessed the Financed Vehicle and either (x) the Servicer has sold the Financed Vehicle and received the proceeds of such sale, or (y) 90 days have passed since repossession, (ii) the Servicer has determined in good faith that all amounts it expects to recover have been received, (iii) 10% or more of a Scheduled Receivables Payment shall have become 121 or more days delinquent (or 211 or more days delinquent, in the case of a repossessed Financed Vehicle) or (iv) the Servicer has settled such Receivable pursuant to Section 4.2(b).</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"Delivery" when used with respect to Trust Account Property means:</w:t>
      </w:r>
    </w:p>
    <w:p>
      <w:pPr>
        <w:spacing w:after="0" w:line="202" w:lineRule="exact"/>
        <w:rPr>
          <w:sz w:val="20"/>
          <w:szCs w:val="20"/>
          <w:color w:val="auto"/>
        </w:rPr>
      </w:pPr>
    </w:p>
    <w:p>
      <w:pPr>
        <w:ind w:right="20" w:firstLine="702"/>
        <w:spacing w:after="0" w:line="255" w:lineRule="auto"/>
        <w:tabs>
          <w:tab w:leader="none" w:pos="957" w:val="left"/>
        </w:tabs>
        <w:numPr>
          <w:ilvl w:val="1"/>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bankers' acceptances, commercial paper, negotiable certificates of deposit and other obligations that constitute "instruments" within the meaning of Section 9-102(a)(47) of the UCC and are susceptible of physical delivery, transfer thereof to the Indenture Trustee by physical delivery to the Indenture Trustee endorsed to, or registered in the name of, the Indenture Trustee or endorsed in blank, and, with respect to a certificated security (as defined in Section 8-102(a)(4) of the UCC), transfer thereof (i) by delivery thereof to the Indenture Trustee of such certificated security endorsed to, or registered in the name of, the Indenture Trustee or</w:t>
      </w:r>
    </w:p>
    <w:p>
      <w:pPr>
        <w:spacing w:after="0" w:line="1" w:lineRule="exact"/>
        <w:rPr>
          <w:rFonts w:ascii="Times New Roman" w:cs="Times New Roman" w:eastAsia="Times New Roman" w:hAnsi="Times New Roman"/>
          <w:sz w:val="19"/>
          <w:szCs w:val="19"/>
          <w:color w:val="auto"/>
        </w:rPr>
      </w:pPr>
    </w:p>
    <w:p>
      <w:pPr>
        <w:ind w:firstLine="6"/>
        <w:spacing w:after="0" w:line="250" w:lineRule="auto"/>
        <w:tabs>
          <w:tab w:leader="none" w:pos="282"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delivery thereof to a "clearing corporation" (as defined in Section 8-102(a)(5) of the UCC) and the making by such clearing corporation of appropriate entries on its books reducing the appropriate securities account of the transferor and increasing the appropriate securities account of the Indenture Trustee by the amount of such certificated security and the identification by the clearing corporation of the certificated securities for the sole and exclusive account of the Indenture Trustee (all of the foregoing, "Physical Property"), and, in any event, any such Physical Property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9" w:name="page470"/>
    <w:bookmarkEnd w:id="469"/>
    <w:p>
      <w:pPr>
        <w:spacing w:after="0" w:line="200" w:lineRule="exact"/>
        <w:rPr>
          <w:sz w:val="20"/>
          <w:szCs w:val="20"/>
          <w:color w:val="auto"/>
        </w:rPr>
      </w:pPr>
    </w:p>
    <w:p>
      <w:pPr>
        <w:spacing w:after="0" w:line="26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in registered form shall be in the name of the Indenture Trustee or its nominee; and such additional or alternative procedures as may hereafter become appropriate to effect the complete transfer of ownership of any such Trust Account Property to the Indenture Trustee or its nominee or custodian, consistent with changes in applicable law or regulations or the interpretation thereof;</w:t>
      </w:r>
    </w:p>
    <w:p>
      <w:pPr>
        <w:spacing w:after="0" w:line="144" w:lineRule="exact"/>
        <w:rPr>
          <w:sz w:val="20"/>
          <w:szCs w:val="20"/>
          <w:color w:val="auto"/>
        </w:rPr>
      </w:pPr>
    </w:p>
    <w:p>
      <w:pPr>
        <w:ind w:firstLine="702"/>
        <w:spacing w:after="0" w:line="254" w:lineRule="auto"/>
        <w:tabs>
          <w:tab w:leader="none" w:pos="968"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security issued by the U.S. Treasury, the Federal Home Loan Mortgage Corporation or by the Federal National Mortgage Association that is a book-entry security held through the Federal Reserve System pursuant to federal book-entry regulations, the following procedures, all in accordance with applicable law, including applicable Federal regulations and Articles 8 and 9 of the UCC; book-entry registration of such Trust Account Property to an appropriate book-entry account maintained with a Federal Reserve Bank by a securities intermediary that is also a "depository" pursuant to applicable federal regulations; the making by such securities intermediary of entries in its books and records crediting such Trust Account Property to the Indenture Trustee's securities account at the securities intermediary and identifying such book-entry security held through the Federal Reserve System pursuant to federal book-entry regulations as belonging to the Indenture Trustee; and such additional or alternative procedures as may hereafter become appropriate to effect complete transfer of ownership of any such Trust Account Property to the Indenture Trustee, consistent with changes in applicable law or regulations or the interpretation thereof;</w:t>
      </w:r>
    </w:p>
    <w:p>
      <w:pPr>
        <w:spacing w:after="0" w:line="160" w:lineRule="exact"/>
        <w:rPr>
          <w:rFonts w:ascii="Times New Roman" w:cs="Times New Roman" w:eastAsia="Times New Roman" w:hAnsi="Times New Roman"/>
          <w:sz w:val="19"/>
          <w:szCs w:val="19"/>
          <w:color w:val="auto"/>
        </w:rPr>
      </w:pPr>
    </w:p>
    <w:p>
      <w:pPr>
        <w:jc w:val="both"/>
        <w:ind w:right="220" w:firstLine="702"/>
        <w:spacing w:after="0" w:line="262" w:lineRule="auto"/>
        <w:tabs>
          <w:tab w:leader="none" w:pos="957"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item of Trust Account Property that is an uncertificated security under Article 8 of the UCC and that is not governed by clause (b) above, registration on the books and records of the issuer thereof in the name of the Indenture Trustee or its nominee or custodian who either (i) becomes the registered owner on behalf of the Indenture Trustee or (ii) having previously become the registered owner, acknowledges that it holds for the Indenture Trustee; and</w:t>
      </w:r>
    </w:p>
    <w:p>
      <w:pPr>
        <w:spacing w:after="0" w:line="150" w:lineRule="exact"/>
        <w:rPr>
          <w:rFonts w:ascii="Times New Roman" w:cs="Times New Roman" w:eastAsia="Times New Roman" w:hAnsi="Times New Roman"/>
          <w:sz w:val="19"/>
          <w:szCs w:val="19"/>
          <w:color w:val="auto"/>
        </w:rPr>
      </w:pPr>
    </w:p>
    <w:p>
      <w:pPr>
        <w:ind w:right="200" w:firstLine="702"/>
        <w:spacing w:after="0" w:line="268" w:lineRule="auto"/>
        <w:tabs>
          <w:tab w:leader="none" w:pos="968"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item of Trust Account Property that is a financial asset under Article 8 of the UCC and that is not governed by clause (b) above, causing the securities intermediary to indicate on its books and records that such financial asset has been credited to a securities account of the Indenture Trustee.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"Depositor" means United Auto Credit Financing LLC, a Delaware limited liability company.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"Determination Date" means, with respect to any Distribution Date, the second Business Day prior to such Distribution Date.</w:t>
      </w:r>
    </w:p>
    <w:p>
      <w:pPr>
        <w:spacing w:after="0" w:line="202" w:lineRule="exact"/>
        <w:rPr>
          <w:sz w:val="20"/>
          <w:szCs w:val="20"/>
          <w:color w:val="auto"/>
        </w:rPr>
      </w:pPr>
    </w:p>
    <w:p>
      <w:pPr>
        <w:ind w:right="260" w:firstLine="696"/>
        <w:spacing w:after="0" w:line="222" w:lineRule="auto"/>
        <w:rPr>
          <w:sz w:val="20"/>
          <w:szCs w:val="20"/>
          <w:color w:val="auto"/>
        </w:rPr>
      </w:pPr>
      <w:r>
        <w:rPr>
          <w:rFonts w:ascii="Times New Roman" w:cs="Times New Roman" w:eastAsia="Times New Roman" w:hAnsi="Times New Roman"/>
          <w:sz w:val="19"/>
          <w:szCs w:val="19"/>
          <w:color w:val="auto"/>
        </w:rPr>
        <w:t>"Distribution Date" means, with respect to each Collection Period,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day of the following calendar month, or, if such day is not a Business Day, the immediately following Business Day, commencing April 10, 2025.</w:t>
      </w:r>
    </w:p>
    <w:p>
      <w:pPr>
        <w:spacing w:after="0" w:line="170"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"E-Collateral Control Agreement" means the Electronic Collateral Control Agreement, dated as of the Closing Date, among the Indenture Trustee on behalf of the Noteholders, as secured party, the Custodian, the Issuer and E-Vault Provider.</w:t>
      </w:r>
    </w:p>
    <w:p>
      <w:pPr>
        <w:spacing w:after="0" w:line="127" w:lineRule="exact"/>
        <w:rPr>
          <w:sz w:val="20"/>
          <w:szCs w:val="20"/>
          <w:color w:val="auto"/>
        </w:rPr>
      </w:pPr>
    </w:p>
    <w:p>
      <w:pPr>
        <w:ind w:right="580" w:firstLine="696"/>
        <w:spacing w:after="0" w:line="262" w:lineRule="auto"/>
        <w:rPr>
          <w:sz w:val="20"/>
          <w:szCs w:val="20"/>
          <w:color w:val="auto"/>
        </w:rPr>
      </w:pPr>
      <w:r>
        <w:rPr>
          <w:rFonts w:ascii="Times New Roman" w:cs="Times New Roman" w:eastAsia="Times New Roman" w:hAnsi="Times New Roman"/>
          <w:sz w:val="19"/>
          <w:szCs w:val="19"/>
          <w:color w:val="auto"/>
        </w:rPr>
        <w:t>"E-Vault Provider" means, as of the Closing Date, eOriginal, Inc. or, thereafter, any other third-party vendor hired by the Servicer to maintain control of the Electronic Contracts in the manner specified in this Agreement.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70" w:name="page471"/>
    <w:bookmarkEnd w:id="470"/>
    <w:p>
      <w:pPr>
        <w:spacing w:after="0" w:line="200" w:lineRule="exact"/>
        <w:rPr>
          <w:sz w:val="20"/>
          <w:szCs w:val="20"/>
          <w:color w:val="auto"/>
        </w:rPr>
      </w:pPr>
    </w:p>
    <w:p>
      <w:pPr>
        <w:spacing w:after="0" w:line="261" w:lineRule="exact"/>
        <w:rPr>
          <w:sz w:val="20"/>
          <w:szCs w:val="20"/>
          <w:color w:val="auto"/>
        </w:rPr>
      </w:pPr>
    </w:p>
    <w:p>
      <w:pPr>
        <w:jc w:val="both"/>
        <w:ind w:firstLine="696"/>
        <w:spacing w:after="0" w:line="268" w:lineRule="auto"/>
        <w:rPr>
          <w:sz w:val="20"/>
          <w:szCs w:val="20"/>
          <w:color w:val="auto"/>
        </w:rPr>
      </w:pPr>
      <w:r>
        <w:rPr>
          <w:rFonts w:ascii="Times New Roman" w:cs="Times New Roman" w:eastAsia="Times New Roman" w:hAnsi="Times New Roman"/>
          <w:sz w:val="19"/>
          <w:szCs w:val="19"/>
          <w:color w:val="auto"/>
        </w:rPr>
        <w:t>"E-Vault System" means, for so long as eOriginal, Inc. is the E-Vault Provider, the "eOriginal, Inc. Authoritative Copy System" and, if any other Person is serving as E-Vault Provider, the system maintained by such E-Vault Provider to establish and maintain control of the Electronic Contracts in the manner specified in this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"E-Vault System Description" means the eOriginal, Inc. Authoritative Copy System Description related to the E-Vault System.</w:t>
      </w:r>
    </w:p>
    <w:p>
      <w:pPr>
        <w:spacing w:after="0" w:line="202"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"Electronic Contract" means a Contract that constitutes "electronic chattel paper" under and as defined in Section 9-102(a)(31) within the meaning of the UCC as in effect in the State of New York.</w:t>
      </w:r>
    </w:p>
    <w:p>
      <w:pPr>
        <w:spacing w:after="0" w:line="127" w:lineRule="exact"/>
        <w:rPr>
          <w:sz w:val="20"/>
          <w:szCs w:val="20"/>
          <w:color w:val="auto"/>
        </w:rPr>
      </w:pPr>
    </w:p>
    <w:p>
      <w:pPr>
        <w:ind w:right="380" w:firstLine="696"/>
        <w:spacing w:after="0" w:line="286" w:lineRule="auto"/>
        <w:rPr>
          <w:sz w:val="20"/>
          <w:szCs w:val="20"/>
          <w:color w:val="auto"/>
        </w:rPr>
      </w:pPr>
      <w:r>
        <w:rPr>
          <w:rFonts w:ascii="Times New Roman" w:cs="Times New Roman" w:eastAsia="Times New Roman" w:hAnsi="Times New Roman"/>
          <w:sz w:val="19"/>
          <w:szCs w:val="19"/>
          <w:color w:val="auto"/>
        </w:rPr>
        <w:t>"Electronic Ledger" means the electronic master record of the motor vehicle retail installment sales contracts or installment loans of the Servicer.</w:t>
      </w:r>
    </w:p>
    <w:p>
      <w:pPr>
        <w:spacing w:after="0" w:line="127"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"Eligible Account" means (x) an account that is a segregated trust account with the corporate trust department of the Indenture Trustee, or (y) an account that is held with a depository institution organized under the laws of the United States of America or any State (or any domestic branch of a foreign bank), so long as (i) such depository institution shall have a long term issuer credit rating from S&amp;P Global Ratings of at least BBB, (ii) the long term unsecured debt of such depository institution shall have a credit rating from DBRS (to the extent rated by DBRS) in one of its generic rating categories which signifies investment grade and (iii) such depository institutions' deposits are insured by the FDIC.</w:t>
      </w:r>
    </w:p>
    <w:p>
      <w:pPr>
        <w:spacing w:after="0" w:line="157"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auto"/>
        </w:rPr>
        <w:t>"Eligible Investments" mean book -entry securities, negotiable instruments or securities represented by instruments registered for U.S. federal income tax purposes, or, in the case of an obligation that is not a "registration-required obligation" (as defined in Section 163(f) of the Code), in bearer or registered form which, in each case, evidence:</w:t>
      </w:r>
    </w:p>
    <w:p>
      <w:pPr>
        <w:spacing w:after="0" w:line="144" w:lineRule="exact"/>
        <w:rPr>
          <w:sz w:val="20"/>
          <w:szCs w:val="20"/>
          <w:color w:val="auto"/>
        </w:rPr>
      </w:pPr>
    </w:p>
    <w:p>
      <w:pPr>
        <w:ind w:left="960" w:hanging="258"/>
        <w:spacing w:after="0"/>
        <w:tabs>
          <w:tab w:leader="none" w:pos="960" w:val="left"/>
        </w:tabs>
        <w:numPr>
          <w:ilvl w:val="0"/>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and obligations fully guaranteed as to timely payment by, the United States of America;</w:t>
      </w:r>
    </w:p>
    <w:p>
      <w:pPr>
        <w:spacing w:after="0" w:line="201" w:lineRule="exact"/>
        <w:rPr>
          <w:rFonts w:ascii="Times New Roman" w:cs="Times New Roman" w:eastAsia="Times New Roman" w:hAnsi="Times New Roman"/>
          <w:sz w:val="19"/>
          <w:szCs w:val="19"/>
          <w:color w:val="auto"/>
        </w:rPr>
      </w:pPr>
    </w:p>
    <w:p>
      <w:pPr>
        <w:ind w:firstLine="702"/>
        <w:spacing w:after="0" w:line="255" w:lineRule="auto"/>
        <w:tabs>
          <w:tab w:leader="none" w:pos="968" w:val="left"/>
        </w:tabs>
        <w:numPr>
          <w:ilvl w:val="0"/>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demand deposits, time deposits or certificates of deposit of any depository institution or trust company incorporated under the laws of the United States of America or any State (or any domestic branch of a foreign bank) and subject to supervision and examination by federal or State banking or depository institution authorities (including depository receipts issued by any such institution or trust company as custodian with respect to any obligation referred to in clause (a) above or portion of such obligation for the benefit of the holders of such depository receipts);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at the time of the investment or contractual commitment to invest therein (which shall be deemed to be made again each time funds are reinvested following each Distribution Date), the commercial paper or other short-term senior unsecured debt obligations (other than such obligations the rating of which is based on the credit of a Person other than such depository institution or trust company) of such depository institution or trust company shall have a credit rating from S&amp;P Global Ratings of A-1+;</w:t>
      </w:r>
    </w:p>
    <w:p>
      <w:pPr>
        <w:spacing w:after="0" w:line="155" w:lineRule="exact"/>
        <w:rPr>
          <w:rFonts w:ascii="Times New Roman" w:cs="Times New Roman" w:eastAsia="Times New Roman" w:hAnsi="Times New Roman"/>
          <w:sz w:val="19"/>
          <w:szCs w:val="19"/>
          <w:color w:val="auto"/>
        </w:rPr>
      </w:pPr>
    </w:p>
    <w:p>
      <w:pPr>
        <w:ind w:right="840" w:firstLine="702"/>
        <w:spacing w:after="0" w:line="262" w:lineRule="auto"/>
        <w:tabs>
          <w:tab w:leader="none" w:pos="957" w:val="left"/>
        </w:tabs>
        <w:numPr>
          <w:ilvl w:val="0"/>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and demand notes investing solely in commercial paper having, at the time of the investment or contractual commitment to invest therein, a rating from S&amp;P Global Ratings of A-1+;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71" w:name="page472"/>
    <w:bookmarkEnd w:id="471"/>
    <w:p>
      <w:pPr>
        <w:spacing w:after="0" w:line="200" w:lineRule="exact"/>
        <w:rPr>
          <w:sz w:val="20"/>
          <w:szCs w:val="20"/>
          <w:color w:val="auto"/>
        </w:rPr>
      </w:pPr>
    </w:p>
    <w:p>
      <w:pPr>
        <w:spacing w:after="0" w:line="261" w:lineRule="exact"/>
        <w:rPr>
          <w:sz w:val="20"/>
          <w:szCs w:val="20"/>
          <w:color w:val="auto"/>
        </w:rPr>
      </w:pPr>
    </w:p>
    <w:p>
      <w:pPr>
        <w:ind w:right="100" w:firstLine="702"/>
        <w:spacing w:after="0" w:line="268" w:lineRule="auto"/>
        <w:tabs>
          <w:tab w:leader="none" w:pos="968"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money market funds (including funds for which the Indenture Trustee or the Owner Trustee in each of their individual capacities or any of their respective Affiliates is investment manager, controlling party or advisor) in the highest rating category from S&amp;P Global Ratings;</w:t>
      </w:r>
    </w:p>
    <w:p>
      <w:pPr>
        <w:spacing w:after="0" w:line="144"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bankers' acceptances issued by any depository institution or trust company referred to in clause (b) above;</w:t>
      </w:r>
    </w:p>
    <w:p>
      <w:pPr>
        <w:spacing w:after="0" w:line="201" w:lineRule="exact"/>
        <w:rPr>
          <w:rFonts w:ascii="Times New Roman" w:cs="Times New Roman" w:eastAsia="Times New Roman" w:hAnsi="Times New Roman"/>
          <w:sz w:val="19"/>
          <w:szCs w:val="19"/>
          <w:color w:val="auto"/>
        </w:rPr>
      </w:pPr>
    </w:p>
    <w:p>
      <w:pPr>
        <w:jc w:val="both"/>
        <w:ind w:right="100" w:firstLine="702"/>
        <w:spacing w:after="0" w:line="268" w:lineRule="auto"/>
        <w:tabs>
          <w:tab w:leader="none" w:pos="936"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with respect to any security that is a direct obligation of, or fully guaranteed by, the United States of America or any agency or instrumentality thereof the obligations of which are backed by the full faith and credit of the United States of America, in either case entered into with a depository institution or trust company (acting as principal) referred to in clause (b) above;</w:t>
      </w:r>
    </w:p>
    <w:p>
      <w:pPr>
        <w:spacing w:after="0" w:line="144"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and</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denominated in United States dollars.</w:t>
      </w:r>
    </w:p>
    <w:p>
      <w:pPr>
        <w:spacing w:after="0" w:line="202" w:lineRule="exact"/>
        <w:rPr>
          <w:sz w:val="20"/>
          <w:szCs w:val="20"/>
          <w:color w:val="auto"/>
        </w:rPr>
      </w:pPr>
    </w:p>
    <w:p>
      <w:pPr>
        <w:ind w:right="220" w:firstLine="696"/>
        <w:spacing w:after="0" w:line="286" w:lineRule="auto"/>
        <w:rPr>
          <w:sz w:val="20"/>
          <w:szCs w:val="20"/>
          <w:color w:val="auto"/>
        </w:rPr>
      </w:pPr>
      <w:r>
        <w:rPr>
          <w:rFonts w:ascii="Times New Roman" w:cs="Times New Roman" w:eastAsia="Times New Roman" w:hAnsi="Times New Roman"/>
          <w:sz w:val="19"/>
          <w:szCs w:val="19"/>
          <w:color w:val="auto"/>
        </w:rPr>
        <w:t>Any of the foregoing Eligible Investments may be purchased by or through the Indenture Trustee or any of its Affiliates. No Eligible Investment will be purchased at a price that represents a premium to the face value thereof.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"EU and U.K. Retained Interest" shall have the meaning set forth in Section 4.6(b)(ii)(A).</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"EU Investor Requirements" means the provisions of Article 5 of the EU Securitization Regulation.</w:t>
      </w:r>
    </w:p>
    <w:p>
      <w:pPr>
        <w:spacing w:after="0" w:line="202" w:lineRule="exact"/>
        <w:rPr>
          <w:sz w:val="20"/>
          <w:szCs w:val="20"/>
          <w:color w:val="auto"/>
        </w:rPr>
      </w:pPr>
    </w:p>
    <w:p>
      <w:pPr>
        <w:jc w:val="both"/>
        <w:ind w:right="140" w:firstLine="696"/>
        <w:spacing w:after="0" w:line="268" w:lineRule="auto"/>
        <w:rPr>
          <w:sz w:val="20"/>
          <w:szCs w:val="20"/>
          <w:color w:val="auto"/>
        </w:rPr>
      </w:pPr>
      <w:r>
        <w:rPr>
          <w:rFonts w:ascii="Times New Roman" w:cs="Times New Roman" w:eastAsia="Times New Roman" w:hAnsi="Times New Roman"/>
          <w:sz w:val="19"/>
          <w:szCs w:val="19"/>
          <w:color w:val="auto"/>
        </w:rPr>
        <w:t>"EU Prescribed Reporting" means any document or information that (a) is prescribed by (i) Article 7 of the EU Securitization Regulation or (ii) any related provision of the EU Securitization Rules; or (b) may be required for purposes of any person's compliance with Article 5(1)(e) of the EU Securitization Regulation.</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"EU Securitization Regulation" means the EU's Regulation (EU) 2017/2402 (except as otherwise stated, as amended).</w:t>
      </w:r>
    </w:p>
    <w:p>
      <w:pPr>
        <w:spacing w:after="0" w:line="202"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"EU Securitization Rules" means the EU Securitization Regulation and all related regulatory technical standards, implementing technical standards and official guidance (in each case, except as otherwise stated, as amended).</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"Exchange Act" means the Securities Exchange Act of 1934, as amended.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"FCA" means the U.K.'s Financial Conduct Authority.</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472" w:name="page473"/>
    <w:bookmarkEnd w:id="472"/>
    <w:p>
      <w:pPr>
        <w:spacing w:after="0" w:line="200" w:lineRule="exact"/>
        <w:rPr>
          <w:sz w:val="20"/>
          <w:szCs w:val="20"/>
          <w:color w:val="auto"/>
        </w:rPr>
      </w:pPr>
    </w:p>
    <w:p>
      <w:pPr>
        <w:spacing w:after="0" w:line="261"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"FCA Rules" means the Securitisation Sourcebook in the FCA's handbook of rules and guidance (except as otherwise stated, as amended).</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"FDIC" means the Federal Deposit Insurance Corporation.</w:t>
      </w:r>
    </w:p>
    <w:p>
      <w:pPr>
        <w:spacing w:after="0" w:line="202"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auto"/>
        </w:rPr>
        <w:t xml:space="preserve">"Fifth Priority Principal Distributable Amount" means, with respect to any Distribution Date, (i) the excess, if any, of the sum of the Class A Note Balance, the Class B Note Balance, the Class C Note Balance, the Class D Note Balance and the Class E Note Balance on that Distribution Date (before giving effect to any payments made on that Distribution Date) over the Pool Balance as of the last day of the related Collection Period, minus (ii) the sum of the First Priority Principal Distributable Amount, the Second Priority Principal Distributable Amount, the Third Priority Principal Distributable Amount and the Fourth Priority Principal Distributable Amount;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on and after the Final Scheduled Distribution Date for the Class E Notes, the Fifth Priority Principal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Distributable Amount will not be less than the amount that is necessary to reduce the Class E Note Balance to zero.</w:t>
      </w:r>
    </w:p>
    <w:p>
      <w:pPr>
        <w:spacing w:after="0" w:line="157" w:lineRule="exact"/>
        <w:rPr>
          <w:sz w:val="20"/>
          <w:szCs w:val="20"/>
          <w:color w:val="auto"/>
        </w:rPr>
      </w:pPr>
    </w:p>
    <w:p>
      <w:pPr>
        <w:ind w:right="260" w:firstLine="696"/>
        <w:spacing w:after="0" w:line="268" w:lineRule="auto"/>
        <w:rPr>
          <w:sz w:val="20"/>
          <w:szCs w:val="20"/>
          <w:color w:val="auto"/>
        </w:rPr>
      </w:pPr>
      <w:r>
        <w:rPr>
          <w:rFonts w:ascii="Times New Roman" w:cs="Times New Roman" w:eastAsia="Times New Roman" w:hAnsi="Times New Roman"/>
          <w:sz w:val="19"/>
          <w:szCs w:val="19"/>
          <w:color w:val="auto"/>
        </w:rPr>
        <w:t>"Final Scheduled Distribution Date" means with respect to (i) the Class A Notes, the June 10, 2027 Distribution Date, (ii) the Class B Notes, the February 10, 2028 Distribution Date, (iii) the Class C Notes, the June 10, 2030 Distribution Date, (iv) the Class D Notes, the July 10, 2030 Distribution Date and (v) the Class E Notes, the October 10, 2031 Distribution Date.</w:t>
      </w:r>
    </w:p>
    <w:p>
      <w:pPr>
        <w:spacing w:after="0" w:line="144"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"Financed Vehicle" means an automobile, light and medium duty truck or van, together with all accessions thereto, securing an Obligor's indebtedness under the related Receivable.</w:t>
      </w:r>
    </w:p>
    <w:p>
      <w:pPr>
        <w:spacing w:after="0" w:line="127"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 xml:space="preserve">"First Priority Principal Distributable Amount" means, with respect to any Distribution Date, the excess, if any, of the Class A Note Balance on that Distribution Date (before giving effect to any payments made on that Distribution Date) over the Pool Balance as of the last day of the related Collection Period;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on and after the Final Scheduled Distribution Date for the Class A Notes, the First Priority Principal Distributable Amount will not be less than the amount that is necessary to reduce the Note Balance of the Class A Notes to zero.</w:t>
      </w:r>
    </w:p>
    <w:p>
      <w:pPr>
        <w:spacing w:after="0" w:line="154"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 xml:space="preserve">"Fourth Priority Principal Distributable Amount" means, with respect to any Distribution Date, (i) the excess, if any, of the sum of the Class A Note Balance, the Class B Note Balance, the Class C Note Balance and the Class D Note Balance on that Distribution Date (before giving effect to any payments made on that Distribution Date) over the Pool Balance as of the last day of the related Collection Period, minus (ii) the sum of the First Priority Principal Distributable Amount, the Second Priority Principal Distributable Amount and the Third Priority Principal Distributable Amount;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on and after the Final Scheduled Distribution Date for the Class D Notes, the Fourth Priority Principal Distributable Amount will not be less than the amount that is necessary to reduce the Class D Note Balance to zero.</w:t>
      </w:r>
    </w:p>
    <w:p>
      <w:pPr>
        <w:spacing w:after="0" w:line="157" w:lineRule="exact"/>
        <w:rPr>
          <w:sz w:val="20"/>
          <w:szCs w:val="20"/>
          <w:color w:val="auto"/>
        </w:rPr>
      </w:pPr>
    </w:p>
    <w:p>
      <w:pPr>
        <w:ind w:right="460" w:firstLine="696"/>
        <w:spacing w:after="0" w:line="286" w:lineRule="auto"/>
        <w:rPr>
          <w:sz w:val="20"/>
          <w:szCs w:val="20"/>
          <w:color w:val="auto"/>
        </w:rPr>
      </w:pPr>
      <w:r>
        <w:rPr>
          <w:rFonts w:ascii="Times New Roman" w:cs="Times New Roman" w:eastAsia="Times New Roman" w:hAnsi="Times New Roman"/>
          <w:sz w:val="19"/>
          <w:szCs w:val="19"/>
          <w:color w:val="auto"/>
        </w:rPr>
        <w:t>"Indenture" means the Indenture dated as of February 28, 2025, between the Issuer and the Indenture Trustee, as amended, supplemented or otherwise modified from time to time in accordance with the terms thereof.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"Indenture Trustee" means Computershare Trust Company, N.A., as Indenture Trustee under the Indenture.</w:t>
      </w:r>
    </w:p>
    <w:p>
      <w:pPr>
        <w:spacing w:after="0" w:line="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73" w:name="page474"/>
    <w:bookmarkEnd w:id="473"/>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"Independent Accountants" shall have the meaning set forth in Section 4.11(a).</w:t>
      </w:r>
    </w:p>
    <w:p>
      <w:pPr>
        <w:spacing w:after="0" w:line="202"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"Initial Purchasers" means each of J.P. Morgan Securities LLC, Capital One Securities, Inc., and Fifth Third Securities, Inc., as Initial Purchasers pursuant to the Note Purchase Agreement.</w:t>
      </w:r>
    </w:p>
    <w:p>
      <w:pPr>
        <w:spacing w:after="0" w:line="127"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"Insolvency Event" means, with respect to a specified Person, (a) the filing of a petition against such Person or the entry of a decree or order for relief by a court having jurisdiction in the premises in respect of such Person or any substantial part of its property in an involuntary case under any applicable federal or State bankruptcy, insolvency or other similar law now or hereafter in effect, or appointing a receiver, liquidator, assignee, custodian, trustee, sequestrator, or similar official for such Person or for any substantial part of its property, or ordering the winding-up or liquidation of such Person's affairs, and such petition, decree or order shall remain unstayed and in effect for a period of 60 consecutive days; or (b) the commencement by such Person of a voluntary case under any applicable federal or State bankruptcy, insolvency or other similar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5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"Insurance Policy" means, with respect to a Receivable, any insurance policy benefiting the holder of such Receivable providing loss or physical damage, credit life, credit disability, theft, mechanical breakdown or similar coverage with respect to the related Financed Vehicle or Obligor, including Collateral Insurance.</w:t>
      </w:r>
    </w:p>
    <w:p>
      <w:pPr>
        <w:spacing w:after="0" w:line="144" w:lineRule="exact"/>
        <w:rPr>
          <w:sz w:val="20"/>
          <w:szCs w:val="20"/>
          <w:color w:val="auto"/>
        </w:rPr>
      </w:pPr>
    </w:p>
    <w:p>
      <w:pPr>
        <w:jc w:val="both"/>
        <w:ind w:right="280" w:firstLine="696"/>
        <w:spacing w:after="0" w:line="207" w:lineRule="auto"/>
        <w:rPr>
          <w:sz w:val="20"/>
          <w:szCs w:val="20"/>
          <w:color w:val="auto"/>
        </w:rPr>
      </w:pPr>
      <w:r>
        <w:rPr>
          <w:rFonts w:ascii="Times New Roman" w:cs="Times New Roman" w:eastAsia="Times New Roman" w:hAnsi="Times New Roman"/>
          <w:sz w:val="19"/>
          <w:szCs w:val="19"/>
          <w:color w:val="auto"/>
        </w:rPr>
        <w:t xml:space="preserve">"Interest Period" means, with respect to any Distribution Date, the period from and including the 10 </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of the prior month (or, in the case of the first Distribution Date, from and including the Closing Date) to, but excluding,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of the current month (assuming each month has 30 days).</w:t>
      </w:r>
    </w:p>
    <w:p>
      <w:pPr>
        <w:spacing w:after="0" w:line="170" w:lineRule="exact"/>
        <w:rPr>
          <w:sz w:val="20"/>
          <w:szCs w:val="20"/>
          <w:color w:val="auto"/>
        </w:rPr>
      </w:pPr>
    </w:p>
    <w:p>
      <w:pPr>
        <w:ind w:right="100" w:firstLine="696"/>
        <w:spacing w:after="0" w:line="263" w:lineRule="auto"/>
        <w:rPr>
          <w:sz w:val="20"/>
          <w:szCs w:val="20"/>
          <w:color w:val="auto"/>
        </w:rPr>
      </w:pPr>
      <w:r>
        <w:rPr>
          <w:rFonts w:ascii="Times New Roman" w:cs="Times New Roman" w:eastAsia="Times New Roman" w:hAnsi="Times New Roman"/>
          <w:sz w:val="19"/>
          <w:szCs w:val="19"/>
          <w:color w:val="auto"/>
        </w:rPr>
        <w:t xml:space="preserve">"Interest Rate" means, with respect to (i) the Class A Notes,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per annum, (ii) the Class B Notes,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per annum, (iii) the Class C Notes,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per annum, (iv) the Class D Notes,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per annum and (v) the Class E Notes,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 per annum (in the case of clauses (i) through (v), computed on the basis of a 360-day year consisting of twelve 30-day months, or in the case of the first Distribution Date, computed on the basis of a 360-day year and a 28-day month).</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"Investment Company Act" means the Investment Company Act of 1940.</w:t>
      </w:r>
    </w:p>
    <w:p>
      <w:pPr>
        <w:spacing w:after="0" w:line="202"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"Investment Earnings" means, with respect to any date of determination and a Trust Account, the investment earnings on amounts on deposit in such Trust Account on such date.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"Issuer" means United Auto Credit Securitization Trust 2025-1, a Delaware statutory trust.</w:t>
      </w:r>
    </w:p>
    <w:p>
      <w:pPr>
        <w:spacing w:after="0" w:line="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74" w:name="page475"/>
    <w:bookmarkEnd w:id="474"/>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"Issuer Secured Parties" means the Indenture Trustee in respect of the Indenture Trustee Issuer Secured Obligations.</w:t>
      </w:r>
    </w:p>
    <w:p>
      <w:pPr>
        <w:spacing w:after="0" w:line="202"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"Lien" means a security interest, lien, charge, pledge, equity, or encumbrance of any kind, other than tax liens, mechanics' liens and any liens that attach to the related Receivable by operation of law as a result of any act or omission by the related Obligor.</w:t>
      </w:r>
    </w:p>
    <w:p>
      <w:pPr>
        <w:spacing w:after="0" w:line="127"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"Lien Certificate" means, with respect to a Financed Vehicle, an original certificate of title, certificate of lien or other notification issued by the Registrar of Titles of the applicable State to a secured party which indicates that the lien of the secured party on the Financed Vehicle is recorded on the original certificate of title. In any jurisdiction in which the original certificate of title is required to be given to the Obligor, the term "Lien Certificate" shall mean only a certificate or notification issued to a secured party. For Financed Vehicles registered in States which issue confirmation of the lienholder's interest electronically, the "Lien Certificate" may consist of notification of an electronic recordation, by either a third party service provider or the relevant Registrar of Titles of the applicable State, which indicates that the lien of the secured party on the Financed Vehicle is recorded on the original certificate of title on the electronic lien and title system of the applicable State.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"Liquidation Proceeds" means, with respect to a Defaulted Receivable, all amounts realized with respect to such Receivable.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"Lockbox Account" means an account or accounts of United Auto maintained by the Lockbox Bank pursuant to Section 4.2(d).</w:t>
      </w:r>
    </w:p>
    <w:p>
      <w:pPr>
        <w:spacing w:after="0" w:line="202"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color w:val="auto"/>
        </w:rPr>
        <w:t xml:space="preserve">"Lockbox Agreement" means the Intercreditor Agreement, dated as of February 2, 2011, among United Auto, as Servicer, Wells Fargo Bank, National Association, as Lockbox Bank, UACC Auto Financing Trust and any other special purpose subsidiary of United Auto that executed an intercreditor party supplement and each party listed as an intercreditor party on the signature page thereto, as supplemented by the Intercreditor Party Supplement, dated as of February 28, 2025, among the Issuer, Computershare Trust Company, N.A., as Indenture Trustee on behalf of the Noteholders, and the parties to the Intercreditor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if Wells Fargo Bank, National Association, as Lockbox Bank, or the Servicer ceases to be a party thereunder, or such agreement is terminated in accordance with its terms, the "Lockbox Account Agreement" shall mean any replacement agreement therefor among the Servicer, the Indenture Trustee and the Lockbox Bank.</w:t>
      </w:r>
    </w:p>
    <w:p>
      <w:pPr>
        <w:spacing w:after="0" w:line="160"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color w:val="auto"/>
        </w:rPr>
        <w:t>"Lockbox Bank" means, initially, Wells Fargo Bank, National Association, and if the Lockbox Account shall have been replaced in accordance with this Agreement, a depository institution named by the Servicer, which depository institution (i) shall be organized under the laws of the United States of America or any State (or any domestic branch of a foreign bank), having corporate trust powers and acting as trustee for funds deposited in such account, (ii) has a credit rating from each Rating Agency (to the extent rated by a Rating Agency) in one of its generic rating categories which signifies investment grade and (iii) has its deposits insured by the FDIC.</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75" w:name="page476"/>
    <w:bookmarkEnd w:id="475"/>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"Majority Certificateholders" has the meaning assigned to such term in the Trust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"Majority Noteholders" means the Holders of the Notes representing a majority of the Outstanding Amount of the Controlling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Class.</w:t>
      </w:r>
    </w:p>
    <w:p>
      <w:pPr>
        <w:spacing w:after="0" w:line="180" w:lineRule="exact"/>
        <w:rPr>
          <w:sz w:val="20"/>
          <w:szCs w:val="20"/>
          <w:color w:val="auto"/>
        </w:rPr>
      </w:pPr>
    </w:p>
    <w:p>
      <w:pPr>
        <w:ind w:right="320" w:firstLine="696"/>
        <w:spacing w:after="0" w:line="257" w:lineRule="auto"/>
        <w:rPr>
          <w:sz w:val="20"/>
          <w:szCs w:val="20"/>
          <w:color w:val="auto"/>
        </w:rPr>
      </w:pPr>
      <w:r>
        <w:rPr>
          <w:rFonts w:ascii="Times New Roman" w:cs="Times New Roman" w:eastAsia="Times New Roman" w:hAnsi="Times New Roman"/>
          <w:sz w:val="19"/>
          <w:szCs w:val="19"/>
          <w:color w:val="auto"/>
        </w:rPr>
        <w:t>"Monthly Records" means all records and data maintained by the Servicer with respect to the Receivables, including the following with respect to each Receivable: account number; originating Dealer; Obligor name; Obligor address; Obligor home phone number; Obligor business phone number; original term; Annual Percentage Rate; current Principal Balance; current remaining term; origination date; first payment date; final scheduled payment date; next payment due date; date of most recent payment; new/used classification; collateral description; days currently delinquent; number of contract extensions (months) to date; amount of Scheduled Receivables Payment; and past due late charges.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"Monthly Tape" has the meaning set forth in Section 4.13.</w:t>
      </w:r>
    </w:p>
    <w:p>
      <w:pPr>
        <w:spacing w:after="0" w:line="202" w:lineRule="exact"/>
        <w:rPr>
          <w:sz w:val="20"/>
          <w:szCs w:val="20"/>
          <w:color w:val="auto"/>
        </w:rPr>
      </w:pPr>
    </w:p>
    <w:p>
      <w:pPr>
        <w:jc w:val="both"/>
        <w:ind w:right="20" w:firstLine="696"/>
        <w:spacing w:after="0" w:line="262" w:lineRule="auto"/>
        <w:rPr>
          <w:sz w:val="20"/>
          <w:szCs w:val="20"/>
          <w:color w:val="auto"/>
        </w:rPr>
      </w:pPr>
      <w:r>
        <w:rPr>
          <w:rFonts w:ascii="Times New Roman" w:cs="Times New Roman" w:eastAsia="Times New Roman" w:hAnsi="Times New Roman"/>
          <w:sz w:val="19"/>
          <w:szCs w:val="19"/>
          <w:color w:val="auto"/>
        </w:rPr>
        <w:t xml:space="preserve">"Net Liquidation Proceeds" means, with respect to a Defaulted Receivable, Liquidation Proceeds net of (i) reasonable expenses incurred by the Servicer in connection with the collection of such Receivable and the repossession and disposition of the related Financed Vehicle and (ii) amounts that are required to be refunded to the Obligor on such Receivable;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Net Liquidation Proceeds with respect to any Receivable shall in no event be less than zero.</w:t>
      </w:r>
    </w:p>
    <w:p>
      <w:pPr>
        <w:spacing w:after="0" w:line="150" w:lineRule="exact"/>
        <w:rPr>
          <w:sz w:val="20"/>
          <w:szCs w:val="20"/>
          <w:color w:val="auto"/>
        </w:rPr>
      </w:pPr>
    </w:p>
    <w:p>
      <w:pPr>
        <w:ind w:right="660" w:firstLine="696"/>
        <w:spacing w:after="0" w:line="286" w:lineRule="auto"/>
        <w:rPr>
          <w:sz w:val="20"/>
          <w:szCs w:val="20"/>
          <w:color w:val="auto"/>
        </w:rPr>
      </w:pPr>
      <w:r>
        <w:rPr>
          <w:rFonts w:ascii="Times New Roman" w:cs="Times New Roman" w:eastAsia="Times New Roman" w:hAnsi="Times New Roman"/>
          <w:sz w:val="19"/>
          <w:szCs w:val="19"/>
          <w:color w:val="auto"/>
        </w:rPr>
        <w:t>"Note Balance" means, as of any date, the outstanding principal amount of a particular Class of Notes or of all Notes, as indicated by the context.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"Note Distribution Account" means the account designated as such, established and maintained pursuant to Section 5.1(a)(ii).</w:t>
      </w:r>
    </w:p>
    <w:p>
      <w:pPr>
        <w:spacing w:after="0" w:line="202"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"Note Factor" means, for each Class of Notes as of the close of business on any Distribution Date, a seven-digit decimal figure (or related percentage), which the Servicer will compute prior to each Distribution Date, equal to the Note Balance of such Class of Notes divided by the original Note Balance of such Class of Notes.</w:t>
      </w:r>
    </w:p>
    <w:p>
      <w:pPr>
        <w:spacing w:after="0" w:line="144" w:lineRule="exact"/>
        <w:rPr>
          <w:sz w:val="20"/>
          <w:szCs w:val="20"/>
          <w:color w:val="auto"/>
        </w:rPr>
      </w:pPr>
    </w:p>
    <w:p>
      <w:pPr>
        <w:ind w:right="220" w:firstLine="696"/>
        <w:spacing w:after="0" w:line="286" w:lineRule="auto"/>
        <w:rPr>
          <w:sz w:val="20"/>
          <w:szCs w:val="20"/>
          <w:color w:val="auto"/>
        </w:rPr>
      </w:pPr>
      <w:r>
        <w:rPr>
          <w:rFonts w:ascii="Times New Roman" w:cs="Times New Roman" w:eastAsia="Times New Roman" w:hAnsi="Times New Roman"/>
          <w:sz w:val="19"/>
          <w:szCs w:val="19"/>
          <w:color w:val="auto"/>
        </w:rPr>
        <w:t>"Note Purchase Agreement" means the Note Purchase Agreement, dated as of March 4, 2025, among the representative of the Initial Purchasers, the Depositor and United Auto.</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"Noteholder" means the Person in whose name a Note is registered on the Note Register.</w:t>
      </w:r>
    </w:p>
    <w:p>
      <w:pPr>
        <w:spacing w:after="0" w:line="202" w:lineRule="exact"/>
        <w:rPr>
          <w:sz w:val="20"/>
          <w:szCs w:val="20"/>
          <w:color w:val="auto"/>
        </w:rPr>
      </w:pPr>
    </w:p>
    <w:p>
      <w:pPr>
        <w:ind w:right="160" w:firstLine="696"/>
        <w:spacing w:after="0" w:line="256" w:lineRule="auto"/>
        <w:rPr>
          <w:sz w:val="20"/>
          <w:szCs w:val="20"/>
          <w:color w:val="auto"/>
        </w:rPr>
      </w:pPr>
      <w:r>
        <w:rPr>
          <w:rFonts w:ascii="Times New Roman" w:cs="Times New Roman" w:eastAsia="Times New Roman" w:hAnsi="Times New Roman"/>
          <w:sz w:val="19"/>
          <w:szCs w:val="19"/>
          <w:color w:val="auto"/>
        </w:rPr>
        <w:t>"Noteholders' Interest Carryover Amount" means, with respect to any Class of Notes and any Distribution Date, any portion of the Noteholders' Interest Distributable Amount for the Class of Notes for the immediately preceding Distribution Date which remains unpaid as of such Distribution Date, plus, to the extent permitted by law, interest on such unpaid amount at the respective Interest Rate borne by the applicable Class of Notes for the related Interest Period.</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6" w:name="page477"/>
    <w:bookmarkEnd w:id="476"/>
    <w:p>
      <w:pPr>
        <w:spacing w:after="0" w:line="200" w:lineRule="exact"/>
        <w:rPr>
          <w:sz w:val="20"/>
          <w:szCs w:val="20"/>
          <w:color w:val="auto"/>
        </w:rPr>
      </w:pPr>
    </w:p>
    <w:p>
      <w:pPr>
        <w:spacing w:after="0" w:line="261"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auto"/>
        </w:rPr>
        <w:t>"Noteholders' Interest Distributable Amount" means, with respect to any Distribution Date and any Class of Notes, the sum of the Noteholders' Monthly Interest Distributable Amount for such Distribution Date and such Class of Notes and the Noteholders' Interest Carryover Amount, if any, for such Class of Notes, calculated as of such Distributing Date. Interest on the Notes shall be computed on the basis of a 360-day year consisting of twelve 30-day months.</w:t>
      </w:r>
    </w:p>
    <w:p>
      <w:pPr>
        <w:spacing w:after="0" w:line="150" w:lineRule="exact"/>
        <w:rPr>
          <w:sz w:val="20"/>
          <w:szCs w:val="20"/>
          <w:color w:val="auto"/>
        </w:rPr>
      </w:pPr>
    </w:p>
    <w:p>
      <w:pPr>
        <w:ind w:right="20" w:firstLine="696"/>
        <w:spacing w:after="0" w:line="262" w:lineRule="auto"/>
        <w:rPr>
          <w:sz w:val="20"/>
          <w:szCs w:val="20"/>
          <w:color w:val="auto"/>
        </w:rPr>
      </w:pPr>
      <w:r>
        <w:rPr>
          <w:rFonts w:ascii="Times New Roman" w:cs="Times New Roman" w:eastAsia="Times New Roman" w:hAnsi="Times New Roman"/>
          <w:sz w:val="19"/>
          <w:szCs w:val="19"/>
          <w:color w:val="auto"/>
        </w:rPr>
        <w:t>"Noteholders' Monthly Interest Distributable Amount" means, with respect to any Distribution Date and any Class of Notes, the interest accrued at the respective Interest Rate during the applicable Interest Period on the Note Balance of the Notes of such Class Outstanding as of the end of the prior Distribution Date (or, in the case of the first Distribution Date, as of the Closing Date), calculated on the basis of a 360-day year consisting of twelve 30-day months, except with respect to the first Interest Period.</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"Notes" mean the Class A Notes, the Class B Notes, the Class C Notes, the Class D Notes and the Class E Notes.</w:t>
      </w:r>
    </w:p>
    <w:p>
      <w:pPr>
        <w:spacing w:after="0" w:line="202"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"Obligor" means, with respect to a Receivable, the purchaser or co-purchasers of the Financed Vehicle and any other Person who owes payments under the Receivable.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"Offering Memorandum" means the Offering Memorandum, dated March 4, 2025, relating to the private placement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Notes.</w:t>
      </w:r>
    </w:p>
    <w:p>
      <w:pPr>
        <w:spacing w:after="0" w:line="180" w:lineRule="exact"/>
        <w:rPr>
          <w:sz w:val="20"/>
          <w:szCs w:val="20"/>
          <w:color w:val="auto"/>
        </w:rPr>
      </w:pPr>
    </w:p>
    <w:p>
      <w:pPr>
        <w:jc w:val="both"/>
        <w:ind w:right="60" w:firstLine="696"/>
        <w:spacing w:after="0" w:line="268" w:lineRule="auto"/>
        <w:rPr>
          <w:sz w:val="20"/>
          <w:szCs w:val="20"/>
          <w:color w:val="auto"/>
        </w:rPr>
      </w:pPr>
      <w:r>
        <w:rPr>
          <w:rFonts w:ascii="Times New Roman" w:cs="Times New Roman" w:eastAsia="Times New Roman" w:hAnsi="Times New Roman"/>
          <w:sz w:val="19"/>
          <w:szCs w:val="19"/>
          <w:color w:val="auto"/>
        </w:rPr>
        <w:t>"Officer's Certificate" means a certificate signed by the chief executive officer, the president, any executive vice president, any senior vice president, any vice president, any treasurer, any assistant treasurer, any secretary, any controller or any assistant controller of the Depositor, the Servicer or United Auto, as appropriate.</w:t>
      </w:r>
    </w:p>
    <w:p>
      <w:pPr>
        <w:spacing w:after="0" w:line="144"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"Opinion of Counsel" means a written opinion of counsel which may, except as otherwise expressly provided in this Agreement or any other Basic Document, be provided by counsel to the Issuer, the Servicer or the Depositor, and which complies with any applicable requirements of the Basic Documents, and which is satisfactory in form and substance to the recipient(s) thereof.</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"Original Pool Balance" means the aggregate Pool Balance of the Receivables as of the Cutoff Date.</w:t>
      </w:r>
    </w:p>
    <w:p>
      <w:pPr>
        <w:spacing w:after="0" w:line="202"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"Originating Affiliate" means an Affiliate of United Auto that has originated Receivables and assigned its full interest therein to United Auto.</w:t>
      </w:r>
    </w:p>
    <w:p>
      <w:pPr>
        <w:spacing w:after="0" w:line="127" w:lineRule="exact"/>
        <w:rPr>
          <w:sz w:val="20"/>
          <w:szCs w:val="20"/>
          <w:color w:val="auto"/>
        </w:rPr>
      </w:pPr>
    </w:p>
    <w:p>
      <w:pPr>
        <w:ind w:right="20" w:firstLine="696"/>
        <w:spacing w:after="0" w:line="268" w:lineRule="auto"/>
        <w:rPr>
          <w:sz w:val="20"/>
          <w:szCs w:val="20"/>
          <w:color w:val="auto"/>
        </w:rPr>
      </w:pPr>
      <w:r>
        <w:rPr>
          <w:rFonts w:ascii="Times New Roman" w:cs="Times New Roman" w:eastAsia="Times New Roman" w:hAnsi="Times New Roman"/>
          <w:sz w:val="19"/>
          <w:szCs w:val="19"/>
          <w:color w:val="auto"/>
        </w:rPr>
        <w:t>"Other Conveyed Property" means all monies received on the Receivables after the Cutoff Date conveyed by the Depositor to the Trust pursuant to Section 2.1(a) of this Agreement and all property conveyed by the Depositor to the Trust pursuant to Section 2.1(b) through (j) of this Agreement.</w:t>
      </w:r>
    </w:p>
    <w:p>
      <w:pPr>
        <w:spacing w:after="0" w:line="144"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9"/>
          <w:szCs w:val="19"/>
          <w:color w:val="auto"/>
        </w:rPr>
        <w:t>"Outstanding" means, as of the date of determination, as applicable, (a) all Notes theretofore authenticated and delivered under the Indenture or (b) all Certificates theretofore authenticated and delivered under the Trust Agreement except: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77" w:name="page478"/>
    <w:bookmarkEnd w:id="477"/>
    <w:p>
      <w:pPr>
        <w:spacing w:after="0" w:line="200" w:lineRule="exact"/>
        <w:rPr>
          <w:sz w:val="20"/>
          <w:szCs w:val="20"/>
          <w:color w:val="auto"/>
        </w:rPr>
      </w:pPr>
    </w:p>
    <w:p>
      <w:pPr>
        <w:spacing w:after="0" w:line="261" w:lineRule="exact"/>
        <w:rPr>
          <w:sz w:val="20"/>
          <w:szCs w:val="20"/>
          <w:color w:val="auto"/>
        </w:rPr>
      </w:pPr>
    </w:p>
    <w:p>
      <w:pPr>
        <w:ind w:left="700" w:right="520" w:firstLine="746"/>
        <w:spacing w:after="0" w:line="286" w:lineRule="auto"/>
        <w:tabs>
          <w:tab w:leader="none" w:pos="1673"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Notes theretofore canceled by the Note Registrar or delivered to the Note Registrar for cancellation or (b) Certificates theretofore canceled by the Certificate Registrar or delivered to the Certificate Registrar for cancellation;</w:t>
      </w:r>
    </w:p>
    <w:p>
      <w:pPr>
        <w:spacing w:after="0" w:line="127" w:lineRule="exact"/>
        <w:rPr>
          <w:rFonts w:ascii="Times New Roman" w:cs="Times New Roman" w:eastAsia="Times New Roman" w:hAnsi="Times New Roman"/>
          <w:sz w:val="19"/>
          <w:szCs w:val="19"/>
          <w:color w:val="auto"/>
        </w:rPr>
      </w:pPr>
    </w:p>
    <w:p>
      <w:pPr>
        <w:ind w:left="700" w:right="140" w:firstLine="746"/>
        <w:spacing w:after="0" w:line="262" w:lineRule="auto"/>
        <w:tabs>
          <w:tab w:leader="none" w:pos="1727"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or portions thereof the payment for which money in the necessary amount has been theretofore deposited with the Indenture Trustee or any Note Paying Agent in trust for the Noteholders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such Notes are to be redeemed, notice of such redemption has been duly given pursuant to the Indenture or provision therefor, satisfactory to the Indenture Trustee); and</w:t>
      </w:r>
    </w:p>
    <w:p>
      <w:pPr>
        <w:spacing w:after="0" w:line="150" w:lineRule="exact"/>
        <w:rPr>
          <w:rFonts w:ascii="Times New Roman" w:cs="Times New Roman" w:eastAsia="Times New Roman" w:hAnsi="Times New Roman"/>
          <w:sz w:val="19"/>
          <w:szCs w:val="19"/>
          <w:color w:val="auto"/>
        </w:rPr>
      </w:pPr>
    </w:p>
    <w:p>
      <w:pPr>
        <w:ind w:left="700" w:right="180" w:firstLine="746"/>
        <w:spacing w:after="0" w:line="262" w:lineRule="auto"/>
        <w:tabs>
          <w:tab w:leader="none" w:pos="1780"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Notes in exchange for or in lieu of other Notes which have been authenticated and delivered pursuant to the Indenture unless proof satisfactory to the Indenture Trustee is presented that any such Notes are held by a Protected Purchaser or (b) Certificates in exchange for or in lieu of other Certificates which have been authenticated and delivered pursuant to the Trust Agreement;</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in determining whether, as applicable, (a) the Holders of the requisite Outstanding Amount of the Notes or (b)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Holders of the requisite Percentage Interests of the Certificates, in each case, have given any request, demand, authorization, direction, notice, consent or waiver hereunder or under any Basic Document, Notes or Certificates, as applicable, owned by the Issuer, the Depositor, the Servicer or any Affiliate of any of the foregoing Persons shall be disregarded and deemed not to be Outstanding (unless all of the Notes of the related Class or Classes or Certificates, as applicable, making the request, demand, authorization, direction, notice, consent or waiver are owned by the Issuer, the Depositor, the Servicer or any of their respective Affiliates), except that, in determining whether the Indenture Trustee shall be protected in relying upon any such request, demand, authorization, direction, notice, consent or waiver, only Notes or Certificates, as applicable, that a Responsible Officer of the Indenture Trustee either actually knows to be so owned or has received written notice thereof shall be so disregarded. Notes or Certificates, as applicable, so owned that have been pledged in good faith may be regarded as Outstanding if the pledgee establishes to the satisfaction of the Indenture Trustee the pledgee's right to so act with respect to such Notes or Certificates, as applicable, and that the pledgee is not the Issuer, any other obligor upon the Notes or Certificates, as applicable, the Depositor or any Affiliate of any of the foregoing Persons and the Indenture Trustee shall have no liability for any determination made with respect to such pledged Note or Certificate.</w:t>
      </w:r>
    </w:p>
    <w:p>
      <w:pPr>
        <w:spacing w:after="0" w:line="165"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"Outstanding Amount" means the aggregate principal amount of all Notes, or a Class of Notes, as applicable, Outstanding at the date of determination.</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"Owner Trust Estate" has the meaning assigned to such term in the Trust Agreement.</w:t>
      </w:r>
    </w:p>
    <w:p>
      <w:pPr>
        <w:spacing w:after="0" w:line="202"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"Owner Trustee" means Computershare Delaware Trust Company, not in its individual capacity but solely as Owner Trustee under the Trust Agreement, its successors in interest or any successor Owner Trustee under the Trust Agreement.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"Percentage Interest" has the meaning assigned to such term in the Trust Agreement</w:t>
      </w:r>
    </w:p>
    <w:p>
      <w:pPr>
        <w:spacing w:after="0" w:line="202" w:lineRule="exact"/>
        <w:rPr>
          <w:sz w:val="20"/>
          <w:szCs w:val="20"/>
          <w:color w:val="auto"/>
        </w:rPr>
      </w:pPr>
    </w:p>
    <w:p>
      <w:pPr>
        <w:ind w:right="420" w:firstLine="696"/>
        <w:spacing w:after="0" w:line="262" w:lineRule="auto"/>
        <w:rPr>
          <w:sz w:val="20"/>
          <w:szCs w:val="20"/>
          <w:color w:val="auto"/>
        </w:rPr>
      </w:pPr>
      <w:r>
        <w:rPr>
          <w:rFonts w:ascii="Times New Roman" w:cs="Times New Roman" w:eastAsia="Times New Roman" w:hAnsi="Times New Roman"/>
          <w:sz w:val="19"/>
          <w:szCs w:val="19"/>
          <w:color w:val="auto"/>
        </w:rPr>
        <w:t>"Permitted Modification" means an extension, rebate, deferral, amendment, modification or adjustment with respect to any Receivable made by the Servicer in accordance with its Servicing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78" w:name="page479"/>
    <w:bookmarkEnd w:id="478"/>
    <w:p>
      <w:pPr>
        <w:spacing w:after="0" w:line="200" w:lineRule="exact"/>
        <w:rPr>
          <w:sz w:val="20"/>
          <w:szCs w:val="20"/>
          <w:color w:val="auto"/>
        </w:rPr>
      </w:pPr>
    </w:p>
    <w:p>
      <w:pPr>
        <w:spacing w:after="0" w:line="2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Policies and Procedures and: (i) such Receivable is in default, or with respect to which the Servicer believes that default is reasonably foreseeable, and the Servicer believes that such modification is necessary to preserve the value of such Receivable, (ii) such modification is not a significant modification pursuant to Treasury Regulation Section 1.1001-3 or (iii) with respect to such modification, the Servicer has delivered a certificate to the Owner Trustee to the effect that the modification will not cause the Trust to be treated for United States federal income tax purposes as other than a fixed investment trust described in Treasury Regulation Section 301.7701-4(c) that is treated as a grantor trust under subtitle A, chapter 1, subchapter J, part I, subpart E of the Code.</w:t>
      </w:r>
    </w:p>
    <w:p>
      <w:pPr>
        <w:spacing w:after="0" w:line="157"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"Permitted Successor" means an entity, that is engaged in the business of servicing sub-prime automotive loans or motor vehicle retail installment sales contracts and has a net worth of not less than $20 million and each Rating Agency has been provided with ten days' (or such shorter period as shall be acceptable to the applicable Rating Agency) prior notice of such resignation.</w:t>
      </w:r>
    </w:p>
    <w:p>
      <w:pPr>
        <w:spacing w:after="0" w:line="144"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auto"/>
        </w:rPr>
        <w:t>"Person" means any individual, corporation, estate, partnership, limited liability company, joint venture, association, joint stock company, trust (including any beneficiary thereof), unincorporated organization or government or any agency or political subdivision thereof.</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"Physical Property" has the meaning assigned to such term in the definition of "Delivery" above.</w:t>
      </w:r>
    </w:p>
    <w:p>
      <w:pPr>
        <w:spacing w:after="0" w:line="202" w:lineRule="exact"/>
        <w:rPr>
          <w:sz w:val="20"/>
          <w:szCs w:val="20"/>
          <w:color w:val="auto"/>
        </w:rPr>
      </w:pPr>
    </w:p>
    <w:p>
      <w:pPr>
        <w:ind w:right="800" w:firstLine="696"/>
        <w:spacing w:after="0" w:line="286" w:lineRule="auto"/>
        <w:rPr>
          <w:sz w:val="20"/>
          <w:szCs w:val="20"/>
          <w:color w:val="auto"/>
        </w:rPr>
      </w:pPr>
      <w:r>
        <w:rPr>
          <w:rFonts w:ascii="Times New Roman" w:cs="Times New Roman" w:eastAsia="Times New Roman" w:hAnsi="Times New Roman"/>
          <w:sz w:val="19"/>
          <w:szCs w:val="19"/>
          <w:color w:val="auto"/>
        </w:rPr>
        <w:t>"Pool Balance" means, as of any date of determination, the aggregate Principal Balance of the Receivables (excluding Purchased Receivables and Defaulted Receivables) at the end of the preceding calendar month.</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"PRA" means the U.K.'s Prudential Regulation Authority.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"PRA Rules" means the Securitisation Part of the PRA's rulebook of published policy (except as otherwise stated, as amended).</w:t>
      </w:r>
    </w:p>
    <w:p>
      <w:pPr>
        <w:spacing w:after="0" w:line="202" w:lineRule="exact"/>
        <w:rPr>
          <w:sz w:val="20"/>
          <w:szCs w:val="20"/>
          <w:color w:val="auto"/>
        </w:rPr>
      </w:pPr>
    </w:p>
    <w:p>
      <w:pPr>
        <w:jc w:val="both"/>
        <w:ind w:right="100" w:firstLine="696"/>
        <w:spacing w:after="0" w:line="268" w:lineRule="auto"/>
        <w:rPr>
          <w:sz w:val="20"/>
          <w:szCs w:val="20"/>
          <w:color w:val="auto"/>
        </w:rPr>
      </w:pPr>
      <w:r>
        <w:rPr>
          <w:rFonts w:ascii="Times New Roman" w:cs="Times New Roman" w:eastAsia="Times New Roman" w:hAnsi="Times New Roman"/>
          <w:sz w:val="19"/>
          <w:szCs w:val="19"/>
          <w:color w:val="auto"/>
        </w:rPr>
        <w:t>"Principal Balance" means, with respect to any Receivable, as of any date of determination, an amount equal to (i) the Amount Financed minus (ii) the sum of (a) that portion of all amounts received on or prior to that date and allocable to principal according to the terms of such Receivable and (b) any Cram Down Losses for such Receivable accounted for as of such date.</w:t>
      </w:r>
    </w:p>
    <w:p>
      <w:pPr>
        <w:spacing w:after="0" w:line="144" w:lineRule="exact"/>
        <w:rPr>
          <w:sz w:val="20"/>
          <w:szCs w:val="20"/>
          <w:color w:val="auto"/>
        </w:rPr>
      </w:pPr>
    </w:p>
    <w:p>
      <w:pPr>
        <w:jc w:val="both"/>
        <w:ind w:right="140" w:firstLine="696"/>
        <w:spacing w:after="0" w:line="268" w:lineRule="auto"/>
        <w:rPr>
          <w:sz w:val="20"/>
          <w:szCs w:val="20"/>
          <w:color w:val="auto"/>
        </w:rPr>
      </w:pPr>
      <w:r>
        <w:rPr>
          <w:rFonts w:ascii="Times New Roman" w:cs="Times New Roman" w:eastAsia="Times New Roman" w:hAnsi="Times New Roman"/>
          <w:sz w:val="19"/>
          <w:szCs w:val="19"/>
          <w:color w:val="auto"/>
        </w:rPr>
        <w:t>"Purchase Agreement" means the Purchase Agreement between United Auto, as Seller, and the Depositor, as Purchaser, dated as of February 28, 2025, pursuant to which United Auto sold and assigned the Receivables to the Depositor, as amended, supplemented or otherwise modified from time to time in accordance with the terms thereof.</w:t>
      </w:r>
    </w:p>
    <w:p>
      <w:pPr>
        <w:spacing w:after="0" w:line="144"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"Purchase Amount" means, with respect to a Purchased Receivable, the Principal Balance and all accrued and unpaid interest on the Receivable, after giving effect to the receipt of any moneys collected (from whatever source) on such Receivable, if 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79" w:name="page480"/>
    <w:bookmarkEnd w:id="479"/>
    <w:p>
      <w:pPr>
        <w:spacing w:after="0" w:line="200" w:lineRule="exact"/>
        <w:rPr>
          <w:sz w:val="20"/>
          <w:szCs w:val="20"/>
          <w:color w:val="auto"/>
        </w:rPr>
      </w:pPr>
    </w:p>
    <w:p>
      <w:pPr>
        <w:spacing w:after="0" w:line="261" w:lineRule="exact"/>
        <w:rPr>
          <w:sz w:val="20"/>
          <w:szCs w:val="20"/>
          <w:color w:val="auto"/>
        </w:rPr>
      </w:pPr>
    </w:p>
    <w:p>
      <w:pPr>
        <w:jc w:val="both"/>
        <w:ind w:right="120" w:firstLine="696"/>
        <w:spacing w:after="0" w:line="268" w:lineRule="auto"/>
        <w:rPr>
          <w:sz w:val="20"/>
          <w:szCs w:val="20"/>
          <w:color w:val="auto"/>
        </w:rPr>
      </w:pPr>
      <w:r>
        <w:rPr>
          <w:rFonts w:ascii="Times New Roman" w:cs="Times New Roman" w:eastAsia="Times New Roman" w:hAnsi="Times New Roman"/>
          <w:sz w:val="19"/>
          <w:szCs w:val="19"/>
          <w:color w:val="auto"/>
        </w:rPr>
        <w:t>"Purchased Receivable" means a Receivable purchased as of the close of business on the last day of a Collection Period by the Servicer pursuant to Sections 4.2(c) or 4.7 or repurchased by United Auto pursuant to Section 3.3 or by the Servicer pursuant to Section 10.1(a).</w:t>
      </w:r>
    </w:p>
    <w:p>
      <w:pPr>
        <w:spacing w:after="0" w:line="144"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"Rating Agencies" means DBRS and S&amp;P Global Ratings. If no such organization or successor maintains a rating on the Notes, "Rating Agency" shall be a nationally recognized statistical rating organization or other comparable Person engaged by the Depositor, notice of which engagement shall be given to the Indenture Trustee, the Owner Trustee and the Servicer.</w:t>
      </w:r>
    </w:p>
    <w:p>
      <w:pPr>
        <w:spacing w:after="0" w:line="144" w:lineRule="exact"/>
        <w:rPr>
          <w:sz w:val="20"/>
          <w:szCs w:val="20"/>
          <w:color w:val="auto"/>
        </w:rPr>
      </w:pPr>
    </w:p>
    <w:p>
      <w:pPr>
        <w:ind w:right="420" w:firstLine="696"/>
        <w:spacing w:after="0" w:line="268" w:lineRule="auto"/>
        <w:rPr>
          <w:sz w:val="20"/>
          <w:szCs w:val="20"/>
          <w:color w:val="auto"/>
        </w:rPr>
      </w:pPr>
      <w:r>
        <w:rPr>
          <w:rFonts w:ascii="Times New Roman" w:cs="Times New Roman" w:eastAsia="Times New Roman" w:hAnsi="Times New Roman"/>
          <w:sz w:val="19"/>
          <w:szCs w:val="19"/>
          <w:color w:val="auto"/>
        </w:rPr>
        <w:t>"Realized Loss" means, with respect to any Receivable that becomes a Defaulted Receivable, the excess of the Principal Balance of such Defaulted Receivable over Net Liquidation Proceeds and, without duplication, Recoveries to the extent allocable to principal.</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"Receivable Files" means the documents specified in Section 3.4.</w:t>
      </w:r>
    </w:p>
    <w:p>
      <w:pPr>
        <w:spacing w:after="0" w:line="202" w:lineRule="exact"/>
        <w:rPr>
          <w:sz w:val="20"/>
          <w:szCs w:val="20"/>
          <w:color w:val="auto"/>
        </w:rPr>
      </w:pPr>
    </w:p>
    <w:p>
      <w:pPr>
        <w:ind w:right="440" w:firstLine="696"/>
        <w:spacing w:after="0" w:line="286" w:lineRule="auto"/>
        <w:rPr>
          <w:sz w:val="20"/>
          <w:szCs w:val="20"/>
          <w:color w:val="auto"/>
        </w:rPr>
      </w:pPr>
      <w:r>
        <w:rPr>
          <w:rFonts w:ascii="Times New Roman" w:cs="Times New Roman" w:eastAsia="Times New Roman" w:hAnsi="Times New Roman"/>
          <w:sz w:val="19"/>
          <w:szCs w:val="19"/>
          <w:color w:val="auto"/>
        </w:rPr>
        <w:t>"Receivables" means the Receivables listed on Schedule A attached hereto and conveyed to the Issuer on the Closing Date (which Schedules may be in the form of microfiche or a disk).</w:t>
      </w:r>
    </w:p>
    <w:p>
      <w:pPr>
        <w:spacing w:after="0" w:line="127" w:lineRule="exact"/>
        <w:rPr>
          <w:sz w:val="20"/>
          <w:szCs w:val="20"/>
          <w:color w:val="auto"/>
        </w:rPr>
      </w:pPr>
    </w:p>
    <w:p>
      <w:pPr>
        <w:ind w:right="160" w:firstLine="696"/>
        <w:spacing w:after="0" w:line="259" w:lineRule="auto"/>
        <w:rPr>
          <w:sz w:val="20"/>
          <w:szCs w:val="20"/>
          <w:color w:val="auto"/>
        </w:rPr>
      </w:pPr>
      <w:r>
        <w:rPr>
          <w:rFonts w:ascii="Times New Roman" w:cs="Times New Roman" w:eastAsia="Times New Roman" w:hAnsi="Times New Roman"/>
          <w:sz w:val="19"/>
          <w:szCs w:val="19"/>
          <w:color w:val="auto"/>
        </w:rPr>
        <w:t>"Recoveries" means, with respect to any Collection Period following the Collection Period in which a Receivable became a Defaulted Receivable, all amounts received by the Servicer, from whatever source (including insurance proceeds) with respect to such Defaulted Receivable during such Collection Period, minus the sum of (i) expenses incurred by the Servicer in connection with the collection of such Defaulted Receivable and the repossession and disposition of the related Financed Vehicle (in each case to the extent not previously reimbursed to the Servicer) and (ii) all payments required by law to be remitted to the related Obligor.</w:t>
      </w:r>
    </w:p>
    <w:p>
      <w:pPr>
        <w:spacing w:after="0" w:line="154"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color w:val="auto"/>
        </w:rPr>
        <w:t>"Registrar of Titles" means, with respect to any State, the governmental agency or body responsible for the registration of, and the issuance of certificates of title relating to, motor vehicles and liens thereon.</w:t>
      </w:r>
    </w:p>
    <w:p>
      <w:pPr>
        <w:spacing w:after="0" w:line="127" w:lineRule="exact"/>
        <w:rPr>
          <w:sz w:val="20"/>
          <w:szCs w:val="20"/>
          <w:color w:val="auto"/>
        </w:rPr>
      </w:pPr>
    </w:p>
    <w:p>
      <w:pPr>
        <w:ind w:right="100" w:firstLine="696"/>
        <w:spacing w:after="0" w:line="255" w:lineRule="auto"/>
        <w:rPr>
          <w:sz w:val="20"/>
          <w:szCs w:val="20"/>
          <w:color w:val="auto"/>
        </w:rPr>
      </w:pPr>
      <w:r>
        <w:rPr>
          <w:rFonts w:ascii="Times New Roman" w:cs="Times New Roman" w:eastAsia="Times New Roman" w:hAnsi="Times New Roman"/>
          <w:sz w:val="19"/>
          <w:szCs w:val="19"/>
          <w:color w:val="auto"/>
        </w:rPr>
        <w:t>"Regular Principal Distributable Amount" means, with respect to any Distribution Date, an amount equal to, (i) if such Distribution Date is prior to the occurrence of an Event of Default solely relating to a breach of a covenant, representation or warranty and acceleration of the Notes, the lesser of (a) the aggregate Note Balance on that Distribution Date (after giving effect to any payments made on that Distribution Date) and (b) an amount equal to the excess of (1) the sum of the aggregate Note Balance on that Distribution Date (after giving effect to any payments in clauses (iv), (vi), (viii), (x) and (xii) of Section 5.7(b) made on that Distribution Date) plus the Target Overcollateralization Amount, over (2) the Pool Balance as of the last day of the related Collection Period, and (ii) if such Distribution Date follows the occurrence of an Event of Default solely relating to a breach of a covenant, representation or warranty, the aggregate Note Balance (after giving effect to all other payments made on that Distribution Date).</w:t>
      </w:r>
    </w:p>
    <w:p>
      <w:pPr>
        <w:spacing w:after="0" w:line="160"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"Regulation AB" means Subpart 229.1100- Asset Backed Securities (Regulation AB), 17 C.F.R. §§229.1100-229.1125, as such may be amended from time to time and subject to such clarification and interpretation as have been provided by the Commission in the adopting releases (Asset-Backed Securities, Securities Act Release No. 33-8518.70 Fed. Reg. 1,506,1,531 (January 7, 2005) and Asset-Backed Securities Disclosure and Regulation, Securities Act Release No. 33-9638, 79 Fed. Reg. 57,184 (September 24, 2014)) or by the staff of the Commission, or as may be provided by the Commission or its staff from time to time.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0" w:name="page481"/>
    <w:bookmarkEnd w:id="480"/>
    <w:p>
      <w:pPr>
        <w:spacing w:after="0" w:line="200" w:lineRule="exact"/>
        <w:rPr>
          <w:sz w:val="20"/>
          <w:szCs w:val="20"/>
          <w:color w:val="auto"/>
        </w:rPr>
      </w:pPr>
    </w:p>
    <w:p>
      <w:pPr>
        <w:spacing w:after="0" w:line="2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"Regulation RR" means Regulation RR under the Exchange Act (17 C.F.R. §§246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jc w:val="both"/>
        <w:ind w:right="20" w:firstLine="696"/>
        <w:spacing w:after="0" w:line="262" w:lineRule="auto"/>
        <w:rPr>
          <w:sz w:val="20"/>
          <w:szCs w:val="20"/>
          <w:color w:val="auto"/>
        </w:rPr>
      </w:pPr>
      <w:r>
        <w:rPr>
          <w:rFonts w:ascii="Times New Roman" w:cs="Times New Roman" w:eastAsia="Times New Roman" w:hAnsi="Times New Roman"/>
          <w:sz w:val="19"/>
          <w:szCs w:val="19"/>
          <w:color w:val="auto"/>
        </w:rPr>
        <w:t>"Required Legend" means a legend applied by the E-Vault System to every page of an Electronic Contract which identifies the owner of record as "The original document is owned by United Auto Credit Securitization Trust 2025-1 and held by United Auto Credit Corporation, as Custodian, on behalf of Computershare Trust Company, N.A., as Indenture Trustee for the benefit of the Noteholders, as secured party. This copy was created on [date] / [time]."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"Reserve Account" means the account designated as such, established and maintained pursuant to Section 5.1(a)(iii).</w:t>
      </w:r>
    </w:p>
    <w:p>
      <w:pPr>
        <w:spacing w:after="0" w:line="202" w:lineRule="exact"/>
        <w:rPr>
          <w:sz w:val="20"/>
          <w:szCs w:val="20"/>
          <w:color w:val="auto"/>
        </w:rPr>
      </w:pPr>
    </w:p>
    <w:p>
      <w:pPr>
        <w:ind w:right="200" w:firstLine="696"/>
        <w:spacing w:after="0" w:line="262" w:lineRule="auto"/>
        <w:rPr>
          <w:sz w:val="20"/>
          <w:szCs w:val="20"/>
          <w:color w:val="auto"/>
        </w:rPr>
      </w:pPr>
      <w:r>
        <w:rPr>
          <w:rFonts w:ascii="Times New Roman" w:cs="Times New Roman" w:eastAsia="Times New Roman" w:hAnsi="Times New Roman"/>
          <w:sz w:val="19"/>
          <w:szCs w:val="19"/>
          <w:color w:val="auto"/>
        </w:rPr>
        <w:t>"Reserve Account Deposit Amount" means, with respect to any Distribution Date, the lesser of (x) the excess of (i) the Specified Reserve Balance over (ii) the amount on deposit in the Reserve Account on such Distribution Date, after taking into account the amount of any Reserve Account Withdrawal Amount on such Distribution Date, and (y) the amount remaining in the Collection Account after taking into account the distributions therefrom described in clauses (i) through (xii) of Section 5.7(b).</w:t>
      </w:r>
    </w:p>
    <w:p>
      <w:pPr>
        <w:spacing w:after="0" w:line="150"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auto"/>
        </w:rPr>
        <w:t>"Reserve Account Withdrawal Amount" means, with respect to any Distribution Date, the lesser of (x) any shortfall in the amount of Available Funds available to pay the amounts specified in clauses (i) through (xii) of Section 5.7(b) (taking into account application of Available Funds to the priority of payments specified in Section 5.7(b) and ignoring any provision hereof which otherwise limits the amounts described in such clauses to the amount of funds available) and (y) the amount on deposit in the Reserve Account on such Distribution Date prior to application of amounts on deposit therein pursuant to Section 5.8 of this Agreement or Section 5.6(a) of the Indenture.</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"S&amp;P Global Ratings" means S&amp;P Global Ratings, a Standard &amp; Poor's Financial Services LLC business.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"Sale and Servicing Agreement Collateral" has the meaning specified in Section 2.4.</w:t>
      </w:r>
    </w:p>
    <w:p>
      <w:pPr>
        <w:spacing w:after="0" w:line="202"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"Schedule of Receivables" means the schedule of Receivables originally held as part of the Trust which is attached as Schedule A hereto (which Schedule may be in the form of microfiche or a disk).</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"Schedule of Representations" means the Schedule of Representations and Warranties attached hereto as Schedule B.</w:t>
      </w:r>
    </w:p>
    <w:p>
      <w:pPr>
        <w:spacing w:after="0" w:line="202"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"Scheduled Receivables Payment" means, with respect to any Collection Period for any Receivable, the amount set forth in such Receivable as required to be paid by the Obligor in such Collection Period. If after the Closing Date, the Obligor's obligation under a Receivable with respect to a Collection Period has been modified so as to differ from the amount specified in such Receivable as a result of (i) the order of a court in an insolvency proceeding involving the Obligor, (ii) pursuant to the Servicemembers Civil Relief Act or similar legislation or (iii) modifications or extensions of the Receivable permitted by Section 4.2(b), the Scheduled Receivables Payment with respect to such Collection Period shall refer to the Obligor's payment obligation with respect to such Collection Period as so modified.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81" w:name="page482"/>
    <w:bookmarkEnd w:id="481"/>
    <w:p>
      <w:pPr>
        <w:spacing w:after="0" w:line="200" w:lineRule="exact"/>
        <w:rPr>
          <w:sz w:val="20"/>
          <w:szCs w:val="20"/>
          <w:color w:val="auto"/>
        </w:rPr>
      </w:pPr>
    </w:p>
    <w:p>
      <w:pPr>
        <w:spacing w:after="0" w:line="261"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 xml:space="preserve">"Second Priority Principal Distributable Amount" means, with respect to any Distribution Date, (i) the excess, if any, of the sum of the Class A Note Balance and the Class B Note Balance on that Distribution Date (before giving effect to any payments to be made on that Distribution Date) over the Pool Balance as of the last day of the related Collection Period, minus (ii) the First Priority Principal Distributable Amount;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on and after the Final Scheduled Distribution Date for the Class B Notes, the Second Priority Principal Distributable Amount will not be less than the amount that is necessary to reduce the Class B Note Balance to zero.</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"Security" means the Notes and the Certificates.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"Securityholders" means the Noteholders and the Certificateholders.</w:t>
      </w:r>
    </w:p>
    <w:p>
      <w:pPr>
        <w:spacing w:after="0" w:line="202"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"Service Contract" means, with respect to a Financed Vehicle, the agreement, if any, financed under the related Receivable that provides for the repair of such Financed Vehicle.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means United Auto, as the servicer of the Receivables, and each successor servicer pursuant to Section 9.3.</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"Servicer Termination Event" means an event specified in Section 9.1.</w:t>
      </w:r>
    </w:p>
    <w:p>
      <w:pPr>
        <w:spacing w:after="0" w:line="202"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"Servicer's Certificate" means an Officer's Certificate of the Servicer delivered pursuant to Section 4.9, substantially in the form of Exhibit A.</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"Servicing Fee" has the meaning specified in Section 4.8.</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"Servicing Fee Rate" means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per annum.</w:t>
      </w:r>
    </w:p>
    <w:p>
      <w:pPr>
        <w:spacing w:after="0" w:line="204"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auto"/>
        </w:rPr>
        <w:t>"Servicing Policies and Procedures" means the customary servicing policies and procedures of United Auto relating to motor vehicle retail installment sales contracts acquired by United Auto through motor vehicle dealers, which includes that no modifications to any Receivable is permitted other than a Permitted Modification, as such policies and procedures may be updated from time to time, except to the extent any such update could result in the Issuer being treated, for United States federal income tax purposes, as an association (or a publicly traded partnership) taxable as a corporation or as other than a fixed investment trust described in Treasury Regulation Section 301.7701-4(c) that is treated as a grantor trust under subtitle A, chapter 1, subchapter J, part I, subpart E of the Code.</w:t>
      </w:r>
    </w:p>
    <w:p>
      <w:pPr>
        <w:spacing w:after="0" w:line="157" w:lineRule="exact"/>
        <w:rPr>
          <w:sz w:val="20"/>
          <w:szCs w:val="20"/>
          <w:color w:val="auto"/>
        </w:rPr>
      </w:pPr>
    </w:p>
    <w:p>
      <w:pPr>
        <w:ind w:right="20" w:firstLine="696"/>
        <w:spacing w:after="0" w:line="256" w:lineRule="auto"/>
        <w:rPr>
          <w:sz w:val="20"/>
          <w:szCs w:val="20"/>
          <w:color w:val="auto"/>
        </w:rPr>
      </w:pPr>
      <w:r>
        <w:rPr>
          <w:rFonts w:ascii="Times New Roman" w:cs="Times New Roman" w:eastAsia="Times New Roman" w:hAnsi="Times New Roman"/>
          <w:sz w:val="19"/>
          <w:szCs w:val="19"/>
          <w:color w:val="auto"/>
        </w:rPr>
        <w:t>"Simple Interest Method" means the method of allocating a fixed level payment on an obligation between principal and interest, pursuant to which the portion of such payment that is allocated to interest is equal to the product of the fixed rate of interest on such obligation multiplied by the period of time (expressed as a fraction of a year, based on the actual number of days in the calendar month and 365/366 days in the calendar year) elapsed since the preceding payment under the obligation was made.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2" w:name="page483"/>
    <w:bookmarkEnd w:id="482"/>
    <w:p>
      <w:pPr>
        <w:spacing w:after="0" w:line="200" w:lineRule="exact"/>
        <w:rPr>
          <w:sz w:val="20"/>
          <w:szCs w:val="20"/>
          <w:color w:val="auto"/>
        </w:rPr>
      </w:pPr>
    </w:p>
    <w:p>
      <w:pPr>
        <w:spacing w:after="0" w:line="259"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color w:val="auto"/>
        </w:rPr>
        <w:t>"Specified Reserve Balance" means, with respect to any Distribution Date, an amount equal to at least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or at least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of the Pool Balance as of the Cutoff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Specified Reserve Balance will in no event exceed the aggregate Note Balance of the Notes on such Distribution Date after giving effect to distributions of principal on such Distribution Date.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"SR 2024" means the U.K.'s Securitisation Regulations 2024 (except as otherwise stated, as amended).</w:t>
      </w:r>
    </w:p>
    <w:p>
      <w:pPr>
        <w:spacing w:after="0" w:line="202" w:lineRule="exact"/>
        <w:rPr>
          <w:sz w:val="20"/>
          <w:szCs w:val="20"/>
          <w:color w:val="auto"/>
        </w:rPr>
      </w:pPr>
    </w:p>
    <w:p>
      <w:pPr>
        <w:jc w:val="both"/>
        <w:ind w:right="160" w:firstLine="696"/>
        <w:spacing w:after="0" w:line="268" w:lineRule="auto"/>
        <w:rPr>
          <w:sz w:val="20"/>
          <w:szCs w:val="20"/>
          <w:color w:val="auto"/>
        </w:rPr>
      </w:pPr>
      <w:r>
        <w:rPr>
          <w:rFonts w:ascii="Times New Roman" w:cs="Times New Roman" w:eastAsia="Times New Roman" w:hAnsi="Times New Roman"/>
          <w:sz w:val="19"/>
          <w:szCs w:val="19"/>
          <w:color w:val="auto"/>
        </w:rPr>
        <w:t>"Supplemental Servicing Fee" means, with respect to any Collection Period, all administrative fees, expenses and charges paid by or on behalf of Obligors, including late fees, prepayment fees, liquidation fees and fees related to extensions, if any, collected on the Receivables during such Collection Period.</w:t>
      </w:r>
    </w:p>
    <w:p>
      <w:pPr>
        <w:spacing w:after="0" w:line="142" w:lineRule="exact"/>
        <w:rPr>
          <w:sz w:val="20"/>
          <w:szCs w:val="20"/>
          <w:color w:val="auto"/>
        </w:rPr>
      </w:pPr>
    </w:p>
    <w:p>
      <w:pPr>
        <w:ind w:right="540" w:firstLine="696"/>
        <w:spacing w:after="0" w:line="288" w:lineRule="auto"/>
        <w:rPr>
          <w:sz w:val="20"/>
          <w:szCs w:val="20"/>
          <w:color w:val="auto"/>
        </w:rPr>
      </w:pPr>
      <w:r>
        <w:rPr>
          <w:rFonts w:ascii="Times New Roman" w:cs="Times New Roman" w:eastAsia="Times New Roman" w:hAnsi="Times New Roman"/>
          <w:sz w:val="19"/>
          <w:szCs w:val="19"/>
          <w:color w:val="auto"/>
        </w:rPr>
        <w:t xml:space="preserve">"Target Overcollateralization Amount" means, with respect to any Distribution Date, the greater of (i)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of the Pool Balance as of the last day of the related Collection Period and (ii)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of the Pool Balance as of the Cutoff Date.</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"Termination Proceeds" has the meaning assigned thereto in Section 10.1(b).</w:t>
      </w:r>
    </w:p>
    <w:p>
      <w:pPr>
        <w:spacing w:after="0" w:line="202"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auto"/>
        </w:rPr>
        <w:t xml:space="preserve">"Third Priority Principal Distributable Amount" means, with respect to any Distribution Date, (i) the excess, if any, of the sum of the Class A Note Balance, the Class B Note Balance and the Class C Note Balance on that Distribution Date (before giving effect to any payments made on that Distribution Date) over the Pool Balance as of the last day of the related Collection Period, minus (ii) the sum of the First Priority Principal Distributable Amount and the Second Priority Principal Distributable Amount;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on and after the Final Scheduled Distribution Date for the Class C Notes, the Third Priority Principal Distributable Amount will not be less than the amount that is necessary to reduce the Class C Note Balance to zero.</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"Total Available Funds" has the meaning assigned thereto in Section 5.7(b).</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"Trust" means the Issuer.</w:t>
      </w:r>
    </w:p>
    <w:p>
      <w:pPr>
        <w:spacing w:after="0" w:line="202" w:lineRule="exact"/>
        <w:rPr>
          <w:sz w:val="20"/>
          <w:szCs w:val="20"/>
          <w:color w:val="auto"/>
        </w:rPr>
      </w:pPr>
    </w:p>
    <w:p>
      <w:pPr>
        <w:ind w:right="140" w:firstLine="696"/>
        <w:spacing w:after="0" w:line="268" w:lineRule="auto"/>
        <w:rPr>
          <w:sz w:val="20"/>
          <w:szCs w:val="20"/>
          <w:color w:val="auto"/>
        </w:rPr>
      </w:pPr>
      <w:r>
        <w:rPr>
          <w:rFonts w:ascii="Times New Roman" w:cs="Times New Roman" w:eastAsia="Times New Roman" w:hAnsi="Times New Roman"/>
          <w:sz w:val="19"/>
          <w:szCs w:val="19"/>
          <w:color w:val="auto"/>
        </w:rPr>
        <w:t>"Trust Account Property" means the Trust Accounts, all amounts and investments held from time to time in any Trust Account (whether in the form of deposit accounts, Physical Property, book-entry securities, uncertificated securities or otherwise), and all proceeds of the foregoing.</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"Trust Accounts" has the meaning assigned thereto in Section 5.1(b).</w:t>
      </w:r>
    </w:p>
    <w:p>
      <w:pPr>
        <w:spacing w:after="0" w:line="202"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color w:val="auto"/>
        </w:rPr>
        <w:t>"Trust Agreement" means the Trust Agreement dated as of January 30, 2025, between the Depositor and the Owner Trustee, as amended and restated by the Amended and Restated Trust Agreement, dated as of February 28, 2025, among the Depositor, the Certificate Registrar, the Certificate Paying Agent and the Owner Trustee, as further amended, supplemented or otherwise modified from time to time in accordance with the terms thereof.</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3" w:name="page484"/>
    <w:bookmarkEnd w:id="483"/>
    <w:p>
      <w:pPr>
        <w:spacing w:after="0" w:line="200" w:lineRule="exact"/>
        <w:rPr>
          <w:sz w:val="20"/>
          <w:szCs w:val="20"/>
          <w:color w:val="auto"/>
        </w:rPr>
      </w:pPr>
    </w:p>
    <w:p>
      <w:pPr>
        <w:spacing w:after="0" w:line="261"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"Trust Officer" means, (i) in the case of the Indenture Trustee, the chairman or vice- chairman of the board of directors, any managing director, the chairman or vice-chairman of the executive committee of the board of directors, the president, any vice president, assistant vice president, the secretary, any assistant secretary, the treasurer, any assistant treasurer, the cashier, any assistant cashier, any trust officer or assistant trust officer, the controller and any assistant controller or any other officer of the Indenture Trustee customarily performing functions similar to those performed by any of the above designated officers with direct responsibility for the administration of this Agreement or any other Basic Document and also means, with respect to a particular corporate trust matter, any other officer to whom such matter is referred because of such officer's knowledge of and familiarity with the particular subject, and (ii) in the case of the Owner Trustee, any officer in the corporate trust office of the Owner Trustee or any agent of the Owner Trustee under a power of attorney with direct responsibility for the administration of the Trust Agreement or any of the other Basic Documents on behalf of the Owner Trustee.</w:t>
      </w:r>
    </w:p>
    <w:p>
      <w:pPr>
        <w:spacing w:after="0" w:line="160"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auto"/>
        </w:rPr>
        <w:t>"Trust Property" means the property and proceeds conveyed pursuant to Section 2.1, together with certain monies paid on or after the Cutoff Date, the Collection Account (including all Eligible Investments therein and all proceeds therefrom), the Issuer's interest in the Lockbox Account, the Reserve Account (including all Eligible Investments therein and all proceeds therefrom), the Note Distribution Account (including all Eligible Investments therein and all proceeds therefrom) and certain other rights under this Agreement.</w:t>
      </w:r>
    </w:p>
    <w:p>
      <w:pPr>
        <w:spacing w:after="0" w:line="154" w:lineRule="exact"/>
        <w:rPr>
          <w:sz w:val="20"/>
          <w:szCs w:val="20"/>
          <w:color w:val="auto"/>
        </w:rPr>
      </w:pPr>
    </w:p>
    <w:p>
      <w:pPr>
        <w:ind w:right="100" w:firstLine="696"/>
        <w:spacing w:after="0" w:line="286" w:lineRule="auto"/>
        <w:rPr>
          <w:sz w:val="20"/>
          <w:szCs w:val="20"/>
          <w:color w:val="auto"/>
        </w:rPr>
      </w:pPr>
      <w:r>
        <w:rPr>
          <w:rFonts w:ascii="Times New Roman" w:cs="Times New Roman" w:eastAsia="Times New Roman" w:hAnsi="Times New Roman"/>
          <w:sz w:val="19"/>
          <w:szCs w:val="19"/>
          <w:color w:val="auto"/>
        </w:rPr>
        <w:t>"U.K. Investor Requirements" means the provisions of Regulations 32B-32D and Schedule A1 of the SR 2024, SECN 4 of the FCA Rules and Article 5 of Chapter 2 of the PRA Rules, as applicable.</w:t>
      </w:r>
    </w:p>
    <w:p>
      <w:pPr>
        <w:spacing w:after="0" w:line="125" w:lineRule="exact"/>
        <w:rPr>
          <w:sz w:val="20"/>
          <w:szCs w:val="20"/>
          <w:color w:val="auto"/>
        </w:rPr>
      </w:pPr>
    </w:p>
    <w:p>
      <w:pPr>
        <w:ind w:right="8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U.K. Prescribed Reporting" means any document or information that (a) is prescribed by (i) Article 7 of Chapter 2, Chapter 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Chapter 6 of the PRA Rules, (ii) SECN 6, SECN 11 or SECN 12 of the FCA Rules or (iii) any related provision of the U.K. Securitization Rules; or (b) may be required for purposes of any person's compliance with (i) Regulation 32B(1)(e), Regulation 32B(4) and Schedule A1 of the SR 2024, (ii) Article 5(1)(e) of Chapter 2 of the PRA Rules or (iii) SECN 4.2.1R(1)(e) of the FCA Rules.</w:t>
      </w:r>
    </w:p>
    <w:p>
      <w:pPr>
        <w:spacing w:after="0" w:line="149"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9"/>
          <w:szCs w:val="19"/>
          <w:color w:val="auto"/>
        </w:rPr>
        <w:t>"U.K. Securitization Rules" means, collectively, (a) the SR 2024, (b) the PRA Rules and the FCA Rules, (c) all other rules, directions and other requirements made or imposed pursuant to, in accordance with, or in relation to, the SR 2024 by the PRA, the FCA or the U.K.'s Pensions Regulator, (d) all provisions of FSMA related to any of the foregoing and (e) all official binding guidance published in relation to any of the foregoing (including by the PRA or the FCA) (in each case, except as otherwise stated, as amended).</w:t>
      </w:r>
    </w:p>
    <w:p>
      <w:pPr>
        <w:spacing w:after="0" w:line="150"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"U.S.A. Patriot Act" means the Uniting and Strengthening America by Providing Appropriate Tools Required to Intercept and Obstruct Terrorism Act of 2001.</w:t>
      </w:r>
    </w:p>
    <w:p>
      <w:pPr>
        <w:spacing w:after="0" w:line="127" w:lineRule="exact"/>
        <w:rPr>
          <w:sz w:val="20"/>
          <w:szCs w:val="20"/>
          <w:color w:val="auto"/>
        </w:rPr>
      </w:pPr>
    </w:p>
    <w:p>
      <w:pPr>
        <w:ind w:right="520" w:firstLine="696"/>
        <w:spacing w:after="0" w:line="262" w:lineRule="auto"/>
        <w:rPr>
          <w:sz w:val="20"/>
          <w:szCs w:val="20"/>
          <w:color w:val="auto"/>
        </w:rPr>
      </w:pPr>
      <w:r>
        <w:rPr>
          <w:rFonts w:ascii="Times New Roman" w:cs="Times New Roman" w:eastAsia="Times New Roman" w:hAnsi="Times New Roman"/>
          <w:sz w:val="19"/>
          <w:szCs w:val="19"/>
          <w:color w:val="auto"/>
        </w:rPr>
        <w:t>"UACC 2025-1 ABS Vault Partition" means a segregated partition of the E-Vault System maintained by United Auto for storing Electronic Contracts related to the transactions contemplated by this Agreement.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84" w:name="page485"/>
    <w:bookmarkEnd w:id="484"/>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"UCC" means the Uniform Commercial Code as in effect in the relevant jurisdiction on the date of the Agreement.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"United Auto" means United Auto Credit Corporation, a California corporation.</w:t>
      </w:r>
    </w:p>
    <w:p>
      <w:pPr>
        <w:spacing w:after="0" w:line="202"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color w:val="auto"/>
        </w:rPr>
        <w:t>"United Auto E-Vault Services Agreement" means the Services Agreement, effective as of March 4, 2025, between the E-Vault Provider and United Auto.</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I.2. </w:t>
      </w:r>
      <w:r>
        <w:rPr>
          <w:rFonts w:ascii="Times New Roman" w:cs="Times New Roman" w:eastAsia="Times New Roman" w:hAnsi="Times New Roman"/>
          <w:sz w:val="19"/>
          <w:szCs w:val="19"/>
          <w:color w:val="000000"/>
        </w:rPr>
        <w:t>Other Definitional Provisions.</w:t>
      </w:r>
    </w:p>
    <w:p>
      <w:pPr>
        <w:spacing w:after="0" w:line="202" w:lineRule="exact"/>
        <w:rPr>
          <w:sz w:val="20"/>
          <w:szCs w:val="20"/>
          <w:color w:val="auto"/>
        </w:rPr>
      </w:pPr>
    </w:p>
    <w:p>
      <w:pPr>
        <w:ind w:right="220" w:firstLine="702"/>
        <w:spacing w:after="0" w:line="286" w:lineRule="auto"/>
        <w:tabs>
          <w:tab w:leader="none" w:pos="960" w:val="left"/>
        </w:tabs>
        <w:numPr>
          <w:ilvl w:val="0"/>
          <w:numId w:val="3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Capitalized terms used herein and not otherwise defined herein have meanings assigned to them in the Indenture, or, if not defined therein, in the Trust Agreement.</w:t>
      </w:r>
    </w:p>
    <w:p>
      <w:pPr>
        <w:spacing w:after="0" w:line="127" w:lineRule="exact"/>
        <w:rPr>
          <w:rFonts w:ascii="Times New Roman" w:cs="Times New Roman" w:eastAsia="Times New Roman" w:hAnsi="Times New Roman"/>
          <w:sz w:val="19"/>
          <w:szCs w:val="19"/>
          <w:color w:val="1F3763"/>
        </w:rPr>
      </w:pPr>
    </w:p>
    <w:p>
      <w:pPr>
        <w:ind w:right="220" w:firstLine="702"/>
        <w:spacing w:after="0" w:line="286" w:lineRule="auto"/>
        <w:tabs>
          <w:tab w:leader="none" w:pos="972" w:val="left"/>
        </w:tabs>
        <w:numPr>
          <w:ilvl w:val="0"/>
          <w:numId w:val="3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terms defined in this Agreement shall have the defined meanings when used in any instrument governed hereby and in any certificate or other document made or delivered pursuant hereto unless otherwise defined therein.</w:t>
      </w:r>
    </w:p>
    <w:p>
      <w:pPr>
        <w:spacing w:after="0" w:line="127" w:lineRule="exact"/>
        <w:rPr>
          <w:rFonts w:ascii="Times New Roman" w:cs="Times New Roman" w:eastAsia="Times New Roman" w:hAnsi="Times New Roman"/>
          <w:sz w:val="19"/>
          <w:szCs w:val="19"/>
          <w:color w:val="1F3763"/>
        </w:rPr>
      </w:pPr>
    </w:p>
    <w:p>
      <w:pPr>
        <w:ind w:right="20" w:firstLine="702"/>
        <w:spacing w:after="0" w:line="255" w:lineRule="auto"/>
        <w:tabs>
          <w:tab w:leader="none" w:pos="960" w:val="left"/>
        </w:tabs>
        <w:numPr>
          <w:ilvl w:val="0"/>
          <w:numId w:val="3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As used in this Agreement, in any instrument governed hereby and in any certificate or other document made or delivered pursuant hereto or thereto, accounting terms not defined in this Agreement or in any such instrument, certificate or other document, and accounting terms partly defined in this Agreement or in any such instrument, certificate or other document to the extent not defined, shall have the respective meanings given to them under generally accepted accounting principles as in effect on the date of this Agreement or any such instrument, certificate or other document, as applicable. To the extent that the definitions of accounting terms in this Agreement or in any such instrument, certificate or other document are inconsistent with the meanings of such terms under generally accepted accounting principles, the definitions contained in this Agreement or in any such instrument, certificate or other document shall control.</w:t>
      </w:r>
    </w:p>
    <w:p>
      <w:pPr>
        <w:spacing w:after="0" w:line="391" w:lineRule="exact"/>
        <w:rPr>
          <w:rFonts w:ascii="Times New Roman" w:cs="Times New Roman" w:eastAsia="Times New Roman" w:hAnsi="Times New Roman"/>
          <w:sz w:val="19"/>
          <w:szCs w:val="19"/>
          <w:color w:val="1F3763"/>
        </w:rPr>
      </w:pPr>
    </w:p>
    <w:p>
      <w:pPr>
        <w:ind w:right="160" w:firstLine="702"/>
        <w:spacing w:after="0" w:line="262" w:lineRule="auto"/>
        <w:tabs>
          <w:tab w:leader="none" w:pos="972" w:val="left"/>
        </w:tabs>
        <w:numPr>
          <w:ilvl w:val="0"/>
          <w:numId w:val="3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words "hereof," "herein," "hereunder" and words of similar import when used in this Agreement shall refer to this Agreement as a whole and not to any particular provision of this Agreement; Section, Schedule and Exhibit references contained in this Agreement are references to Sections, Schedules and Exhibits in or to this Agreement unless otherwise specified; and the term "including" shall mean "including without limitation."</w:t>
      </w:r>
    </w:p>
    <w:p>
      <w:pPr>
        <w:spacing w:after="0" w:line="150" w:lineRule="exact"/>
        <w:rPr>
          <w:rFonts w:ascii="Times New Roman" w:cs="Times New Roman" w:eastAsia="Times New Roman" w:hAnsi="Times New Roman"/>
          <w:sz w:val="19"/>
          <w:szCs w:val="19"/>
          <w:color w:val="1F3763"/>
        </w:rPr>
      </w:pPr>
    </w:p>
    <w:p>
      <w:pPr>
        <w:ind w:firstLine="702"/>
        <w:spacing w:after="0" w:line="286" w:lineRule="auto"/>
        <w:tabs>
          <w:tab w:leader="none" w:pos="960" w:val="left"/>
        </w:tabs>
        <w:numPr>
          <w:ilvl w:val="0"/>
          <w:numId w:val="3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definitions contained in this Agreement are applicable to the singular as well as the plural forms of such terms and to the masculine as well as to the feminine and neuter genders of such terms.</w:t>
      </w:r>
    </w:p>
    <w:p>
      <w:pPr>
        <w:spacing w:after="0" w:line="127" w:lineRule="exact"/>
        <w:rPr>
          <w:rFonts w:ascii="Times New Roman" w:cs="Times New Roman" w:eastAsia="Times New Roman" w:hAnsi="Times New Roman"/>
          <w:sz w:val="19"/>
          <w:szCs w:val="19"/>
          <w:color w:val="1F3763"/>
        </w:rPr>
      </w:pPr>
    </w:p>
    <w:p>
      <w:pPr>
        <w:jc w:val="both"/>
        <w:ind w:right="60" w:firstLine="702"/>
        <w:spacing w:after="0" w:line="262" w:lineRule="auto"/>
        <w:tabs>
          <w:tab w:leader="none" w:pos="936" w:val="left"/>
        </w:tabs>
        <w:numPr>
          <w:ilvl w:val="0"/>
          <w:numId w:val="39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agreement, instrument or statute defined or referred to herein or in any instrument or certificate delivered in connection herewith means such agreement, instrument or statute as from time to time amended, modified or supplemented and includes (in the case</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color w:val="auto"/>
        </w:rPr>
        <w:t>of agreements or instruments) references to all attachments thereto and instruments incorporated therein; references to a Person are also to its permitted successors and assigns.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5" w:name="page486"/>
    <w:bookmarkEnd w:id="485"/>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F5496"/>
        </w:rPr>
        <w:t>ARTICLE II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Conveyance of Receivables</w:t>
      </w:r>
    </w:p>
    <w:p>
      <w:pPr>
        <w:spacing w:after="0" w:line="202"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II.1. </w:t>
      </w:r>
      <w:r>
        <w:rPr>
          <w:rFonts w:ascii="Times New Roman" w:cs="Times New Roman" w:eastAsia="Times New Roman" w:hAnsi="Times New Roman"/>
          <w:sz w:val="19"/>
          <w:szCs w:val="19"/>
          <w:color w:val="000000"/>
        </w:rPr>
        <w:t>Conveyance of Receivables. In consideration of the Issuer's delivery to or upon the order of the Depositor 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Closing Date of the net proceeds from the sale of the Notes (with any difference between the purchase price under the Purchase Agreement and such net proceeds deemed to be a contribution to the capital of the Issuer (a wholly-owned subsidiary of the Depositor)), the Depositor does hereby sell, transfer, assign, set over and otherwise convey to the Issuer, without recourse (subject to the Depositor's obligations set forth herein) and the Issuer hereby purchases, all right, title and interest of the Depositor in and to the following property, whether now owned or existing or hereafter acquired or arising:</w:t>
      </w:r>
    </w:p>
    <w:p>
      <w:pPr>
        <w:spacing w:after="0" w:line="157" w:lineRule="exact"/>
        <w:rPr>
          <w:sz w:val="20"/>
          <w:szCs w:val="20"/>
          <w:color w:val="auto"/>
        </w:rPr>
      </w:pPr>
    </w:p>
    <w:p>
      <w:pPr>
        <w:ind w:left="960" w:hanging="258"/>
        <w:spacing w:after="0"/>
        <w:tabs>
          <w:tab w:leader="none" w:pos="960"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Receivables and all moneys received thereon after the Cutoff Date (excluding any Supplemental Servicing Fees);</w:t>
      </w:r>
    </w:p>
    <w:p>
      <w:pPr>
        <w:spacing w:after="0" w:line="201" w:lineRule="exact"/>
        <w:rPr>
          <w:rFonts w:ascii="Times New Roman" w:cs="Times New Roman" w:eastAsia="Times New Roman" w:hAnsi="Times New Roman"/>
          <w:sz w:val="19"/>
          <w:szCs w:val="19"/>
          <w:color w:val="1F3763"/>
        </w:rPr>
      </w:pPr>
    </w:p>
    <w:p>
      <w:pPr>
        <w:ind w:right="140" w:firstLine="702"/>
        <w:spacing w:after="0" w:line="286" w:lineRule="auto"/>
        <w:tabs>
          <w:tab w:leader="none" w:pos="972"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security interests in the Financed Vehicles granted by Obligors pursuant to the Receivables and any other interest of the Depositor in such Financed Vehicles;</w:t>
      </w:r>
    </w:p>
    <w:p>
      <w:pPr>
        <w:spacing w:after="0" w:line="127" w:lineRule="exact"/>
        <w:rPr>
          <w:rFonts w:ascii="Times New Roman" w:cs="Times New Roman" w:eastAsia="Times New Roman" w:hAnsi="Times New Roman"/>
          <w:sz w:val="19"/>
          <w:szCs w:val="19"/>
          <w:color w:val="1F3763"/>
        </w:rPr>
      </w:pPr>
    </w:p>
    <w:p>
      <w:pPr>
        <w:jc w:val="both"/>
        <w:ind w:right="220" w:firstLine="702"/>
        <w:spacing w:after="0" w:line="268" w:lineRule="auto"/>
        <w:tabs>
          <w:tab w:leader="none" w:pos="960"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proceeds and the right to receive proceeds with respect to the Receivables from claims on any physical damage, credit life or disability insurance policies covering Financed Vehicles or Obligors, including Collateral Insurance, and any proceeds from the repossession or liquidation of the Receivables;</w:t>
      </w:r>
    </w:p>
    <w:p>
      <w:pPr>
        <w:spacing w:after="0" w:line="144" w:lineRule="exact"/>
        <w:rPr>
          <w:rFonts w:ascii="Times New Roman" w:cs="Times New Roman" w:eastAsia="Times New Roman" w:hAnsi="Times New Roman"/>
          <w:sz w:val="19"/>
          <w:szCs w:val="19"/>
          <w:color w:val="1F3763"/>
        </w:rPr>
      </w:pPr>
    </w:p>
    <w:p>
      <w:pPr>
        <w:ind w:firstLine="702"/>
        <w:spacing w:after="0" w:line="268" w:lineRule="auto"/>
        <w:tabs>
          <w:tab w:leader="none" w:pos="972"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rights of the Depositor against Dealers under the related Dealer Agreements, including any proceeds from any Receivable repurchased by a Dealer pursuant to a Dealer Agreement as a result of a breach of representation or warranty in the related Dealer Agreement;</w:t>
      </w:r>
    </w:p>
    <w:p>
      <w:pPr>
        <w:spacing w:after="0" w:line="144" w:lineRule="exact"/>
        <w:rPr>
          <w:rFonts w:ascii="Times New Roman" w:cs="Times New Roman" w:eastAsia="Times New Roman" w:hAnsi="Times New Roman"/>
          <w:sz w:val="19"/>
          <w:szCs w:val="19"/>
          <w:color w:val="1F3763"/>
        </w:rPr>
      </w:pPr>
    </w:p>
    <w:p>
      <w:pPr>
        <w:ind w:left="960" w:hanging="258"/>
        <w:spacing w:after="0"/>
        <w:tabs>
          <w:tab w:leader="none" w:pos="960"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rights under any Service Contracts on the related Financed Vehicles;</w:t>
      </w:r>
    </w:p>
    <w:p>
      <w:pPr>
        <w:spacing w:after="0" w:line="201" w:lineRule="exact"/>
        <w:rPr>
          <w:rFonts w:ascii="Times New Roman" w:cs="Times New Roman" w:eastAsia="Times New Roman" w:hAnsi="Times New Roman"/>
          <w:sz w:val="19"/>
          <w:szCs w:val="19"/>
          <w:color w:val="1F3763"/>
        </w:rPr>
      </w:pPr>
    </w:p>
    <w:p>
      <w:pPr>
        <w:ind w:left="940" w:hanging="238"/>
        <w:spacing w:after="0"/>
        <w:tabs>
          <w:tab w:leader="none" w:pos="940"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related Receivable Files;</w:t>
      </w:r>
    </w:p>
    <w:p>
      <w:pPr>
        <w:spacing w:after="0" w:line="201"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Depositor's interest in the Lockbox Account in respect of any proceeds on the Receivables on deposit therein;</w:t>
      </w:r>
    </w:p>
    <w:p>
      <w:pPr>
        <w:spacing w:after="0" w:line="201" w:lineRule="exact"/>
        <w:rPr>
          <w:rFonts w:ascii="Times New Roman" w:cs="Times New Roman" w:eastAsia="Times New Roman" w:hAnsi="Times New Roman"/>
          <w:sz w:val="19"/>
          <w:szCs w:val="19"/>
          <w:color w:val="1F3763"/>
        </w:rPr>
      </w:pPr>
    </w:p>
    <w:p>
      <w:pPr>
        <w:ind w:right="300" w:firstLine="702"/>
        <w:spacing w:after="0" w:line="268" w:lineRule="auto"/>
        <w:tabs>
          <w:tab w:leader="none" w:pos="972"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of the Depositor's right, title and interest in its rights and benefits, but none of its obligations or burdens, under the Purchase Agreement, and the delivery requirements, representations and warranties and the cure and repurchase obligations of United Auto under the Purchase Agreement;</w:t>
      </w:r>
    </w:p>
    <w:p>
      <w:pPr>
        <w:spacing w:after="0" w:line="144" w:lineRule="exact"/>
        <w:rPr>
          <w:rFonts w:ascii="Times New Roman" w:cs="Times New Roman" w:eastAsia="Times New Roman" w:hAnsi="Times New Roman"/>
          <w:sz w:val="19"/>
          <w:szCs w:val="19"/>
          <w:color w:val="1F3763"/>
        </w:rPr>
      </w:pPr>
    </w:p>
    <w:p>
      <w:pPr>
        <w:ind w:right="180" w:firstLine="702"/>
        <w:spacing w:after="0" w:line="286" w:lineRule="auto"/>
        <w:tabs>
          <w:tab w:leader="none" w:pos="924"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of the Depositor's (i) Accounts, (ii) Chattel Paper, (iii) Documents, (iv) Instruments and (v) General Intangibles (as such terms are defined in the UCC) relating to the property described in (a) through (h) above; and</w:t>
      </w:r>
    </w:p>
    <w:p>
      <w:pPr>
        <w:spacing w:after="0" w:line="127" w:lineRule="exact"/>
        <w:rPr>
          <w:rFonts w:ascii="Times New Roman" w:cs="Times New Roman" w:eastAsia="Times New Roman" w:hAnsi="Times New Roman"/>
          <w:sz w:val="19"/>
          <w:szCs w:val="19"/>
          <w:color w:val="1F3763"/>
        </w:rPr>
      </w:pPr>
    </w:p>
    <w:p>
      <w:pPr>
        <w:ind w:right="180" w:firstLine="702"/>
        <w:spacing w:after="0" w:line="258" w:lineRule="auto"/>
        <w:tabs>
          <w:tab w:leader="none" w:pos="924" w:val="left"/>
        </w:tabs>
        <w:numPr>
          <w:ilvl w:val="0"/>
          <w:numId w:val="39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6" w:name="page487"/>
    <w:bookmarkEnd w:id="486"/>
    <w:p>
      <w:pPr>
        <w:spacing w:after="0" w:line="200" w:lineRule="exact"/>
        <w:rPr>
          <w:sz w:val="20"/>
          <w:szCs w:val="20"/>
          <w:color w:val="auto"/>
        </w:rPr>
      </w:pPr>
    </w:p>
    <w:p>
      <w:pPr>
        <w:spacing w:after="0" w:line="26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(a) through (i) above.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II.2. </w:t>
      </w:r>
      <w:r>
        <w:rPr>
          <w:rFonts w:ascii="Times New Roman" w:cs="Times New Roman" w:eastAsia="Times New Roman" w:hAnsi="Times New Roman"/>
          <w:sz w:val="19"/>
          <w:szCs w:val="19"/>
          <w:color w:val="000000"/>
        </w:rPr>
        <w:t>[Reserved].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II.3. </w:t>
      </w:r>
      <w:r>
        <w:rPr>
          <w:rFonts w:ascii="Times New Roman" w:cs="Times New Roman" w:eastAsia="Times New Roman" w:hAnsi="Times New Roman"/>
          <w:sz w:val="19"/>
          <w:szCs w:val="19"/>
          <w:color w:val="000000"/>
        </w:rPr>
        <w:t>Further Encumbrance of Trust Property.</w:t>
      </w:r>
    </w:p>
    <w:p>
      <w:pPr>
        <w:spacing w:after="0" w:line="202" w:lineRule="exact"/>
        <w:rPr>
          <w:sz w:val="20"/>
          <w:szCs w:val="20"/>
          <w:color w:val="auto"/>
        </w:rPr>
      </w:pPr>
    </w:p>
    <w:p>
      <w:pPr>
        <w:ind w:right="40" w:firstLine="702"/>
        <w:spacing w:after="0" w:line="268" w:lineRule="auto"/>
        <w:tabs>
          <w:tab w:leader="none" w:pos="960" w:val="left"/>
        </w:tabs>
        <w:numPr>
          <w:ilvl w:val="0"/>
          <w:numId w:val="39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Immediately upon the conveyance to the Issuer by the Depositor of any item of the Trust Property pursuant to Section 2.1, all right, title and interest of the Depositor in and to such item of Trust Property shall terminate, and all such right, title and interest shall vest in the Issuer, in accordance with the Trust Agreement and Sections 3802 and 3805 of the Statutory Trust Statute.</w:t>
      </w:r>
    </w:p>
    <w:p>
      <w:pPr>
        <w:spacing w:after="0" w:line="144" w:lineRule="exact"/>
        <w:rPr>
          <w:rFonts w:ascii="Times New Roman" w:cs="Times New Roman" w:eastAsia="Times New Roman" w:hAnsi="Times New Roman"/>
          <w:sz w:val="19"/>
          <w:szCs w:val="19"/>
          <w:color w:val="1F3763"/>
        </w:rPr>
      </w:pPr>
    </w:p>
    <w:p>
      <w:pPr>
        <w:jc w:val="both"/>
        <w:ind w:firstLine="702"/>
        <w:spacing w:after="0" w:line="262" w:lineRule="auto"/>
        <w:tabs>
          <w:tab w:leader="none" w:pos="972" w:val="left"/>
        </w:tabs>
        <w:numPr>
          <w:ilvl w:val="0"/>
          <w:numId w:val="39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Immediately upon the vesting of the Trust Property in the Issuer, the Issuer shall have the sole right to pledge or otherwise encumber such Trust Property. Pursuant to the Indenture, the Issuer shall grant a security interest in the Trust Property to the Indenture Trustee securing the repayment of the Notes. The Certificates shall represent the beneficial ownership interest in the Trust Property, and the Certificateholders shall be entitled to receive distributions with respect thereto as set forth herein.</w:t>
      </w:r>
    </w:p>
    <w:p>
      <w:pPr>
        <w:spacing w:after="0" w:line="150" w:lineRule="exact"/>
        <w:rPr>
          <w:rFonts w:ascii="Times New Roman" w:cs="Times New Roman" w:eastAsia="Times New Roman" w:hAnsi="Times New Roman"/>
          <w:sz w:val="19"/>
          <w:szCs w:val="19"/>
          <w:color w:val="1F3763"/>
        </w:rPr>
      </w:pPr>
    </w:p>
    <w:p>
      <w:pPr>
        <w:ind w:right="20" w:firstLine="702"/>
        <w:spacing w:after="0" w:line="259" w:lineRule="auto"/>
        <w:tabs>
          <w:tab w:leader="none" w:pos="960" w:val="left"/>
        </w:tabs>
        <w:numPr>
          <w:ilvl w:val="0"/>
          <w:numId w:val="39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Following the payment in full of the Notes and the release and discharge of the Indenture, all covenants of the Issuer under Article III of the Indenture shall, until payment in full of the Certificates, remain as covenants of the Issuer for the benefit of the Certificateholders, enforceable by the Certificateholders to the same extent as such covenants were enforceable by the Noteholders prior to the discharge of the Indenture. Any rights of the Indenture Trustee under Article III of the Indenture, following the discharge of the Indenture, shall vest in the Certificateholders.</w:t>
      </w:r>
    </w:p>
    <w:p>
      <w:pPr>
        <w:spacing w:after="0" w:line="153" w:lineRule="exact"/>
        <w:rPr>
          <w:rFonts w:ascii="Times New Roman" w:cs="Times New Roman" w:eastAsia="Times New Roman" w:hAnsi="Times New Roman"/>
          <w:sz w:val="19"/>
          <w:szCs w:val="19"/>
          <w:color w:val="1F3763"/>
        </w:rPr>
      </w:pPr>
    </w:p>
    <w:p>
      <w:pPr>
        <w:ind w:firstLine="702"/>
        <w:spacing w:after="0" w:line="262" w:lineRule="auto"/>
        <w:tabs>
          <w:tab w:leader="none" w:pos="972" w:val="left"/>
        </w:tabs>
        <w:numPr>
          <w:ilvl w:val="0"/>
          <w:numId w:val="39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shall, at such time as there are no Notes Outstanding and all sums due to (i) the Noteholders pursuant to the Basic Documents, (ii) the Indenture Trustee pursuant to the Indenture and this Agreement and (iii) the Servicer, any Successor Custodian and the Backup Servicer pursuant to this Agreement, have been paid, release any remaining portion of the Trust Property to the Issuer.</w:t>
      </w:r>
    </w:p>
    <w:p>
      <w:pPr>
        <w:spacing w:after="0" w:line="150"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II.4. </w:t>
      </w:r>
      <w:r>
        <w:rPr>
          <w:rFonts w:ascii="Times New Roman" w:cs="Times New Roman" w:eastAsia="Times New Roman" w:hAnsi="Times New Roman"/>
          <w:sz w:val="19"/>
          <w:szCs w:val="19"/>
          <w:color w:val="000000"/>
        </w:rPr>
        <w:t>Intention of the Parties. The execution and delivery of this Agreement shall constitute an acknowledgment by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Depositor and the Issuer that they intend that the assignment and transfer herein contemplated constitute a sale and assignment outright, and not for security, of the Receivables and Other Conveyed Property, for non-tax purposes, conveying good title thereto free and clear of any Liens, from the Depositor to the Issuer, and that the Receivables and the Other Conveyed Property shall not be a part of the Depositor's estate in the event of a receivership, bankruptcy, reorganization, arrangement, insolvency or liquidation proceeding, or other proceeding under any federal or State bankruptcy or similar law, or the occurrence of another similar event, of, or with respect to the Depositor. In the event that such conveyance is determined to be made as security for a loan made by the Issuer, the Noteholders or the Certificateholders to the Depositor, the Depositor hereby grants to the Issuer a security interest</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487" w:name="page488"/>
    <w:bookmarkEnd w:id="487"/>
    <w:p>
      <w:pPr>
        <w:spacing w:after="0" w:line="200" w:lineRule="exact"/>
        <w:rPr>
          <w:sz w:val="20"/>
          <w:szCs w:val="20"/>
          <w:color w:val="auto"/>
        </w:rPr>
      </w:pPr>
    </w:p>
    <w:p>
      <w:pPr>
        <w:spacing w:after="0" w:line="26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in all of the Depositor's right, title and interest in and to the following property for the benefit of the Issuer Secured Parties, whether now owned or existing or hereafter acquired or arising, and this Agreement shall constitute a security agreement under applicable law (collectively, the "Sale and Servicing Agreement Collateral"):</w:t>
      </w:r>
    </w:p>
    <w:p>
      <w:pPr>
        <w:spacing w:after="0" w:line="144" w:lineRule="exact"/>
        <w:rPr>
          <w:sz w:val="20"/>
          <w:szCs w:val="20"/>
          <w:color w:val="auto"/>
        </w:rPr>
      </w:pPr>
    </w:p>
    <w:p>
      <w:pPr>
        <w:ind w:left="1920" w:hanging="378"/>
        <w:spacing w:after="0"/>
        <w:tabs>
          <w:tab w:leader="none" w:pos="1920" w:val="left"/>
        </w:tabs>
        <w:numPr>
          <w:ilvl w:val="0"/>
          <w:numId w:val="39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Receivables and all moneys received thereon after the Cutoff Date (excluding any Supplemental Servicing</w:t>
      </w:r>
    </w:p>
    <w:p>
      <w:pPr>
        <w:spacing w:after="0" w:line="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Fees);</w:t>
      </w:r>
    </w:p>
    <w:p>
      <w:pPr>
        <w:spacing w:after="0" w:line="180" w:lineRule="exact"/>
        <w:rPr>
          <w:sz w:val="20"/>
          <w:szCs w:val="20"/>
          <w:color w:val="auto"/>
        </w:rPr>
      </w:pPr>
    </w:p>
    <w:p>
      <w:pPr>
        <w:ind w:left="780" w:right="220" w:firstLine="762"/>
        <w:spacing w:after="0" w:line="286" w:lineRule="auto"/>
        <w:tabs>
          <w:tab w:leader="none" w:pos="1968"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security interests in the Financed Vehicles granted by Obligors pursuant to the Receivables and any other interest of the Depositor in such Financed Vehicles;</w:t>
      </w:r>
    </w:p>
    <w:p>
      <w:pPr>
        <w:spacing w:after="0" w:line="127" w:lineRule="exact"/>
        <w:rPr>
          <w:rFonts w:ascii="Times New Roman" w:cs="Times New Roman" w:eastAsia="Times New Roman" w:hAnsi="Times New Roman"/>
          <w:sz w:val="19"/>
          <w:szCs w:val="19"/>
          <w:color w:val="1F3763"/>
        </w:rPr>
      </w:pPr>
    </w:p>
    <w:p>
      <w:pPr>
        <w:ind w:left="780" w:right="40" w:firstLine="762"/>
        <w:spacing w:after="0" w:line="268" w:lineRule="auto"/>
        <w:tabs>
          <w:tab w:leader="none" w:pos="2016"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proceeds and the right to receive proceeds with respect to the Receivables from claims on any physical damage, credit life or disability insurance policies covering Financed Vehicles or Obligors, including Collateral Insurance, and any proceeds from the repossession or liquidation of the Receivables;</w:t>
      </w:r>
    </w:p>
    <w:p>
      <w:pPr>
        <w:spacing w:after="0" w:line="144" w:lineRule="exact"/>
        <w:rPr>
          <w:rFonts w:ascii="Times New Roman" w:cs="Times New Roman" w:eastAsia="Times New Roman" w:hAnsi="Times New Roman"/>
          <w:sz w:val="19"/>
          <w:szCs w:val="19"/>
          <w:color w:val="1F3763"/>
        </w:rPr>
      </w:pPr>
    </w:p>
    <w:p>
      <w:pPr>
        <w:ind w:left="780" w:firstLine="762"/>
        <w:spacing w:after="0" w:line="268" w:lineRule="auto"/>
        <w:tabs>
          <w:tab w:leader="none" w:pos="2004"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rights of the Depositor against Dealers under the related Dealer Agreements, including any proceeds from any Receivable repurchased by a Dealer pursuant to a Dealer Agreement as a result of a breach of representation or warranty in the related Dealer Agreement;</w:t>
      </w:r>
    </w:p>
    <w:p>
      <w:pPr>
        <w:spacing w:after="0" w:line="144" w:lineRule="exact"/>
        <w:rPr>
          <w:rFonts w:ascii="Times New Roman" w:cs="Times New Roman" w:eastAsia="Times New Roman" w:hAnsi="Times New Roman"/>
          <w:sz w:val="19"/>
          <w:szCs w:val="19"/>
          <w:color w:val="1F3763"/>
        </w:rPr>
      </w:pPr>
    </w:p>
    <w:p>
      <w:pPr>
        <w:ind w:left="1960" w:hanging="418"/>
        <w:spacing w:after="0"/>
        <w:tabs>
          <w:tab w:leader="none" w:pos="1960"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rights under any Service Contracts on the related Financed Vehicles;</w:t>
      </w:r>
    </w:p>
    <w:p>
      <w:pPr>
        <w:spacing w:after="0" w:line="201" w:lineRule="exact"/>
        <w:rPr>
          <w:rFonts w:ascii="Times New Roman" w:cs="Times New Roman" w:eastAsia="Times New Roman" w:hAnsi="Times New Roman"/>
          <w:sz w:val="19"/>
          <w:szCs w:val="19"/>
          <w:color w:val="1F3763"/>
        </w:rPr>
      </w:pPr>
    </w:p>
    <w:p>
      <w:pPr>
        <w:ind w:left="2020" w:hanging="478"/>
        <w:spacing w:after="0"/>
        <w:tabs>
          <w:tab w:leader="none" w:pos="2020"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related Receivable Files;</w:t>
      </w:r>
    </w:p>
    <w:p>
      <w:pPr>
        <w:spacing w:after="0" w:line="201" w:lineRule="exact"/>
        <w:rPr>
          <w:rFonts w:ascii="Times New Roman" w:cs="Times New Roman" w:eastAsia="Times New Roman" w:hAnsi="Times New Roman"/>
          <w:sz w:val="19"/>
          <w:szCs w:val="19"/>
          <w:color w:val="1F3763"/>
        </w:rPr>
      </w:pPr>
    </w:p>
    <w:p>
      <w:pPr>
        <w:ind w:left="2080" w:hanging="538"/>
        <w:spacing w:after="0"/>
        <w:tabs>
          <w:tab w:leader="none" w:pos="2080"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Depositor's interest in the Lockbox Account in respect of any proceeds on the Receivables on deposit</w:t>
      </w:r>
    </w:p>
    <w:p>
      <w:pPr>
        <w:spacing w:after="0" w:line="31" w:lineRule="exact"/>
        <w:rPr>
          <w:rFonts w:ascii="Times New Roman" w:cs="Times New Roman" w:eastAsia="Times New Roman" w:hAnsi="Times New Roman"/>
          <w:sz w:val="19"/>
          <w:szCs w:val="19"/>
          <w:color w:val="1F3763"/>
        </w:rPr>
      </w:pPr>
    </w:p>
    <w:p>
      <w:pPr>
        <w:ind w:left="780"/>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therein;</w:t>
      </w:r>
    </w:p>
    <w:p>
      <w:pPr>
        <w:spacing w:after="0" w:line="179" w:lineRule="exact"/>
        <w:rPr>
          <w:rFonts w:ascii="Times New Roman" w:cs="Times New Roman" w:eastAsia="Times New Roman" w:hAnsi="Times New Roman"/>
          <w:sz w:val="19"/>
          <w:szCs w:val="19"/>
          <w:color w:val="1F3763"/>
        </w:rPr>
      </w:pPr>
    </w:p>
    <w:p>
      <w:pPr>
        <w:ind w:left="780" w:right="200" w:firstLine="762"/>
        <w:spacing w:after="0" w:line="268" w:lineRule="auto"/>
        <w:tabs>
          <w:tab w:leader="none" w:pos="2112"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of the Depositor's right, title and interest in its rights and benefits, but none of its obligations or burdens, under the Purchase Agreement and the delivery requirements, representations and warranties and the cure and repurchase obligations of United Auto under the Purchase Agreement;</w:t>
      </w:r>
    </w:p>
    <w:p>
      <w:pPr>
        <w:spacing w:after="0" w:line="144" w:lineRule="exact"/>
        <w:rPr>
          <w:rFonts w:ascii="Times New Roman" w:cs="Times New Roman" w:eastAsia="Times New Roman" w:hAnsi="Times New Roman"/>
          <w:sz w:val="19"/>
          <w:szCs w:val="19"/>
          <w:color w:val="1F3763"/>
        </w:rPr>
      </w:pPr>
    </w:p>
    <w:p>
      <w:pPr>
        <w:ind w:left="780" w:right="760" w:firstLine="762"/>
        <w:spacing w:after="0" w:line="286" w:lineRule="auto"/>
        <w:tabs>
          <w:tab w:leader="none" w:pos="2004"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of the Depositor's (a) Accounts, (b) Chattel Paper, (c) Documents, (d) Instruments and (e) General Intangibles (as such terms are defined in the UCC) relating to the property described in (i) through (viii) above; and</w:t>
      </w:r>
    </w:p>
    <w:p>
      <w:pPr>
        <w:spacing w:after="0" w:line="127" w:lineRule="exact"/>
        <w:rPr>
          <w:rFonts w:ascii="Times New Roman" w:cs="Times New Roman" w:eastAsia="Times New Roman" w:hAnsi="Times New Roman"/>
          <w:sz w:val="19"/>
          <w:szCs w:val="19"/>
          <w:color w:val="1F3763"/>
        </w:rPr>
      </w:pPr>
    </w:p>
    <w:p>
      <w:pPr>
        <w:ind w:left="780" w:right="240" w:firstLine="762"/>
        <w:spacing w:after="0" w:line="254" w:lineRule="auto"/>
        <w:tabs>
          <w:tab w:leader="none" w:pos="1956" w:val="left"/>
        </w:tabs>
        <w:numPr>
          <w:ilvl w:val="0"/>
          <w:numId w:val="40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w:t>
      </w:r>
    </w:p>
    <w:p>
      <w:pPr>
        <w:spacing w:after="0" w:line="3" w:lineRule="exact"/>
        <w:rPr>
          <w:sz w:val="20"/>
          <w:szCs w:val="20"/>
          <w:color w:val="auto"/>
        </w:rPr>
      </w:pPr>
    </w:p>
    <w:p>
      <w:pPr>
        <w:ind w:left="780" w:right="40"/>
        <w:spacing w:after="0" w:line="250" w:lineRule="auto"/>
        <w:rPr>
          <w:sz w:val="20"/>
          <w:szCs w:val="20"/>
          <w:color w:val="auto"/>
        </w:rPr>
      </w:pPr>
      <w:r>
        <w:rPr>
          <w:rFonts w:ascii="Times New Roman" w:cs="Times New Roman" w:eastAsia="Times New Roman" w:hAnsi="Times New Roman"/>
          <w:sz w:val="19"/>
          <w:szCs w:val="19"/>
          <w:color w:val="auto"/>
        </w:rPr>
        <w:t>property which at any time constitute all or part of or are included in the proceeds of any of the foregoing with respect to items (i) through (ix) above.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F5496"/>
        </w:rPr>
        <w:t>ARTICLE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8" w:name="page489"/>
    <w:bookmarkEnd w:id="488"/>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Receivables</w:t>
      </w:r>
    </w:p>
    <w:p>
      <w:pPr>
        <w:spacing w:after="0" w:line="202"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color w:val="2F5496"/>
        </w:rPr>
        <w:t xml:space="preserve">SECTION III.1. </w:t>
      </w:r>
      <w:r>
        <w:rPr>
          <w:rFonts w:ascii="Times New Roman" w:cs="Times New Roman" w:eastAsia="Times New Roman" w:hAnsi="Times New Roman"/>
          <w:sz w:val="19"/>
          <w:szCs w:val="19"/>
          <w:color w:val="000000"/>
        </w:rPr>
        <w:t>Representations and Warranties of United Auto». United Auto has made, under the Purchase Agreement, each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of the representations and warranties set forth on the Schedule of Representations attached hereto as Schedule B and represents and warrants that the representations and warranties set forth on the Schedule of Representations are true and correct in all material respects. The Issuer is deemed to have relied on such representations and warranties in acquiring the Receivables. Such representations and warranties speak as of the execution and delivery of this Agreement and as of the Closing Date, but shall survive the sale, transfer and assignment of the Receivables to the Issuer and the pledge thereof to the Indenture Trustee pursuant to the Indenture and shall not be waived.</w:t>
      </w:r>
    </w:p>
    <w:p>
      <w:pPr>
        <w:spacing w:after="0" w:line="157" w:lineRule="exact"/>
        <w:rPr>
          <w:sz w:val="20"/>
          <w:szCs w:val="20"/>
          <w:color w:val="auto"/>
        </w:rPr>
      </w:pPr>
    </w:p>
    <w:p>
      <w:pPr>
        <w:ind w:right="160" w:firstLine="696"/>
        <w:spacing w:after="0" w:line="259" w:lineRule="auto"/>
        <w:rPr>
          <w:sz w:val="20"/>
          <w:szCs w:val="20"/>
          <w:color w:val="auto"/>
        </w:rPr>
      </w:pPr>
      <w:r>
        <w:rPr>
          <w:rFonts w:ascii="Times New Roman" w:cs="Times New Roman" w:eastAsia="Times New Roman" w:hAnsi="Times New Roman"/>
          <w:sz w:val="19"/>
          <w:szCs w:val="19"/>
          <w:color w:val="auto"/>
        </w:rPr>
        <w:t>United Auto hereby agrees that the Issuer shall have the right to enforce any and all rights of the Depositor under the Purchase Agreement assigned to the Issuer under this Agreement, including the right to require United Auto to repurchase Receivables in accordance with the Purchase Agreement upon a breach of the representations and warranties set forth in Schedule B, directly against United Auto as though the Issuer were a party to the Purchase Agreement and that the Issuer shall not be obligated to enforce any such right indirectly through the Depositor.</w:t>
      </w:r>
    </w:p>
    <w:p>
      <w:pPr>
        <w:spacing w:after="0" w:line="154"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III.2. </w:t>
      </w:r>
      <w:r>
        <w:rPr>
          <w:rFonts w:ascii="Times New Roman" w:cs="Times New Roman" w:eastAsia="Times New Roman" w:hAnsi="Times New Roman"/>
          <w:sz w:val="19"/>
          <w:szCs w:val="19"/>
          <w:color w:val="000000"/>
        </w:rPr>
        <w:t>Representations and Warranties of Depositor». The Depositor hereby represents and warrants that each of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representations and warranties set forth on the Schedule of Representations attached hereto as Schedule B is true and correct. The Issuer is deemed to have relied on such representations and warranties in acquiring the Receivables. Such representations and warranties speak as of the execution and delivery of this Agreement and as of the Closing Date, but shall survive the sale, transfer and assignment of the Receivables to the Issuer and the pledge thereof to the Indenture Trustee pursuant to the Indenture and shall not be waived.</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III.3. </w:t>
      </w:r>
      <w:r>
        <w:rPr>
          <w:rFonts w:ascii="Times New Roman" w:cs="Times New Roman" w:eastAsia="Times New Roman" w:hAnsi="Times New Roman"/>
          <w:sz w:val="19"/>
          <w:szCs w:val="19"/>
          <w:color w:val="000000"/>
        </w:rPr>
        <w:t>Repurchase upon Breach.</w:t>
      </w:r>
    </w:p>
    <w:p>
      <w:pPr>
        <w:spacing w:after="0" w:line="202" w:lineRule="exact"/>
        <w:rPr>
          <w:sz w:val="20"/>
          <w:szCs w:val="20"/>
          <w:color w:val="auto"/>
        </w:rPr>
      </w:pPr>
    </w:p>
    <w:p>
      <w:pPr>
        <w:ind w:firstLine="702"/>
        <w:spacing w:after="0" w:line="253" w:lineRule="auto"/>
        <w:tabs>
          <w:tab w:leader="none" w:pos="960" w:val="left"/>
        </w:tabs>
        <w:numPr>
          <w:ilvl w:val="0"/>
          <w:numId w:val="40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 the Servicer, the Backup Servicer, the Indenture Trustee or the Issuer, as the case may be, shall inform the other parties to this Agreement promptly, by notice in writing, upon (i) the discovery by the Depositor, the Servicer or the Issuer, or (ii) the receipt of written notice by or actual knowledge of a Responsible Officer of the Indenture Trustee or Backup Servicer, of any breach of United Auto's or the Depositor's representations and warranties made pursuant to Section 3.1 or 3.2, respectively. As of the last day of the second (or, if the Depositor so elects, the first) month following the discovery by the Depositor or receipt by the Depositor of notice of such breach, unless such breach is cured by such date, the Depositor shall have an obligation to repurchase any Receivable in which the interests of the Noteholders are materially and adversely affected by any such breach as of such date. The "second month" shall mean the calendar month following the calendar month in which discovery occurs or notice is given, and the "first month" shall mean the calendar month in which discovery occurs or notice is given. In consideration of and simultaneously with the repurchase of the Receivable, the Depositor shall remit, or cause United Auto to remit, to the Collection Account the Purchase Amount in the manner specified in Section 5.6 and the Issuer shall execute, at the Depositor's sole expense, such assignments and other documents reasonably requested by such Person in order to effect such repurchase. If the Depositor fails to cause any such Receivable to be so repurchased by remitting (or causing United Auto to remit) the related Purchase Amount to the Collection Account as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9" w:name="page490"/>
    <w:bookmarkEnd w:id="489"/>
    <w:p>
      <w:pPr>
        <w:spacing w:after="0" w:line="200" w:lineRule="exact"/>
        <w:rPr>
          <w:sz w:val="20"/>
          <w:szCs w:val="20"/>
          <w:color w:val="auto"/>
        </w:rPr>
      </w:pPr>
    </w:p>
    <w:p>
      <w:pPr>
        <w:spacing w:after="0" w:line="2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required, the initial Servicer shall promptly notify the Noteholders of such event and specify in such notice each Receivable that was not so repurchased as required. Except as set forth in the last paragraph of this Section 3.3(a), the sole remedy of the Issuer, the Owner Trustee, the Indenture Trustee, the Backup Servicer and the Noteholders with respect to a breach of representations and warranties pursuant to Section 3.1 or 3.2 and the agreement contained in this Section shall be the repurchase of Receivables pursuant to this Section, subject to the conditions contained herein, or to enforce the obligation of United Auto to the Depositor to repurchase such Receivables pursuant to the Purchase Agreement. The Issuer agrees that it will take the steps set forth in Section 5.2 of the Purchase Agreement with respect to Receivables and Other Conveyed Property that are repurchased by the Depositor hereunder or repurchased by United Auto as Seller pursuant to Section 5.1 of the Purchase Agreement. None of the Owner Trustee, the Indenture Trustee or the Backup Servicer shall have a duty to conduct any affirmative investigation as to the occurrence of any conditions requiring the repurchase of any Receivable pursuant to this Section. Notwithstanding anything in this Agreement to the contrary, none of the Owner Trustee, the Indenture Trustee or the Backup Servicer shall have any duty to ensure the eligibility of any Receivable for purposes of this Agreement or, except as provided in this Section, to enforce the repurchase obligations of the Depositor, unless a Responsible Officer of the Indenture Trustee or the Backup Servicer, or a Responsible Officer (as such term is defined in the Trust Agreement) of the Owner Trustee, has received written notice of or has actual knowledge of such breach pursuant to the terms of the Basic Documents. For the avoidance of doubt, none of the Owner Trustee, the Indenture Trustee nor the Backup Servicer shall be responsible for determining whether any breach of representations or warranty or document defect constitutes a breach or defect or the materiality thereof or any repurchase-related liabilities.</w:t>
      </w:r>
    </w:p>
    <w:p>
      <w:pPr>
        <w:spacing w:after="0" w:line="399"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In addition to the foregoing and notwithstanding whether the related Receivable shall have been repurchased by the Depositor, the Depositor shall indemnify the Trust, the Indenture Trustee, the Owner Trustee, the Backup Servicer and the officers, directors, agents and employees thereof, and the Noteholders against all costs, expenses, losses, damages, claims and liabilities, including reasonable fees and expenses of counsel, which may be asserted against or incurred by any of them as a result of claims arising out of the events or facts giving rise to such breach, including any legal fees, costs (including court costs), and expenses incurred in connection with any enforcement (including any action, claim, or suit brought) by the Indenture Trustee, the Owner Trustee or the Backup Servicer of any indemnification or other obligation of the Depositor. In the event the Depositor fails to provide such indemnity payments due pursuant to this paragraph to the Indenture Trustee, the Owner Trustee or the Backup Servicer, the Indenture Trustee, the Owner Trustee and the Backup Servicer shall collect such indemnities amounts pursuant to Section 5.7(b) hereof or Section 5.6 of the Indenture. This Section shall survive the termination or assignment of this Agreement and the earlier removal or resignation of the Depositor, the Indenture Trustee, the Owner Trustee and/or the Backup Servicer.</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90" w:name="page491"/>
    <w:bookmarkEnd w:id="490"/>
    <w:p>
      <w:pPr>
        <w:spacing w:after="0" w:line="200" w:lineRule="exact"/>
        <w:rPr>
          <w:sz w:val="20"/>
          <w:szCs w:val="20"/>
          <w:color w:val="auto"/>
        </w:rPr>
      </w:pPr>
    </w:p>
    <w:p>
      <w:pPr>
        <w:spacing w:after="0" w:line="261" w:lineRule="exact"/>
        <w:rPr>
          <w:sz w:val="20"/>
          <w:szCs w:val="20"/>
          <w:color w:val="auto"/>
        </w:rPr>
      </w:pPr>
    </w:p>
    <w:p>
      <w:pPr>
        <w:ind w:right="40" w:firstLine="702"/>
        <w:spacing w:after="0" w:line="256" w:lineRule="auto"/>
        <w:tabs>
          <w:tab w:leader="none" w:pos="972" w:val="left"/>
        </w:tabs>
        <w:numPr>
          <w:ilvl w:val="0"/>
          <w:numId w:val="40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Pursuant to Sections 2.1, the Depositor conveyed to the Trust all of the Depositor's right, title and interest in its rights and benefits, but none of its obligations or burdens, under the Purchase Agreement including the Depositor's rights under the Purchase Agreement and the delivery requirements, representations and warranties and the cure or repurchase and indemnity obligations of United Auto thereunder. The Depositor hereby represents and warrants to the Trust that such assignment is valid, enforceable and effective to permit the Trust to enforce such obligations of United Auto under the Purchase Agreement. Any purchase by United Auto pursuant to the Purchase Agreement shall be deemed a purchase by the Depositor pursuant to this Section 3.3 and the definition of Purchased Receivable.</w:t>
      </w: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III.4. </w:t>
      </w:r>
      <w:r>
        <w:rPr>
          <w:rFonts w:ascii="Times New Roman" w:cs="Times New Roman" w:eastAsia="Times New Roman" w:hAnsi="Times New Roman"/>
          <w:sz w:val="19"/>
          <w:szCs w:val="19"/>
          <w:color w:val="000000"/>
        </w:rPr>
        <w:t>Custody of Receivable Files».</w:t>
      </w:r>
    </w:p>
    <w:p>
      <w:pPr>
        <w:spacing w:after="0" w:line="202" w:lineRule="exact"/>
        <w:rPr>
          <w:sz w:val="20"/>
          <w:szCs w:val="20"/>
          <w:color w:val="auto"/>
        </w:rPr>
      </w:pPr>
    </w:p>
    <w:p>
      <w:pPr>
        <w:ind w:firstLine="702"/>
        <w:spacing w:after="0" w:line="255" w:lineRule="auto"/>
        <w:tabs>
          <w:tab w:leader="none" w:pos="960" w:val="left"/>
        </w:tabs>
        <w:numPr>
          <w:ilvl w:val="0"/>
          <w:numId w:val="40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connection with the sale, transfer and assignment of the Receivables and the Other Conveyed Property to the Trust pursuant to this Agreement and the Purchase Agreement and simultaneously with the execution and delivery of this Agreement, the Indenture Trustee shall enter into the Custodian Agreement, pursuant to which the Indenture Trustee shall revocably appoint the Custodian, and the Custodian shall accept such appointment, to act as the agent and bailee of the Indenture Trustee as custodian of the following documents or instruments in its possession or control (the "Receivable Files") which shall be, with respect to each Receivable evidenced by a contract which constitutes "tangible chattel paper" (within the meaning of the UCC as in effect in the State of New York), delivered to the Custodian as agent and bailee of the Indenture Trustee on or before the Closing Date or with respect to each Receivable evidenced by an Electronic Contract, communicated (as described in Section 3.4(c)), to the E-Vault Provider on or before the Closing Date:</w:t>
      </w:r>
    </w:p>
    <w:p>
      <w:pPr>
        <w:spacing w:after="0" w:line="155" w:lineRule="exact"/>
        <w:rPr>
          <w:rFonts w:ascii="Times New Roman" w:cs="Times New Roman" w:eastAsia="Times New Roman" w:hAnsi="Times New Roman"/>
          <w:sz w:val="19"/>
          <w:szCs w:val="19"/>
          <w:color w:val="1F3763"/>
        </w:rPr>
      </w:pPr>
    </w:p>
    <w:p>
      <w:pPr>
        <w:ind w:left="800" w:right="360" w:firstLine="754"/>
        <w:spacing w:after="0" w:line="286" w:lineRule="auto"/>
        <w:tabs>
          <w:tab w:leader="none" w:pos="1784" w:val="left"/>
        </w:tabs>
        <w:numPr>
          <w:ilvl w:val="1"/>
          <w:numId w:val="40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fully executed original of the Contract or, with respect to Electronic Contracts, the Authoritative Copy of such Contract; and</w:t>
      </w:r>
    </w:p>
    <w:p>
      <w:pPr>
        <w:spacing w:after="0" w:line="127" w:lineRule="exact"/>
        <w:rPr>
          <w:rFonts w:ascii="Times New Roman" w:cs="Times New Roman" w:eastAsia="Times New Roman" w:hAnsi="Times New Roman"/>
          <w:sz w:val="19"/>
          <w:szCs w:val="19"/>
          <w:color w:val="2F5496"/>
        </w:rPr>
      </w:pPr>
    </w:p>
    <w:p>
      <w:pPr>
        <w:ind w:left="800" w:right="280" w:firstLine="754"/>
        <w:spacing w:after="0" w:line="259" w:lineRule="auto"/>
        <w:tabs>
          <w:tab w:leader="none" w:pos="1844" w:val="left"/>
        </w:tabs>
        <w:numPr>
          <w:ilvl w:val="1"/>
          <w:numId w:val="40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Lien Certificate (when received), and otherwise such documents, if any, that United Auto keeps on file in accordance with its customary procedures indicating that the Financed Vehicle is owned by the Obligor and subject to the interest of United Auto as first lienholder or secured party (including any Lien Certificate received by United Auto or the Depositor), or, if such Lien Certificate has not yet been received, a copy of the application, receipt or other evidence of title therefor, showing United Auto as secured party.</w:t>
      </w:r>
    </w:p>
    <w:p>
      <w:pPr>
        <w:spacing w:after="0" w:line="153" w:lineRule="exact"/>
        <w:rPr>
          <w:rFonts w:ascii="Times New Roman" w:cs="Times New Roman" w:eastAsia="Times New Roman" w:hAnsi="Times New Roman"/>
          <w:sz w:val="19"/>
          <w:szCs w:val="19"/>
          <w:color w:val="2F5496"/>
        </w:rPr>
      </w:pPr>
    </w:p>
    <w:p>
      <w:pPr>
        <w:ind w:right="120" w:firstLine="702"/>
        <w:spacing w:after="0" w:line="255" w:lineRule="auto"/>
        <w:tabs>
          <w:tab w:leader="none" w:pos="972" w:val="left"/>
        </w:tabs>
        <w:numPr>
          <w:ilvl w:val="0"/>
          <w:numId w:val="40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the Indenture Trustee is acting as the Custodian pursuant to Section 9 of the Custodian Agreement, the Indenture Trustee shall be deemed to have assumed the obligations of the Custodian (except for any liabilities incurred by the predecessor Custodian) specified in the Custodian Agreement until such time as a successor Custodian has been appointed. Upon payment in full of any Receivable, the Servicer will notify the Custodian pursuant to a certificate of a Responsible Officer of the Servicer (which certificate shall include a statement to the effect that all amounts received in connection with such payments which are required to be deposited in the Lockbox Account or the Collection Account pursuant to Section 4.2 have been so deposited) and shall request delivery of the Receivable and Receivable File to the Servicer. From time to time as appropriate for servicing and enforcing any Receivable, the Custodian shall, upon written request of a Responsible Officer of the Servicer and delivery to the Custodian of a receipt signed by such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91" w:name="page492"/>
    <w:bookmarkEnd w:id="491"/>
    <w:p>
      <w:pPr>
        <w:spacing w:after="0" w:line="200" w:lineRule="exact"/>
        <w:rPr>
          <w:sz w:val="20"/>
          <w:szCs w:val="20"/>
          <w:color w:val="auto"/>
        </w:rPr>
      </w:pPr>
    </w:p>
    <w:p>
      <w:pPr>
        <w:spacing w:after="0" w:line="26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9"/>
          <w:szCs w:val="19"/>
          <w:color w:val="auto"/>
        </w:rPr>
        <w:t>Responsible Officer, cause the original Receivable and the related Receivable File to be released to the Servicer. The Servicer's receipt of a Receivable and/or Receivable File shall obligate the Servicer to return the original Receivable and the related Receivable File to the Custodian when its need by the Servicer has ceased unless the Receivable is repurchased as described in Section 3.3, 4.2 or 4.7.</w:t>
      </w:r>
    </w:p>
    <w:p>
      <w:pPr>
        <w:spacing w:after="0" w:line="144" w:lineRule="exact"/>
        <w:rPr>
          <w:sz w:val="20"/>
          <w:szCs w:val="20"/>
          <w:color w:val="auto"/>
        </w:rPr>
      </w:pPr>
    </w:p>
    <w:p>
      <w:pPr>
        <w:ind w:firstLine="702"/>
        <w:spacing w:after="0" w:line="257" w:lineRule="auto"/>
        <w:tabs>
          <w:tab w:leader="none" w:pos="960" w:val="left"/>
        </w:tabs>
        <w:numPr>
          <w:ilvl w:val="0"/>
          <w:numId w:val="40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parties agree that Electronic Contracts shall be "communicated" to the E-Vault Provider, as designated custodian of the Indenture Trustee, upon the transfer of the Authoritative Copy of such Electronic Contract to the UACC 2025-1 ABS Vault Partition and acceptance of the E-Vault Provider of such Authoritative Copy into the UACC 2025-1 ABS Vault Partition, and the E-Vault Provider shall thereafter maintain such Contract in the UACC 2025-1 ABS Vault Partition as within the meaning of Section 9-105(3) of the UCC for the purpose of the Indenture Trustee on behalf of the Noteholders exercising control over such Contracts pursuant to the terms of this Agreement and the Basic Documents.</w:t>
      </w:r>
    </w:p>
    <w:p>
      <w:pPr>
        <w:spacing w:after="0" w:line="156" w:lineRule="exact"/>
        <w:rPr>
          <w:rFonts w:ascii="Times New Roman" w:cs="Times New Roman" w:eastAsia="Times New Roman" w:hAnsi="Times New Roman"/>
          <w:sz w:val="19"/>
          <w:szCs w:val="19"/>
          <w:color w:val="1F3763"/>
        </w:rPr>
      </w:pPr>
    </w:p>
    <w:p>
      <w:pPr>
        <w:ind w:right="80" w:firstLine="702"/>
        <w:spacing w:after="0" w:line="259" w:lineRule="auto"/>
        <w:tabs>
          <w:tab w:leader="none" w:pos="972" w:val="left"/>
        </w:tabs>
        <w:numPr>
          <w:ilvl w:val="0"/>
          <w:numId w:val="40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parties agree that United Auto, solely in its capacity as Custodian, may convert any Receivable that is "tangible chattel paper" (within the meaning of the UCC as in effect in the State of New York) to "electronic chattel paper" (within the meaning of the UCC as in effect in the State of New York) and may convert a Receivable that is "electronic chattel paper" (within the meaning of the UCC as in effect in the State of New York) to "tangible chattel paper" (within the meaning of the UCC as in effect in the State of New York).</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F5496"/>
        </w:rPr>
        <w:t>ARTICLE IV</w:t>
      </w:r>
    </w:p>
    <w:p>
      <w:pPr>
        <w:spacing w:after="0" w:line="20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Administration and Servicing of Receivables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IV.1. </w:t>
      </w:r>
      <w:r>
        <w:rPr>
          <w:rFonts w:ascii="Times New Roman" w:cs="Times New Roman" w:eastAsia="Times New Roman" w:hAnsi="Times New Roman"/>
          <w:sz w:val="19"/>
          <w:szCs w:val="19"/>
          <w:color w:val="000000"/>
        </w:rPr>
        <w:t>Duties of the Servicer and the Backup Servicer.</w:t>
      </w:r>
    </w:p>
    <w:p>
      <w:pPr>
        <w:spacing w:after="0" w:line="202" w:lineRule="exact"/>
        <w:rPr>
          <w:sz w:val="20"/>
          <w:szCs w:val="20"/>
          <w:color w:val="auto"/>
        </w:rPr>
      </w:pPr>
    </w:p>
    <w:p>
      <w:pPr>
        <w:ind w:right="40" w:firstLine="702"/>
        <w:spacing w:after="0" w:line="254" w:lineRule="auto"/>
        <w:tabs>
          <w:tab w:leader="none" w:pos="960" w:val="left"/>
        </w:tabs>
        <w:numPr>
          <w:ilvl w:val="0"/>
          <w:numId w:val="40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is hereby authorized to act as agent for the Trust and in such capacity shall manage, service, administer and make collections on the Receivables, and perform the other actions required by the Servicer under this Agreement. The Servicer agrees that its servicing of the Receivables shall be carried out in accordance with customary and usual procedures of institutions which service motor vehicle retail installment sales contracts and, to the extent more exacting, the degree of skill and attention that the Servicer exercises from time to time with respect to all comparable motor vehicle receivables that it services for itself or others. In performing such duties, so long as United Auto is the Servicer, it shall substantially comply with Servicing Policies and Procedures. The Servicer's duties shall include collecting and posting of all payments, responding to inquiries of Obligors on the Receivables, investigating delinquencies, sending payment coupons to Obligors, reporting any required tax information to Obligors, monitoring the collateral, complying with the terms of the Lockbox Agreement, accounting for collections and furnishing monthly and annual statements to the Indenture Trustee with respect to distributions, monitoring the status of Insurance Policies with respect to the Financed Vehicles and performing the other duties specified herein.</w:t>
      </w:r>
    </w:p>
    <w:p>
      <w:pPr>
        <w:spacing w:after="0" w:line="157"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40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or if United Auto is no longer the Servicer, United Auto, at the request of the Servicer, shall also administer</w:t>
      </w:r>
    </w:p>
    <w:p>
      <w:pPr>
        <w:spacing w:after="0" w:line="3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9"/>
          <w:szCs w:val="19"/>
          <w:color w:val="auto"/>
        </w:rPr>
        <w:t>and enforce all rights and responsibilities of the holder of the Receivables provided for in the Dealer Agreements (and shall maintain possession of the Dealer</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92" w:name="page493"/>
    <w:bookmarkEnd w:id="492"/>
    <w:p>
      <w:pPr>
        <w:spacing w:after="0" w:line="200" w:lineRule="exact"/>
        <w:rPr>
          <w:sz w:val="20"/>
          <w:szCs w:val="20"/>
          <w:color w:val="auto"/>
        </w:rPr>
      </w:pPr>
    </w:p>
    <w:p>
      <w:pPr>
        <w:spacing w:after="0" w:line="26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 xml:space="preserve">Agreements to the extent it is necessary to do so), the Dealer Assignments, and the Insurance Policies, to the extent that such Dealer Agreements, Dealer Assignments, and Insurance Policies relate to the Receivables, the Financed Vehicles or the Obligors. To the extent consistent with the standards, policies and procedures otherwise required hereby, the Servicer shall follow its customary standards, policies, and procedures and shall have full power and authority to do any and all things in connection with such managing, servicing, administration, collection and enforcement that it may deem necessary or desirable, it being understood, however, that the Servicer shall at all times remain responsible to the Trust and the Indenture Trustee for performance of its duties and obligations hereunder. Without limiting the generality of the foregoing, the Servicer is hereby authorized and empowered by the Trust to execute and deliver, on behalf of the Trust, any and all instruments of satisfaction or cancellation, or of partial or full release or discharge, and all other comparable instruments, with respect to the Receivables and with respect to the Financed Vehicles;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notwithstanding the foregoing, the Servicer shall not, except pursuant to an order from a court of competent jurisdiction, release an Obligor from payment of any unpaid amount under any Receivable or waive the right to collect the unpaid balance of any Receivable from the Obligor, except in accordance with the Servicer's Servicing Policies and Procedures.</w:t>
      </w:r>
    </w:p>
    <w:p>
      <w:pPr>
        <w:spacing w:after="0" w:line="165" w:lineRule="exact"/>
        <w:rPr>
          <w:sz w:val="20"/>
          <w:szCs w:val="20"/>
          <w:color w:val="auto"/>
        </w:rPr>
      </w:pPr>
    </w:p>
    <w:p>
      <w:pPr>
        <w:ind w:firstLine="702"/>
        <w:spacing w:after="0" w:line="253" w:lineRule="auto"/>
        <w:tabs>
          <w:tab w:leader="none" w:pos="960" w:val="left"/>
        </w:tabs>
        <w:numPr>
          <w:ilvl w:val="0"/>
          <w:numId w:val="40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is hereby authorized to commence, in its own name or in the name of the Trust, a legal proceeding to enforce a Receivable pursuant to Section 4.3 or to commence or participate in any other legal proceeding (including a bankruptcy proceeding) relating to or involving a Receivable, an Obligor or a Financed Vehicle. If the Servicer commences or participates in such a legal proceeding in its own name, the Trust shall thereupon be deemed to have automatically assigned such Receivable to the Servicer solely for purposes of commencing or participating in any such proceeding as a party or claimant, and the Servicer is authorized and empowered by the Trust to execute and deliver in the Servicer's name any notices, demands, claims, complaints, responses, affidavits or other documents or instruments in connection with any such proceeding. The Indenture Trustee and the Owner Trustee, on behalf of the Issuer, shall, at the Servicer's sole expense, furnish the Servicer with any limited powers of attorney and other documents which the Servicer may reasonably request and which the Servicer deems necessary or appropriate and take any other steps which the Servicer may deem necessary or appropriate to enable the Servicer to carry out its servicing and administrative duties under this Agreement. The Servicer, at its expense, shall obtain on behalf of the Issuer all licenses, if any, required by the laws of any jurisdiction to be held by the Issuer in connection with ownership of the Receivables and shall make all filings and pay all fees as may be required in connection therewith during the term of the Agreement.</w:t>
      </w:r>
    </w:p>
    <w:p>
      <w:pPr>
        <w:spacing w:after="0" w:line="162" w:lineRule="exact"/>
        <w:rPr>
          <w:rFonts w:ascii="Times New Roman" w:cs="Times New Roman" w:eastAsia="Times New Roman" w:hAnsi="Times New Roman"/>
          <w:sz w:val="19"/>
          <w:szCs w:val="19"/>
          <w:color w:val="1F3763"/>
        </w:rPr>
      </w:pPr>
    </w:p>
    <w:p>
      <w:pPr>
        <w:ind w:right="100" w:firstLine="702"/>
        <w:spacing w:after="0" w:line="262" w:lineRule="auto"/>
        <w:tabs>
          <w:tab w:leader="none" w:pos="972" w:val="left"/>
        </w:tabs>
        <w:numPr>
          <w:ilvl w:val="0"/>
          <w:numId w:val="40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As set forth in, and in accordance with, Section 9.3, in the event the Servicer is terminated or resigns, unless an entity other than the Backup Servicer is appointed as successor to the Servicer, the Backup Servicer shall be responsible for the Servicer's duties in this Agreement as if it were the Servicer;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Backup Servicer shall not be liable for the Servicer's breach of its obligations.</w:t>
      </w:r>
    </w:p>
    <w:p>
      <w:pPr>
        <w:spacing w:after="0" w:line="150" w:lineRule="exact"/>
        <w:rPr>
          <w:rFonts w:ascii="Times New Roman" w:cs="Times New Roman" w:eastAsia="Times New Roman" w:hAnsi="Times New Roman"/>
          <w:sz w:val="19"/>
          <w:szCs w:val="19"/>
          <w:color w:val="1F3763"/>
        </w:rPr>
      </w:pPr>
    </w:p>
    <w:p>
      <w:pPr>
        <w:ind w:left="960" w:hanging="258"/>
        <w:spacing w:after="0"/>
        <w:tabs>
          <w:tab w:leader="none" w:pos="960" w:val="left"/>
        </w:tabs>
        <w:numPr>
          <w:ilvl w:val="0"/>
          <w:numId w:val="40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Backup Servicer shall: (i) complete a data-mapping, and (ii) once per year, update or amend the data-mapping by</w:t>
      </w:r>
    </w:p>
    <w:p>
      <w:pPr>
        <w:spacing w:after="0" w:line="3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effecting a data-map refresh upon receipt of written notice from the Servicer specifying updated or amended fields, if any, in (a) fields in the Monthly Tape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93" w:name="page494"/>
    <w:bookmarkEnd w:id="493"/>
    <w:p>
      <w:pPr>
        <w:spacing w:after="0" w:line="200" w:lineRule="exact"/>
        <w:rPr>
          <w:sz w:val="20"/>
          <w:szCs w:val="20"/>
          <w:color w:val="auto"/>
        </w:rPr>
      </w:pPr>
    </w:p>
    <w:p>
      <w:pPr>
        <w:spacing w:after="0" w:line="26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9"/>
          <w:szCs w:val="19"/>
          <w:color w:val="auto"/>
        </w:rPr>
        <w:t>or (b) fields confirmed in the original data-mapping referred to in clause (i) above. Each data-mapping shall be at the cost of the Servicer.</w:t>
      </w:r>
    </w:p>
    <w:p>
      <w:pPr>
        <w:spacing w:after="0" w:line="127" w:lineRule="exact"/>
        <w:rPr>
          <w:sz w:val="20"/>
          <w:szCs w:val="20"/>
          <w:color w:val="auto"/>
        </w:rPr>
      </w:pPr>
    </w:p>
    <w:p>
      <w:pPr>
        <w:ind w:right="180" w:firstLine="702"/>
        <w:spacing w:after="0" w:line="257" w:lineRule="auto"/>
        <w:tabs>
          <w:tab w:leader="none" w:pos="936" w:val="left"/>
        </w:tabs>
        <w:numPr>
          <w:ilvl w:val="0"/>
          <w:numId w:val="40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furnish to a Responsible Officer of the Indenture Trustee as soon as reasonably practicable and in any event within two Business Days after any authorized officer of the Servicer obtains knowledge of, or receives a copy of (in the case of clause (iii)), which such notice the Indenture Trustee shall make available to the Noteholders: (i) the occurrence of any event of default or material breach by any party of its obligations under, or the termination of, the United Auto E-Vault Services Agreement, (ii) any changes to the E-Vault System or the UACC 2025-1 ABS Vault Partition made by the E-Vault Provider or the Custodian or (iii) copies of all notices received under the United Auto E-Vault Services Agreement.</w:t>
      </w:r>
    </w:p>
    <w:p>
      <w:pPr>
        <w:spacing w:after="0" w:line="156" w:lineRule="exact"/>
        <w:rPr>
          <w:rFonts w:ascii="Times New Roman" w:cs="Times New Roman" w:eastAsia="Times New Roman" w:hAnsi="Times New Roman"/>
          <w:sz w:val="19"/>
          <w:szCs w:val="19"/>
          <w:color w:val="1F3763"/>
        </w:rPr>
      </w:pPr>
    </w:p>
    <w:p>
      <w:pPr>
        <w:jc w:val="both"/>
        <w:ind w:right="160" w:firstLine="702"/>
        <w:spacing w:after="0" w:line="268" w:lineRule="auto"/>
        <w:tabs>
          <w:tab w:leader="none" w:pos="972" w:val="left"/>
        </w:tabs>
        <w:numPr>
          <w:ilvl w:val="0"/>
          <w:numId w:val="40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not, (i) except in accordance with Section 4.2, make (or permit to make) any change to the Authoritative Copy of any Electronic Contract, and (ii) except as otherwise contemplated by the Basic Documents, cause any Receivable which is an Electronic Contract to be removed from the UACC 2025-1 ABS Vault Partition.</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IV.2. </w:t>
      </w:r>
      <w:r>
        <w:rPr>
          <w:rFonts w:ascii="Times New Roman" w:cs="Times New Roman" w:eastAsia="Times New Roman" w:hAnsi="Times New Roman"/>
          <w:sz w:val="19"/>
          <w:szCs w:val="19"/>
          <w:color w:val="000000"/>
        </w:rPr>
        <w:t>Collection of Receivable Payments; Modifications of Receivables; Lockbox Agreements.</w:t>
      </w:r>
    </w:p>
    <w:p>
      <w:pPr>
        <w:spacing w:after="0" w:line="202" w:lineRule="exact"/>
        <w:rPr>
          <w:sz w:val="20"/>
          <w:szCs w:val="20"/>
          <w:color w:val="auto"/>
        </w:rPr>
      </w:pPr>
    </w:p>
    <w:p>
      <w:pPr>
        <w:ind w:firstLine="702"/>
        <w:spacing w:after="0" w:line="255" w:lineRule="auto"/>
        <w:tabs>
          <w:tab w:leader="none" w:pos="960" w:val="left"/>
        </w:tabs>
        <w:numPr>
          <w:ilvl w:val="0"/>
          <w:numId w:val="40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Consistent with the standards, policies and procedures required by this Agreement, the Servicer (i) shall make reasonable efforts to collect all payments called for under the terms and provisions of the Receivables as and when the same shall become due, and shall follow such collection procedures as it follows with respect to all comparable automobile receivables that it services for itself or others and otherwise act with respect to the Receivables, the Dealer Agreements, the Dealer Assignments, the Insurance Policies and the Other Conveyed Property in such manner as will, in the reasonable judgment of the Servicer, maximize the amount to be received by the Trust with respect thereto, and (ii) is authorized in its discretion to waive any prepayment charge, late payment charge or any other similar fees that may be collected in the ordinary course of servicing any Receivable. The Servicer shall allocate collections on or in respect of the Receivables between principal and interest in accordance with the Simple Interest Method and the standard of care required by Section 4.1.</w:t>
      </w:r>
    </w:p>
    <w:p>
      <w:pPr>
        <w:spacing w:after="0" w:line="155" w:lineRule="exact"/>
        <w:rPr>
          <w:rFonts w:ascii="Times New Roman" w:cs="Times New Roman" w:eastAsia="Times New Roman" w:hAnsi="Times New Roman"/>
          <w:sz w:val="19"/>
          <w:szCs w:val="19"/>
          <w:color w:val="1F3763"/>
        </w:rPr>
      </w:pPr>
    </w:p>
    <w:p>
      <w:pPr>
        <w:ind w:right="40" w:firstLine="702"/>
        <w:spacing w:after="0" w:line="254" w:lineRule="auto"/>
        <w:tabs>
          <w:tab w:leader="none" w:pos="972" w:val="left"/>
        </w:tabs>
        <w:numPr>
          <w:ilvl w:val="0"/>
          <w:numId w:val="40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may grant extensions, rebates, deferrals, amendments, modifications or adjustments with respect to any Receivable in accordance with its Servicing Policies and Procedures; provided, however, that any such action by the Servicer is a Permitted Modification. If the Servicer grants a Permitted Modification that (i) extends a Receivable beyond the Collection Period immediately preceding the latest Final Scheduled Distribution Date or (ii) reduces the Amount Financed or APR with respect to any Receivable, it may repurchase such Receivable in the manner provided in Section 4.7. If the Servicer grants an extension, rebate, deferral, amendment, modification or adjustment with respect to any Receivable in accordance with its Servicing Policies and Procedures, but such action is not a Permitted Modification, the Servicer shall address such impermissible modification in such a manner as to allow the Trust to maintain its status as a fixed investment trust described in Treasury Regulation Section 301.7701-4(c) that is treated as a grantor trust under subtitle A, chapter 1, subchapter J, part I, subpart E of the Code, which may include repurchasing such Receivable in the manner provided in Section 4.7.</w:t>
      </w:r>
    </w:p>
    <w:p>
      <w:pPr>
        <w:spacing w:after="0" w:line="160" w:lineRule="exact"/>
        <w:rPr>
          <w:rFonts w:ascii="Times New Roman" w:cs="Times New Roman" w:eastAsia="Times New Roman" w:hAnsi="Times New Roman"/>
          <w:sz w:val="19"/>
          <w:szCs w:val="19"/>
          <w:color w:val="1F3763"/>
        </w:rPr>
      </w:pPr>
    </w:p>
    <w:p>
      <w:pPr>
        <w:ind w:right="100" w:firstLine="702"/>
        <w:spacing w:after="0" w:line="262" w:lineRule="auto"/>
        <w:tabs>
          <w:tab w:leader="none" w:pos="960" w:val="left"/>
        </w:tabs>
        <w:numPr>
          <w:ilvl w:val="0"/>
          <w:numId w:val="40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may grant payment extensions on, or other modifications or amendments to, a Receivable (in addition to those modifications permitted by Section 4.2(b)), in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4" w:name="page495"/>
    <w:bookmarkEnd w:id="494"/>
    <w:p>
      <w:pPr>
        <w:spacing w:after="0" w:line="200" w:lineRule="exact"/>
        <w:rPr>
          <w:sz w:val="20"/>
          <w:szCs w:val="20"/>
          <w:color w:val="auto"/>
        </w:rPr>
      </w:pPr>
    </w:p>
    <w:p>
      <w:pPr>
        <w:spacing w:after="0" w:line="26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 xml:space="preserve">accordance with its Servicing Policies and Procedures if the Servicer believes in good faith that such extension, modification or amendment (x) is necessary to avoid a default on such Receivable, (y) will maximize the amount to be received by the Trust with respect to such Receivable, and (z) is otherwise in the best interests of the Trust;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w:t>
      </w:r>
    </w:p>
    <w:p>
      <w:pPr>
        <w:spacing w:after="0" w:line="144" w:lineRule="exact"/>
        <w:rPr>
          <w:sz w:val="20"/>
          <w:szCs w:val="20"/>
          <w:color w:val="auto"/>
        </w:rPr>
      </w:pPr>
    </w:p>
    <w:p>
      <w:pPr>
        <w:ind w:left="1920" w:hanging="366"/>
        <w:spacing w:after="0"/>
        <w:tabs>
          <w:tab w:leader="none" w:pos="1920" w:val="left"/>
        </w:tabs>
        <w:numPr>
          <w:ilvl w:val="0"/>
          <w:numId w:val="40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aggregate period of all extensions on a Receivable shall not exceed eight months;</w:t>
      </w:r>
    </w:p>
    <w:p>
      <w:pPr>
        <w:spacing w:after="0" w:line="201" w:lineRule="exact"/>
        <w:rPr>
          <w:rFonts w:ascii="Times New Roman" w:cs="Times New Roman" w:eastAsia="Times New Roman" w:hAnsi="Times New Roman"/>
          <w:sz w:val="19"/>
          <w:szCs w:val="19"/>
          <w:color w:val="1F3763"/>
        </w:rPr>
      </w:pPr>
    </w:p>
    <w:p>
      <w:pPr>
        <w:ind w:left="800" w:right="80" w:firstLine="754"/>
        <w:spacing w:after="0" w:line="286" w:lineRule="auto"/>
        <w:tabs>
          <w:tab w:leader="none" w:pos="1988" w:val="left"/>
        </w:tabs>
        <w:numPr>
          <w:ilvl w:val="0"/>
          <w:numId w:val="40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no event may a Receivable be extended beyond the Collection Period immediately preceding the latest Final Scheduled Distribution Date; and</w:t>
      </w:r>
    </w:p>
    <w:p>
      <w:pPr>
        <w:spacing w:after="0" w:line="127" w:lineRule="exact"/>
        <w:rPr>
          <w:rFonts w:ascii="Times New Roman" w:cs="Times New Roman" w:eastAsia="Times New Roman" w:hAnsi="Times New Roman"/>
          <w:sz w:val="19"/>
          <w:szCs w:val="19"/>
          <w:color w:val="1F3763"/>
        </w:rPr>
      </w:pPr>
    </w:p>
    <w:p>
      <w:pPr>
        <w:ind w:left="800" w:right="180" w:firstLine="754"/>
        <w:spacing w:after="0" w:line="286" w:lineRule="auto"/>
        <w:tabs>
          <w:tab w:leader="none" w:pos="2036" w:val="left"/>
        </w:tabs>
        <w:numPr>
          <w:ilvl w:val="0"/>
          <w:numId w:val="40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not make a modification described above that would trigger a purchase requirement for the sole purpose of enabling the Servicer to purchase a Receivable.</w:t>
      </w:r>
    </w:p>
    <w:p>
      <w:pPr>
        <w:spacing w:after="0" w:line="127"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9"/>
          <w:szCs w:val="19"/>
          <w:color w:val="auto"/>
        </w:rPr>
        <w:t>If the Servicer fails to comply with the provisions of Section 4.2(c), the Servicer shall be required to purchase each Receivable affected thereby for the related Purchase Amount as of the close of business on the last day of the Collection Period that includes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after the Servicer becomes aware of such failure, by making such deposit in the manner specified in Section 3.3.</w:t>
      </w:r>
    </w:p>
    <w:p>
      <w:pPr>
        <w:spacing w:after="0" w:line="171" w:lineRule="exact"/>
        <w:rPr>
          <w:sz w:val="20"/>
          <w:szCs w:val="20"/>
          <w:color w:val="auto"/>
        </w:rPr>
      </w:pPr>
    </w:p>
    <w:p>
      <w:pPr>
        <w:ind w:right="260" w:firstLine="702"/>
        <w:spacing w:after="0" w:line="268" w:lineRule="auto"/>
        <w:tabs>
          <w:tab w:leader="none" w:pos="972" w:val="left"/>
        </w:tabs>
        <w:numPr>
          <w:ilvl w:val="0"/>
          <w:numId w:val="41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For the avoidance of doubt, neither the Indenture Trustee nor the Backup Servicer shall have any obligation to approve or consent to, or monitor compliance of the Servicer with the satisfaction of the conditions related to, any such modification, waiver, amendment or deferral referred to herein.</w:t>
      </w:r>
    </w:p>
    <w:p>
      <w:pPr>
        <w:spacing w:after="0" w:line="144" w:lineRule="exact"/>
        <w:rPr>
          <w:rFonts w:ascii="Times New Roman" w:cs="Times New Roman" w:eastAsia="Times New Roman" w:hAnsi="Times New Roman"/>
          <w:sz w:val="19"/>
          <w:szCs w:val="19"/>
          <w:color w:val="1F3763"/>
        </w:rPr>
      </w:pPr>
    </w:p>
    <w:p>
      <w:pPr>
        <w:ind w:firstLine="702"/>
        <w:spacing w:after="0" w:line="255" w:lineRule="auto"/>
        <w:tabs>
          <w:tab w:leader="none" w:pos="960" w:val="left"/>
        </w:tabs>
        <w:numPr>
          <w:ilvl w:val="0"/>
          <w:numId w:val="41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use its best efforts to notify or direct Obligors to make all payments on the Receivables, whether by check or by direct debit of the Obligor's bank account, to be made directly to one or more Lockbox Banks, acting as agent for the Trust pursuant to a Lockbox Agreement. The Servicer shall use its best efforts to notify or direct any Lockbox Bank to deposit all payments on the Receivables in the Lockbox Account no later than the Business Day after receipt, and to cause all amounts credited to the Lockbox Account on account of such payments to be transferred to the Collection Account no later than the second Business Day after receipt of such payments. The Servicer will deposit all payments on the Receivables received directly by the Servicer into the Lockbox Account promptly and no later than the second Business Day after receipt of such payments. The Lockbox Account shall be a demand deposit account held by the Lockbox Bank.</w:t>
      </w:r>
    </w:p>
    <w:p>
      <w:pPr>
        <w:spacing w:after="0" w:line="160" w:lineRule="exact"/>
        <w:rPr>
          <w:sz w:val="20"/>
          <w:szCs w:val="20"/>
          <w:color w:val="auto"/>
        </w:rPr>
      </w:pPr>
    </w:p>
    <w:p>
      <w:pPr>
        <w:ind w:right="20" w:firstLine="696"/>
        <w:spacing w:after="0" w:line="253" w:lineRule="auto"/>
        <w:rPr>
          <w:sz w:val="20"/>
          <w:szCs w:val="20"/>
          <w:color w:val="auto"/>
        </w:rPr>
      </w:pPr>
      <w:r>
        <w:rPr>
          <w:rFonts w:ascii="Times New Roman" w:cs="Times New Roman" w:eastAsia="Times New Roman" w:hAnsi="Times New Roman"/>
          <w:sz w:val="19"/>
          <w:szCs w:val="19"/>
          <w:color w:val="auto"/>
        </w:rPr>
        <w:t>Prior to the Closing Date, the Servicer shall have notified each Obligor to make its payments on such Receivables directly to the Lockbox Bank (except in the case of Obligors that have already been making such payments to the Lockbox Bank), and shall have provided each such Obligor with remittance invoices in order to enable such Obligors to make such payments directly to the Lockbox Bank for deposit into the Lockbox Account. The Servicer will, not less often than every three months, notify those Obligors whose payments were not directed to the Lockbox Bank. If at any time, an Obligor's direct debit is rejected more than once, the Servicer shall notify such Obligor that it cannot make payment by direct debit for a period of six months and during such time must make payment to the Lockbox Bank by another method offered by the Servicer.</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5" w:name="page496"/>
    <w:bookmarkEnd w:id="495"/>
    <w:p>
      <w:pPr>
        <w:spacing w:after="0" w:line="200" w:lineRule="exact"/>
        <w:rPr>
          <w:sz w:val="20"/>
          <w:szCs w:val="20"/>
          <w:color w:val="auto"/>
        </w:rPr>
      </w:pPr>
    </w:p>
    <w:p>
      <w:pPr>
        <w:spacing w:after="0" w:line="261"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 xml:space="preserve">Notwithstanding any Lockbox Agreement, or any of the provisions of this Agreement relating to the Lockbox Agreement, the Servicer shall remain obligated and liable to the Trust, the Indenture Trustee and the Noteholders for servicing and administering the Receivables and the Other Conveyed Property in accordance with the provisions of this Agreement without diminution of such obligation or liability by virtue thereof;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foregoing shall not apply to any Backup Servicer for so long as a Lockbox Bank is performing its obligations pursuant to the terms of a Lockbox Agreement.</w:t>
      </w:r>
    </w:p>
    <w:p>
      <w:pPr>
        <w:spacing w:after="0" w:line="154" w:lineRule="exact"/>
        <w:rPr>
          <w:sz w:val="20"/>
          <w:szCs w:val="20"/>
          <w:color w:val="auto"/>
        </w:rPr>
      </w:pPr>
    </w:p>
    <w:p>
      <w:pPr>
        <w:ind w:right="20" w:firstLine="696"/>
        <w:spacing w:after="0" w:line="252" w:lineRule="auto"/>
        <w:rPr>
          <w:sz w:val="20"/>
          <w:szCs w:val="20"/>
          <w:color w:val="auto"/>
        </w:rPr>
      </w:pPr>
      <w:r>
        <w:rPr>
          <w:rFonts w:ascii="Times New Roman" w:cs="Times New Roman" w:eastAsia="Times New Roman" w:hAnsi="Times New Roman"/>
          <w:sz w:val="19"/>
          <w:szCs w:val="19"/>
          <w:color w:val="auto"/>
        </w:rPr>
        <w:t>In the event of the resignation or the termination of the Servicer, the successor Servicer shall either (x) assume all of the rights and obligations of the outgoing Servicer under the Lockbox Agreement subject to the terms hereof or (y) terminate its participation in the Lockbox Agreement and either (i) direct Obligors to make payments directly to such successor Servicer or (ii) enter into a replacement Lockbox Agreement on substantially the same terms as the existing Lockbox Agreement (subject to the rights of the Indenture Trustee pursuant to Section 9.2). In the event that the successor Servicer assumes the outgoing Servicer's rights and obligations under the existing Lockbox Agreement, the successor Servicer shall be deemed to have assumed all of the outgoing Servicer's interest therein and to have replaced the outgoing Servicer as a party to each such Lockbox Agreement to the same extent as if such Lockbox Agreement had been assigned to the successor Servicer, except that the outgoing Servicer shall not thereby be relieved of any liability or obligations on the part of the outgoing Servicer to the Lockbox Bank under such Lockbox Agreement. The outgoing Servicer shall, upon request of the Indenture Trustee, but at the expense of the outgoing Servicer, deliver to the successor Servicer all documents and records relating to each such Lockbox Agreement and an accounting of amounts collected and held by the Lockbox Bank and otherwise use its best efforts to effect either (x) the orderly and efficient transfer of any Lockbox Agreement to the successor Servicer or (y) the entry by the successor Servicer into a replacement Lockbox Agreement. In the event that the identity of the Lockbox Bank changes in connection with the entry by the successor Servicer into a replacement Lockbox Agreement, the outgoing Servicer, at its expense, shall cause the Lockbox Bank to deliver to the Indenture Trustee or a successor Lockbox Bank all documents and records relating to the Receivables and all amounts held (or thereafter received) by the Lockbox Bank (together with an accounting of such amounts) and shall otherwise use its best efforts to effect the orderly and efficient transfer of the lockbox arrangements and the Servicer shall notify the Obligors to make payments to the Lockbox established by the successor Servicer.</w:t>
      </w:r>
    </w:p>
    <w:p>
      <w:pPr>
        <w:spacing w:after="0" w:line="168" w:lineRule="exact"/>
        <w:rPr>
          <w:sz w:val="20"/>
          <w:szCs w:val="20"/>
          <w:color w:val="auto"/>
        </w:rPr>
      </w:pPr>
    </w:p>
    <w:p>
      <w:pPr>
        <w:jc w:val="both"/>
        <w:ind w:right="120" w:firstLine="702"/>
        <w:spacing w:after="0" w:line="268" w:lineRule="auto"/>
        <w:tabs>
          <w:tab w:leader="none" w:pos="936" w:val="left"/>
        </w:tabs>
        <w:numPr>
          <w:ilvl w:val="0"/>
          <w:numId w:val="41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remit all payments on or related to the Receivables directly by the Servicer to the Lockbox Bank as soon as practicable, but in no event later than the second Business Day after receipt thereof. The Servicer shall deposit such amounts into the Lockbox Account and transfer such amounts from the Lockbox Account to the Collection Account in accordance with Section 4.2(d).</w:t>
      </w:r>
    </w:p>
    <w:p>
      <w:pPr>
        <w:spacing w:after="0" w:line="144" w:lineRule="exact"/>
        <w:rPr>
          <w:rFonts w:ascii="Times New Roman" w:cs="Times New Roman" w:eastAsia="Times New Roman" w:hAnsi="Times New Roman"/>
          <w:sz w:val="19"/>
          <w:szCs w:val="19"/>
          <w:color w:val="1F3763"/>
        </w:rPr>
      </w:pPr>
    </w:p>
    <w:p>
      <w:pPr>
        <w:ind w:right="40" w:firstLine="702"/>
        <w:spacing w:after="0" w:line="262" w:lineRule="auto"/>
        <w:tabs>
          <w:tab w:leader="none" w:pos="972" w:val="left"/>
        </w:tabs>
        <w:numPr>
          <w:ilvl w:val="0"/>
          <w:numId w:val="41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United Auto shall not cause or permit the substitution of the Financed Vehicle relating to a Receivable unless the Financed Vehicle originally financed under the related Receivable was the subject of an order by a court of competent jurisdiction directing United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Auto to substitute another vehicle under the related Receivable.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6" w:name="page497"/>
    <w:bookmarkEnd w:id="496"/>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IV.3. </w:t>
      </w:r>
      <w:r>
        <w:rPr>
          <w:rFonts w:ascii="Times New Roman" w:cs="Times New Roman" w:eastAsia="Times New Roman" w:hAnsi="Times New Roman"/>
          <w:sz w:val="19"/>
          <w:szCs w:val="19"/>
          <w:color w:val="000000"/>
        </w:rPr>
        <w:t>Realization upon Receivables.</w:t>
      </w:r>
    </w:p>
    <w:p>
      <w:pPr>
        <w:spacing w:after="0" w:line="202" w:lineRule="exact"/>
        <w:rPr>
          <w:sz w:val="20"/>
          <w:szCs w:val="20"/>
          <w:color w:val="auto"/>
        </w:rPr>
      </w:pPr>
    </w:p>
    <w:p>
      <w:pPr>
        <w:ind w:right="40" w:firstLine="702"/>
        <w:spacing w:after="0" w:line="252" w:lineRule="auto"/>
        <w:tabs>
          <w:tab w:leader="none" w:pos="960" w:val="left"/>
        </w:tabs>
        <w:numPr>
          <w:ilvl w:val="0"/>
          <w:numId w:val="41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Consistent with the standards, policies and procedures required by this Agreement, the Servicer shall use its best efforts to repossess (or otherwise comparably convert the ownership of) and liquidate any Financed Vehicle securing a Receivable with respect to which the Servicer has determined that payments thereunder are not likely to be resumed, as soon as is practicable;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Servicer may elect not to repossess a Financed Vehicle if in its good faith judgment it determines that the proceeds ultimately recoverable with respect to such Receivable would be increased by forbearance. The Servicer is authorized to follow such customary practices and procedures as it shall deem necessary or advisable, consistent with the standard of care required by Section 4.1, which practices and procedures may include reasonable efforts to realize upon any recourse to Dealers, the sale of the related Financed Vehicle at public or private sale, the submission of claims under an Insurance Policy and other actions by the Servicer in order to realize upon such a Receivable. The foregoing is subject to the provision that, in any case in which the Financed Vehicle shall have suffered damage, the Servicer shall not expend funds in connection with any repair or towards the repossession of such Financed Vehicle unless it expects in its sole discretion, that such repair and/or repossession shall increase the proceeds of liquidation of the related Receivable by an amount greater than the amount of such expenses. All amounts received upon liquidation of a Financed Vehicle shall be remitted directly by the Servicer to the Lockbox Account (and remitted to the Collection Account pursuant to Section 4.2(e)) without deposit into any intervening account as soon as practicable, but in no event later than the Business Day after receipt thereof. The Servicer shall be entitled to recover all reasonable expenses incurred by it in the course of repossessing and liquidating a Financed Vehicle into cash proceeds, but only out of the cash proceeds of such Financed Vehicle, any deficiency obtained from the Obligor or any amounts received from the related Dealer, which amounts in reimbursement may be retained by the Servicer (and shall not be required to be deposited as provided in Section 4.2(e)) to the extent of such expenses. The Servicer shall pay on behalf of the Trust any personal property taxes assessed on repossessed Financed Vehicles. The Servicer shall be entitled to reimbursement of any such tax from Net Liquidation Proceeds with respect to such Receivable.</w:t>
      </w:r>
    </w:p>
    <w:p>
      <w:pPr>
        <w:spacing w:after="0" w:line="394" w:lineRule="exact"/>
        <w:rPr>
          <w:rFonts w:ascii="Times New Roman" w:cs="Times New Roman" w:eastAsia="Times New Roman" w:hAnsi="Times New Roman"/>
          <w:sz w:val="19"/>
          <w:szCs w:val="19"/>
          <w:color w:val="1F3763"/>
        </w:rPr>
      </w:pPr>
    </w:p>
    <w:p>
      <w:pPr>
        <w:ind w:firstLine="702"/>
        <w:spacing w:after="0" w:line="253" w:lineRule="auto"/>
        <w:tabs>
          <w:tab w:leader="none" w:pos="972" w:val="left"/>
        </w:tabs>
        <w:numPr>
          <w:ilvl w:val="0"/>
          <w:numId w:val="41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the Servicer, or if United Auto is no longer the Servicer, United Auto at the request of the Servicer, elects to commence a legal proceeding to enforce a Dealer Agreement or Dealer Assignment, the act of commencement shall be deemed to be an automatic assignment from the Trust to the Servicer, or to United Auto at the request of the Servicer, of the rights under such Dealer Agreement or Dealer Assignment for purposes of collection only. If, however, in any enforcement suit or legal proceeding it is held that the Servicer or United Auto, as appropriate, may not enforce a Dealer Agreement or Dealer Assignment on the grounds that it is not a real party in interest or a Person entitled to enforce the Dealer Agreement or Dealer Assignment, the Owner Trustee and/or the Indenture Trustee, at United Auto's expense, or the Depositor, at the Depositor's expense, shall take such steps as the Servicer deems reasonably necessary to enforce the Dealer Agreement or Dealer Assignment, including bringing suit in its name or the name of the Depositor or of the Trust and the Owner Trustee and/or the Indenture Trustee for the benefit of the Noteholders. All amounts recovered shall be remitted directly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Servicer to the Lockbox Account as provided in Section 4.2(e).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7" w:name="page498"/>
    <w:bookmarkEnd w:id="497"/>
    <w:p>
      <w:pPr>
        <w:spacing w:after="0" w:line="200" w:lineRule="exact"/>
        <w:rPr>
          <w:sz w:val="20"/>
          <w:szCs w:val="20"/>
          <w:color w:val="auto"/>
        </w:rPr>
      </w:pPr>
    </w:p>
    <w:p>
      <w:pPr>
        <w:spacing w:after="0" w:line="2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F5496"/>
        </w:rPr>
        <w:t xml:space="preserve">SECTION IV.4. </w:t>
      </w:r>
      <w:r>
        <w:rPr>
          <w:rFonts w:ascii="Times New Roman" w:cs="Times New Roman" w:eastAsia="Times New Roman" w:hAnsi="Times New Roman"/>
          <w:sz w:val="19"/>
          <w:szCs w:val="19"/>
          <w:color w:val="000000"/>
        </w:rPr>
        <w:t>Insurance.</w:t>
      </w:r>
    </w:p>
    <w:p>
      <w:pPr>
        <w:spacing w:after="0" w:line="202" w:lineRule="exact"/>
        <w:rPr>
          <w:sz w:val="20"/>
          <w:szCs w:val="20"/>
          <w:color w:val="auto"/>
        </w:rPr>
      </w:pPr>
    </w:p>
    <w:p>
      <w:pPr>
        <w:ind w:left="-20" w:firstLine="702"/>
        <w:spacing w:after="0" w:line="253" w:lineRule="auto"/>
        <w:tabs>
          <w:tab w:leader="none" w:pos="940" w:val="left"/>
        </w:tabs>
        <w:numPr>
          <w:ilvl w:val="0"/>
          <w:numId w:val="4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require, in accordance with the Servicing Policies and Procedures, that each Financed Vehicle be insured by the related Obligor under the Insurance Policies referred to in Paragraph 26 of the Schedule of Representations and Warranties and shall monitor the status of such physical loss and damage insurance coverage thereafter, in accordance with the Servicing Policies and Procedures. Each Receivable requires the Obligor to maintain such physical loss and damage insurance, naming United Auto and its successors and assigns as additional insureds, and permits the holder of such Receivable to obtain physical loss and damage insurance at the expense of the Obligor if the Obligor fails to maintain such insurance. If the Servicer shall determine that an Obligor has failed to obtain or maintain a physical loss and damage Insurance Policy covering the related Financed Vehicle which satisfies the conditions set forth in clause (i)(a) of such Paragraph 26 (including during the repossession of such Financed Vehicle) the Servicer may enforce the rights of the holder of the Receivable under the Receivable to require the Obligor to obtain such physical loss and damage insurance in accordance with the Servicing Policies and Procedures. The Servicer may maintain Collateral Insurance in the event any Obligor fails to maintain physical loss and damage insurance with respect to the related Financed Vehicle. The Servicer shall cause itself, and may cause the Indenture Trustee, to be named as named insured under all policies of Collateral Insurance. Costs incurred by the Servicer in maintaining such Collateral Insurance shall be paid by the Servicer. The Servicer shall not obtain force-placed insurance in respect of the Receivables.</w:t>
      </w:r>
    </w:p>
    <w:p>
      <w:pPr>
        <w:spacing w:after="0" w:line="160" w:lineRule="exact"/>
        <w:rPr>
          <w:rFonts w:ascii="Times New Roman" w:cs="Times New Roman" w:eastAsia="Times New Roman" w:hAnsi="Times New Roman"/>
          <w:sz w:val="19"/>
          <w:szCs w:val="19"/>
          <w:color w:val="1F3763"/>
        </w:rPr>
      </w:pPr>
    </w:p>
    <w:p>
      <w:pPr>
        <w:ind w:left="-20" w:right="20" w:firstLine="702"/>
        <w:spacing w:after="0" w:line="255" w:lineRule="auto"/>
        <w:tabs>
          <w:tab w:leader="none" w:pos="952" w:val="left"/>
        </w:tabs>
        <w:numPr>
          <w:ilvl w:val="0"/>
          <w:numId w:val="41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may sue to enforce or collect upon the Insurance Policies, in its own name, if possible, or as agent of the Trust. If the Servicer elects to commence a legal proceeding to enforce an Insurance Policy, the act of commencement shall be deemed to be an automatic assignment of the rights of the Trust under such Insurance Policy to the Servicer for purposes of collection only. If, however, in any enforcement suit or legal proceeding it is held that the Servicer may not enforce an Insurance Policy on the grounds that it is not a real party in interest or a holder entitled to enforce the Insurance Policy, the Owner Trustee and/or the Indenture Trustee, at the Servicer's expense, or the Depositor, at the Depositor's expense, shall take such steps as the Servicer deems necessary to enforce such Insurance Policy, including bringing suit in its name or the name of the Trust and the Owner Trustee and/or the Indenture Trustee for the benefit of the Noteholders.</w:t>
      </w:r>
    </w:p>
    <w:p>
      <w:pPr>
        <w:spacing w:after="0" w:line="1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F5496"/>
        </w:rPr>
        <w:t xml:space="preserve">SECTION IV.5. </w:t>
      </w:r>
      <w:r>
        <w:rPr>
          <w:rFonts w:ascii="Times New Roman" w:cs="Times New Roman" w:eastAsia="Times New Roman" w:hAnsi="Times New Roman"/>
          <w:sz w:val="19"/>
          <w:szCs w:val="19"/>
          <w:color w:val="000000"/>
        </w:rPr>
        <w:t>Maintenance of Security Interests in Vehicles.</w:t>
      </w:r>
    </w:p>
    <w:p>
      <w:pPr>
        <w:spacing w:after="0" w:line="202" w:lineRule="exact"/>
        <w:rPr>
          <w:sz w:val="20"/>
          <w:szCs w:val="20"/>
          <w:color w:val="auto"/>
        </w:rPr>
      </w:pPr>
    </w:p>
    <w:p>
      <w:pPr>
        <w:ind w:left="-20" w:right="20" w:firstLine="702"/>
        <w:spacing w:after="0" w:line="253" w:lineRule="auto"/>
        <w:tabs>
          <w:tab w:leader="none" w:pos="940" w:val="left"/>
        </w:tabs>
        <w:numPr>
          <w:ilvl w:val="0"/>
          <w:numId w:val="41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Consistent with the policies and procedures required by this Agreement, the Servicer shall take such steps on behalf of the Trust as are necessary to maintain perfection of the security interest created by each Receivable in the related Financed Vehicle, including obtaining the execution by the Obligors and the recording, registering, filing, re-recording, re-filing, and re-registering of all security agreements, financing statements and continuation statements as are necessary to maintain the security interest granted by the Obligors under the respective Receivables. The Indenture Trustee shall have no obligation to monitor the security interest granted by the Obligors under the respective Receivables. The Indenture Trustee hereby authorizes the Servicer, and the Servicer agrees, to take any and all steps necessary to re-perfect such security interest on behalf of the Trust as necessary because of the relocation of a Financed Vehicle or for any other reason. In the event that the assignment of a Receivable to the Trust is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635635</wp:posOffset>
            </wp:positionV>
            <wp:extent cx="6732905" cy="406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440" w:right="680" w:bottom="1440" w:gutter="0" w:footer="0" w:header="0"/>
        </w:sectPr>
      </w:pPr>
    </w:p>
    <w:bookmarkStart w:id="498" w:name="page499"/>
    <w:bookmarkEnd w:id="498"/>
    <w:p>
      <w:pPr>
        <w:spacing w:after="0" w:line="200" w:lineRule="exact"/>
        <w:rPr>
          <w:sz w:val="20"/>
          <w:szCs w:val="20"/>
          <w:color w:val="auto"/>
        </w:rPr>
      </w:pPr>
    </w:p>
    <w:p>
      <w:pPr>
        <w:spacing w:after="0" w:line="261"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9"/>
          <w:szCs w:val="19"/>
          <w:color w:val="auto"/>
        </w:rPr>
        <w:t>insufficient, without a notation on the related Financed Vehicle's certificate of title, or without fulfilling any additional administrative requirements under the laws of the State in which the Financed Vehicle is located, to perfect a security interest in the related Financed Vehicle in favor of the Trust, the Servicer hereby acknowledges and agrees that the designation of United Auto as the secured party on the Lien Certificate is in its capacity as Servicer as agent of the Trust.</w:t>
      </w:r>
    </w:p>
    <w:p>
      <w:pPr>
        <w:spacing w:after="0" w:line="150" w:lineRule="exact"/>
        <w:rPr>
          <w:sz w:val="20"/>
          <w:szCs w:val="20"/>
          <w:color w:val="auto"/>
        </w:rPr>
      </w:pPr>
    </w:p>
    <w:p>
      <w:pPr>
        <w:ind w:right="60" w:firstLine="702"/>
        <w:spacing w:after="0" w:line="259" w:lineRule="auto"/>
        <w:tabs>
          <w:tab w:leader="none" w:pos="972" w:val="left"/>
        </w:tabs>
        <w:numPr>
          <w:ilvl w:val="0"/>
          <w:numId w:val="41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the occurrence of a Servicer Termination Event, the Servicer shall take or cause to be taken such action as may, as set forth in the Opinion of Counsel delivered to the Indenture Trustee pursuant to Section 12.2(h), be necessary to perfect or re-perfect the security interests in the Financed Vehicles securing the Receivables in the name of the Trust by amending the title documents of such Financed Vehicles or by such other reasonable means as may, as set forth in the Opinion of Counsel delivered to the Indenture Trustee, be necessary or prudent.</w:t>
      </w:r>
    </w:p>
    <w:p>
      <w:pPr>
        <w:spacing w:after="0" w:line="154"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United Auto hereby agrees to pay all expenses related to such perfection or reperfection and to take all action necessary therefor. In no event shall the successor Servicer be required to expend funds in connection with this Section 4.5 that will not otherwise be reimbursed to it. To the extent that United Auto fails to reimburse the successor Servicer for any such amounts, such expense shall be reimbursed pursuant to Sections 5.7(b)(i) and 5.7(b)(xv). United Auto hereby appoints any successor Servicer as its attorney-in-fact to take any and all steps required to be performed by United Auto pursuant to this Section 4.5(b) (it being understood that and agreed that the successor Servicer shall have no obligation to take such steps with respect to all perfection or reperfection, except as pursuant to the Basic Documents to which it is a party and to which United Auto has paid all expenses), including execution of Lien Certificates or any other documents in the name and stead of United Auto, and any successor Servicer hereby accepts such appointment.</w:t>
      </w:r>
    </w:p>
    <w:p>
      <w:pPr>
        <w:spacing w:after="0" w:line="160"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IV.6. </w:t>
      </w:r>
      <w:r>
        <w:rPr>
          <w:rFonts w:ascii="Times New Roman" w:cs="Times New Roman" w:eastAsia="Times New Roman" w:hAnsi="Times New Roman"/>
          <w:sz w:val="19"/>
          <w:szCs w:val="19"/>
          <w:color w:val="000000"/>
        </w:rPr>
        <w:t>Covenants, Representations, and Warranties of Servicer and United Auto. By its execution and delivery of this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Agreement, the Servicer makes the following representations, warranties and covenants on which the Indenture Trustee relies in accepting the Receivables and on which the Indenture Trustee relies in authenticating the Notes.</w:t>
      </w:r>
    </w:p>
    <w:p>
      <w:pPr>
        <w:spacing w:after="0" w:line="144" w:lineRule="exact"/>
        <w:rPr>
          <w:sz w:val="20"/>
          <w:szCs w:val="20"/>
          <w:color w:val="auto"/>
        </w:rPr>
      </w:pPr>
    </w:p>
    <w:p>
      <w:pPr>
        <w:ind w:left="960" w:hanging="258"/>
        <w:spacing w:after="0"/>
        <w:tabs>
          <w:tab w:leader="none" w:pos="960" w:val="left"/>
        </w:tabs>
        <w:numPr>
          <w:ilvl w:val="0"/>
          <w:numId w:val="41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covenants as follows:</w:t>
      </w:r>
    </w:p>
    <w:p>
      <w:pPr>
        <w:spacing w:after="0" w:line="201" w:lineRule="exact"/>
        <w:rPr>
          <w:rFonts w:ascii="Times New Roman" w:cs="Times New Roman" w:eastAsia="Times New Roman" w:hAnsi="Times New Roman"/>
          <w:sz w:val="19"/>
          <w:szCs w:val="19"/>
          <w:color w:val="1F3763"/>
        </w:rPr>
      </w:pPr>
    </w:p>
    <w:p>
      <w:pPr>
        <w:ind w:left="780" w:right="180" w:firstLine="762"/>
        <w:spacing w:after="0" w:line="268" w:lineRule="auto"/>
        <w:tabs>
          <w:tab w:leader="none" w:pos="1908" w:val="left"/>
        </w:tabs>
        <w:numPr>
          <w:ilvl w:val="1"/>
          <w:numId w:val="41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Liens in Force. The Financed Vehicle securing each Receivable shall not be released in whole or in part from the security interest granted by the Receivable, except upon payment in full of the Receivable or as otherwise contemplated herein.</w:t>
      </w:r>
    </w:p>
    <w:p>
      <w:pPr>
        <w:spacing w:after="0" w:line="144" w:lineRule="exact"/>
        <w:rPr>
          <w:rFonts w:ascii="Times New Roman" w:cs="Times New Roman" w:eastAsia="Times New Roman" w:hAnsi="Times New Roman"/>
          <w:sz w:val="19"/>
          <w:szCs w:val="19"/>
          <w:color w:val="1F3763"/>
        </w:rPr>
      </w:pPr>
    </w:p>
    <w:p>
      <w:pPr>
        <w:ind w:left="780" w:right="100" w:firstLine="762"/>
        <w:spacing w:after="0" w:line="286" w:lineRule="auto"/>
        <w:tabs>
          <w:tab w:leader="none" w:pos="1968" w:val="left"/>
        </w:tabs>
        <w:numPr>
          <w:ilvl w:val="1"/>
          <w:numId w:val="41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Impairment. The Servicer shall do nothing to impair the rights of the Depositor, the Indenture Trustee, the Trust or the Noteholders in the Trust Property except as otherwise expressly provided herein.</w:t>
      </w:r>
    </w:p>
    <w:p>
      <w:pPr>
        <w:spacing w:after="0" w:line="127" w:lineRule="exact"/>
        <w:rPr>
          <w:rFonts w:ascii="Times New Roman" w:cs="Times New Roman" w:eastAsia="Times New Roman" w:hAnsi="Times New Roman"/>
          <w:sz w:val="19"/>
          <w:szCs w:val="19"/>
          <w:color w:val="1F3763"/>
        </w:rPr>
      </w:pPr>
    </w:p>
    <w:p>
      <w:pPr>
        <w:ind w:left="780" w:right="280" w:firstLine="762"/>
        <w:spacing w:after="0" w:line="286" w:lineRule="auto"/>
        <w:tabs>
          <w:tab w:leader="none" w:pos="2016" w:val="left"/>
        </w:tabs>
        <w:numPr>
          <w:ilvl w:val="1"/>
          <w:numId w:val="41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Amendments. The Servicer shall not extend or otherwise amend the terms of any Receivable, except in accordance with Section 4.2.</w:t>
      </w:r>
    </w:p>
    <w:p>
      <w:pPr>
        <w:spacing w:after="0" w:line="127" w:lineRule="exact"/>
        <w:rPr>
          <w:rFonts w:ascii="Times New Roman" w:cs="Times New Roman" w:eastAsia="Times New Roman" w:hAnsi="Times New Roman"/>
          <w:sz w:val="19"/>
          <w:szCs w:val="19"/>
          <w:color w:val="1F3763"/>
        </w:rPr>
      </w:pPr>
    </w:p>
    <w:p>
      <w:pPr>
        <w:jc w:val="both"/>
        <w:ind w:left="780" w:right="320" w:firstLine="762"/>
        <w:spacing w:after="0" w:line="256" w:lineRule="auto"/>
        <w:tabs>
          <w:tab w:leader="none" w:pos="2004" w:val="left"/>
        </w:tabs>
        <w:numPr>
          <w:ilvl w:val="1"/>
          <w:numId w:val="41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Restrictions on Liens. The Servicer shall not (A) create, incur or suffer to exist, or agree to create, incur or suffer to exist, or consent to cause or permit in the future (upon the happening of a contingency or otherwise) the creation, incurrence or existence of any Lien or restriction on transferability of the Receivables except for the Lien in favor of the Indenture Trustee for the benefit of the Noteholders and the restrictions on</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99" w:name="page500"/>
    <w:bookmarkEnd w:id="499"/>
    <w:p>
      <w:pPr>
        <w:spacing w:after="0" w:line="200" w:lineRule="exact"/>
        <w:rPr>
          <w:sz w:val="20"/>
          <w:szCs w:val="20"/>
          <w:color w:val="auto"/>
        </w:rPr>
      </w:pPr>
    </w:p>
    <w:p>
      <w:pPr>
        <w:spacing w:after="0" w:line="261" w:lineRule="exact"/>
        <w:rPr>
          <w:sz w:val="20"/>
          <w:szCs w:val="20"/>
          <w:color w:val="auto"/>
        </w:rPr>
      </w:pPr>
    </w:p>
    <w:p>
      <w:pPr>
        <w:ind w:left="700" w:right="380"/>
        <w:spacing w:after="0" w:line="262" w:lineRule="auto"/>
        <w:rPr>
          <w:sz w:val="20"/>
          <w:szCs w:val="20"/>
          <w:color w:val="auto"/>
        </w:rPr>
      </w:pPr>
      <w:r>
        <w:rPr>
          <w:rFonts w:ascii="Times New Roman" w:cs="Times New Roman" w:eastAsia="Times New Roman" w:hAnsi="Times New Roman"/>
          <w:sz w:val="19"/>
          <w:szCs w:val="19"/>
          <w:color w:val="auto"/>
        </w:rPr>
        <w:t>transferability imposed by this Agreement or (B) sign or file under the Uniform Commercial Code of any jurisdiction any financing statement which names United Auto or the Servicer as a debtor, or sign any security agreement authorizing any secured party thereunder to file such financing statement, with respect to the Receivables, except in each case any such instrument solely securing the rights and preserving the Lien of the Indenture Trustee, for the benefit of the Noteholders.</w:t>
      </w:r>
    </w:p>
    <w:p>
      <w:pPr>
        <w:spacing w:after="0" w:line="150" w:lineRule="exact"/>
        <w:rPr>
          <w:sz w:val="20"/>
          <w:szCs w:val="20"/>
          <w:color w:val="auto"/>
        </w:rPr>
      </w:pPr>
    </w:p>
    <w:p>
      <w:pPr>
        <w:ind w:left="720" w:firstLine="754"/>
        <w:spacing w:after="0" w:line="286" w:lineRule="auto"/>
        <w:tabs>
          <w:tab w:leader="none" w:pos="1896" w:val="left"/>
        </w:tabs>
        <w:numPr>
          <w:ilvl w:val="1"/>
          <w:numId w:val="41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Schedule of Receivables. The Servicer shall on or before the Closing Date and at any time thereafter, upon the request of the Indenture Trustee, deliver to the Indenture Trustee a copy of the Schedule of Receivables.</w:t>
      </w:r>
    </w:p>
    <w:p>
      <w:pPr>
        <w:spacing w:after="0" w:line="127" w:lineRule="exact"/>
        <w:rPr>
          <w:rFonts w:ascii="Times New Roman" w:cs="Times New Roman" w:eastAsia="Times New Roman" w:hAnsi="Times New Roman"/>
          <w:sz w:val="19"/>
          <w:szCs w:val="19"/>
          <w:color w:val="1F3763"/>
        </w:rPr>
      </w:pPr>
    </w:p>
    <w:p>
      <w:pPr>
        <w:ind w:left="720" w:right="300" w:firstLine="754"/>
        <w:spacing w:after="0" w:line="268" w:lineRule="auto"/>
        <w:tabs>
          <w:tab w:leader="none" w:pos="1944" w:val="left"/>
        </w:tabs>
        <w:numPr>
          <w:ilvl w:val="1"/>
          <w:numId w:val="41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Changes in Servicing System. The Servicer shall promptly notify the Backup Servicer in writing of any material changes which the Servicer makes to its servicing systems and provide sufficient detail with respect thereto to the Backup Servicer as the Backup Servicer may require.</w:t>
      </w:r>
    </w:p>
    <w:p>
      <w:pPr>
        <w:spacing w:after="0" w:line="144" w:lineRule="exact"/>
        <w:rPr>
          <w:rFonts w:ascii="Times New Roman" w:cs="Times New Roman" w:eastAsia="Times New Roman" w:hAnsi="Times New Roman"/>
          <w:sz w:val="19"/>
          <w:szCs w:val="19"/>
          <w:color w:val="1F3763"/>
        </w:rPr>
      </w:pPr>
    </w:p>
    <w:p>
      <w:pPr>
        <w:ind w:left="-80" w:right="120" w:firstLine="702"/>
        <w:spacing w:after="0" w:line="268" w:lineRule="auto"/>
        <w:tabs>
          <w:tab w:leader="none" w:pos="892" w:val="left"/>
        </w:tabs>
        <w:numPr>
          <w:ilvl w:val="0"/>
          <w:numId w:val="41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For so long as any Notes are Outstanding, United Auto represents, covenants and undertakes to the Issuer, the Indenture Trustee and the Owner Trustee, solely for the benefit of each Noteholder and, for the purposes of the EU Securitization Rules and U.K. Securitization Rules, each Affected Investor, as follows:</w:t>
      </w:r>
    </w:p>
    <w:p>
      <w:pPr>
        <w:spacing w:after="0" w:line="144" w:lineRule="exact"/>
        <w:rPr>
          <w:rFonts w:ascii="Times New Roman" w:cs="Times New Roman" w:eastAsia="Times New Roman" w:hAnsi="Times New Roman"/>
          <w:sz w:val="19"/>
          <w:szCs w:val="19"/>
          <w:color w:val="2F5496"/>
        </w:rPr>
      </w:pPr>
    </w:p>
    <w:p>
      <w:pPr>
        <w:ind w:left="720" w:firstLine="754"/>
        <w:spacing w:after="0" w:line="259" w:lineRule="auto"/>
        <w:tabs>
          <w:tab w:leader="none" w:pos="1848" w:val="left"/>
        </w:tabs>
        <w:numPr>
          <w:ilvl w:val="1"/>
          <w:numId w:val="41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Regulation RR Risk Retention. On and after the Closing Date, to the extent required by Regulation RR, United Auto, as sponsor, (a) will cause the Depositor to retain an "eligible vertical interest" in each class of "ABS interests" of the Issuer (as such terms are used in Regulation RR) of not less than 5% of the initial principal amount of each class of Notes and not less than 5% of the nominal principal amount of the Certificates and (b) will not, and will not permit the Depositor to, sell, transfer or hedge that eligible vertical interest, except as permitted by Regulation RR.</w:t>
      </w:r>
    </w:p>
    <w:p>
      <w:pPr>
        <w:spacing w:after="0" w:line="153" w:lineRule="exact"/>
        <w:rPr>
          <w:rFonts w:ascii="Times New Roman" w:cs="Times New Roman" w:eastAsia="Times New Roman" w:hAnsi="Times New Roman"/>
          <w:sz w:val="19"/>
          <w:szCs w:val="19"/>
          <w:color w:val="1F3763"/>
        </w:rPr>
      </w:pPr>
    </w:p>
    <w:p>
      <w:pPr>
        <w:ind w:left="1900" w:hanging="426"/>
        <w:spacing w:after="0"/>
        <w:tabs>
          <w:tab w:leader="none" w:pos="1900" w:val="left"/>
        </w:tabs>
        <w:numPr>
          <w:ilvl w:val="1"/>
          <w:numId w:val="41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EU Securitization Rules and U.K. Securitization Rules.</w:t>
      </w:r>
    </w:p>
    <w:p>
      <w:pPr>
        <w:spacing w:after="0" w:line="201" w:lineRule="exact"/>
        <w:rPr>
          <w:rFonts w:ascii="Times New Roman" w:cs="Times New Roman" w:eastAsia="Times New Roman" w:hAnsi="Times New Roman"/>
          <w:sz w:val="19"/>
          <w:szCs w:val="19"/>
          <w:color w:val="1F3763"/>
        </w:rPr>
      </w:pPr>
    </w:p>
    <w:p>
      <w:pPr>
        <w:ind w:left="1340" w:right="60" w:firstLine="795"/>
        <w:spacing w:after="0" w:line="256" w:lineRule="auto"/>
        <w:tabs>
          <w:tab w:leader="none" w:pos="2384" w:val="left"/>
        </w:tabs>
        <w:numPr>
          <w:ilvl w:val="2"/>
          <w:numId w:val="41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United Auto will, as an "originator" (as such term is defined for purposes of each of the EU Securitization Regulation and the U.K. Securitization Rules, each as in effect as of the Closing Date), and in accordance with paragraph (B) below, retain, continually and on an on-going basis, a material net economic interest (the "EU and U.K. Retained Interest") in the securitization transaction described in the Offering Memorandum, of not less than 5%, in the form of the retention of not less than 5% of the nominal value of each of the tranches sold or transferred to investors, as provided in Article 6(3)(a) of the EU Securitization Regulation, SECN 5.2.8R(1)(a) of the FCA Rules and Article 6(3)(a) of Chapter 2 of the PRA Rules, each as in effect as of the Closing Date;</w:t>
      </w:r>
    </w:p>
    <w:p>
      <w:pPr>
        <w:spacing w:after="0" w:line="157" w:lineRule="exact"/>
        <w:rPr>
          <w:rFonts w:ascii="Times New Roman" w:cs="Times New Roman" w:eastAsia="Times New Roman" w:hAnsi="Times New Roman"/>
          <w:sz w:val="19"/>
          <w:szCs w:val="19"/>
          <w:color w:val="1F3763"/>
        </w:rPr>
      </w:pPr>
    </w:p>
    <w:p>
      <w:pPr>
        <w:ind w:left="1340" w:right="100" w:firstLine="795"/>
        <w:spacing w:after="0" w:line="258" w:lineRule="auto"/>
        <w:tabs>
          <w:tab w:leader="none" w:pos="2372" w:val="left"/>
        </w:tabs>
        <w:numPr>
          <w:ilvl w:val="2"/>
          <w:numId w:val="41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United Auto will retain the EU and U.K. Retained Interest by means of (1) United Auto holding and retaining directly 100% of the equity interests in the Depositor and (2) the Depositor holding and retaining directly at least 5% of the initial principal amount of each class of Notes and at least 5% of the aggregate nominal principal</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amount of the Certificates;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635635</wp:posOffset>
            </wp:positionV>
            <wp:extent cx="6732905" cy="406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740" w:top="1440" w:right="740" w:bottom="1440" w:gutter="0" w:footer="0" w:header="0"/>
        </w:sectPr>
      </w:pPr>
    </w:p>
    <w:bookmarkStart w:id="500" w:name="page501"/>
    <w:bookmarkEnd w:id="500"/>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1F3763"/>
        </w:rPr>
        <w:t xml:space="preserve">C. </w:t>
      </w:r>
      <w:r>
        <w:rPr>
          <w:rFonts w:ascii="Times New Roman" w:cs="Times New Roman" w:eastAsia="Times New Roman" w:hAnsi="Times New Roman"/>
          <w:sz w:val="19"/>
          <w:szCs w:val="19"/>
          <w:color w:val="000000"/>
        </w:rPr>
        <w:t>United Auto directly owns 100% of the equity interests in the Depositor, and will not dispose of such</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interests;</w:t>
      </w:r>
    </w:p>
    <w:p>
      <w:pPr>
        <w:spacing w:after="0" w:line="180" w:lineRule="exact"/>
        <w:rPr>
          <w:sz w:val="20"/>
          <w:szCs w:val="20"/>
          <w:color w:val="auto"/>
        </w:rPr>
      </w:pPr>
    </w:p>
    <w:p>
      <w:pPr>
        <w:jc w:val="both"/>
        <w:ind w:left="640" w:right="300" w:firstLine="804"/>
        <w:spacing w:after="0" w:line="268" w:lineRule="auto"/>
        <w:rPr>
          <w:sz w:val="20"/>
          <w:szCs w:val="20"/>
          <w:color w:val="auto"/>
        </w:rPr>
      </w:pPr>
      <w:r>
        <w:rPr>
          <w:rFonts w:ascii="Times New Roman" w:cs="Times New Roman" w:eastAsia="Times New Roman" w:hAnsi="Times New Roman"/>
          <w:sz w:val="19"/>
          <w:szCs w:val="19"/>
          <w:color w:val="1F3763"/>
        </w:rPr>
        <w:t xml:space="preserve">D. </w:t>
      </w:r>
      <w:r>
        <w:rPr>
          <w:rFonts w:ascii="Times New Roman" w:cs="Times New Roman" w:eastAsia="Times New Roman" w:hAnsi="Times New Roman"/>
          <w:sz w:val="19"/>
          <w:szCs w:val="19"/>
          <w:color w:val="000000"/>
        </w:rPr>
        <w:t>United Auto will not change, or permit to be changed, the form of the EU and U.K. Retained Interest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while the Notes are Outstanding, except, where applicable, under exceptional circumstances in accordance with the EU Securitization Rules and the U.K. Securitization Rules;</w:t>
      </w:r>
    </w:p>
    <w:p>
      <w:pPr>
        <w:spacing w:after="0" w:line="142" w:lineRule="exact"/>
        <w:rPr>
          <w:sz w:val="20"/>
          <w:szCs w:val="20"/>
          <w:color w:val="auto"/>
        </w:rPr>
      </w:pPr>
    </w:p>
    <w:p>
      <w:pPr>
        <w:ind w:left="640" w:right="120" w:firstLine="804"/>
        <w:spacing w:after="0" w:line="260" w:lineRule="auto"/>
        <w:rPr>
          <w:sz w:val="20"/>
          <w:szCs w:val="20"/>
          <w:color w:val="auto"/>
        </w:rPr>
      </w:pPr>
      <w:r>
        <w:rPr>
          <w:rFonts w:ascii="Times New Roman" w:cs="Times New Roman" w:eastAsia="Times New Roman" w:hAnsi="Times New Roman"/>
          <w:sz w:val="19"/>
          <w:szCs w:val="19"/>
          <w:color w:val="1F3763"/>
        </w:rPr>
        <w:t xml:space="preserve">E. </w:t>
      </w:r>
      <w:r>
        <w:rPr>
          <w:rFonts w:ascii="Times New Roman" w:cs="Times New Roman" w:eastAsia="Times New Roman" w:hAnsi="Times New Roman"/>
          <w:sz w:val="19"/>
          <w:szCs w:val="19"/>
          <w:color w:val="000000"/>
        </w:rPr>
        <w:t>notwithstanding the arrangements described under "</w:t>
      </w:r>
      <w:r>
        <w:rPr>
          <w:rFonts w:ascii="Times New Roman" w:cs="Times New Roman" w:eastAsia="Times New Roman" w:hAnsi="Times New Roman"/>
          <w:sz w:val="19"/>
          <w:szCs w:val="19"/>
          <w:i w:val="1"/>
          <w:iCs w:val="1"/>
          <w:color w:val="000000"/>
        </w:rPr>
        <w:t>U.S. Credit Risk Retention</w:t>
      </w:r>
      <w:r>
        <w:rPr>
          <w:rFonts w:ascii="Times New Roman" w:cs="Times New Roman" w:eastAsia="Times New Roman" w:hAnsi="Times New Roman"/>
          <w:sz w:val="19"/>
          <w:szCs w:val="19"/>
          <w:color w:val="000000"/>
        </w:rPr>
        <w:t>" in the Offering</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Memorandum, neither the EU and U.K. Retained Interest nor United Auto's beneficial ownership interest in the Depositor will be subject to any credit risk mitigation or hedging, and neither United Auto nor the Depositor will sell, transfer or otherwise surrender all or part of the rights, benefits or obligations arising from the EU and U.K. Retained Interest, except to the extent permitted under the EU Securitization Rules and the U.K. Securitization Rules;</w:t>
      </w:r>
    </w:p>
    <w:p>
      <w:pPr>
        <w:spacing w:after="0" w:line="151" w:lineRule="exact"/>
        <w:rPr>
          <w:sz w:val="20"/>
          <w:szCs w:val="20"/>
          <w:color w:val="auto"/>
        </w:rPr>
      </w:pPr>
    </w:p>
    <w:p>
      <w:pPr>
        <w:ind w:left="640" w:right="160" w:firstLine="804"/>
        <w:spacing w:after="0" w:line="262" w:lineRule="auto"/>
        <w:rPr>
          <w:sz w:val="20"/>
          <w:szCs w:val="20"/>
          <w:color w:val="auto"/>
        </w:rPr>
      </w:pPr>
      <w:r>
        <w:rPr>
          <w:rFonts w:ascii="Times New Roman" w:cs="Times New Roman" w:eastAsia="Times New Roman" w:hAnsi="Times New Roman"/>
          <w:sz w:val="19"/>
          <w:szCs w:val="19"/>
          <w:color w:val="1F3763"/>
        </w:rPr>
        <w:t xml:space="preserve">F. </w:t>
      </w:r>
      <w:r>
        <w:rPr>
          <w:rFonts w:ascii="Times New Roman" w:cs="Times New Roman" w:eastAsia="Times New Roman" w:hAnsi="Times New Roman"/>
          <w:sz w:val="19"/>
          <w:szCs w:val="19"/>
          <w:color w:val="000000"/>
        </w:rPr>
        <w:t>United Auto granted all the credits giving rise to the Receivables on the basis of sound and well -defined</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criteria and clearly established processes for approving, amending, renewing and financing those credits and has effective systems in place to apply those criteria and processes to ensure that credit-granting is based on a thorough assessment of each obligor's creditworthiness;</w:t>
      </w:r>
    </w:p>
    <w:p>
      <w:pPr>
        <w:spacing w:after="0" w:line="150" w:lineRule="exact"/>
        <w:rPr>
          <w:sz w:val="20"/>
          <w:szCs w:val="20"/>
          <w:color w:val="auto"/>
        </w:rPr>
      </w:pPr>
    </w:p>
    <w:p>
      <w:pPr>
        <w:ind w:left="640" w:firstLine="804"/>
        <w:spacing w:after="0" w:line="257" w:lineRule="auto"/>
        <w:rPr>
          <w:sz w:val="20"/>
          <w:szCs w:val="20"/>
          <w:color w:val="auto"/>
        </w:rPr>
      </w:pPr>
      <w:r>
        <w:rPr>
          <w:rFonts w:ascii="Times New Roman" w:cs="Times New Roman" w:eastAsia="Times New Roman" w:hAnsi="Times New Roman"/>
          <w:sz w:val="19"/>
          <w:szCs w:val="19"/>
          <w:color w:val="1F3763"/>
        </w:rPr>
        <w:t xml:space="preserve">G. </w:t>
      </w:r>
      <w:r>
        <w:rPr>
          <w:rFonts w:ascii="Times New Roman" w:cs="Times New Roman" w:eastAsia="Times New Roman" w:hAnsi="Times New Roman"/>
          <w:sz w:val="19"/>
          <w:szCs w:val="19"/>
          <w:color w:val="000000"/>
        </w:rPr>
        <w:t>United Auto will provide ongoing confirmation of its continued compliance with its obligations set out in</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clauses A through F above: (1) in or concurrently with the delivery of each Servicer's Certificate, (2) promptly following the occurrence of any Event of Default and (3) from time to time upon any request by any Noteholder in connection with any material change in the performance of the Receivables or the Notes or any breach of the Basic Documents; and any such confirmation under clauses (2) or (3) of this paragraph shall be provided to the Indenture Trustee (and made available to Noteholders in accordance with Section 5.10(b) of this Agreement);</w:t>
      </w:r>
    </w:p>
    <w:p>
      <w:pPr>
        <w:spacing w:after="0" w:line="157" w:lineRule="exact"/>
        <w:rPr>
          <w:sz w:val="20"/>
          <w:szCs w:val="20"/>
          <w:color w:val="auto"/>
        </w:rPr>
      </w:pPr>
    </w:p>
    <w:p>
      <w:pPr>
        <w:jc w:val="both"/>
        <w:ind w:left="640" w:right="120" w:firstLine="804"/>
        <w:spacing w:after="0" w:line="268" w:lineRule="auto"/>
        <w:rPr>
          <w:sz w:val="20"/>
          <w:szCs w:val="20"/>
          <w:color w:val="auto"/>
        </w:rPr>
      </w:pPr>
      <w:r>
        <w:rPr>
          <w:rFonts w:ascii="Times New Roman" w:cs="Times New Roman" w:eastAsia="Times New Roman" w:hAnsi="Times New Roman"/>
          <w:sz w:val="19"/>
          <w:szCs w:val="19"/>
          <w:color w:val="1F3763"/>
        </w:rPr>
        <w:t xml:space="preserve">H. </w:t>
      </w:r>
      <w:r>
        <w:rPr>
          <w:rFonts w:ascii="Times New Roman" w:cs="Times New Roman" w:eastAsia="Times New Roman" w:hAnsi="Times New Roman"/>
          <w:sz w:val="19"/>
          <w:szCs w:val="19"/>
          <w:color w:val="000000"/>
        </w:rPr>
        <w:t>United Auto will promptly notify the Indenture Trustee of any violation of United Auto's obligations set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out above or any change in the manner in which the EU and U.K. Retained Interest is held; and any such notification will be made available to Noteholders in accordance with Section 5.10(b) of this Agreement; and</w:t>
      </w:r>
    </w:p>
    <w:p>
      <w:pPr>
        <w:spacing w:after="0" w:line="144" w:lineRule="exact"/>
        <w:rPr>
          <w:sz w:val="20"/>
          <w:szCs w:val="20"/>
          <w:color w:val="auto"/>
        </w:rPr>
      </w:pPr>
    </w:p>
    <w:p>
      <w:pPr>
        <w:ind w:left="640" w:firstLine="804"/>
        <w:spacing w:after="0" w:line="253" w:lineRule="auto"/>
        <w:rPr>
          <w:sz w:val="20"/>
          <w:szCs w:val="20"/>
          <w:color w:val="auto"/>
        </w:rPr>
      </w:pPr>
      <w:r>
        <w:rPr>
          <w:rFonts w:ascii="Times New Roman" w:cs="Times New Roman" w:eastAsia="Times New Roman" w:hAnsi="Times New Roman"/>
          <w:sz w:val="19"/>
          <w:szCs w:val="19"/>
          <w:color w:val="1F3763"/>
        </w:rPr>
        <w:t xml:space="preserve">I. </w:t>
      </w:r>
      <w:r>
        <w:rPr>
          <w:rFonts w:ascii="Times New Roman" w:cs="Times New Roman" w:eastAsia="Times New Roman" w:hAnsi="Times New Roman"/>
          <w:sz w:val="19"/>
          <w:szCs w:val="19"/>
          <w:color w:val="000000"/>
        </w:rPr>
        <w:t>United Auto will provide (or cause the Servicer to provide), promptly after written request by any</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Affected Investor, directly or on behalf of such Affected Investor by the Indenture Trustee from time to time, such further information as any Affected Investor may reasonably request for purposes of (1) the EU Investor Requirements, or (2) U.K. Investor Requirements, as applicable; provided that, and only to the extent that, such information is in the possession or control of United Auto or the Servicer and United Auto (or the Servicer) can provide such information without breaching applicable confidentiality laws or contractual obligations binding on them; and provided further that United Auto</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635635</wp:posOffset>
            </wp:positionV>
            <wp:extent cx="6732905" cy="406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501" w:name="page502"/>
    <w:bookmarkEnd w:id="501"/>
    <w:p>
      <w:pPr>
        <w:spacing w:after="0" w:line="200" w:lineRule="exact"/>
        <w:rPr>
          <w:sz w:val="20"/>
          <w:szCs w:val="20"/>
          <w:color w:val="auto"/>
        </w:rPr>
      </w:pPr>
    </w:p>
    <w:p>
      <w:pPr>
        <w:spacing w:after="0" w:line="26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shall not be required to make available any EU Prescribed Reporting or U.K. Prescribed Reporting.</w:t>
      </w:r>
    </w:p>
    <w:p>
      <w:pPr>
        <w:spacing w:after="0" w:line="202" w:lineRule="exact"/>
        <w:rPr>
          <w:sz w:val="20"/>
          <w:szCs w:val="20"/>
          <w:color w:val="auto"/>
        </w:rPr>
      </w:pPr>
    </w:p>
    <w:p>
      <w:pPr>
        <w:ind w:right="120" w:firstLine="1410"/>
        <w:spacing w:after="0" w:line="286" w:lineRule="auto"/>
        <w:tabs>
          <w:tab w:leader="none" w:pos="1885" w:val="left"/>
        </w:tabs>
        <w:numPr>
          <w:ilvl w:val="0"/>
          <w:numId w:val="41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Schedule of Representations. United Auto represents, warrants and covenants as of the Closing Date as to itself that the representations and warranties set forth on the Schedule of Representations attached hereto as Schedule B are true and correct.</w:t>
      </w:r>
    </w:p>
    <w:p>
      <w:pPr>
        <w:spacing w:after="0" w:line="127" w:lineRule="exact"/>
        <w:rPr>
          <w:sz w:val="20"/>
          <w:szCs w:val="20"/>
          <w:color w:val="auto"/>
        </w:rPr>
      </w:pPr>
    </w:p>
    <w:p>
      <w:pPr>
        <w:ind w:firstLine="696"/>
        <w:spacing w:after="0" w:line="251" w:lineRule="auto"/>
        <w:rPr>
          <w:sz w:val="20"/>
          <w:szCs w:val="20"/>
          <w:color w:val="auto"/>
        </w:rPr>
      </w:pPr>
      <w:r>
        <w:rPr>
          <w:rFonts w:ascii="Times New Roman" w:cs="Times New Roman" w:eastAsia="Times New Roman" w:hAnsi="Times New Roman"/>
          <w:sz w:val="19"/>
          <w:szCs w:val="19"/>
          <w:color w:val="2F5496"/>
        </w:rPr>
        <w:t xml:space="preserve">SECTION IV.7. </w:t>
      </w:r>
      <w:r>
        <w:rPr>
          <w:rFonts w:ascii="Times New Roman" w:cs="Times New Roman" w:eastAsia="Times New Roman" w:hAnsi="Times New Roman"/>
          <w:sz w:val="19"/>
          <w:szCs w:val="19"/>
          <w:color w:val="000000"/>
        </w:rPr>
        <w:t>Purchase of Receivables Upon Breach of Covenant or Modification. Upon (a) the discovery by the Depositor,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the Servicer or the Issuer, or (b) the receipt of written notice by or actual knowledge of a Responsible Officer of the Indenture Trustee or Backup Servicer, of (i) a breach of any of the covenants set forth in Sections 1, 2 or 3 of the Custodian Agreement or in Sections 4.5(a) or 4.6 or (ii) the Servicer grants a modification as described in Section 4.2(b), the party discovering or in receipt of notice of such breach or modification shall give prompt written notice to the others;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the failure to give any such notice shall not affect any obligation of United Auto under this Section. As of the second Accounting Date following (or, at United Auto's election, the first Accounting Date following) its discovery or receipt of notice of (x) any breach of any covenant set forth in Sections 1, 2 or 3 of the Custodian Agreement or Sections 4.5(a) or 4.6 which materially and adversely affects the interests of the Noteholders in any Receivable (including any Defaulted Receivable) or the related Financed Vehicle or (y) modification described in Section 4.2(b), United Auto (1) shall with respect to a breach described in clause (x) of this sentence, unless such breach shall have been cured in all material respects using commercially reasonable efforts, or (2) may with respect to a modification described in Section 4.2(b), purchase from the Trust the Receivable affected by such breach or modification and, on the related Determination Date, United Auto shall pay the related Purchase Amount; </w:t>
      </w:r>
      <w:r>
        <w:rPr>
          <w:rFonts w:ascii="Times New Roman" w:cs="Times New Roman" w:eastAsia="Times New Roman" w:hAnsi="Times New Roman"/>
          <w:sz w:val="19"/>
          <w:szCs w:val="19"/>
          <w:i w:val="1"/>
          <w:iCs w:val="1"/>
          <w:color w:val="000000"/>
        </w:rPr>
        <w:t>provided, that</w:t>
      </w:r>
      <w:r>
        <w:rPr>
          <w:rFonts w:ascii="Times New Roman" w:cs="Times New Roman" w:eastAsia="Times New Roman" w:hAnsi="Times New Roman"/>
          <w:sz w:val="19"/>
          <w:szCs w:val="19"/>
          <w:color w:val="000000"/>
        </w:rPr>
        <w:t xml:space="preserve">, upon the Depositor's, the Servicer's or the Issuer's discovery or receipt of such notice of a breach described in clause (x) above, United Auto shall promptly use commercially reasonable effort to cure such breach in all material respects. For any purchase due to a modification described in Section 4.2(b), such purchase shall be deemed to have occurred immediately before the modification, with the Purchase Amount determined as of that date and time. If United Auto fails to cause any such Receivable to be so purchased by remitting the related Purchase Amount to the Collection Account as required, United Auto shall promptly notify the Noteholders of such event and specify in such notice each Receivable that was not so repurchased as required. It is understood and agreed that the obligation of United Auto to purchase any Receivable (including any Defaulted Receivable) with respect to which such a breach has occurred and is continuing shall, if such obligation is fulfilled, constitute the sole remedy against United Auto for such breach available to the Noteholders, the Owner Trustee, the Backup Servicer or the Indenture Trustee; </w:t>
      </w:r>
      <w:r>
        <w:rPr>
          <w:rFonts w:ascii="Times New Roman" w:cs="Times New Roman" w:eastAsia="Times New Roman" w:hAnsi="Times New Roman"/>
          <w:sz w:val="19"/>
          <w:szCs w:val="19"/>
          <w:i w:val="1"/>
          <w:iCs w:val="1"/>
          <w:color w:val="000000"/>
        </w:rPr>
        <w:t>provided, further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xml:space="preserve"> that United Auto shall indemnify the Trust, the Backup Servicer, the Owner Trustee, the Indenture Trustee and the Noteholders from and against all costs, expenses, losses, damages, claims and liabilities, including reasonable fees and expenses of counsel, and including any reasonable legal fees, costs (including court costs), and expenses incurred in connection with any enforcement (including any action, claim, or suit brought) by a party pursuant to this paragraph of any indemnification or other obligation of United Auto, which may be asserted against or incurred by any of them as a result of claims arising out of the events or facts giving rise to such breach, and any legal fees, costs (including court costs), and expenses incurred in connection with any enforcement (including any action, claim, or suit brought) by the Indenture Trustee, the Owner Trustee or the Backup Servicer of any indemnification or other obligation of United Auto. In the event United Auto fails to provide such indemnity payments due pursuant to this paragraph to the Owner Trustee, Indenture Trustee or Backup Servicer, the Owner Trustee, Indenture Trustee and Backup Servicer shall collect such indemnities amounts pursuant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02" w:name="page503"/>
    <w:bookmarkEnd w:id="502"/>
    <w:p>
      <w:pPr>
        <w:spacing w:after="0" w:line="200" w:lineRule="exact"/>
        <w:rPr>
          <w:sz w:val="20"/>
          <w:szCs w:val="20"/>
          <w:color w:val="auto"/>
        </w:rPr>
      </w:pPr>
    </w:p>
    <w:p>
      <w:pPr>
        <w:spacing w:after="0" w:line="26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to Section 7.2 of the Trust Agreement (with respect to the Owner Trustee), Section 5.7(b) hereof or Section 5.6 of the Indenture. Notwithstanding anything else herein to the contrary, none of the Owner Trustee, the Indenture Trustee or the Backup Servicer shall have any duty to conduct an affirmative investigation as to the occurrence of any condition requiring the repurchase of any Receivable pursuant to this Section 4.7, the eligibility of any Receivable for purposes of this Agreement or, except as provided in this Section, to enforce the repurchase obligations of United Auto, unless a Responsible Officer of the Indenture Trustee or the Backup Servicer, or a Responsible Officer (as such term is defined in the Trust Agreement) of the Owner Trustee, has received written notice of or has actual knowledge of such breach pursuant to the terms of the Basic Documents. For the avoidance of doubt, none of the Owner Trustee, the Indenture Trustee or the Backup Servicer shall be responsible for determining whether any breach of representations or warranty or document defect constitutes a breach or defect or the materiality thereof or any repurchase-related liabilities. This Section shall survive the termination or assignment of this Agreement and the earlier removal or resignation of United Auto, the Indenture Trustee and/or the Backup Servicer.</w:t>
      </w:r>
    </w:p>
    <w:p>
      <w:pPr>
        <w:spacing w:after="0" w:line="157"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For the avoidance of doubt, United Auto does not intend to cause a breach of any of the covenants or grant any modifications described above that would trigger a purchase requirement for the sole purpose of enabling United Auto to purchase a Receivable.</w:t>
      </w:r>
    </w:p>
    <w:p>
      <w:pPr>
        <w:spacing w:after="0" w:line="127"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2F5496"/>
        </w:rPr>
        <w:t xml:space="preserve">SECTION IV.8. </w:t>
      </w:r>
      <w:r>
        <w:rPr>
          <w:rFonts w:ascii="Times New Roman" w:cs="Times New Roman" w:eastAsia="Times New Roman" w:hAnsi="Times New Roman"/>
          <w:sz w:val="19"/>
          <w:szCs w:val="19"/>
          <w:color w:val="000000"/>
        </w:rPr>
        <w:t>Total Servicing Fee; Payment of Certain Expenses by Servicer. On each Distribution Date, the Servicer shall</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be entitled to receive out of the Collection Account the Base Servicing Fee and any Supplemental Servicing Fee for the related Collection Period (together, the "Servicing Fee") pursuant to Section 5.7. The Servicer shall be required to pay all expenses incurred by it in connection with its activities under this Agreement (including taxes imposed on the Servicer, expenses incurred in connection with distributions and reports made by the Servicer to the Noteholders and all other fees and expenses of the Owner Trustee, the Backup Servicer, any successor Custodian or the Indenture Trustee, except taxes levied or assessed against the Trust, and claims against the Trust in respect of indemnification, which taxes and claims in respect of indemnification against the Trust are expressly stated to be for the account of United Auto). The Servicer shall be liable for the fees and expenses of the Owner Trustee, the Backup Servicer, the Indenture Trustee, any successor Custodian, the Lockbox Bank (and any fees under the Lockbox Agreement) and the Independent Accountants to the extent such fees and expenses have not been paid or reimbursed pursuant to Section 5.7 on any Distribution Date. The Servicer may, in its sole discretion, elect to waive or defer the Base Servicing Fee or any Supplemental Servicing Fee on any given Distribution Date and subsequently collect such waived or deferred Base Servicing Fee or Supplemental Servicing Fee on any following Distribution Date pursuant to Section 5.7. Notwithstanding the foregoing, if the Servicer shall not be United Auto, a successor to United Auto as Servicer including the Backup Servicer permitted by Section 9.3, shall not be liable for taxes levied or assessed against the Trust (except as specifically set forth in Section 8.3(d)) or claims against the Trust in respect of indemnification, or the fees and expenses referred to above, and United Auto shall remain liable therefor.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3" w:name="page504"/>
    <w:bookmarkEnd w:id="503"/>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IV.9. </w:t>
      </w:r>
      <w:r>
        <w:rPr>
          <w:rFonts w:ascii="Times New Roman" w:cs="Times New Roman" w:eastAsia="Times New Roman" w:hAnsi="Times New Roman"/>
          <w:sz w:val="19"/>
          <w:szCs w:val="19"/>
          <w:color w:val="000000"/>
        </w:rPr>
        <w:t>Servicer's Certificate.</w:t>
      </w:r>
    </w:p>
    <w:p>
      <w:pPr>
        <w:spacing w:after="0" w:line="202" w:lineRule="exact"/>
        <w:rPr>
          <w:sz w:val="20"/>
          <w:szCs w:val="20"/>
          <w:color w:val="auto"/>
        </w:rPr>
      </w:pPr>
    </w:p>
    <w:p>
      <w:pPr>
        <w:ind w:firstLine="702"/>
        <w:spacing w:after="0" w:line="254" w:lineRule="auto"/>
        <w:tabs>
          <w:tab w:leader="none" w:pos="960" w:val="left"/>
        </w:tabs>
        <w:numPr>
          <w:ilvl w:val="0"/>
          <w:numId w:val="42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later than noon Eastern time on each Determination Date, the Servicer shall deliver (facsimile or electronic delivery being acceptable) to the Indenture Trustee, the Owner Trustee, the Backup Servicer, and each Rating Agency a Servicer's Certificate executed by a Responsible Officer of the Servicer containing among other things: (i) all information necessary to enable the Indenture Trustee to make the distributions required by Sections 5.7(a), 5.7(b), 5.7(c), 5.7(d) and 5.7(e) hereof and Section 5.6 of the Indenture; (ii) a listing of all Purchased Receivables purchased by the Servicer as of the related Accounting Date, identifying the Receivables so purchased by the Servicer or sold by the Issuer, (iii) all information necessary to enable the Backup Servicer to perform its obligations under Section 4.13, (iv) confirmation of its continued compliance with its obligations set out in clauses A through F of Section 4.6(b)(ii) in accordance with Section 4.6(b)(ii)(G), and (v) all information necessary to enable the Indenture Trustee to send the statements to Noteholders required by Section 5.10. Receivables purchased by the Servicer or by the Depositor on the related Accounting Date and each Receivable which became a Defaulted Receivable or which was paid in full during the related Collection Period shall be identified by account number (as set forth in the Schedule of Receivables).</w:t>
      </w:r>
    </w:p>
    <w:p>
      <w:pPr>
        <w:spacing w:after="0" w:line="157" w:lineRule="exact"/>
        <w:rPr>
          <w:rFonts w:ascii="Times New Roman" w:cs="Times New Roman" w:eastAsia="Times New Roman" w:hAnsi="Times New Roman"/>
          <w:sz w:val="19"/>
          <w:szCs w:val="19"/>
          <w:color w:val="1F3763"/>
        </w:rPr>
      </w:pPr>
    </w:p>
    <w:p>
      <w:pPr>
        <w:ind w:right="360" w:firstLine="702"/>
        <w:spacing w:after="0" w:line="286" w:lineRule="auto"/>
        <w:tabs>
          <w:tab w:leader="none" w:pos="972" w:val="left"/>
        </w:tabs>
        <w:numPr>
          <w:ilvl w:val="0"/>
          <w:numId w:val="42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will deliver the disclosure required by Rule 4(c)(2)(i) of Regulation RR with the first Servicer's Certificate following the Closing Date.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IV.10. </w:t>
      </w:r>
      <w:r>
        <w:rPr>
          <w:rFonts w:ascii="Times New Roman" w:cs="Times New Roman" w:eastAsia="Times New Roman" w:hAnsi="Times New Roman"/>
          <w:sz w:val="19"/>
          <w:szCs w:val="19"/>
          <w:color w:val="000000"/>
        </w:rPr>
        <w:t>Annual Statement as to Compliance, Notice of Servicer Termination Event.</w:t>
      </w:r>
    </w:p>
    <w:p>
      <w:pPr>
        <w:spacing w:after="0" w:line="202" w:lineRule="exact"/>
        <w:rPr>
          <w:sz w:val="20"/>
          <w:szCs w:val="20"/>
          <w:color w:val="auto"/>
        </w:rPr>
      </w:pPr>
    </w:p>
    <w:p>
      <w:pPr>
        <w:ind w:right="100" w:firstLine="702"/>
        <w:spacing w:after="0" w:line="255" w:lineRule="auto"/>
        <w:tabs>
          <w:tab w:leader="none" w:pos="960" w:val="left"/>
        </w:tabs>
        <w:numPr>
          <w:ilvl w:val="0"/>
          <w:numId w:val="42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deliver to the Indenture Trustee, the Owner Trustee, the Backup Servicer and each Rating Agency, on or before April 30 of each year, beginning on April 30, 2026, an Officer's Certificate of the Servicer, dated as of December 31 of the previous calendar year, stating that (i) a review of the activities of the Servicer during the preceding calendar year (or such other period as shall have elapsed from the Closing Date to the date of the first such certificate) and of its performance under this Agreement and the other Basic Documents has been made under such officer's supervision, and (ii) to such officer's knowledge, based on such review, the Servicer has fulfilled in all material respects all its obligations under this Agreement and the other Basic Documents throughout such period, or, if there has been a failure to fulfill any such obligation in any material respect, identifying each such failure known to such officer and the nature and status of such failure.</w:t>
      </w:r>
    </w:p>
    <w:p>
      <w:pPr>
        <w:spacing w:after="0" w:line="159" w:lineRule="exact"/>
        <w:rPr>
          <w:rFonts w:ascii="Times New Roman" w:cs="Times New Roman" w:eastAsia="Times New Roman" w:hAnsi="Times New Roman"/>
          <w:sz w:val="19"/>
          <w:szCs w:val="19"/>
          <w:color w:val="1F3763"/>
        </w:rPr>
      </w:pPr>
    </w:p>
    <w:p>
      <w:pPr>
        <w:ind w:right="60" w:firstLine="702"/>
        <w:spacing w:after="0" w:line="254" w:lineRule="auto"/>
        <w:tabs>
          <w:tab w:leader="none" w:pos="972" w:val="left"/>
        </w:tabs>
        <w:numPr>
          <w:ilvl w:val="0"/>
          <w:numId w:val="42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deliver to the Indenture Trustee, the Owner Trustee, the Backup Servicer and each Rating Agency, promptly after having obtained knowledge thereof, but in no event later than two Business Days thereafter, written notice in an Officer's Certificate of any event which with the giving of notice or lapse of time, or both, would become a Servicer Termination Event under Section 9.1(a). The Depositor or the Servicer shall deliver to the Indenture Trustee, the Owner Trustee, the Backup Servicer, the Servicer or the Depositor (as applicable) and each Rating Agency promptly after having obtained knowledge thereof, but in no event later than two Business Days thereafter, written notice in an Officer's Certificate of any event which with the giving of notice or lapse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or both, would become a Servicer Termination Event under any other clause of Section 9.1.</w:t>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04" w:name="page505"/>
    <w:bookmarkEnd w:id="504"/>
    <w:p>
      <w:pPr>
        <w:spacing w:after="0" w:line="200" w:lineRule="exact"/>
        <w:rPr>
          <w:sz w:val="20"/>
          <w:szCs w:val="20"/>
          <w:color w:val="auto"/>
        </w:rPr>
      </w:pPr>
    </w:p>
    <w:p>
      <w:pPr>
        <w:spacing w:after="0" w:line="261" w:lineRule="exact"/>
        <w:rPr>
          <w:sz w:val="20"/>
          <w:szCs w:val="20"/>
          <w:color w:val="auto"/>
        </w:rPr>
      </w:pPr>
    </w:p>
    <w:p>
      <w:pPr>
        <w:ind w:right="240" w:firstLine="702"/>
        <w:spacing w:after="0" w:line="268" w:lineRule="auto"/>
        <w:tabs>
          <w:tab w:leader="none" w:pos="960" w:val="left"/>
        </w:tabs>
        <w:numPr>
          <w:ilvl w:val="0"/>
          <w:numId w:val="42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will deliver to the Issuer, on or before April 30 of each year, beginning on April 30, 2026, a report regarding the Servicer's assessment of compliance with certain minimum servicing criteria during the immediately preceding calendar year, consistent with the requirements of Rules 13a-18 and 15d-18 of the Exchange Act and Item 1122 of Regulation AB.</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IV.11. </w:t>
      </w:r>
      <w:r>
        <w:rPr>
          <w:rFonts w:ascii="Times New Roman" w:cs="Times New Roman" w:eastAsia="Times New Roman" w:hAnsi="Times New Roman"/>
          <w:sz w:val="19"/>
          <w:szCs w:val="19"/>
          <w:color w:val="000000"/>
        </w:rPr>
        <w:t>Annual Independent Public Accountants' Reports.</w:t>
      </w:r>
    </w:p>
    <w:p>
      <w:pPr>
        <w:spacing w:after="0" w:line="202" w:lineRule="exact"/>
        <w:rPr>
          <w:sz w:val="20"/>
          <w:szCs w:val="20"/>
          <w:color w:val="auto"/>
        </w:rPr>
      </w:pPr>
    </w:p>
    <w:p>
      <w:pPr>
        <w:ind w:right="60" w:firstLine="702"/>
        <w:spacing w:after="0" w:line="257" w:lineRule="auto"/>
        <w:tabs>
          <w:tab w:leader="none" w:pos="960" w:val="left"/>
        </w:tabs>
        <w:numPr>
          <w:ilvl w:val="0"/>
          <w:numId w:val="42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cause a firm of independent certified public accountants (the "Independent Accountants"), who may also render other services to the Servicer or its Affiliates, to deliver to the Indenture Trustee, the Owner Trustee and the Backup Servicer, on or before April 30 (or 90 days after the end of the Issuer's fiscal year, if other than December 31) of each year, beginning April 30, 2026, a report, dated as of December 31 of the preceding calendar year, addressed to the board of directors of the Servicer, providing its attestation report on the servicing assessment delivered pursuant to Section 4.10(c), including disclosure of any material instance of non-compliance, consistent with the requirements of Rule 13a-18 and 15d-18 of the Exchange Act and Item 1122(b) of Regulation AB.</w:t>
      </w:r>
    </w:p>
    <w:p>
      <w:pPr>
        <w:spacing w:after="0" w:line="156" w:lineRule="exact"/>
        <w:rPr>
          <w:rFonts w:ascii="Times New Roman" w:cs="Times New Roman" w:eastAsia="Times New Roman" w:hAnsi="Times New Roman"/>
          <w:sz w:val="19"/>
          <w:szCs w:val="19"/>
          <w:color w:val="1F3763"/>
        </w:rPr>
      </w:pPr>
    </w:p>
    <w:p>
      <w:pPr>
        <w:ind w:right="100" w:firstLine="702"/>
        <w:spacing w:after="0" w:line="257" w:lineRule="auto"/>
        <w:tabs>
          <w:tab w:leader="none" w:pos="972" w:val="left"/>
        </w:tabs>
        <w:numPr>
          <w:ilvl w:val="0"/>
          <w:numId w:val="42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such Independent Accountants require the Indenture Trustee or the Backup Servicer to agree to the procedures to be performed by such firm in any of the reports required to be prepared pursuant to Section 4.11(a), the Servicer shall direct the Indenture Trustee and the Backup Servicer in writing to so agree; it being understood and agreed that the Indenture Trustee and the Backup Servicer will deliver such letter of agreement in conclusive reliance upon the direction of the Servicer, and neither the Indenture Trustee nor the Backup Servicer will make any independent inquiry or investigation as to, and shall have no obligation or liability in respect of, the sufficiency, validity or correctness of such procedures.</w:t>
      </w:r>
    </w:p>
    <w:p>
      <w:pPr>
        <w:spacing w:after="0" w:line="157" w:lineRule="exact"/>
        <w:rPr>
          <w:sz w:val="20"/>
          <w:szCs w:val="20"/>
          <w:color w:val="auto"/>
        </w:rPr>
      </w:pPr>
    </w:p>
    <w:p>
      <w:pPr>
        <w:ind w:firstLine="696"/>
        <w:spacing w:after="0" w:line="257" w:lineRule="auto"/>
        <w:rPr>
          <w:sz w:val="20"/>
          <w:szCs w:val="20"/>
          <w:color w:val="auto"/>
        </w:rPr>
      </w:pPr>
      <w:r>
        <w:rPr>
          <w:rFonts w:ascii="Times New Roman" w:cs="Times New Roman" w:eastAsia="Times New Roman" w:hAnsi="Times New Roman"/>
          <w:sz w:val="19"/>
          <w:szCs w:val="19"/>
          <w:color w:val="2F5496"/>
        </w:rPr>
        <w:t xml:space="preserve">SECTION IV.12. </w:t>
      </w:r>
      <w:r>
        <w:rPr>
          <w:rFonts w:ascii="Times New Roman" w:cs="Times New Roman" w:eastAsia="Times New Roman" w:hAnsi="Times New Roman"/>
          <w:sz w:val="19"/>
          <w:szCs w:val="19"/>
          <w:color w:val="000000"/>
        </w:rPr>
        <w:t>Access to Certain Documentation and Information Regarding Receivables. The Servicer shall provide to</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representatives of the Indenture Trustee, the Owner Trustee, and the Backup Servicer reasonable access to the documentation regarding the Receivables. In each case, such access shall be afforded without charge but only upon reasonable request and during normal business hours. Nothing in this Section shall affect the obligation of the Servicer to observe any applicable law prohibiting disclosure of information regarding the Obligors, and the failure of the Servicer to provide access as provided in this Section as a result of such obligation shall not constitute a breach of this Section.</w:t>
      </w:r>
    </w:p>
    <w:p>
      <w:pPr>
        <w:spacing w:after="0" w:line="157"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IV.13. </w:t>
      </w:r>
      <w:r>
        <w:rPr>
          <w:rFonts w:ascii="Times New Roman" w:cs="Times New Roman" w:eastAsia="Times New Roman" w:hAnsi="Times New Roman"/>
          <w:sz w:val="19"/>
          <w:szCs w:val="19"/>
          <w:color w:val="000000"/>
        </w:rPr>
        <w:t>Monthly Tape. No later than the second Business Day after each Distribution Date, the Servicer will deliver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to the Backup Servicer an electronic file in a format acceptable to the Backup Servicer containing all information necessary to allow the Backup Servicer to perform the actions set forth in this Section 4.13 (the "Monthly Tape"). The Backup Servicer shall use such Monthly Tape to (i) confirm that such Monthly Tape is in readable form, and (ii) calculate and confirm against the Servicer's Certificate the number and aggregate Principal Balance of the Receivables that have been delinquent between 31 and 60 days, between 61 and 90 days, and 91 days or more and the Realized Loss with respect to the related Collection Period. The Backup Servicer shall use the Servicer's Certificate delivered on the related Determination Date to confirm the accuracy, based solely (except as otherwise noted below) on the information contained in such Servicer's Certificate, of: (A) the First Priority Principal Distributable Amount, Second Priority Principal Distributable Amount, Third Priority Principal Distributable Amount, Fourth</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5" w:name="page506"/>
    <w:bookmarkEnd w:id="505"/>
    <w:p>
      <w:pPr>
        <w:spacing w:after="0" w:line="200" w:lineRule="exact"/>
        <w:rPr>
          <w:sz w:val="20"/>
          <w:szCs w:val="20"/>
          <w:color w:val="auto"/>
        </w:rPr>
      </w:pPr>
    </w:p>
    <w:p>
      <w:pPr>
        <w:spacing w:after="0" w:line="26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Priority Principal Distributable Amount, Fifth Priority Principal Distributable Amount and the Regular Principal Distributable Amount on the related Distribution Date based on the Total Available Funds pursuant to Section 5.7 for such Distribution Date, (B) the Noteholders' Interest Distributable Amount for each Class of Notes on the related Distribution Date and the Noteholders' Monthly Interest Distributable Amount for each Class of Notes on the related Distribution Date, (C) the Note Balance of each Class of Notes after giving effect to all distributions made pursuant to Section 5.7 on the related Distribution Date, (D) the Note Factor for each Class of Notes after giving effect to all distributions made pursuant to Section 5.7 on the related Distribution Date, (E) the Noteholders' Interest Carryover Amount for each Class of Notes on the related Distribution Date (for the purpose of calculating this amount the Backup Servicer may rely on the Servicer's Certificate related to the immediately preceding Distribution Date), and (F) the Servicing Fee for the related Collection Period. Notwithstanding the foregoing, if the Monthly Tape or the Servicer's Certificate does not contain sufficient information for the Backup Servicer to perform its obligations under this Section 4.13, the Backup Servicer shall promptly notify the Servicer of any additional information to be delivered by the Servicer to the Backup Servicer, and the Backup Servicer and the Servicer shall mutually agree upon the form thereof;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Backup Servicer shall not be liable for the performance of any obligation unable to be performed without such additional information until it is received from the Servicer. In the performance of its duties hereunder, the Backup Servicer shall be entitled to conclusively rely on the Servicer's Certificate or written notice with respect to the occurrence of any Default, Event of Default, Servicer Termination Event or other event which affects the verification obligations of the Backup Servicer, with no duty to independently verify the information therein or confirm whether any such event has occurred or otherwise make any determination with respect thereto. The Backup Servicer shall certify to the Indenture Trustee that it has verified the Servicer's Certificate in accordance with this Section and shall notify the Servicer and the Indenture Trustee of any discrepancies, in each case, on or before the fifth Business Day following the Distribution Date. In the event that the Backup Servicer reports any discrepancies, the Servicer and the Backup Servicer shall attempt to reconcile such discrepancies prior to the next succeeding Distribution Date, but in the absence of a reconciliation, the Servicer's Certificate shall control for the purpose of calculations and distributions with respect to the next succeeding Distribution Date. In the event that the Backup Servicer and the Servicer are unable to reconcile discrepancies with respect to a Servicer's Certificate by the next succeeding Distribution Date, the Servicer shall cause the Independent Accountants, at the Servicer's expense, to audit the Servicer's Certificate and, prior to the last day of the month after the month in which such Servicer's Certificate was delivered, reconcile the discrepancies. The effect, if any, of such reconciliation shall be reflected in the Servicer's Certificate for such next succeeding Determination Date. In addition, upon the occurrence of a Servicer Termination Event the Servicer shall, if so requested by the Indenture Trustee (acting at the written direction of the Majority Noteholders), deliver to the Backup Servicer or any successor Servicer its Collection Records and its Monthly Records within 15 days after demand therefor and an electronic file containing as of the close of business on the date of demand all of the data maintained by the Servicer in electronic format in connection with servicing the Receivables. Other than the duties specifically set forth in this Agreement, the Backup Servicer shall have no obligations hereunder, including to supervise, verify, monitor or administer the performance of the Servicer. The Backup Servicer shall have no liability for any actions taken or omitted by the Servicer.</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06" w:name="page507"/>
    <w:bookmarkEnd w:id="506"/>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F5496"/>
        </w:rPr>
        <w:t>ARTICLE V</w:t>
      </w:r>
    </w:p>
    <w:p>
      <w:pPr>
        <w:spacing w:after="0" w:line="2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color w:val="auto"/>
        </w:rPr>
        <w:t>Trust Accounts; Distributions; Statements to Noteholders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V.1. </w:t>
      </w:r>
      <w:r>
        <w:rPr>
          <w:rFonts w:ascii="Times New Roman" w:cs="Times New Roman" w:eastAsia="Times New Roman" w:hAnsi="Times New Roman"/>
          <w:sz w:val="19"/>
          <w:szCs w:val="19"/>
          <w:color w:val="000000"/>
        </w:rPr>
        <w:t>Establishment of Trust Accounts.</w:t>
      </w:r>
    </w:p>
    <w:p>
      <w:pPr>
        <w:spacing w:after="0" w:line="202" w:lineRule="exact"/>
        <w:rPr>
          <w:sz w:val="20"/>
          <w:szCs w:val="20"/>
          <w:color w:val="auto"/>
        </w:rPr>
      </w:pPr>
    </w:p>
    <w:p>
      <w:pPr>
        <w:ind w:right="120" w:firstLine="702"/>
        <w:spacing w:after="0" w:line="268" w:lineRule="auto"/>
        <w:tabs>
          <w:tab w:leader="none" w:pos="960" w:val="left"/>
        </w:tabs>
        <w:numPr>
          <w:ilvl w:val="0"/>
          <w:numId w:val="4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 The Indenture Trustee, on behalf of the Noteholders, shall establish and maintain in its own name an Eligible Account (the "Collection Account"), bearing a designation clearly indicating that the funds deposited therein are held for the benefit of the Indenture Trustee on behalf of the Noteholders or the Certificateholders, as applicable.</w:t>
      </w:r>
    </w:p>
    <w:p>
      <w:pPr>
        <w:spacing w:after="0" w:line="144" w:lineRule="exact"/>
        <w:rPr>
          <w:rFonts w:ascii="Times New Roman" w:cs="Times New Roman" w:eastAsia="Times New Roman" w:hAnsi="Times New Roman"/>
          <w:sz w:val="19"/>
          <w:szCs w:val="19"/>
          <w:color w:val="1F3763"/>
        </w:rPr>
      </w:pPr>
    </w:p>
    <w:p>
      <w:pPr>
        <w:ind w:left="800" w:right="180" w:firstLine="658"/>
        <w:spacing w:after="0" w:line="268" w:lineRule="auto"/>
        <w:tabs>
          <w:tab w:leader="none" w:pos="1887" w:val="left"/>
        </w:tabs>
        <w:numPr>
          <w:ilvl w:val="1"/>
          <w:numId w:val="4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Indenture Trustee, on behalf of the Noteholders, shall establish and maintain in its own name an Eligible Account (the "Note Distribution Account"), bearing a designation clearly indicating that the funds deposited therein are held for the benefit of the Indenture Trustee on behalf of the Noteholders.</w:t>
      </w:r>
    </w:p>
    <w:p>
      <w:pPr>
        <w:spacing w:after="0" w:line="144" w:lineRule="exact"/>
        <w:rPr>
          <w:rFonts w:ascii="Times New Roman" w:cs="Times New Roman" w:eastAsia="Times New Roman" w:hAnsi="Times New Roman"/>
          <w:sz w:val="19"/>
          <w:szCs w:val="19"/>
          <w:color w:val="auto"/>
        </w:rPr>
      </w:pPr>
    </w:p>
    <w:p>
      <w:pPr>
        <w:ind w:left="800" w:right="220" w:firstLine="658"/>
        <w:spacing w:after="0" w:line="268" w:lineRule="auto"/>
        <w:tabs>
          <w:tab w:leader="none" w:pos="1940" w:val="left"/>
        </w:tabs>
        <w:numPr>
          <w:ilvl w:val="1"/>
          <w:numId w:val="4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Indenture Trustee, on behalf of the Noteholders, shall establish and maintain in its own name an Eligible Account (the "Reserve Account"), bearing a designation clearly indicating that the funds deposited therein are held for the benefit of the Indenture Trustee on behalf of the Noteholders.</w:t>
      </w:r>
    </w:p>
    <w:p>
      <w:pPr>
        <w:spacing w:after="0" w:line="144" w:lineRule="exact"/>
        <w:rPr>
          <w:rFonts w:ascii="Times New Roman" w:cs="Times New Roman" w:eastAsia="Times New Roman" w:hAnsi="Times New Roman"/>
          <w:sz w:val="19"/>
          <w:szCs w:val="19"/>
          <w:color w:val="auto"/>
        </w:rPr>
      </w:pPr>
    </w:p>
    <w:p>
      <w:pPr>
        <w:jc w:val="both"/>
        <w:ind w:left="800" w:right="340" w:firstLine="658"/>
        <w:spacing w:after="0" w:line="262" w:lineRule="auto"/>
        <w:tabs>
          <w:tab w:leader="none" w:pos="1929" w:val="left"/>
        </w:tabs>
        <w:numPr>
          <w:ilvl w:val="1"/>
          <w:numId w:val="4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Computershare Trust Company, N.A., as Certificate Paying Agent on behalf of the Certificateholders, shall establish and maintain in its own name an Eligible Account (the "Certificate Distribution Account"), bearing a designation clearly indicating that the funds deposited therein are held for the benefit of the Certificate Paying Agent on behalf of the Certificateholders.</w:t>
      </w:r>
    </w:p>
    <w:p>
      <w:pPr>
        <w:spacing w:after="0" w:line="150" w:lineRule="exact"/>
        <w:rPr>
          <w:rFonts w:ascii="Times New Roman" w:cs="Times New Roman" w:eastAsia="Times New Roman" w:hAnsi="Times New Roman"/>
          <w:sz w:val="19"/>
          <w:szCs w:val="19"/>
          <w:color w:val="auto"/>
        </w:rPr>
      </w:pPr>
    </w:p>
    <w:p>
      <w:pPr>
        <w:ind w:left="800" w:right="60" w:firstLine="658"/>
        <w:spacing w:after="0" w:line="262" w:lineRule="auto"/>
        <w:tabs>
          <w:tab w:leader="none" w:pos="1876" w:val="left"/>
        </w:tabs>
        <w:numPr>
          <w:ilvl w:val="1"/>
          <w:numId w:val="4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any cash deposited in the Trust Accounts shall be held by a depository institution (initially Wells Fargo Bank N.A.) that satisfies the criteria set forth in clause (y) of the definition of Eligible Account, and any Eligible Investments made with funds from the Trust Accounts will be credited to an Eligible Account held by the corporate trust department of the Indenture Trustee satisfying clause (x) of Eligible Account.</w:t>
      </w:r>
    </w:p>
    <w:p>
      <w:pPr>
        <w:spacing w:after="0" w:line="150" w:lineRule="exact"/>
        <w:rPr>
          <w:rFonts w:ascii="Times New Roman" w:cs="Times New Roman" w:eastAsia="Times New Roman" w:hAnsi="Times New Roman"/>
          <w:sz w:val="19"/>
          <w:szCs w:val="19"/>
          <w:color w:val="auto"/>
        </w:rPr>
      </w:pPr>
    </w:p>
    <w:p>
      <w:pPr>
        <w:ind w:firstLine="702"/>
        <w:spacing w:after="0" w:line="253" w:lineRule="auto"/>
        <w:tabs>
          <w:tab w:leader="none" w:pos="972" w:val="left"/>
        </w:tabs>
        <w:numPr>
          <w:ilvl w:val="0"/>
          <w:numId w:val="42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Funds on deposit in the Collection Account, the Note Distribution Account, the Certificate Distribution Account and the Reserve Account (collectively, the "Trust Accounts") shall be invested by the Indenture Trustee (or the Certificate Paying Agent in the case of the Certificate Distribution Account) (or any custodian with respect to funds on deposit in any such account) in Eligible Investments selected in writing by the Servicer (pursuant to standing instructions or otherwise). All such Eligible Investments related to moneys deposited in the Collection Account, the Note Distribution Account and the Reserve Account shall be held by or on behalf of the Indenture Trustee for the benefit of the Noteholders. All such Eligible Investments related to moneys deposited in the Certificate Distribution Account shall be held by or on behalf of the Certificate Paying Agent for the benefit of the Certificateholders. Funds on</w:t>
      </w:r>
    </w:p>
    <w:p>
      <w:pPr>
        <w:spacing w:after="0" w:line="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9"/>
          <w:szCs w:val="19"/>
          <w:color w:val="auto"/>
        </w:rPr>
        <w:t>deposit in any Trust Account shall be invested in Eligible Investments that will mature so that such funds will be available at the close of business on the Business Day immediately preceding the following Distribution Date. All Eligible Investments will be held to maturity. Each institution at which the relevant Trust Account is maintained shall invest the funds therein as directed in writing by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07" w:name="page508"/>
    <w:bookmarkEnd w:id="507"/>
    <w:p>
      <w:pPr>
        <w:spacing w:after="0" w:line="200" w:lineRule="exact"/>
        <w:rPr>
          <w:sz w:val="20"/>
          <w:szCs w:val="20"/>
          <w:color w:val="auto"/>
        </w:rPr>
      </w:pPr>
    </w:p>
    <w:p>
      <w:pPr>
        <w:spacing w:after="0" w:line="2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Servicer in Eligible Investments. The Servicer will not direct (i) the Indenture Trustee to make any investment of any funds held in any of the Collection Account, the Note Distribution Account or the Reserve Account or (ii) the Certificate Paying Agent to make any investment of any funds held in the Certificate Distribution Account, in each case, unless the security interest granted and perfected in such account will continue to be perfected in such investment, in either case without any further action by any Person, and, in connection with any direction to the Indenture Trustee or the Certificate Paying Agent, as applicable, to make any such investment, if requested by the Indenture Trustee or the Certificate Paying Agent, as applicable, the Servicer shall deliver to the Indenture Trustee or the Certificate Paying Agent, as applicable, an Opinion of Counsel, acceptable to the Indenture Trustee or the Certificate Paying Agent, as applicable, to such effect. Notwithstanding anything to the contrary in the foregoing or elsewhere in this Agreement or in any other Basic Documents, neither the Servicer nor the Depositor (nor any agent of either the Servicer or the Depositor) shall be authorized or empowered to acquire any other investments, reinvest any proceeds of the Issuer, or engage in activities that would cause the Issuer to fail to qualify as a fixed investment trust described in Treasury Regulation Section 301.7701-4(c) that is treated as a grantor trust under subtitle A, chapter 1, subchapter J, part I, subpart E of the Code.</w:t>
      </w:r>
    </w:p>
    <w:p>
      <w:pPr>
        <w:spacing w:after="0" w:line="165" w:lineRule="exact"/>
        <w:rPr>
          <w:sz w:val="20"/>
          <w:szCs w:val="20"/>
          <w:color w:val="auto"/>
        </w:rPr>
      </w:pPr>
    </w:p>
    <w:p>
      <w:pPr>
        <w:ind w:right="20" w:firstLine="702"/>
        <w:spacing w:after="0" w:line="256" w:lineRule="auto"/>
        <w:tabs>
          <w:tab w:leader="none" w:pos="960" w:val="left"/>
        </w:tabs>
        <w:numPr>
          <w:ilvl w:val="0"/>
          <w:numId w:val="42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 All Investment Earnings of moneys deposited in each Trust Account (other than the Certificate Distribution Account), net of any losses resulting from such investments, shall be deposited (or caused to be deposited) in the Collection Account on each Distribution Date by the Indenture Trustee and applied as Available Funds on such Distribution Date, and any loss resulting from such investments shall be charged to the related Trust Account and (ii) all Investment Earnings of moneys deposited in the Certificate Distribution Account (if any), net of any losses resulting from such investments, shall be deposited (or caused to be deposited) in the Certificate Distribution Account on each Distribution Date by the Certificate Paying Agent and distributed to on such Distribution Date, and any loss resulting from such investments shall be charged to the Certificate Distribution Account.</w:t>
      </w:r>
    </w:p>
    <w:p>
      <w:pPr>
        <w:spacing w:after="0" w:line="157" w:lineRule="exact"/>
        <w:rPr>
          <w:rFonts w:ascii="Times New Roman" w:cs="Times New Roman" w:eastAsia="Times New Roman" w:hAnsi="Times New Roman"/>
          <w:sz w:val="19"/>
          <w:szCs w:val="19"/>
          <w:color w:val="1F3763"/>
        </w:rPr>
      </w:pPr>
    </w:p>
    <w:p>
      <w:pPr>
        <w:ind w:right="20" w:firstLine="702"/>
        <w:spacing w:after="0" w:line="257" w:lineRule="auto"/>
        <w:tabs>
          <w:tab w:leader="none" w:pos="972" w:val="left"/>
        </w:tabs>
        <w:numPr>
          <w:ilvl w:val="0"/>
          <w:numId w:val="42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Neither the Indenture Trustee nor the Certificate Paying Agent shall in any way be held liable by reason of any insufficiency in any of the Trust Accounts resulting from any loss on any Eligible Investment included therein except for losses attributable to the failure of the Indenture Trustee or the Certificate Paying Agent, as applicable, to make an investment in accordance with instructions given in accordance with Section 5.1(b), the Indenture Trustee's or the Certificate Paying Agent’s negligence or bad faith or its failure to make payments on such Eligible Investments issued by the Indenture Trustee or the Certificate Paying Agent, as applicable, in its commercial capacity as principal obligor and not as trustee, in accordance with their terms.</w:t>
      </w:r>
    </w:p>
    <w:p>
      <w:pPr>
        <w:spacing w:after="0" w:line="156" w:lineRule="exact"/>
        <w:rPr>
          <w:rFonts w:ascii="Times New Roman" w:cs="Times New Roman" w:eastAsia="Times New Roman" w:hAnsi="Times New Roman"/>
          <w:sz w:val="19"/>
          <w:szCs w:val="19"/>
          <w:color w:val="1F3763"/>
        </w:rPr>
      </w:pPr>
    </w:p>
    <w:p>
      <w:pPr>
        <w:ind w:firstLine="702"/>
        <w:spacing w:after="0" w:line="255" w:lineRule="auto"/>
        <w:tabs>
          <w:tab w:leader="none" w:pos="960" w:val="left"/>
        </w:tabs>
        <w:numPr>
          <w:ilvl w:val="0"/>
          <w:numId w:val="42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(i) the Servicer shall have failed to give investment directions in writing for any funds on deposit in the Trust Accounts to the Indenture Trustee by 1:00 p.m. Eastern Time (or such other time as may be agreed by the Issuer and Indenture Trustee) on any Business Day; or (ii) a Default or Event of Default shall have occurred and is continuing with respect to the Notes but the Notes shall not have been declared due and payable, or, if such Notes shall have been declared due and payable following an Event of Default, amounts collected or received from the Trust Property are being applied as if there had not been such a declaration; then the amounts on deposit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funds shall remain uninvested.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8" w:name="page509"/>
    <w:bookmarkEnd w:id="508"/>
    <w:p>
      <w:pPr>
        <w:spacing w:after="0" w:line="200" w:lineRule="exact"/>
        <w:rPr>
          <w:sz w:val="20"/>
          <w:szCs w:val="20"/>
          <w:color w:val="auto"/>
        </w:rPr>
      </w:pPr>
    </w:p>
    <w:p>
      <w:pPr>
        <w:spacing w:after="0" w:line="261" w:lineRule="exact"/>
        <w:rPr>
          <w:sz w:val="20"/>
          <w:szCs w:val="20"/>
          <w:color w:val="auto"/>
        </w:rPr>
      </w:pPr>
    </w:p>
    <w:p>
      <w:pPr>
        <w:ind w:left="-702" w:firstLine="702"/>
        <w:spacing w:after="0" w:line="253" w:lineRule="auto"/>
        <w:tabs>
          <w:tab w:leader="none" w:pos="234" w:val="left"/>
        </w:tabs>
        <w:numPr>
          <w:ilvl w:val="0"/>
          <w:numId w:val="4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 The Indenture Trustee shall possess all right, title and interest in all funds on deposit from time to time in the Trust Accounts (other than the Certificate Distribution Account) and in all proceeds thereof for the benefit of the Noteholders and all such funds, investments, proceeds and income shall be part of the Owner Trust Estate. The Certificate Paying Agent shall possess all right, title and interest in all funds on deposit from time to time in the Certificate Distribution Account and in all proceeds thereof for the benefit of the Certificateholders and all such funds, investments, proceeds and income shall be part of the Owner Trust Estate. Except as otherwise provided herein, the Trust Accounts (other than the Certificate Distribution Account) shall be under the sole dominion and control of the Indenture Trustee for the benefit of the Noteholders. Except as otherwise provided herein, the Certificate Distribution Account shall be under the sole dominion and control of the Certificate Paying Agent for the benefit of the Certificateholders. If, at any time, any of the Trust Accounts ceases to be an Eligible Account, the Indenture Trustee or the Certificate Paying Agent, as applicable (or the Servicer on its behalf), shall within five Business Days (or such longer period as to which each Rating Agency may consent) establish a new Trust Account as an Eligible Account and shall transfer any cash and/or any investments to such new Trust Account. In connection with the foregoing, the Servicer agrees that, in the event that any of the Trust Accounts are not accounts maintained in the name of the Indenture Trustee (in the case of the Collection Account, the Note Distribution Account or the Reserve Account) or in the name of the Certificate Paying Agent (in the case of the Certificate Distribution Account), the Servicer shall notify the Indenture Trustee or the Certificate Paying Agent, as applicable, in writing promptly upon any of such Trust Accounts ceasing to be an Eligible Account.</w:t>
      </w:r>
    </w:p>
    <w:p>
      <w:pPr>
        <w:spacing w:after="0" w:line="158" w:lineRule="exact"/>
        <w:rPr>
          <w:rFonts w:ascii="Times New Roman" w:cs="Times New Roman" w:eastAsia="Times New Roman" w:hAnsi="Times New Roman"/>
          <w:sz w:val="19"/>
          <w:szCs w:val="19"/>
          <w:color w:val="1F3763"/>
        </w:rPr>
      </w:pPr>
    </w:p>
    <w:p>
      <w:pPr>
        <w:ind w:left="98" w:right="300" w:firstLine="754"/>
        <w:spacing w:after="0" w:line="286" w:lineRule="auto"/>
        <w:tabs>
          <w:tab w:leader="none" w:pos="1286" w:val="left"/>
        </w:tabs>
        <w:numPr>
          <w:ilvl w:val="1"/>
          <w:numId w:val="42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With respect to the Trust Account Property, each of the Issuer, Indenture Trustee and the Certificate Paying Agent agrees that:</w:t>
      </w:r>
    </w:p>
    <w:p>
      <w:pPr>
        <w:spacing w:after="0" w:line="127" w:lineRule="exact"/>
        <w:rPr>
          <w:rFonts w:ascii="Times New Roman" w:cs="Times New Roman" w:eastAsia="Times New Roman" w:hAnsi="Times New Roman"/>
          <w:sz w:val="19"/>
          <w:szCs w:val="19"/>
          <w:color w:val="2F5496"/>
        </w:rPr>
      </w:pPr>
    </w:p>
    <w:p>
      <w:pPr>
        <w:ind w:left="1758" w:hanging="245"/>
        <w:spacing w:after="0"/>
        <w:tabs>
          <w:tab w:leader="none" w:pos="1758" w:val="left"/>
        </w:tabs>
        <w:numPr>
          <w:ilvl w:val="2"/>
          <w:numId w:val="4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Trust Accounts shall constitute "securities accounts" (as such term is defined in Section 8-501(a) of</w:t>
      </w:r>
    </w:p>
    <w:p>
      <w:pPr>
        <w:spacing w:after="0" w:line="31" w:lineRule="exact"/>
        <w:rPr>
          <w:rFonts w:ascii="Times New Roman" w:cs="Times New Roman" w:eastAsia="Times New Roman" w:hAnsi="Times New Roman"/>
          <w:sz w:val="19"/>
          <w:szCs w:val="19"/>
          <w:color w:val="1F3763"/>
        </w:rPr>
      </w:pPr>
    </w:p>
    <w:p>
      <w:pPr>
        <w:ind w:left="718"/>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UCC);</w:t>
      </w:r>
    </w:p>
    <w:p>
      <w:pPr>
        <w:spacing w:after="0" w:line="179" w:lineRule="exact"/>
        <w:rPr>
          <w:rFonts w:ascii="Times New Roman" w:cs="Times New Roman" w:eastAsia="Times New Roman" w:hAnsi="Times New Roman"/>
          <w:sz w:val="19"/>
          <w:szCs w:val="19"/>
          <w:color w:val="1F3763"/>
        </w:rPr>
      </w:pPr>
    </w:p>
    <w:p>
      <w:pPr>
        <w:ind w:left="718" w:right="20" w:firstLine="795"/>
        <w:spacing w:after="0" w:line="257" w:lineRule="auto"/>
        <w:tabs>
          <w:tab w:leader="none" w:pos="1750" w:val="left"/>
        </w:tabs>
        <w:numPr>
          <w:ilvl w:val="2"/>
          <w:numId w:val="4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Trust Account Property that is held in deposit accounts (within the meaning of Section 9-102(a)(29) of the UCC) shall be held solely in the Eligible Accounts; and, except as otherwise provided herein, each such Eligible Account shall be subject to the exclusive dominion, custody and control (within the meaning of Section 8-106 of the UCC) of the Indenture Trustee (in the case of the Collection Account, the Note Distribution Account and the Reserve Account) or the Certificate Paying Agent (in the case of the Certificate Distribution Account) and the Indenture Trustee or the Certificate Paying Agent, as applicable, shall have sole signature authority with respect thereto;</w:t>
      </w:r>
    </w:p>
    <w:p>
      <w:pPr>
        <w:spacing w:after="0" w:line="156" w:lineRule="exact"/>
        <w:rPr>
          <w:rFonts w:ascii="Times New Roman" w:cs="Times New Roman" w:eastAsia="Times New Roman" w:hAnsi="Times New Roman"/>
          <w:sz w:val="19"/>
          <w:szCs w:val="19"/>
          <w:color w:val="1F3763"/>
        </w:rPr>
      </w:pPr>
    </w:p>
    <w:p>
      <w:pPr>
        <w:jc w:val="both"/>
        <w:ind w:left="718" w:right="160" w:firstLine="795"/>
        <w:spacing w:after="0" w:line="262" w:lineRule="auto"/>
        <w:tabs>
          <w:tab w:leader="none" w:pos="1750" w:val="left"/>
        </w:tabs>
        <w:numPr>
          <w:ilvl w:val="2"/>
          <w:numId w:val="4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institution holding the Trust Account Property shall (a) treat the Indenture Trustee or the Certificate Paying Agent, as applicable, as such institution's sole "customer" (within the meaning of Section 9-104 of the UCC) with respect to the Trust Accounts and (b) comply with instructions from the Indenture Trustee or the Certificate Paying Agent, as applicable, without any consent by the Issuer or any other Person;</w:t>
      </w:r>
    </w:p>
    <w:p>
      <w:pPr>
        <w:spacing w:after="0" w:line="150" w:lineRule="exact"/>
        <w:rPr>
          <w:rFonts w:ascii="Times New Roman" w:cs="Times New Roman" w:eastAsia="Times New Roman" w:hAnsi="Times New Roman"/>
          <w:sz w:val="19"/>
          <w:szCs w:val="19"/>
          <w:color w:val="1F3763"/>
        </w:rPr>
      </w:pPr>
    </w:p>
    <w:p>
      <w:pPr>
        <w:ind w:left="718" w:right="40" w:firstLine="795"/>
        <w:spacing w:after="0" w:line="262" w:lineRule="auto"/>
        <w:tabs>
          <w:tab w:leader="none" w:pos="1762" w:val="left"/>
        </w:tabs>
        <w:numPr>
          <w:ilvl w:val="2"/>
          <w:numId w:val="42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Trust Account Property that constitutes Physical Property shall be delivered to the Indenture Trustee (in the case of the Collection Account, the Note Distribution Account and the Reserve Account) or the Certificate</w:t>
      </w:r>
    </w:p>
    <w:p>
      <w:pPr>
        <w:spacing w:after="0" w:line="1" w:lineRule="exact"/>
        <w:rPr>
          <w:sz w:val="20"/>
          <w:szCs w:val="20"/>
          <w:color w:val="auto"/>
        </w:rPr>
      </w:pPr>
    </w:p>
    <w:p>
      <w:pPr>
        <w:ind w:left="4498" w:right="2580" w:hanging="3780"/>
        <w:spacing w:after="0" w:line="262" w:lineRule="auto"/>
        <w:rPr>
          <w:sz w:val="20"/>
          <w:szCs w:val="20"/>
          <w:color w:val="auto"/>
        </w:rPr>
      </w:pPr>
      <w:r>
        <w:rPr>
          <w:rFonts w:ascii="Times New Roman" w:cs="Times New Roman" w:eastAsia="Times New Roman" w:hAnsi="Times New Roman"/>
          <w:sz w:val="19"/>
          <w:szCs w:val="19"/>
          <w:color w:val="auto"/>
        </w:rPr>
        <w:t>Paying Agent (in the case of the Certificate Distribution Account) in accordance with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615950</wp:posOffset>
            </wp:positionV>
            <wp:extent cx="6732905" cy="406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38"/>
          </w:cols>
          <w:pgMar w:left="1362" w:top="1440" w:right="700" w:bottom="1440" w:gutter="0" w:footer="0" w:header="0"/>
        </w:sectPr>
      </w:pPr>
    </w:p>
    <w:bookmarkStart w:id="509" w:name="page510"/>
    <w:bookmarkEnd w:id="509"/>
    <w:p>
      <w:pPr>
        <w:spacing w:after="0" w:line="200" w:lineRule="exact"/>
        <w:rPr>
          <w:sz w:val="20"/>
          <w:szCs w:val="20"/>
          <w:color w:val="auto"/>
        </w:rPr>
      </w:pPr>
    </w:p>
    <w:p>
      <w:pPr>
        <w:spacing w:after="0" w:line="261" w:lineRule="exact"/>
        <w:rPr>
          <w:sz w:val="20"/>
          <w:szCs w:val="20"/>
          <w:color w:val="auto"/>
        </w:rPr>
      </w:pPr>
    </w:p>
    <w:p>
      <w:pPr>
        <w:ind w:left="640" w:right="20"/>
        <w:spacing w:after="0" w:line="259" w:lineRule="auto"/>
        <w:rPr>
          <w:sz w:val="20"/>
          <w:szCs w:val="20"/>
          <w:color w:val="auto"/>
        </w:rPr>
      </w:pPr>
      <w:r>
        <w:rPr>
          <w:rFonts w:ascii="Times New Roman" w:cs="Times New Roman" w:eastAsia="Times New Roman" w:hAnsi="Times New Roman"/>
          <w:sz w:val="19"/>
          <w:szCs w:val="19"/>
          <w:color w:val="auto"/>
        </w:rPr>
        <w:t>paragraph (a) of the definition of "Delivery" and shall be held, pending maturity or disposition, solely by the Indenture Trustee (in the case of the Collection Account, the Note Distribution Account and the Reserve Account), the Certificate Paying Agent (in the case of the Certificate Distribution Account) or a "securities intermediary" (as such term is defined in Section 8-102(a)(14) of the UCC) acting solely for the Indenture Trustee or the Certificate Paying Agent, as applicable;</w:t>
      </w:r>
    </w:p>
    <w:p>
      <w:pPr>
        <w:spacing w:after="0" w:line="154" w:lineRule="exact"/>
        <w:rPr>
          <w:sz w:val="20"/>
          <w:szCs w:val="20"/>
          <w:color w:val="auto"/>
        </w:rPr>
      </w:pPr>
    </w:p>
    <w:p>
      <w:pPr>
        <w:ind w:left="640" w:right="20" w:firstLine="804"/>
        <w:spacing w:after="0" w:line="262" w:lineRule="auto"/>
        <w:rPr>
          <w:sz w:val="20"/>
          <w:szCs w:val="20"/>
          <w:color w:val="auto"/>
        </w:rPr>
      </w:pPr>
      <w:r>
        <w:rPr>
          <w:rFonts w:ascii="Times New Roman" w:cs="Times New Roman" w:eastAsia="Times New Roman" w:hAnsi="Times New Roman"/>
          <w:sz w:val="19"/>
          <w:szCs w:val="19"/>
          <w:color w:val="1F3763"/>
        </w:rPr>
        <w:t xml:space="preserve">E. </w:t>
      </w:r>
      <w:r>
        <w:rPr>
          <w:rFonts w:ascii="Times New Roman" w:cs="Times New Roman" w:eastAsia="Times New Roman" w:hAnsi="Times New Roman"/>
          <w:sz w:val="19"/>
          <w:szCs w:val="19"/>
          <w:color w:val="000000"/>
        </w:rPr>
        <w:t>the "securities intermediary's jurisdiction" for purposes of Section 8- 110 of the UCC shall be the State of</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New York and the applicable laws in force in the State of New York is applicable to all issues specified in Article 2(1) of "The Convention on the Law Applicable to Certain Rights in Respect of Securities Held with an Intermediary", ratified Sept. 28, 2016, S. Treaty Doc. No. 112-6 (2012) (the "Hague Securities Convention");</w:t>
      </w:r>
    </w:p>
    <w:p>
      <w:pPr>
        <w:spacing w:after="0" w:line="150" w:lineRule="exact"/>
        <w:rPr>
          <w:sz w:val="20"/>
          <w:szCs w:val="20"/>
          <w:color w:val="auto"/>
        </w:rPr>
      </w:pPr>
    </w:p>
    <w:p>
      <w:pPr>
        <w:ind w:left="640" w:right="380" w:firstLine="804"/>
        <w:spacing w:after="0" w:line="257" w:lineRule="auto"/>
        <w:rPr>
          <w:sz w:val="20"/>
          <w:szCs w:val="20"/>
          <w:color w:val="auto"/>
        </w:rPr>
      </w:pPr>
      <w:r>
        <w:rPr>
          <w:rFonts w:ascii="Times New Roman" w:cs="Times New Roman" w:eastAsia="Times New Roman" w:hAnsi="Times New Roman"/>
          <w:sz w:val="19"/>
          <w:szCs w:val="19"/>
          <w:color w:val="1F3763"/>
        </w:rPr>
        <w:t xml:space="preserve">F. </w:t>
      </w:r>
      <w:r>
        <w:rPr>
          <w:rFonts w:ascii="Times New Roman" w:cs="Times New Roman" w:eastAsia="Times New Roman" w:hAnsi="Times New Roman"/>
          <w:sz w:val="19"/>
          <w:szCs w:val="19"/>
          <w:color w:val="000000"/>
        </w:rPr>
        <w:t>any Trust Account Property that is a book-entry security held through the Federal Reserve System</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pursuant to Federal book-entry regulations shall be delivered in accordance with paragraph (b) of the definition of "Delivery" and shall be maintained by the Indenture Trustee (in the case of the Collection Account, the Note Distribution Account and the Reserve Account) or the Certificate Paying Agent (in the case of the Certificate Distribution Account), pending maturity or disposition, through continued book-entry registration of such Trust Account Property as described in such paragraph;</w:t>
      </w:r>
    </w:p>
    <w:p>
      <w:pPr>
        <w:spacing w:after="0" w:line="157" w:lineRule="exact"/>
        <w:rPr>
          <w:sz w:val="20"/>
          <w:szCs w:val="20"/>
          <w:color w:val="auto"/>
        </w:rPr>
      </w:pPr>
    </w:p>
    <w:p>
      <w:pPr>
        <w:ind w:left="640" w:firstLine="804"/>
        <w:spacing w:after="0" w:line="254" w:lineRule="auto"/>
        <w:rPr>
          <w:sz w:val="20"/>
          <w:szCs w:val="20"/>
          <w:color w:val="auto"/>
        </w:rPr>
      </w:pPr>
      <w:r>
        <w:rPr>
          <w:rFonts w:ascii="Times New Roman" w:cs="Times New Roman" w:eastAsia="Times New Roman" w:hAnsi="Times New Roman"/>
          <w:sz w:val="19"/>
          <w:szCs w:val="19"/>
          <w:color w:val="1F3763"/>
        </w:rPr>
        <w:t xml:space="preserve">G. </w:t>
      </w:r>
      <w:r>
        <w:rPr>
          <w:rFonts w:ascii="Times New Roman" w:cs="Times New Roman" w:eastAsia="Times New Roman" w:hAnsi="Times New Roman"/>
          <w:sz w:val="19"/>
          <w:szCs w:val="19"/>
          <w:color w:val="000000"/>
        </w:rPr>
        <w:t>any Trust Account Property that is an "uncertificated security" or a "security entitlement" under Article 8</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of the UCC and that is not governed by clause (D) above shall be delivered to the Indenture Trustee (in the case of the Collection Account, the Note Distribution Account and the Reserve Account) or the Certificate Paying Agent (in the case of the Certificate Distribution Account) in accordance with paragraph (c) or (d), if applicable, of the definition of "Delivery" and shall be maintained by the Indenture Trustee (in the case of the Collection Account, the Note Distribution Account and the Reserve Account) or the Certificate Paying Agent (in the case of the Certificate Distribution Account), pending maturity or disposition, through continued registration of the Indenture Trustee's (or its nominee's) ownership of such security (in the case of the Collection Account, the Note Distribution Account and the Reserve Account) or the Certificate Paying Agent’s (or its nominee’s) ownership of such security (in the case of the Certificate Distribution Account); and</w:t>
      </w:r>
    </w:p>
    <w:p>
      <w:pPr>
        <w:spacing w:after="0" w:line="160" w:lineRule="exact"/>
        <w:rPr>
          <w:sz w:val="20"/>
          <w:szCs w:val="20"/>
          <w:color w:val="auto"/>
        </w:rPr>
      </w:pPr>
    </w:p>
    <w:p>
      <w:pPr>
        <w:ind w:left="640" w:right="300" w:firstLine="804"/>
        <w:spacing w:after="0" w:line="286" w:lineRule="auto"/>
        <w:rPr>
          <w:sz w:val="20"/>
          <w:szCs w:val="20"/>
          <w:color w:val="auto"/>
        </w:rPr>
      </w:pPr>
      <w:r>
        <w:rPr>
          <w:rFonts w:ascii="Times New Roman" w:cs="Times New Roman" w:eastAsia="Times New Roman" w:hAnsi="Times New Roman"/>
          <w:sz w:val="19"/>
          <w:szCs w:val="19"/>
          <w:color w:val="1F3763"/>
        </w:rPr>
        <w:t xml:space="preserve">H. </w:t>
      </w:r>
      <w:r>
        <w:rPr>
          <w:rFonts w:ascii="Times New Roman" w:cs="Times New Roman" w:eastAsia="Times New Roman" w:hAnsi="Times New Roman"/>
          <w:sz w:val="19"/>
          <w:szCs w:val="19"/>
          <w:color w:val="000000"/>
        </w:rPr>
        <w:t>any cash that is Trust Account Property shall be considered a "financial asset" (within the meaning of</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Section 8-102(a)(9) of the UCC).</w:t>
      </w:r>
    </w:p>
    <w:p>
      <w:pPr>
        <w:spacing w:after="0" w:line="127" w:lineRule="exact"/>
        <w:rPr>
          <w:sz w:val="20"/>
          <w:szCs w:val="20"/>
          <w:color w:val="auto"/>
        </w:rPr>
      </w:pPr>
    </w:p>
    <w:p>
      <w:pPr>
        <w:ind w:left="20" w:right="120" w:firstLine="754"/>
        <w:spacing w:after="0" w:line="256" w:lineRule="auto"/>
        <w:tabs>
          <w:tab w:leader="none" w:pos="1256" w:val="left"/>
        </w:tabs>
        <w:numPr>
          <w:ilvl w:val="0"/>
          <w:numId w:val="42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Indenture Trustee and the Certificate Paying Agent, as applicable, (x) each in its capacity as “securities intermediary”, agree to the following and (y) each agree that if the Indenture Trustee or the Certificate Paying Agent, as applicable, is not the customer or entitlement holder with respect to a Trust Account, it will cause each institution with which such Trust Account is established to agree substantially as follows:</w:t>
      </w:r>
    </w:p>
    <w:p>
      <w:pPr>
        <w:spacing w:after="0" w:line="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635635</wp:posOffset>
            </wp:positionV>
            <wp:extent cx="6732905" cy="406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60"/>
          </w:cols>
          <w:pgMar w:left="1440" w:top="1440" w:right="700" w:bottom="1440" w:gutter="0" w:footer="0" w:header="0"/>
        </w:sectPr>
      </w:pPr>
    </w:p>
    <w:bookmarkStart w:id="510" w:name="page511"/>
    <w:bookmarkEnd w:id="510"/>
    <w:p>
      <w:pPr>
        <w:spacing w:after="0" w:line="200" w:lineRule="exact"/>
        <w:rPr>
          <w:sz w:val="20"/>
          <w:szCs w:val="20"/>
          <w:color w:val="auto"/>
        </w:rPr>
      </w:pPr>
    </w:p>
    <w:p>
      <w:pPr>
        <w:spacing w:after="0" w:line="261" w:lineRule="exact"/>
        <w:rPr>
          <w:sz w:val="20"/>
          <w:szCs w:val="20"/>
          <w:color w:val="auto"/>
        </w:rPr>
      </w:pPr>
    </w:p>
    <w:p>
      <w:pPr>
        <w:ind w:left="1420" w:firstLine="804"/>
        <w:spacing w:after="0" w:line="268" w:lineRule="auto"/>
        <w:rPr>
          <w:sz w:val="20"/>
          <w:szCs w:val="20"/>
          <w:color w:val="auto"/>
        </w:rPr>
      </w:pPr>
      <w:r>
        <w:rPr>
          <w:rFonts w:ascii="Times New Roman" w:cs="Times New Roman" w:eastAsia="Times New Roman" w:hAnsi="Times New Roman"/>
          <w:sz w:val="19"/>
          <w:szCs w:val="19"/>
          <w:color w:val="1F3763"/>
        </w:rPr>
        <w:t xml:space="preserve">A. </w:t>
      </w:r>
      <w:r>
        <w:rPr>
          <w:rFonts w:ascii="Times New Roman" w:cs="Times New Roman" w:eastAsia="Times New Roman" w:hAnsi="Times New Roman"/>
          <w:sz w:val="19"/>
          <w:szCs w:val="19"/>
          <w:color w:val="000000"/>
        </w:rPr>
        <w:t>it will comply with all "entitlement orders" (as defined in Section 8-102(a)(8) of the UCC) with respect to</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all "securities entitlements" (as defined in Section 8-102(a)(17) of the UCC) related to such Trust Account issued by the Indenture Trustee or the Certificate Paying Agent, as applicable, without further consent by the Servicer;</w:t>
      </w:r>
    </w:p>
    <w:p>
      <w:pPr>
        <w:spacing w:after="0" w:line="144" w:lineRule="exact"/>
        <w:rPr>
          <w:sz w:val="20"/>
          <w:szCs w:val="20"/>
          <w:color w:val="auto"/>
        </w:rPr>
      </w:pPr>
    </w:p>
    <w:p>
      <w:pPr>
        <w:ind w:left="1420" w:right="320" w:firstLine="804"/>
        <w:spacing w:after="0" w:line="286" w:lineRule="auto"/>
        <w:rPr>
          <w:sz w:val="20"/>
          <w:szCs w:val="20"/>
          <w:color w:val="auto"/>
        </w:rPr>
      </w:pPr>
      <w:r>
        <w:rPr>
          <w:rFonts w:ascii="Times New Roman" w:cs="Times New Roman" w:eastAsia="Times New Roman" w:hAnsi="Times New Roman"/>
          <w:sz w:val="19"/>
          <w:szCs w:val="19"/>
          <w:color w:val="1F3763"/>
        </w:rPr>
        <w:t xml:space="preserve">B. </w:t>
      </w:r>
      <w:r>
        <w:rPr>
          <w:rFonts w:ascii="Times New Roman" w:cs="Times New Roman" w:eastAsia="Times New Roman" w:hAnsi="Times New Roman"/>
          <w:sz w:val="19"/>
          <w:szCs w:val="19"/>
          <w:color w:val="000000"/>
        </w:rPr>
        <w:t>until termination of this Agreement, it will not enter into any other agreement related to such Account</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pursuant to which it agrees to comply with entitlement orders of any Person other than the Indenture Trustee;</w:t>
      </w:r>
    </w:p>
    <w:p>
      <w:pPr>
        <w:spacing w:after="0" w:line="127" w:lineRule="exact"/>
        <w:rPr>
          <w:sz w:val="20"/>
          <w:szCs w:val="20"/>
          <w:color w:val="auto"/>
        </w:rPr>
      </w:pPr>
    </w:p>
    <w:p>
      <w:pPr>
        <w:ind w:left="1420" w:right="580" w:firstLine="804"/>
        <w:spacing w:after="0" w:line="286" w:lineRule="auto"/>
        <w:rPr>
          <w:sz w:val="20"/>
          <w:szCs w:val="20"/>
          <w:color w:val="auto"/>
        </w:rPr>
      </w:pPr>
      <w:r>
        <w:rPr>
          <w:rFonts w:ascii="Times New Roman" w:cs="Times New Roman" w:eastAsia="Times New Roman" w:hAnsi="Times New Roman"/>
          <w:sz w:val="19"/>
          <w:szCs w:val="19"/>
          <w:color w:val="1F3763"/>
        </w:rPr>
        <w:t xml:space="preserve">C. </w:t>
      </w:r>
      <w:r>
        <w:rPr>
          <w:rFonts w:ascii="Times New Roman" w:cs="Times New Roman" w:eastAsia="Times New Roman" w:hAnsi="Times New Roman"/>
          <w:sz w:val="19"/>
          <w:szCs w:val="19"/>
          <w:color w:val="000000"/>
        </w:rPr>
        <w:t>all Trust Account Property delivered or credited to it in connection with any Trust Account and all</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proceeds thereof will be promptly credited to such Trust Account;</w:t>
      </w:r>
    </w:p>
    <w:p>
      <w:pPr>
        <w:spacing w:after="0" w:line="1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color w:val="1F3763"/>
        </w:rPr>
        <w:t xml:space="preserve">D. </w:t>
      </w:r>
      <w:r>
        <w:rPr>
          <w:rFonts w:ascii="Times New Roman" w:cs="Times New Roman" w:eastAsia="Times New Roman" w:hAnsi="Times New Roman"/>
          <w:sz w:val="19"/>
          <w:szCs w:val="19"/>
          <w:color w:val="000000"/>
        </w:rPr>
        <w:t>it will treat all Trust Account Property as financial assets; and</w:t>
      </w:r>
    </w:p>
    <w:p>
      <w:pPr>
        <w:spacing w:after="0" w:line="202" w:lineRule="exact"/>
        <w:rPr>
          <w:sz w:val="20"/>
          <w:szCs w:val="20"/>
          <w:color w:val="auto"/>
        </w:rPr>
      </w:pPr>
    </w:p>
    <w:p>
      <w:pPr>
        <w:ind w:left="1420" w:right="80" w:firstLine="804"/>
        <w:spacing w:after="0" w:line="259" w:lineRule="auto"/>
        <w:rPr>
          <w:sz w:val="20"/>
          <w:szCs w:val="20"/>
          <w:color w:val="auto"/>
        </w:rPr>
      </w:pPr>
      <w:r>
        <w:rPr>
          <w:rFonts w:ascii="Times New Roman" w:cs="Times New Roman" w:eastAsia="Times New Roman" w:hAnsi="Times New Roman"/>
          <w:sz w:val="19"/>
          <w:szCs w:val="19"/>
          <w:color w:val="1F3763"/>
        </w:rPr>
        <w:t xml:space="preserve">E. </w:t>
      </w:r>
      <w:r>
        <w:rPr>
          <w:rFonts w:ascii="Times New Roman" w:cs="Times New Roman" w:eastAsia="Times New Roman" w:hAnsi="Times New Roman"/>
          <w:sz w:val="19"/>
          <w:szCs w:val="19"/>
          <w:color w:val="000000"/>
        </w:rPr>
        <w:t>all Trust Account Property will be physically delivered (accompanied by any required endorsements) to,</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or credited to an account in the name of, the institution maintaining the related Trust Account in accordance with such institution's customary procedures such that such institution establishes a security entitlement in favor of the Indenture Trustee or the Certificate Paying Agent, as applicable, with respect thereto over which the Indenture Trustee or the Certificate Paying Agent, as applicable, has Control.</w:t>
      </w:r>
    </w:p>
    <w:p>
      <w:pPr>
        <w:spacing w:after="0" w:line="154" w:lineRule="exact"/>
        <w:rPr>
          <w:sz w:val="20"/>
          <w:szCs w:val="20"/>
          <w:color w:val="auto"/>
        </w:rPr>
      </w:pPr>
    </w:p>
    <w:p>
      <w:pPr>
        <w:ind w:right="560" w:firstLine="702"/>
        <w:spacing w:after="0" w:line="286" w:lineRule="auto"/>
        <w:tabs>
          <w:tab w:leader="none" w:pos="972" w:val="left"/>
        </w:tabs>
        <w:numPr>
          <w:ilvl w:val="0"/>
          <w:numId w:val="42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have the power to instruct the Indenture Trustee to make withdrawals and payments from the Trust Accounts for the purpose of permitting the Servicer and the Indenture Trustee to carry out their respective duties hereunder.</w:t>
      </w:r>
    </w:p>
    <w:p>
      <w:pPr>
        <w:spacing w:after="0" w:line="127" w:lineRule="exact"/>
        <w:rPr>
          <w:rFonts w:ascii="Times New Roman" w:cs="Times New Roman" w:eastAsia="Times New Roman" w:hAnsi="Times New Roman"/>
          <w:sz w:val="19"/>
          <w:szCs w:val="19"/>
          <w:color w:val="1F3763"/>
        </w:rPr>
      </w:pPr>
    </w:p>
    <w:p>
      <w:pPr>
        <w:ind w:right="40" w:firstLine="702"/>
        <w:spacing w:after="0" w:line="259" w:lineRule="auto"/>
        <w:tabs>
          <w:tab w:leader="none" w:pos="972" w:val="left"/>
        </w:tabs>
        <w:numPr>
          <w:ilvl w:val="0"/>
          <w:numId w:val="42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acknowledges that upon its written request and at no additional cost, it has the right to receive notification after the completion of each purchase and sale of permitted investments or the Indenture Trustee's receipt of a broker's confirmation. The Servicer agrees that such notifications shall not be provided by the Indenture Trustee hereunder, and the Indenture Trustee shall make available, upon request and in lieu of notifications, periodic account statements that reflect such investment activity. No statement need be made available for any fund/account if no activity has occurred in such fund/account during such period.</w:t>
      </w:r>
    </w:p>
    <w:p>
      <w:pPr>
        <w:spacing w:after="0" w:line="153" w:lineRule="exact"/>
        <w:rPr>
          <w:rFonts w:ascii="Times New Roman" w:cs="Times New Roman" w:eastAsia="Times New Roman" w:hAnsi="Times New Roman"/>
          <w:sz w:val="19"/>
          <w:szCs w:val="19"/>
          <w:color w:val="1F3763"/>
        </w:rPr>
      </w:pPr>
    </w:p>
    <w:p>
      <w:pPr>
        <w:jc w:val="both"/>
        <w:ind w:right="120" w:firstLine="702"/>
        <w:spacing w:after="0" w:line="259" w:lineRule="auto"/>
        <w:tabs>
          <w:tab w:leader="none" w:pos="924" w:val="left"/>
        </w:tabs>
        <w:numPr>
          <w:ilvl w:val="0"/>
          <w:numId w:val="42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of the Indenture Trustee and the Certificate Paying Agent acknowledge and agree that it has not entered into, and until the termination of this Agreement shall not enter into, any agreement with any Person other than the parties hereto relating to any Trust Account, and in each case any funds held therein, pursuant to which it has agreed, or will agree, to comply with orders or instructions of any other such Person. The parties hereto agree that this Section 5.1 shall constitute an account agreement for the purposes of the UCC, including Section 8-501 thereof.</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V.2. </w:t>
      </w:r>
      <w:r>
        <w:rPr>
          <w:rFonts w:ascii="Times New Roman" w:cs="Times New Roman" w:eastAsia="Times New Roman" w:hAnsi="Times New Roman"/>
          <w:sz w:val="19"/>
          <w:szCs w:val="19"/>
          <w:color w:val="000000"/>
        </w:rPr>
        <w:t>[Reserved].</w:t>
      </w:r>
    </w:p>
    <w:p>
      <w:pPr>
        <w:spacing w:after="0" w:line="202" w:lineRule="exact"/>
        <w:rPr>
          <w:sz w:val="20"/>
          <w:szCs w:val="20"/>
          <w:color w:val="auto"/>
        </w:rPr>
      </w:pPr>
    </w:p>
    <w:p>
      <w:pPr>
        <w:ind w:right="360" w:firstLine="696"/>
        <w:spacing w:after="0" w:line="258" w:lineRule="auto"/>
        <w:rPr>
          <w:sz w:val="20"/>
          <w:szCs w:val="20"/>
          <w:color w:val="auto"/>
        </w:rPr>
      </w:pPr>
      <w:r>
        <w:rPr>
          <w:rFonts w:ascii="Times New Roman" w:cs="Times New Roman" w:eastAsia="Times New Roman" w:hAnsi="Times New Roman"/>
          <w:sz w:val="19"/>
          <w:szCs w:val="19"/>
          <w:color w:val="2F5496"/>
        </w:rPr>
        <w:t xml:space="preserve">SECTION V.3. </w:t>
      </w:r>
      <w:r>
        <w:rPr>
          <w:rFonts w:ascii="Times New Roman" w:cs="Times New Roman" w:eastAsia="Times New Roman" w:hAnsi="Times New Roman"/>
          <w:sz w:val="19"/>
          <w:szCs w:val="19"/>
          <w:color w:val="000000"/>
        </w:rPr>
        <w:t>Certain Reimbursements to the Servicer. The Servicer will be entitled to be reimbursed from amounts on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deposit in the Collection Account with respect to a Collection Period for amounts previously deposited in the Collection Account but later determined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11" w:name="page512"/>
    <w:bookmarkEnd w:id="511"/>
    <w:p>
      <w:pPr>
        <w:spacing w:after="0" w:line="200" w:lineRule="exact"/>
        <w:rPr>
          <w:sz w:val="20"/>
          <w:szCs w:val="20"/>
          <w:color w:val="auto"/>
        </w:rPr>
      </w:pPr>
    </w:p>
    <w:p>
      <w:pPr>
        <w:spacing w:after="0" w:line="26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by the Servicer to have resulted from mistaken deposits or postings or checks returned for insufficient funds. The amount to be reimbursed hereunder shall be paid to the Servicer on the related Distribution Date pursuant to Section 5.7(b)(i) upon certification by the Servicer of such amounts and the provision of such information to the Indenture Trustee. The Servicer will additionally be entitled to receive from amounts on deposit in the Collection Account with respect to a Collection Period any amounts paid by Obligors that were deposited in the Lockbox Account but that do not relate to principal and interest payments due on the Receivables.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V.4. </w:t>
      </w:r>
      <w:r>
        <w:rPr>
          <w:rFonts w:ascii="Times New Roman" w:cs="Times New Roman" w:eastAsia="Times New Roman" w:hAnsi="Times New Roman"/>
          <w:sz w:val="19"/>
          <w:szCs w:val="19"/>
          <w:color w:val="000000"/>
        </w:rPr>
        <w:t>Application of Collections. All collections for the Collection Period shall be applied by the Servicer as follows:</w:t>
      </w:r>
    </w:p>
    <w:p>
      <w:pPr>
        <w:spacing w:after="0" w:line="202" w:lineRule="exact"/>
        <w:rPr>
          <w:sz w:val="20"/>
          <w:szCs w:val="20"/>
          <w:color w:val="auto"/>
        </w:rPr>
      </w:pPr>
    </w:p>
    <w:p>
      <w:pPr>
        <w:ind w:right="240" w:firstLine="702"/>
        <w:spacing w:after="0" w:line="268" w:lineRule="auto"/>
        <w:tabs>
          <w:tab w:leader="none" w:pos="960" w:val="left"/>
        </w:tabs>
        <w:numPr>
          <w:ilvl w:val="0"/>
          <w:numId w:val="42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With respect to each Receivable (other than a Purchased Receivable), payments by or on behalf of the Obligor (other than Supplemental Servicing Fees with respect to such Receivable, to the extent collected), shall be applied to interest and principal in accordance with the Simple Interest Method.</w:t>
      </w:r>
    </w:p>
    <w:p>
      <w:pPr>
        <w:spacing w:after="0" w:line="144" w:lineRule="exact"/>
        <w:rPr>
          <w:rFonts w:ascii="Times New Roman" w:cs="Times New Roman" w:eastAsia="Times New Roman" w:hAnsi="Times New Roman"/>
          <w:sz w:val="19"/>
          <w:szCs w:val="19"/>
          <w:color w:val="1F3763"/>
        </w:rPr>
      </w:pPr>
    </w:p>
    <w:p>
      <w:pPr>
        <w:ind w:right="260" w:firstLine="702"/>
        <w:spacing w:after="0" w:line="286" w:lineRule="auto"/>
        <w:tabs>
          <w:tab w:leader="none" w:pos="972" w:val="left"/>
        </w:tabs>
        <w:numPr>
          <w:ilvl w:val="0"/>
          <w:numId w:val="42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All amounts collected that are payable to the Servicer as Supplemental Servicing Fees hereunder shall be deposited in the Collection Account and paid to the Servicer in accordance with Section 5.7(b).</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V.5. </w:t>
      </w:r>
      <w:r>
        <w:rPr>
          <w:rFonts w:ascii="Times New Roman" w:cs="Times New Roman" w:eastAsia="Times New Roman" w:hAnsi="Times New Roman"/>
          <w:sz w:val="19"/>
          <w:szCs w:val="19"/>
          <w:color w:val="000000"/>
        </w:rPr>
        <w:t>[Reserved].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V.6. </w:t>
      </w:r>
      <w:r>
        <w:rPr>
          <w:rFonts w:ascii="Times New Roman" w:cs="Times New Roman" w:eastAsia="Times New Roman" w:hAnsi="Times New Roman"/>
          <w:sz w:val="19"/>
          <w:szCs w:val="19"/>
          <w:color w:val="000000"/>
        </w:rPr>
        <w:t>Additional Deposits.</w:t>
      </w:r>
    </w:p>
    <w:p>
      <w:pPr>
        <w:spacing w:after="0" w:line="202" w:lineRule="exact"/>
        <w:rPr>
          <w:sz w:val="20"/>
          <w:szCs w:val="20"/>
          <w:color w:val="auto"/>
        </w:rPr>
      </w:pPr>
    </w:p>
    <w:p>
      <w:pPr>
        <w:ind w:right="60" w:firstLine="702"/>
        <w:spacing w:after="0" w:line="286" w:lineRule="auto"/>
        <w:tabs>
          <w:tab w:leader="none" w:pos="960" w:val="left"/>
        </w:tabs>
        <w:numPr>
          <w:ilvl w:val="0"/>
          <w:numId w:val="43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the Seller and the Depositor, as applicable, shall deposit or cause to be deposited in the Collection Account on the Accounting Date on which such obligations are due the aggregate Purchase Amount with respect to Purchased Receivables.</w:t>
      </w:r>
    </w:p>
    <w:p>
      <w:pPr>
        <w:spacing w:after="0" w:line="127"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43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proceeds of any purchase or sale of the assets of the Trust described in Section 10.1 shall be deposited in the Collection</w:t>
      </w:r>
    </w:p>
    <w:p>
      <w:pPr>
        <w:spacing w:after="0" w:line="31" w:lineRule="exact"/>
        <w:rPr>
          <w:rFonts w:ascii="Times New Roman" w:cs="Times New Roman" w:eastAsia="Times New Roman" w:hAnsi="Times New Roman"/>
          <w:sz w:val="19"/>
          <w:szCs w:val="19"/>
          <w:color w:val="1F3763"/>
        </w:rPr>
      </w:pPr>
    </w:p>
    <w:p>
      <w:pPr>
        <w:spacing w:after="0"/>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Account.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V.7. </w:t>
      </w:r>
      <w:r>
        <w:rPr>
          <w:rFonts w:ascii="Times New Roman" w:cs="Times New Roman" w:eastAsia="Times New Roman" w:hAnsi="Times New Roman"/>
          <w:sz w:val="19"/>
          <w:szCs w:val="19"/>
          <w:color w:val="000000"/>
        </w:rPr>
        <w:t>Distributions.</w:t>
      </w:r>
    </w:p>
    <w:p>
      <w:pPr>
        <w:spacing w:after="0" w:line="202" w:lineRule="exact"/>
        <w:rPr>
          <w:sz w:val="20"/>
          <w:szCs w:val="20"/>
          <w:color w:val="auto"/>
        </w:rPr>
      </w:pPr>
    </w:p>
    <w:p>
      <w:pPr>
        <w:ind w:left="960" w:hanging="258"/>
        <w:spacing w:after="0"/>
        <w:tabs>
          <w:tab w:leader="none" w:pos="960" w:val="left"/>
        </w:tabs>
        <w:numPr>
          <w:ilvl w:val="0"/>
          <w:numId w:val="43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1F3763"/>
        </w:rPr>
      </w:pPr>
    </w:p>
    <w:p>
      <w:pPr>
        <w:ind w:firstLine="702"/>
        <w:spacing w:after="0" w:line="257" w:lineRule="auto"/>
        <w:tabs>
          <w:tab w:leader="none" w:pos="972" w:val="left"/>
        </w:tabs>
        <w:numPr>
          <w:ilvl w:val="0"/>
          <w:numId w:val="43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each Distribution Date, the Indenture Trustee shall (based solely on the information contained in the Servicer's Certificate delivered with respect to the related Determination Date) apply or cause to be applied the sum of (x) the Available Funds (after withdrawing amounts deposited in error and Liquidation Proceeds relating to Purchased Receivables) for the related Collection Period and (y) the Reserve Account Withdrawal Amount for such Distribution Date (such sum, the "Total Available Funds") to distribute the following amounts from the Collection Account unless otherwise specified, to the extent of the sources of funds stated to be available therefor, and in the following order of priority:</w:t>
      </w:r>
    </w:p>
    <w:p>
      <w:pPr>
        <w:spacing w:after="0" w:line="156" w:lineRule="exact"/>
        <w:rPr>
          <w:rFonts w:ascii="Times New Roman" w:cs="Times New Roman" w:eastAsia="Times New Roman" w:hAnsi="Times New Roman"/>
          <w:sz w:val="19"/>
          <w:szCs w:val="19"/>
          <w:color w:val="1F3763"/>
        </w:rPr>
      </w:pPr>
    </w:p>
    <w:p>
      <w:pPr>
        <w:ind w:left="800" w:right="80" w:firstLine="754"/>
        <w:spacing w:after="0" w:line="262" w:lineRule="auto"/>
        <w:tabs>
          <w:tab w:leader="none" w:pos="1928" w:val="left"/>
        </w:tabs>
        <w:numPr>
          <w:ilvl w:val="1"/>
          <w:numId w:val="43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(a) pro rata, to the Servicer, (1) the Base Servicing Fee (unless otherwise waived or deferred by the Servicer in its sole discretion) for the related Collection Period, (2) any Supplemental Servicing Fee</w:t>
      </w:r>
    </w:p>
    <w:p>
      <w:pPr>
        <w:spacing w:after="0" w:line="1" w:lineRule="exact"/>
        <w:rPr>
          <w:sz w:val="20"/>
          <w:szCs w:val="20"/>
          <w:color w:val="auto"/>
        </w:rPr>
      </w:pPr>
    </w:p>
    <w:p>
      <w:pPr>
        <w:ind w:left="5200" w:right="1500" w:hanging="4392"/>
        <w:spacing w:after="0" w:line="262" w:lineRule="auto"/>
        <w:rPr>
          <w:sz w:val="20"/>
          <w:szCs w:val="20"/>
          <w:color w:val="auto"/>
        </w:rPr>
      </w:pPr>
      <w:r>
        <w:rPr>
          <w:rFonts w:ascii="Times New Roman" w:cs="Times New Roman" w:eastAsia="Times New Roman" w:hAnsi="Times New Roman"/>
          <w:sz w:val="19"/>
          <w:szCs w:val="19"/>
          <w:color w:val="auto"/>
        </w:rPr>
        <w:t>(unless otherwise waived or deferred by the Servicer in its sole discretion) for the related Collection Period,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12" w:name="page513"/>
    <w:bookmarkEnd w:id="512"/>
    <w:p>
      <w:pPr>
        <w:spacing w:after="0" w:line="200" w:lineRule="exact"/>
        <w:rPr>
          <w:sz w:val="20"/>
          <w:szCs w:val="20"/>
          <w:color w:val="auto"/>
        </w:rPr>
      </w:pPr>
    </w:p>
    <w:p>
      <w:pPr>
        <w:spacing w:after="0" w:line="261" w:lineRule="exact"/>
        <w:rPr>
          <w:sz w:val="20"/>
          <w:szCs w:val="20"/>
          <w:color w:val="auto"/>
        </w:rPr>
      </w:pPr>
    </w:p>
    <w:p>
      <w:pPr>
        <w:ind w:left="20" w:right="100" w:hanging="2"/>
        <w:spacing w:after="0" w:line="262" w:lineRule="auto"/>
        <w:tabs>
          <w:tab w:leader="none" w:pos="292" w:val="left"/>
        </w:tabs>
        <w:numPr>
          <w:ilvl w:val="0"/>
          <w:numId w:val="4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amounts specified in Section 5.3, (b) to United Auto, to the extent the Servicer has not reimbursed itself in respect of such amounts pursuant to Section 5.3, and to the extent not retained by the Servicer, any amounts paid by Obligors during the preceding Collection Period that did not relate to principal and interest payments due on the Receivables and (c) to any successor Servicer, transition fees not to exceed $[***] (including boarding fees) in the aggregate;</w:t>
      </w:r>
    </w:p>
    <w:p>
      <w:pPr>
        <w:spacing w:after="0" w:line="150" w:lineRule="exact"/>
        <w:rPr>
          <w:rFonts w:ascii="Times New Roman" w:cs="Times New Roman" w:eastAsia="Times New Roman" w:hAnsi="Times New Roman"/>
          <w:sz w:val="19"/>
          <w:szCs w:val="19"/>
          <w:color w:val="auto"/>
        </w:rPr>
      </w:pPr>
    </w:p>
    <w:p>
      <w:pPr>
        <w:ind w:left="20" w:right="20" w:firstLine="754"/>
        <w:spacing w:after="0" w:line="259" w:lineRule="auto"/>
        <w:tabs>
          <w:tab w:leader="none" w:pos="1208" w:val="left"/>
        </w:tabs>
        <w:numPr>
          <w:ilvl w:val="1"/>
          <w:numId w:val="4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pro rata, to each of the Lockbox Bank, the Indenture Trustee, the Backup Servicer, any successor Custodian and the Owner Trustee, their respective accrued and unpaid fees, expenses and indemnities, subject to an annual aggregate limit of expenses and indemnities of (a) $50,000 in the case of the Indenture Trustee and the Backup Servicer, prior to the occurrence of an Event of Default, (b) $50,000 in the case of the Owner Trustee, and (c) $50,000 in aggregate in the case of the Lockbox Bank and any successor Custodian;</w:t>
      </w:r>
    </w:p>
    <w:p>
      <w:pPr>
        <w:spacing w:after="0" w:line="153" w:lineRule="exact"/>
        <w:rPr>
          <w:rFonts w:ascii="Times New Roman" w:cs="Times New Roman" w:eastAsia="Times New Roman" w:hAnsi="Times New Roman"/>
          <w:sz w:val="19"/>
          <w:szCs w:val="19"/>
          <w:color w:val="2F5496"/>
        </w:rPr>
      </w:pPr>
    </w:p>
    <w:p>
      <w:pPr>
        <w:ind w:left="20" w:right="440" w:firstLine="754"/>
        <w:spacing w:after="0" w:line="268" w:lineRule="auto"/>
        <w:tabs>
          <w:tab w:leader="none" w:pos="1256" w:val="left"/>
        </w:tabs>
        <w:numPr>
          <w:ilvl w:val="1"/>
          <w:numId w:val="4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the Noteholders' Interest Distributable Amount for the Class A Notes for such Distribution Date for payment to the holders of the Class A Notes as provided in paragraph (c) below;</w:t>
      </w:r>
    </w:p>
    <w:p>
      <w:pPr>
        <w:spacing w:after="0" w:line="144" w:lineRule="exact"/>
        <w:rPr>
          <w:rFonts w:ascii="Times New Roman" w:cs="Times New Roman" w:eastAsia="Times New Roman" w:hAnsi="Times New Roman"/>
          <w:sz w:val="19"/>
          <w:szCs w:val="19"/>
          <w:color w:val="2F5496"/>
        </w:rPr>
      </w:pPr>
    </w:p>
    <w:p>
      <w:pPr>
        <w:ind w:left="20" w:firstLine="754"/>
        <w:spacing w:after="0" w:line="286" w:lineRule="auto"/>
        <w:tabs>
          <w:tab w:leader="none" w:pos="1244" w:val="left"/>
        </w:tabs>
        <w:numPr>
          <w:ilvl w:val="1"/>
          <w:numId w:val="4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for distribution as provided in paragraph (d) below, the First Priority Principal Distributable Amount;</w:t>
      </w:r>
    </w:p>
    <w:p>
      <w:pPr>
        <w:spacing w:after="0" w:line="127" w:lineRule="exact"/>
        <w:rPr>
          <w:rFonts w:ascii="Times New Roman" w:cs="Times New Roman" w:eastAsia="Times New Roman" w:hAnsi="Times New Roman"/>
          <w:sz w:val="19"/>
          <w:szCs w:val="19"/>
          <w:color w:val="2F5496"/>
        </w:rPr>
      </w:pPr>
    </w:p>
    <w:p>
      <w:pPr>
        <w:jc w:val="both"/>
        <w:ind w:left="20" w:right="500" w:firstLine="754"/>
        <w:spacing w:after="0" w:line="268" w:lineRule="auto"/>
        <w:tabs>
          <w:tab w:leader="none" w:pos="1196" w:val="left"/>
        </w:tabs>
        <w:numPr>
          <w:ilvl w:val="1"/>
          <w:numId w:val="4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the Noteholders' Interest Distributable Amount for the Class B Notes for such Distribution Date for payment to the holders of the Class B Notes as provided in paragraph (c) below;</w:t>
      </w:r>
    </w:p>
    <w:p>
      <w:pPr>
        <w:spacing w:after="0" w:line="144" w:lineRule="exact"/>
        <w:rPr>
          <w:rFonts w:ascii="Times New Roman" w:cs="Times New Roman" w:eastAsia="Times New Roman" w:hAnsi="Times New Roman"/>
          <w:sz w:val="19"/>
          <w:szCs w:val="19"/>
          <w:color w:val="2F5496"/>
        </w:rPr>
      </w:pPr>
    </w:p>
    <w:p>
      <w:pPr>
        <w:ind w:left="20" w:firstLine="754"/>
        <w:spacing w:after="0" w:line="286" w:lineRule="auto"/>
        <w:tabs>
          <w:tab w:leader="none" w:pos="1244" w:val="left"/>
        </w:tabs>
        <w:numPr>
          <w:ilvl w:val="1"/>
          <w:numId w:val="4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for distribution as provided in paragraph (d) below, the Second Priority Principal Distributable Amount;</w:t>
      </w:r>
    </w:p>
    <w:p>
      <w:pPr>
        <w:spacing w:after="0" w:line="127" w:lineRule="exact"/>
        <w:rPr>
          <w:rFonts w:ascii="Times New Roman" w:cs="Times New Roman" w:eastAsia="Times New Roman" w:hAnsi="Times New Roman"/>
          <w:sz w:val="19"/>
          <w:szCs w:val="19"/>
          <w:color w:val="2F5496"/>
        </w:rPr>
      </w:pPr>
    </w:p>
    <w:p>
      <w:pPr>
        <w:ind w:left="20" w:right="400" w:firstLine="754"/>
        <w:spacing w:after="0" w:line="268" w:lineRule="auto"/>
        <w:tabs>
          <w:tab w:leader="none" w:pos="1304" w:val="left"/>
        </w:tabs>
        <w:numPr>
          <w:ilvl w:val="1"/>
          <w:numId w:val="4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the Noteholders' Interest Distributable Amount for the Class C Notes for such Distribution Date for payment to the holders of the Class C Notes as provided in paragraph (c) below;</w:t>
      </w:r>
    </w:p>
    <w:p>
      <w:pPr>
        <w:spacing w:after="0" w:line="144" w:lineRule="exact"/>
        <w:rPr>
          <w:rFonts w:ascii="Times New Roman" w:cs="Times New Roman" w:eastAsia="Times New Roman" w:hAnsi="Times New Roman"/>
          <w:sz w:val="19"/>
          <w:szCs w:val="19"/>
          <w:color w:val="2F5496"/>
        </w:rPr>
      </w:pPr>
    </w:p>
    <w:p>
      <w:pPr>
        <w:ind w:left="1360" w:hanging="586"/>
        <w:spacing w:after="0"/>
        <w:tabs>
          <w:tab w:leader="none" w:pos="1360" w:val="left"/>
        </w:tabs>
        <w:numPr>
          <w:ilvl w:val="1"/>
          <w:numId w:val="43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for distribution as provided in paragraph</w:t>
      </w:r>
    </w:p>
    <w:p>
      <w:pPr>
        <w:spacing w:after="0" w:line="31" w:lineRule="exact"/>
        <w:rPr>
          <w:rFonts w:ascii="Times New Roman" w:cs="Times New Roman" w:eastAsia="Times New Roman" w:hAnsi="Times New Roman"/>
          <w:sz w:val="19"/>
          <w:szCs w:val="19"/>
          <w:color w:val="2F5496"/>
        </w:rPr>
      </w:pPr>
    </w:p>
    <w:p>
      <w:pPr>
        <w:ind w:left="20"/>
        <w:spacing w:after="0"/>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(d) below, the Third Priority Principal Distributable Amount;</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635635</wp:posOffset>
            </wp:positionV>
            <wp:extent cx="6732905" cy="406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60"/>
          </w:cols>
          <w:pgMar w:left="1440" w:top="1440" w:right="700" w:bottom="1440" w:gutter="0" w:footer="0" w:header="0"/>
        </w:sectPr>
      </w:pPr>
    </w:p>
    <w:bookmarkStart w:id="513" w:name="page514"/>
    <w:bookmarkEnd w:id="513"/>
    <w:p>
      <w:pPr>
        <w:spacing w:after="0" w:line="200" w:lineRule="exact"/>
        <w:rPr>
          <w:sz w:val="20"/>
          <w:szCs w:val="20"/>
          <w:color w:val="auto"/>
        </w:rPr>
      </w:pPr>
    </w:p>
    <w:p>
      <w:pPr>
        <w:spacing w:after="0" w:line="261" w:lineRule="exact"/>
        <w:rPr>
          <w:sz w:val="20"/>
          <w:szCs w:val="20"/>
          <w:color w:val="auto"/>
        </w:rPr>
      </w:pPr>
    </w:p>
    <w:p>
      <w:pPr>
        <w:jc w:val="both"/>
        <w:ind w:left="780" w:right="460" w:firstLine="762"/>
        <w:spacing w:after="0" w:line="268" w:lineRule="auto"/>
        <w:tabs>
          <w:tab w:leader="none" w:pos="2004" w:val="left"/>
        </w:tabs>
        <w:numPr>
          <w:ilvl w:val="2"/>
          <w:numId w:val="43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the Noteholders' Interest Distributable Amount for the Class D Notes for such Distribution Date for payment to the holders of the Class D Notes as provided in paragraph (c) below;</w:t>
      </w:r>
    </w:p>
    <w:p>
      <w:pPr>
        <w:spacing w:after="0" w:line="144" w:lineRule="exact"/>
        <w:rPr>
          <w:rFonts w:ascii="Times New Roman" w:cs="Times New Roman" w:eastAsia="Times New Roman" w:hAnsi="Times New Roman"/>
          <w:sz w:val="19"/>
          <w:szCs w:val="19"/>
          <w:color w:val="2F5496"/>
        </w:rPr>
      </w:pPr>
    </w:p>
    <w:p>
      <w:pPr>
        <w:ind w:left="780" w:right="60" w:firstLine="762"/>
        <w:spacing w:after="0" w:line="286" w:lineRule="auto"/>
        <w:tabs>
          <w:tab w:leader="none" w:pos="1956" w:val="left"/>
        </w:tabs>
        <w:numPr>
          <w:ilvl w:val="2"/>
          <w:numId w:val="43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for distribution as provided in paragraph (d) below, the Fourth Priority Principal Distributable Amount;</w:t>
      </w:r>
    </w:p>
    <w:p>
      <w:pPr>
        <w:spacing w:after="0" w:line="127" w:lineRule="exact"/>
        <w:rPr>
          <w:rFonts w:ascii="Times New Roman" w:cs="Times New Roman" w:eastAsia="Times New Roman" w:hAnsi="Times New Roman"/>
          <w:sz w:val="19"/>
          <w:szCs w:val="19"/>
          <w:color w:val="2F5496"/>
        </w:rPr>
      </w:pPr>
    </w:p>
    <w:p>
      <w:pPr>
        <w:ind w:left="800" w:right="460" w:firstLine="754"/>
        <w:spacing w:after="0" w:line="268" w:lineRule="auto"/>
        <w:tabs>
          <w:tab w:leader="none" w:pos="2024" w:val="left"/>
        </w:tabs>
        <w:numPr>
          <w:ilvl w:val="3"/>
          <w:numId w:val="43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the Noteholders' Interest Distributable Amount for the Class E Notes for such Distribution Date for payment to the holders of the Class E Notes as provided in paragraph (c) below;</w:t>
      </w:r>
    </w:p>
    <w:p>
      <w:pPr>
        <w:spacing w:after="0" w:line="144" w:lineRule="exact"/>
        <w:rPr>
          <w:rFonts w:ascii="Times New Roman" w:cs="Times New Roman" w:eastAsia="Times New Roman" w:hAnsi="Times New Roman"/>
          <w:sz w:val="19"/>
          <w:szCs w:val="19"/>
          <w:color w:val="2F5496"/>
        </w:rPr>
      </w:pPr>
    </w:p>
    <w:p>
      <w:pPr>
        <w:ind w:left="2080" w:hanging="526"/>
        <w:spacing w:after="0"/>
        <w:tabs>
          <w:tab w:leader="none" w:pos="2080" w:val="left"/>
        </w:tabs>
        <w:numPr>
          <w:ilvl w:val="3"/>
          <w:numId w:val="43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for distribution as provided in paragraph</w:t>
      </w:r>
    </w:p>
    <w:p>
      <w:pPr>
        <w:spacing w:after="0" w:line="31" w:lineRule="exact"/>
        <w:rPr>
          <w:rFonts w:ascii="Times New Roman" w:cs="Times New Roman" w:eastAsia="Times New Roman" w:hAnsi="Times New Roman"/>
          <w:sz w:val="19"/>
          <w:szCs w:val="19"/>
          <w:color w:val="2F5496"/>
        </w:rPr>
      </w:pPr>
    </w:p>
    <w:p>
      <w:pPr>
        <w:ind w:left="1080" w:hanging="282"/>
        <w:spacing w:after="0"/>
        <w:tabs>
          <w:tab w:leader="none" w:pos="1080" w:val="left"/>
        </w:tabs>
        <w:numPr>
          <w:ilvl w:val="1"/>
          <w:numId w:val="4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below, the Fifth Priority Principal Distributable Amount;</w:t>
      </w:r>
    </w:p>
    <w:p>
      <w:pPr>
        <w:spacing w:after="0" w:line="179" w:lineRule="exact"/>
        <w:rPr>
          <w:rFonts w:ascii="Times New Roman" w:cs="Times New Roman" w:eastAsia="Times New Roman" w:hAnsi="Times New Roman"/>
          <w:sz w:val="19"/>
          <w:szCs w:val="19"/>
          <w:color w:val="auto"/>
        </w:rPr>
      </w:pPr>
    </w:p>
    <w:p>
      <w:pPr>
        <w:ind w:left="800" w:right="400" w:firstLine="754"/>
        <w:spacing w:after="0" w:line="286" w:lineRule="auto"/>
        <w:tabs>
          <w:tab w:leader="none" w:pos="2132" w:val="left"/>
        </w:tabs>
        <w:numPr>
          <w:ilvl w:val="3"/>
          <w:numId w:val="43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Reserve Account, the Reserve Account Deposit Amount for such Distribution Date;</w:t>
      </w:r>
    </w:p>
    <w:p>
      <w:pPr>
        <w:spacing w:after="0" w:line="127" w:lineRule="exact"/>
        <w:rPr>
          <w:rFonts w:ascii="Times New Roman" w:cs="Times New Roman" w:eastAsia="Times New Roman" w:hAnsi="Times New Roman"/>
          <w:sz w:val="19"/>
          <w:szCs w:val="19"/>
          <w:color w:val="2F5496"/>
        </w:rPr>
      </w:pPr>
    </w:p>
    <w:p>
      <w:pPr>
        <w:ind w:left="2120" w:hanging="566"/>
        <w:spacing w:after="0"/>
        <w:tabs>
          <w:tab w:leader="none" w:pos="2120" w:val="left"/>
        </w:tabs>
        <w:numPr>
          <w:ilvl w:val="3"/>
          <w:numId w:val="43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Note Distribution Account, for distribution as provided in paragraph</w:t>
      </w:r>
    </w:p>
    <w:p>
      <w:pPr>
        <w:spacing w:after="0" w:line="31" w:lineRule="exact"/>
        <w:rPr>
          <w:rFonts w:ascii="Times New Roman" w:cs="Times New Roman" w:eastAsia="Times New Roman" w:hAnsi="Times New Roman"/>
          <w:sz w:val="19"/>
          <w:szCs w:val="19"/>
          <w:color w:val="2F5496"/>
        </w:rPr>
      </w:pPr>
    </w:p>
    <w:p>
      <w:pPr>
        <w:ind w:left="1080" w:hanging="282"/>
        <w:spacing w:after="0"/>
        <w:tabs>
          <w:tab w:leader="none" w:pos="1080" w:val="left"/>
        </w:tabs>
        <w:numPr>
          <w:ilvl w:val="1"/>
          <w:numId w:val="4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below, the Regular Principal Distributable Amount;</w:t>
      </w:r>
    </w:p>
    <w:p>
      <w:pPr>
        <w:spacing w:after="0" w:line="179" w:lineRule="exact"/>
        <w:rPr>
          <w:rFonts w:ascii="Times New Roman" w:cs="Times New Roman" w:eastAsia="Times New Roman" w:hAnsi="Times New Roman"/>
          <w:sz w:val="19"/>
          <w:szCs w:val="19"/>
          <w:color w:val="auto"/>
        </w:rPr>
      </w:pPr>
    </w:p>
    <w:p>
      <w:pPr>
        <w:jc w:val="both"/>
        <w:ind w:left="800" w:firstLine="754"/>
        <w:spacing w:after="0" w:line="268" w:lineRule="auto"/>
        <w:tabs>
          <w:tab w:leader="none" w:pos="2072" w:val="left"/>
        </w:tabs>
        <w:numPr>
          <w:ilvl w:val="3"/>
          <w:numId w:val="435"/>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each of the Indenture Trustee, the Owner Trustee, the Backup Servicer, the Lockbox Bank, any successor Custodian and the successor Servicer any fees, expenses and indemnities then due to such party that are in excess of the related cap or annual limitation specified in clauses (i) and (ii) above;</w:t>
      </w:r>
    </w:p>
    <w:p>
      <w:pPr>
        <w:spacing w:after="0" w:line="144" w:lineRule="exact"/>
        <w:rPr>
          <w:rFonts w:ascii="Times New Roman" w:cs="Times New Roman" w:eastAsia="Times New Roman" w:hAnsi="Times New Roman"/>
          <w:sz w:val="19"/>
          <w:szCs w:val="19"/>
          <w:color w:val="2F5496"/>
        </w:rPr>
      </w:pPr>
    </w:p>
    <w:p>
      <w:pPr>
        <w:ind w:left="800" w:right="320" w:firstLine="754"/>
        <w:spacing w:after="0" w:line="286" w:lineRule="auto"/>
        <w:tabs>
          <w:tab w:leader="none" w:pos="2120" w:val="left"/>
        </w:tabs>
        <w:numPr>
          <w:ilvl w:val="3"/>
          <w:numId w:val="435"/>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Servicer, any previously waived or deferred Base Servicing Fee or Supplemental Servicing Fee for a prior Collection Period; and</w:t>
      </w:r>
    </w:p>
    <w:p>
      <w:pPr>
        <w:spacing w:after="0" w:line="127" w:lineRule="exact"/>
        <w:rPr>
          <w:rFonts w:ascii="Times New Roman" w:cs="Times New Roman" w:eastAsia="Times New Roman" w:hAnsi="Times New Roman"/>
          <w:sz w:val="19"/>
          <w:szCs w:val="19"/>
          <w:color w:val="2F5496"/>
        </w:rPr>
      </w:pPr>
    </w:p>
    <w:p>
      <w:pPr>
        <w:ind w:left="800" w:right="380" w:firstLine="754"/>
        <w:spacing w:after="0" w:line="268" w:lineRule="auto"/>
        <w:tabs>
          <w:tab w:leader="none" w:pos="2180" w:val="left"/>
        </w:tabs>
        <w:numPr>
          <w:ilvl w:val="3"/>
          <w:numId w:val="435"/>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from the Total Available Funds, to the Certificate Distribution Account for distribution to the Certificateholders, pro rata, according to their Percentage Interests in accordance with the Trust Agreement, the aggregate amount remaining in the Collection Account.</w:t>
      </w:r>
    </w:p>
    <w:p>
      <w:pPr>
        <w:spacing w:after="0" w:line="144" w:lineRule="exact"/>
        <w:rPr>
          <w:rFonts w:ascii="Times New Roman" w:cs="Times New Roman" w:eastAsia="Times New Roman" w:hAnsi="Times New Roman"/>
          <w:sz w:val="19"/>
          <w:szCs w:val="19"/>
          <w:color w:val="2F5496"/>
        </w:rPr>
      </w:pPr>
    </w:p>
    <w:p>
      <w:pPr>
        <w:jc w:val="both"/>
        <w:ind w:right="100" w:firstLine="702"/>
        <w:spacing w:after="0" w:line="268" w:lineRule="auto"/>
        <w:tabs>
          <w:tab w:leader="none" w:pos="960" w:val="left"/>
        </w:tabs>
        <w:numPr>
          <w:ilvl w:val="0"/>
          <w:numId w:val="43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each Distribution Date, the Indenture Trustee shall withdraw from the Note Distribution Account and apply or cause to be applied the aggregate of the amounts described in clause (iii), (v), (vii), (ix) and (xi) of paragraph (b) above on that Distribution Date as follows:</w:t>
      </w:r>
    </w:p>
    <w:p>
      <w:pPr>
        <w:spacing w:after="0" w:line="144" w:lineRule="exact"/>
        <w:rPr>
          <w:rFonts w:ascii="Times New Roman" w:cs="Times New Roman" w:eastAsia="Times New Roman" w:hAnsi="Times New Roman"/>
          <w:sz w:val="19"/>
          <w:szCs w:val="19"/>
          <w:color w:val="1F3763"/>
        </w:rPr>
      </w:pPr>
    </w:p>
    <w:p>
      <w:pPr>
        <w:ind w:left="1920" w:hanging="366"/>
        <w:spacing w:after="0"/>
        <w:tabs>
          <w:tab w:leader="none" w:pos="1920" w:val="left"/>
        </w:tabs>
        <w:numPr>
          <w:ilvl w:val="3"/>
          <w:numId w:val="436"/>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A Noteholders, a payment in respect of interest in an amount equal to the amount deposited in the</w:t>
      </w:r>
    </w:p>
    <w:p>
      <w:pPr>
        <w:spacing w:after="0" w:line="32"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19"/>
          <w:szCs w:val="19"/>
          <w:color w:val="auto"/>
        </w:rPr>
        <w:t>Note Distribution Account pursuant to clause (b)(iii) above;</w:t>
      </w:r>
    </w:p>
    <w:p>
      <w:pPr>
        <w:spacing w:after="0" w:line="10"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14" w:name="page515"/>
    <w:bookmarkEnd w:id="514"/>
    <w:p>
      <w:pPr>
        <w:spacing w:after="0" w:line="200" w:lineRule="exact"/>
        <w:rPr>
          <w:sz w:val="20"/>
          <w:szCs w:val="20"/>
          <w:color w:val="auto"/>
        </w:rPr>
      </w:pPr>
    </w:p>
    <w:p>
      <w:pPr>
        <w:spacing w:after="0" w:line="261" w:lineRule="exact"/>
        <w:rPr>
          <w:sz w:val="20"/>
          <w:szCs w:val="20"/>
          <w:color w:val="auto"/>
        </w:rPr>
      </w:pPr>
    </w:p>
    <w:p>
      <w:pPr>
        <w:ind w:left="780" w:right="100" w:firstLine="762"/>
        <w:spacing w:after="0" w:line="286" w:lineRule="auto"/>
        <w:tabs>
          <w:tab w:leader="none" w:pos="1968" w:val="left"/>
        </w:tabs>
        <w:numPr>
          <w:ilvl w:val="1"/>
          <w:numId w:val="43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B Noteholders, a payment in respect of interest in an amount equal to the amount deposited in the Note Distribution Account pursuant to clause (b)(v) above;</w:t>
      </w:r>
    </w:p>
    <w:p>
      <w:pPr>
        <w:spacing w:after="0" w:line="127" w:lineRule="exact"/>
        <w:rPr>
          <w:rFonts w:ascii="Times New Roman" w:cs="Times New Roman" w:eastAsia="Times New Roman" w:hAnsi="Times New Roman"/>
          <w:sz w:val="19"/>
          <w:szCs w:val="19"/>
          <w:color w:val="2F5496"/>
        </w:rPr>
      </w:pPr>
    </w:p>
    <w:p>
      <w:pPr>
        <w:ind w:left="780" w:right="60" w:firstLine="762"/>
        <w:spacing w:after="0" w:line="286" w:lineRule="auto"/>
        <w:tabs>
          <w:tab w:leader="none" w:pos="2016" w:val="left"/>
        </w:tabs>
        <w:numPr>
          <w:ilvl w:val="1"/>
          <w:numId w:val="43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C Noteholders, a payment in respect of interest in an amount equal to the amount deposited in the Note Distribution Account pursuant to clause (b)(vii) above;</w:t>
      </w:r>
    </w:p>
    <w:p>
      <w:pPr>
        <w:spacing w:after="0" w:line="127" w:lineRule="exact"/>
        <w:rPr>
          <w:rFonts w:ascii="Times New Roman" w:cs="Times New Roman" w:eastAsia="Times New Roman" w:hAnsi="Times New Roman"/>
          <w:sz w:val="19"/>
          <w:szCs w:val="19"/>
          <w:color w:val="2F5496"/>
        </w:rPr>
      </w:pPr>
    </w:p>
    <w:p>
      <w:pPr>
        <w:ind w:left="800" w:right="40" w:firstLine="754"/>
        <w:spacing w:after="0" w:line="286" w:lineRule="auto"/>
        <w:tabs>
          <w:tab w:leader="none" w:pos="2024" w:val="left"/>
        </w:tabs>
        <w:numPr>
          <w:ilvl w:val="2"/>
          <w:numId w:val="43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D Noteholders, a payment in respect of interest in an amount equal to the amount deposited in the Note Distribution Account pursuant to clause (b)(ix) above; and</w:t>
      </w:r>
    </w:p>
    <w:p>
      <w:pPr>
        <w:spacing w:after="0" w:line="127" w:lineRule="exact"/>
        <w:rPr>
          <w:rFonts w:ascii="Times New Roman" w:cs="Times New Roman" w:eastAsia="Times New Roman" w:hAnsi="Times New Roman"/>
          <w:sz w:val="19"/>
          <w:szCs w:val="19"/>
          <w:color w:val="2F5496"/>
        </w:rPr>
      </w:pPr>
    </w:p>
    <w:p>
      <w:pPr>
        <w:ind w:left="800" w:right="120" w:firstLine="754"/>
        <w:spacing w:after="0" w:line="286" w:lineRule="auto"/>
        <w:tabs>
          <w:tab w:leader="none" w:pos="1976" w:val="left"/>
        </w:tabs>
        <w:numPr>
          <w:ilvl w:val="2"/>
          <w:numId w:val="43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E Noteholders, a payment in respect of interest in an amount equal to the amount deposited in the Note Distribution Account pursuant to clause (b)(xi) above.</w:t>
      </w:r>
    </w:p>
    <w:p>
      <w:pPr>
        <w:spacing w:after="0" w:line="127" w:lineRule="exact"/>
        <w:rPr>
          <w:rFonts w:ascii="Times New Roman" w:cs="Times New Roman" w:eastAsia="Times New Roman" w:hAnsi="Times New Roman"/>
          <w:sz w:val="19"/>
          <w:szCs w:val="19"/>
          <w:color w:val="2F5496"/>
        </w:rPr>
      </w:pPr>
    </w:p>
    <w:p>
      <w:pPr>
        <w:ind w:right="120" w:firstLine="702"/>
        <w:spacing w:after="0" w:line="268" w:lineRule="auto"/>
        <w:tabs>
          <w:tab w:leader="none" w:pos="972" w:val="left"/>
        </w:tabs>
        <w:numPr>
          <w:ilvl w:val="0"/>
          <w:numId w:val="43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each Distribution Date, the Indenture Trustee shall withdraw from the Note Distribution Account and apply or cause to be applied the aggregate of the amounts described in clause (iv), (vi), (viii), (x), (xii) and (xiv) of paragraph (b) above on that Distribution Date in the following order of priority:</w:t>
      </w:r>
    </w:p>
    <w:p>
      <w:pPr>
        <w:spacing w:after="0" w:line="144" w:lineRule="exact"/>
        <w:rPr>
          <w:rFonts w:ascii="Times New Roman" w:cs="Times New Roman" w:eastAsia="Times New Roman" w:hAnsi="Times New Roman"/>
          <w:sz w:val="19"/>
          <w:szCs w:val="19"/>
          <w:color w:val="1F3763"/>
        </w:rPr>
      </w:pPr>
    </w:p>
    <w:p>
      <w:pPr>
        <w:ind w:left="800" w:right="360" w:firstLine="754"/>
        <w:spacing w:after="0" w:line="286" w:lineRule="auto"/>
        <w:tabs>
          <w:tab w:leader="none" w:pos="1928" w:val="left"/>
        </w:tabs>
        <w:numPr>
          <w:ilvl w:val="2"/>
          <w:numId w:val="43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A Noteholders in reduction of the remaining Note Balance of the Class A Notes, until the Note Balance thereof has been reduced to zero;</w:t>
      </w:r>
    </w:p>
    <w:p>
      <w:pPr>
        <w:spacing w:after="0" w:line="127" w:lineRule="exact"/>
        <w:rPr>
          <w:rFonts w:ascii="Times New Roman" w:cs="Times New Roman" w:eastAsia="Times New Roman" w:hAnsi="Times New Roman"/>
          <w:sz w:val="19"/>
          <w:szCs w:val="19"/>
          <w:color w:val="2F5496"/>
        </w:rPr>
      </w:pPr>
    </w:p>
    <w:p>
      <w:pPr>
        <w:ind w:left="800" w:right="320" w:firstLine="754"/>
        <w:spacing w:after="0" w:line="286" w:lineRule="auto"/>
        <w:tabs>
          <w:tab w:leader="none" w:pos="1988" w:val="left"/>
        </w:tabs>
        <w:numPr>
          <w:ilvl w:val="2"/>
          <w:numId w:val="43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B Noteholders in reduction of the remaining Note Balance of the Class B Notes, until the Note Balance thereof has been reduced to zero;</w:t>
      </w:r>
    </w:p>
    <w:p>
      <w:pPr>
        <w:spacing w:after="0" w:line="127" w:lineRule="exact"/>
        <w:rPr>
          <w:rFonts w:ascii="Times New Roman" w:cs="Times New Roman" w:eastAsia="Times New Roman" w:hAnsi="Times New Roman"/>
          <w:sz w:val="19"/>
          <w:szCs w:val="19"/>
          <w:color w:val="2F5496"/>
        </w:rPr>
      </w:pPr>
    </w:p>
    <w:p>
      <w:pPr>
        <w:ind w:left="800" w:right="280" w:firstLine="754"/>
        <w:spacing w:after="0" w:line="286" w:lineRule="auto"/>
        <w:tabs>
          <w:tab w:leader="none" w:pos="2036" w:val="left"/>
        </w:tabs>
        <w:numPr>
          <w:ilvl w:val="2"/>
          <w:numId w:val="43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C Noteholders in reduction of the remaining Note Balance of the Class C Notes, until the Note Balance thereof has been reduced to zero;</w:t>
      </w:r>
    </w:p>
    <w:p>
      <w:pPr>
        <w:spacing w:after="0" w:line="127" w:lineRule="exact"/>
        <w:rPr>
          <w:rFonts w:ascii="Times New Roman" w:cs="Times New Roman" w:eastAsia="Times New Roman" w:hAnsi="Times New Roman"/>
          <w:sz w:val="19"/>
          <w:szCs w:val="19"/>
          <w:color w:val="2F5496"/>
        </w:rPr>
      </w:pPr>
    </w:p>
    <w:p>
      <w:pPr>
        <w:ind w:left="800" w:right="260" w:firstLine="754"/>
        <w:spacing w:after="0" w:line="286" w:lineRule="auto"/>
        <w:tabs>
          <w:tab w:leader="none" w:pos="2024" w:val="left"/>
        </w:tabs>
        <w:numPr>
          <w:ilvl w:val="2"/>
          <w:numId w:val="43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D Noteholders in reduction of the remaining Note Balance of the Class D Notes, until the Note Balance thereof has been reduced to zero; and</w:t>
      </w:r>
    </w:p>
    <w:p>
      <w:pPr>
        <w:spacing w:after="0" w:line="127" w:lineRule="exact"/>
        <w:rPr>
          <w:rFonts w:ascii="Times New Roman" w:cs="Times New Roman" w:eastAsia="Times New Roman" w:hAnsi="Times New Roman"/>
          <w:sz w:val="19"/>
          <w:szCs w:val="19"/>
          <w:color w:val="2F5496"/>
        </w:rPr>
      </w:pPr>
    </w:p>
    <w:p>
      <w:pPr>
        <w:ind w:left="800" w:right="360" w:firstLine="754"/>
        <w:spacing w:after="0" w:line="286" w:lineRule="auto"/>
        <w:tabs>
          <w:tab w:leader="none" w:pos="1976" w:val="left"/>
        </w:tabs>
        <w:numPr>
          <w:ilvl w:val="2"/>
          <w:numId w:val="43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to the Class E Noteholders in reduction of the remaining Note Balance of the Class E Notes, until the Note Balance thereof has been reduced to zero.</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following (A) the declaration of an Event of Default pursuant to Section 5.1(i), 5.1(ii), 5.1(iv) or 5.1(v)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Indenture and acceleration of the Notes or (B) the receipt of Termination Proceeds pursuant to Section 10.1(b), amounts deposited in the Note Distribution Account (including any such Termination Proceeds) shall be paid to the Noteholders pursuant to Section 5.6 of the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following the occurrence of an Event of Default pursuant to Section 5.1(iii) of the Indenture, payments on the Notes shall be made in the order and priority set forth in this Section 5.7, except that (x) following the occurrence of an Event of Default, the amounts distributed pursuant to clauses (i) and (ii) of Section 5.7(b) shall not be subject to caps or annual limits and (y) the amount of principal distributed pursuant to clause (xvii) of Section 5.7(b) shall also include all Available Funds until all Notes have been paid in full.</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15" w:name="page516"/>
    <w:bookmarkEnd w:id="515"/>
    <w:p>
      <w:pPr>
        <w:spacing w:after="0" w:line="200" w:lineRule="exact"/>
        <w:rPr>
          <w:sz w:val="20"/>
          <w:szCs w:val="20"/>
          <w:color w:val="auto"/>
        </w:rPr>
      </w:pPr>
    </w:p>
    <w:p>
      <w:pPr>
        <w:spacing w:after="0" w:line="261" w:lineRule="exact"/>
        <w:rPr>
          <w:sz w:val="20"/>
          <w:szCs w:val="20"/>
          <w:color w:val="auto"/>
        </w:rPr>
      </w:pPr>
    </w:p>
    <w:p>
      <w:pPr>
        <w:ind w:left="960" w:hanging="258"/>
        <w:spacing w:after="0"/>
        <w:tabs>
          <w:tab w:leader="none" w:pos="960" w:val="left"/>
        </w:tabs>
        <w:numPr>
          <w:ilvl w:val="0"/>
          <w:numId w:val="4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1F3763"/>
        </w:rPr>
      </w:pPr>
    </w:p>
    <w:p>
      <w:pPr>
        <w:ind w:right="160" w:firstLine="702"/>
        <w:spacing w:after="0" w:line="262" w:lineRule="auto"/>
        <w:tabs>
          <w:tab w:leader="none" w:pos="936" w:val="left"/>
        </w:tabs>
        <w:numPr>
          <w:ilvl w:val="0"/>
          <w:numId w:val="4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any Trust Account is maintained with an institution other than the Indenture Trustee (in the case of the Collection Account, the Note Distribution Account and the Reserve Account) or the Certificate Paying Agent (in the case of the Certificate Distribution Account), the Servicer shall instruct and cause such institution to make all deposits and distributions pursuant to paragraphs (a), (b), (c), (d) and/or (e) of this Section 5.7, as applicable, on the related Distribution Date.</w:t>
      </w:r>
    </w:p>
    <w:p>
      <w:pPr>
        <w:spacing w:after="0" w:line="150" w:lineRule="exact"/>
        <w:rPr>
          <w:rFonts w:ascii="Times New Roman" w:cs="Times New Roman" w:eastAsia="Times New Roman" w:hAnsi="Times New Roman"/>
          <w:sz w:val="19"/>
          <w:szCs w:val="19"/>
          <w:color w:val="1F3763"/>
        </w:rPr>
      </w:pPr>
    </w:p>
    <w:p>
      <w:pPr>
        <w:ind w:right="120" w:firstLine="702"/>
        <w:spacing w:after="0" w:line="254" w:lineRule="auto"/>
        <w:tabs>
          <w:tab w:leader="none" w:pos="972" w:val="left"/>
        </w:tabs>
        <w:numPr>
          <w:ilvl w:val="0"/>
          <w:numId w:val="4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the event that any withholding tax is imposed on the Trust's payment (or allocations of income) to a Noteholder, such tax shall reduce the amount otherwise distributable to the Noteholder in accordance with this Section. The Indenture Trustee is hereby authorized and directed to retain from amounts otherwise distributable to the Noteholders sufficient funds for the payment of any tax attributable to the Trust (but such authorization shall not prevent the Indenture Trustee from contesting any such tax in appropriate proceedings, and withholding payment of such tax, if permitted by law, pending the outcome of such proceedings). The amount of any withholding tax imposed with respect to a Noteholder shall be treated as cash distributed to such Noteholder at the time it is withheld by the Trust and remitted to the appropriate taxing authority. If there is a possibility that withholding tax is payable with respect to a distribution (such as a distribution to a non-US Noteholder), the Indenture Trustee may in its sole discretion withhold such amounts in accordance with this clause (g). In the event that a Noteholder wishes to apply for a refund of any such withholding tax, the Indenture Trustee shall reasonably cooperate with such Noteholder in making such claim so long as such Noteholder agrees to reimburse the Indenture Trustee for any out-of-pocket expenses (including legal fees and expenses) incurred.</w:t>
      </w:r>
    </w:p>
    <w:p>
      <w:pPr>
        <w:spacing w:after="0" w:line="157" w:lineRule="exact"/>
        <w:rPr>
          <w:rFonts w:ascii="Times New Roman" w:cs="Times New Roman" w:eastAsia="Times New Roman" w:hAnsi="Times New Roman"/>
          <w:sz w:val="19"/>
          <w:szCs w:val="19"/>
          <w:color w:val="1F3763"/>
        </w:rPr>
      </w:pPr>
    </w:p>
    <w:p>
      <w:pPr>
        <w:ind w:firstLine="702"/>
        <w:spacing w:after="0" w:line="255" w:lineRule="auto"/>
        <w:tabs>
          <w:tab w:leader="none" w:pos="972" w:val="left"/>
        </w:tabs>
        <w:numPr>
          <w:ilvl w:val="0"/>
          <w:numId w:val="4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Distributions required to be made to Noteholders on any Distribution Date shall be made to each Noteholder of record on the preceding Record Date either by (i) wire transfer, in immediately available funds, to the account of such Holder at a bank or other entity having appropriate facilities therefor, if such Noteholder shall have provided to the Note Registrar appropriate written instructions at least five Business Days prior to such Distribution Date and such Holder's Notes in the aggregate evidence a denomination of not less than $1,000,000 (other than with respect to Notes held in book-entry form) or (ii) check mailed to such Noteholder at the address of such holder appearing in the Note Register. Notwithstanding the foregoing, the final distribution in respect of any Note (whether on the related Final Scheduled Distribution Date or otherwise) will be payable only upon presentation and surrender of such Note at the office or agency maintained for that purpose by the Note Registrar pursuant to Section 2.4 of the Indenture.</w:t>
      </w:r>
    </w:p>
    <w:p>
      <w:pPr>
        <w:spacing w:after="0" w:line="159" w:lineRule="exact"/>
        <w:rPr>
          <w:rFonts w:ascii="Times New Roman" w:cs="Times New Roman" w:eastAsia="Times New Roman" w:hAnsi="Times New Roman"/>
          <w:sz w:val="19"/>
          <w:szCs w:val="19"/>
          <w:color w:val="1F3763"/>
        </w:rPr>
      </w:pPr>
    </w:p>
    <w:p>
      <w:pPr>
        <w:jc w:val="both"/>
        <w:ind w:right="280" w:firstLine="702"/>
        <w:spacing w:after="0" w:line="268" w:lineRule="auto"/>
        <w:tabs>
          <w:tab w:leader="none" w:pos="924" w:val="left"/>
        </w:tabs>
        <w:numPr>
          <w:ilvl w:val="0"/>
          <w:numId w:val="4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Subject to Section 5.1 and this Section, monies received by the Indenture Trustee hereunder need not be segregated in any manner except to the extent required by law and may be deposited under such general conditions as may be prescribed by law, and the Indenture Trustee shall not be liable for any interest thereon.</w:t>
      </w:r>
    </w:p>
    <w:p>
      <w:pPr>
        <w:spacing w:after="0" w:line="144" w:lineRule="exact"/>
        <w:rPr>
          <w:rFonts w:ascii="Times New Roman" w:cs="Times New Roman" w:eastAsia="Times New Roman" w:hAnsi="Times New Roman"/>
          <w:sz w:val="19"/>
          <w:szCs w:val="19"/>
          <w:color w:val="1F3763"/>
        </w:rPr>
      </w:pPr>
    </w:p>
    <w:p>
      <w:pPr>
        <w:ind w:right="280" w:firstLine="702"/>
        <w:spacing w:after="0" w:line="262" w:lineRule="auto"/>
        <w:tabs>
          <w:tab w:leader="none" w:pos="924" w:val="left"/>
        </w:tabs>
        <w:numPr>
          <w:ilvl w:val="0"/>
          <w:numId w:val="43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Amounts properly received by the Certificateholders pursuant to this Agreement shall not be available to the Indenture Trustee or the Issuer for the purpose of making deposits to the Reserve Account, or making payments to the Noteholders, nor shall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Certificateholders be required to refund any amount properly received by them.</w:t>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16" w:name="page517"/>
    <w:bookmarkEnd w:id="516"/>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V.8. </w:t>
      </w:r>
      <w:r>
        <w:rPr>
          <w:rFonts w:ascii="Times New Roman" w:cs="Times New Roman" w:eastAsia="Times New Roman" w:hAnsi="Times New Roman"/>
          <w:sz w:val="19"/>
          <w:szCs w:val="19"/>
          <w:color w:val="000000"/>
        </w:rPr>
        <w:t>Reserve Account.</w:t>
      </w:r>
    </w:p>
    <w:p>
      <w:pPr>
        <w:spacing w:after="0" w:line="202" w:lineRule="exact"/>
        <w:rPr>
          <w:sz w:val="20"/>
          <w:szCs w:val="20"/>
          <w:color w:val="auto"/>
        </w:rPr>
      </w:pPr>
    </w:p>
    <w:p>
      <w:pPr>
        <w:ind w:left="960" w:hanging="258"/>
        <w:spacing w:after="0"/>
        <w:tabs>
          <w:tab w:leader="none" w:pos="960" w:val="left"/>
        </w:tabs>
        <w:numPr>
          <w:ilvl w:val="1"/>
          <w:numId w:val="4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Reserve Account mechanics:</w:t>
      </w:r>
    </w:p>
    <w:p>
      <w:pPr>
        <w:spacing w:after="0" w:line="201" w:lineRule="exact"/>
        <w:rPr>
          <w:rFonts w:ascii="Times New Roman" w:cs="Times New Roman" w:eastAsia="Times New Roman" w:hAnsi="Times New Roman"/>
          <w:sz w:val="19"/>
          <w:szCs w:val="19"/>
          <w:color w:val="1F3763"/>
        </w:rPr>
      </w:pPr>
    </w:p>
    <w:p>
      <w:pPr>
        <w:ind w:left="800" w:right="460" w:firstLine="754"/>
        <w:spacing w:after="0" w:line="268" w:lineRule="auto"/>
        <w:tabs>
          <w:tab w:leader="none" w:pos="1928" w:val="left"/>
        </w:tabs>
        <w:numPr>
          <w:ilvl w:val="2"/>
          <w:numId w:val="44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On the Closing Date, the Depositor shall deposit the Specified Reserve Balance into the Reserve Account. Amounts held from time to time in the Reserve Account shall be held by the Indenture Trustee for the benefit of the Noteholders.</w:t>
      </w:r>
    </w:p>
    <w:p>
      <w:pPr>
        <w:spacing w:after="0" w:line="144" w:lineRule="exact"/>
        <w:rPr>
          <w:rFonts w:ascii="Times New Roman" w:cs="Times New Roman" w:eastAsia="Times New Roman" w:hAnsi="Times New Roman"/>
          <w:sz w:val="19"/>
          <w:szCs w:val="19"/>
          <w:color w:val="2F5496"/>
        </w:rPr>
      </w:pPr>
    </w:p>
    <w:p>
      <w:pPr>
        <w:ind w:left="800" w:firstLine="754"/>
        <w:spacing w:after="0" w:line="255" w:lineRule="auto"/>
        <w:tabs>
          <w:tab w:leader="none" w:pos="1988" w:val="left"/>
        </w:tabs>
        <w:numPr>
          <w:ilvl w:val="2"/>
          <w:numId w:val="440"/>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On each Distribution Date, the Servicer shall instruct the Indenture Trustee (based on the information contained in the Servicer's Certificate delivered on the related Determination Date) (A) if the amount on deposit in the Reserve Account (without taking into account any amount on deposit in the Reserve Account representing net Investment Earnings) is less than the Specified Reserve Balance, in which case the Indenture Trustee shall, after payment of any amounts required to be distributed pursuant to clauses (i) through (xii) of Section 5.7(b), deposit in the Reserve Account the Reserve Account Deposit Amount pursuant to Section 5.7(b)(xiii), and (B) if the amount on deposit in the Reserve Account, after giving effect to all other deposits thereto and withdrawals therefrom to be made on such Distribution Date is greater than the Specified Reserve Balance, in which case the Indenture Trustee shall distribute the amount of such excess as part of Collected Funds on such Distribution Date.</w:t>
      </w:r>
    </w:p>
    <w:p>
      <w:pPr>
        <w:spacing w:after="0" w:line="155" w:lineRule="exact"/>
        <w:rPr>
          <w:rFonts w:ascii="Times New Roman" w:cs="Times New Roman" w:eastAsia="Times New Roman" w:hAnsi="Times New Roman"/>
          <w:sz w:val="19"/>
          <w:szCs w:val="19"/>
          <w:color w:val="2F5496"/>
        </w:rPr>
      </w:pPr>
    </w:p>
    <w:p>
      <w:pPr>
        <w:jc w:val="both"/>
        <w:ind w:right="20" w:firstLine="702"/>
        <w:spacing w:after="0" w:line="268" w:lineRule="auto"/>
        <w:tabs>
          <w:tab w:leader="none" w:pos="972" w:val="left"/>
        </w:tabs>
        <w:numPr>
          <w:ilvl w:val="1"/>
          <w:numId w:val="4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each Distribution Date, the Servicer shall instruct the Indenture Trustee (based on the information contained in the Servicer's Certificate delivered on the related Determination Date) to withdraw the Reserve Account Withdrawal Amount from the Reserve Account and deposit such amounts in the Collection Account to be included as Total Available Funds for that Distribution Date.</w:t>
      </w:r>
    </w:p>
    <w:p>
      <w:pPr>
        <w:spacing w:after="0" w:line="144" w:lineRule="exact"/>
        <w:rPr>
          <w:rFonts w:ascii="Times New Roman" w:cs="Times New Roman" w:eastAsia="Times New Roman" w:hAnsi="Times New Roman"/>
          <w:sz w:val="19"/>
          <w:szCs w:val="19"/>
          <w:color w:val="1F3763"/>
        </w:rPr>
      </w:pPr>
    </w:p>
    <w:p>
      <w:pPr>
        <w:ind w:right="20" w:firstLine="702"/>
        <w:spacing w:after="0" w:line="257" w:lineRule="auto"/>
        <w:tabs>
          <w:tab w:leader="none" w:pos="960" w:val="left"/>
        </w:tabs>
        <w:numPr>
          <w:ilvl w:val="1"/>
          <w:numId w:val="4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on any Distribution Date, the amount on deposit in the Reserve Account, together with Available Funds, is sufficient to pay the sum of (i) all amounts due pursuant to clauses (i), (ii) and (xv) of Section 5.7(b), (ii) the aggregate Noteholders' Interest Distributable Amount for all Classes of Notes and (iii) the aggregate Note Balance of all Classes of Notes, then the Servicer will instruct the Indenture Trustee to withdraw the full amount on deposit in the Reserve Account and to use such withdrawn amount, together with Available Funds, to make such payments, with any excess to be deposited into the Certificate Distribution Account for distribution to the Certificateholders.</w:t>
      </w:r>
    </w:p>
    <w:p>
      <w:pPr>
        <w:spacing w:after="0" w:line="156"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1"/>
          <w:numId w:val="44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Following (i) the occurrence of an Event of Default pursuant to Sections 5.1(i), 5.1(ii), 5.1(iv) or 5.1(v) of the Indenture or</w:t>
      </w:r>
    </w:p>
    <w:p>
      <w:pPr>
        <w:spacing w:after="0" w:line="31" w:lineRule="exact"/>
        <w:rPr>
          <w:rFonts w:ascii="Times New Roman" w:cs="Times New Roman" w:eastAsia="Times New Roman" w:hAnsi="Times New Roman"/>
          <w:sz w:val="19"/>
          <w:szCs w:val="19"/>
          <w:color w:val="1F3763"/>
        </w:rPr>
      </w:pPr>
    </w:p>
    <w:p>
      <w:pPr>
        <w:ind w:right="200" w:firstLine="6"/>
        <w:spacing w:after="0" w:line="262" w:lineRule="auto"/>
        <w:tabs>
          <w:tab w:leader="none" w:pos="282" w:val="left"/>
        </w:tabs>
        <w:numPr>
          <w:ilvl w:val="0"/>
          <w:numId w:val="4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receipt of Termination Proceeds pursuant to Section 10.1(b), all amounts on deposit in the Reserve Account shall be applied by the Indenture Trustee pursuant to the priorities set forth in Section 5.6 of the Indenture.</w:t>
      </w:r>
    </w:p>
    <w:p>
      <w:pPr>
        <w:spacing w:after="0" w:line="149"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1"/>
          <w:numId w:val="44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Certificateholders will be entitled, pro rata, to any amounts not needed to make payments on the Notes and on all other</w:t>
      </w:r>
    </w:p>
    <w:p>
      <w:pPr>
        <w:spacing w:after="0" w:line="3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color w:val="auto"/>
        </w:rPr>
        <w:t>obligations to be paid under the Indenture and this Agreement, and to receive amounts remaining in the Reserve Account following the payment in full of the Notes and of all other amounts owing or to be distributed under this Agreement or the Indenture or the Trust Agreement to the Noteholders, the Servicer, the Backup Servicer,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17" w:name="page518"/>
    <w:bookmarkEnd w:id="517"/>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Indenture Trustee, the Owner Trustee, any successor Custodian or the lockbox bank upon the termination of the Issuer.</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V.9. </w:t>
      </w:r>
      <w:r>
        <w:rPr>
          <w:rFonts w:ascii="Times New Roman" w:cs="Times New Roman" w:eastAsia="Times New Roman" w:hAnsi="Times New Roman"/>
          <w:sz w:val="19"/>
          <w:szCs w:val="19"/>
          <w:color w:val="000000"/>
        </w:rPr>
        <w:t>[Reserved].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V.10. </w:t>
      </w:r>
      <w:r>
        <w:rPr>
          <w:rFonts w:ascii="Times New Roman" w:cs="Times New Roman" w:eastAsia="Times New Roman" w:hAnsi="Times New Roman"/>
          <w:sz w:val="19"/>
          <w:szCs w:val="19"/>
          <w:color w:val="000000"/>
        </w:rPr>
        <w:t>Statements to Noteholders.</w:t>
      </w:r>
    </w:p>
    <w:p>
      <w:pPr>
        <w:spacing w:after="0" w:line="202" w:lineRule="exact"/>
        <w:rPr>
          <w:sz w:val="20"/>
          <w:szCs w:val="20"/>
          <w:color w:val="auto"/>
        </w:rPr>
      </w:pPr>
    </w:p>
    <w:p>
      <w:pPr>
        <w:ind w:right="40" w:firstLine="702"/>
        <w:spacing w:after="0" w:line="268" w:lineRule="auto"/>
        <w:tabs>
          <w:tab w:leader="none" w:pos="960" w:val="left"/>
        </w:tabs>
        <w:numPr>
          <w:ilvl w:val="0"/>
          <w:numId w:val="44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or prior to each Distribution Date, the Indenture Trustee shall make available to each Noteholder of record (with a copy to the Depositor who will deliver such statement to the Rating Agencies) a statement setting forth at least the following information as to the Notes to the extent applicable:</w:t>
      </w:r>
    </w:p>
    <w:p>
      <w:pPr>
        <w:spacing w:after="0" w:line="144" w:lineRule="exact"/>
        <w:rPr>
          <w:rFonts w:ascii="Times New Roman" w:cs="Times New Roman" w:eastAsia="Times New Roman" w:hAnsi="Times New Roman"/>
          <w:sz w:val="19"/>
          <w:szCs w:val="19"/>
          <w:color w:val="1F3763"/>
        </w:rPr>
      </w:pPr>
    </w:p>
    <w:p>
      <w:pPr>
        <w:ind w:left="1920" w:hanging="366"/>
        <w:spacing w:after="0"/>
        <w:tabs>
          <w:tab w:leader="none" w:pos="1920"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amount of such distribution allocable to interest for each Class of Notes;</w:t>
      </w:r>
    </w:p>
    <w:p>
      <w:pPr>
        <w:spacing w:after="0" w:line="201" w:lineRule="exact"/>
        <w:rPr>
          <w:rFonts w:ascii="Times New Roman" w:cs="Times New Roman" w:eastAsia="Times New Roman" w:hAnsi="Times New Roman"/>
          <w:sz w:val="19"/>
          <w:szCs w:val="19"/>
          <w:color w:val="2F5496"/>
        </w:rPr>
      </w:pPr>
    </w:p>
    <w:p>
      <w:pPr>
        <w:ind w:left="800" w:firstLine="754"/>
        <w:spacing w:after="0" w:line="262" w:lineRule="auto"/>
        <w:tabs>
          <w:tab w:leader="none" w:pos="1988"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amount of such distribution allocable to principal of each Class of Notes, the First Priority Principal Distributable Amount, the Second Priority Principal Distributable Amount, the Third Priority Principal Distributable Amount, the Fourth Priority Principal Distributable Amount, the Fifth Priority Principal Distributable Amount and the Regular Principal Distributable Amount;</w:t>
      </w:r>
    </w:p>
    <w:p>
      <w:pPr>
        <w:spacing w:after="0" w:line="150" w:lineRule="exact"/>
        <w:rPr>
          <w:rFonts w:ascii="Times New Roman" w:cs="Times New Roman" w:eastAsia="Times New Roman" w:hAnsi="Times New Roman"/>
          <w:sz w:val="19"/>
          <w:szCs w:val="19"/>
          <w:color w:val="2F5496"/>
        </w:rPr>
      </w:pPr>
    </w:p>
    <w:p>
      <w:pPr>
        <w:ind w:left="2040" w:hanging="486"/>
        <w:spacing w:after="0"/>
        <w:tabs>
          <w:tab w:leader="none" w:pos="2040"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amount paid or distributed to the Certificateholders;</w:t>
      </w:r>
    </w:p>
    <w:p>
      <w:pPr>
        <w:spacing w:after="0" w:line="201" w:lineRule="exact"/>
        <w:rPr>
          <w:rFonts w:ascii="Times New Roman" w:cs="Times New Roman" w:eastAsia="Times New Roman" w:hAnsi="Times New Roman"/>
          <w:sz w:val="19"/>
          <w:szCs w:val="19"/>
          <w:color w:val="2F5496"/>
        </w:rPr>
      </w:pPr>
    </w:p>
    <w:p>
      <w:pPr>
        <w:ind w:left="800" w:right="40" w:firstLine="754"/>
        <w:spacing w:after="0" w:line="286" w:lineRule="auto"/>
        <w:tabs>
          <w:tab w:leader="none" w:pos="2024"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Note Balance and the Note Factor for each Class of Notes after giving effect to all payments to be made on such Distribution Date;</w:t>
      </w:r>
    </w:p>
    <w:p>
      <w:pPr>
        <w:spacing w:after="0" w:line="127" w:lineRule="exact"/>
        <w:rPr>
          <w:rFonts w:ascii="Times New Roman" w:cs="Times New Roman" w:eastAsia="Times New Roman" w:hAnsi="Times New Roman"/>
          <w:sz w:val="19"/>
          <w:szCs w:val="19"/>
          <w:color w:val="2F5496"/>
        </w:rPr>
      </w:pPr>
    </w:p>
    <w:p>
      <w:pPr>
        <w:ind w:left="800" w:right="300" w:firstLine="754"/>
        <w:spacing w:after="0" w:line="286" w:lineRule="auto"/>
        <w:tabs>
          <w:tab w:leader="none" w:pos="1976"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Noteholders' Interest Carryover Amount for each Class of Notes and the change in that amount from the preceding Distribution Date;</w:t>
      </w:r>
    </w:p>
    <w:p>
      <w:pPr>
        <w:spacing w:after="0" w:line="127" w:lineRule="exact"/>
        <w:rPr>
          <w:rFonts w:ascii="Times New Roman" w:cs="Times New Roman" w:eastAsia="Times New Roman" w:hAnsi="Times New Roman"/>
          <w:sz w:val="19"/>
          <w:szCs w:val="19"/>
          <w:color w:val="2F5496"/>
        </w:rPr>
      </w:pPr>
    </w:p>
    <w:p>
      <w:pPr>
        <w:ind w:left="800" w:right="240" w:firstLine="754"/>
        <w:spacing w:after="0" w:line="286" w:lineRule="auto"/>
        <w:tabs>
          <w:tab w:leader="none" w:pos="2024"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amount of the Servicing Fee paid to the Servicer with respect to the related Collection Period and/or due but unpaid with respect to such Collection Period or prior Collection Periods, as the case may be;</w:t>
      </w:r>
    </w:p>
    <w:p>
      <w:pPr>
        <w:spacing w:after="0" w:line="127" w:lineRule="exact"/>
        <w:rPr>
          <w:rFonts w:ascii="Times New Roman" w:cs="Times New Roman" w:eastAsia="Times New Roman" w:hAnsi="Times New Roman"/>
          <w:sz w:val="19"/>
          <w:szCs w:val="19"/>
          <w:color w:val="2F5496"/>
        </w:rPr>
      </w:pPr>
    </w:p>
    <w:p>
      <w:pPr>
        <w:ind w:left="2080" w:hanging="526"/>
        <w:spacing w:after="0"/>
        <w:tabs>
          <w:tab w:leader="none" w:pos="2080"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Pool Balance as of the close of business on the last day of the preceding Collection Period;</w:t>
      </w:r>
    </w:p>
    <w:p>
      <w:pPr>
        <w:spacing w:after="0" w:line="201" w:lineRule="exact"/>
        <w:rPr>
          <w:rFonts w:ascii="Times New Roman" w:cs="Times New Roman" w:eastAsia="Times New Roman" w:hAnsi="Times New Roman"/>
          <w:sz w:val="19"/>
          <w:szCs w:val="19"/>
          <w:color w:val="2F5496"/>
        </w:rPr>
      </w:pPr>
    </w:p>
    <w:p>
      <w:pPr>
        <w:ind w:left="2140" w:hanging="586"/>
        <w:spacing w:after="0"/>
        <w:tabs>
          <w:tab w:leader="none" w:pos="2140"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amount on deposit in the Reserve Account as of the close of business on the related Distribution Date;</w:t>
      </w:r>
    </w:p>
    <w:p>
      <w:pPr>
        <w:spacing w:after="0" w:line="201" w:lineRule="exact"/>
        <w:rPr>
          <w:rFonts w:ascii="Times New Roman" w:cs="Times New Roman" w:eastAsia="Times New Roman" w:hAnsi="Times New Roman"/>
          <w:sz w:val="19"/>
          <w:szCs w:val="19"/>
          <w:color w:val="2F5496"/>
        </w:rPr>
      </w:pPr>
    </w:p>
    <w:p>
      <w:pPr>
        <w:ind w:left="800" w:firstLine="754"/>
        <w:spacing w:after="0" w:line="286" w:lineRule="auto"/>
        <w:tabs>
          <w:tab w:leader="none" w:pos="2024"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aggregate amount of overcollateralization as of the close of business on such Distribution Date, after giving effect to all payments to be made on the related Distribution Date;</w:t>
      </w:r>
    </w:p>
    <w:p>
      <w:pPr>
        <w:spacing w:after="0" w:line="127" w:lineRule="exact"/>
        <w:rPr>
          <w:rFonts w:ascii="Times New Roman" w:cs="Times New Roman" w:eastAsia="Times New Roman" w:hAnsi="Times New Roman"/>
          <w:sz w:val="19"/>
          <w:szCs w:val="19"/>
          <w:color w:val="2F5496"/>
        </w:rPr>
      </w:pPr>
    </w:p>
    <w:p>
      <w:pPr>
        <w:ind w:left="800" w:right="20" w:firstLine="754"/>
        <w:spacing w:after="0" w:line="286" w:lineRule="auto"/>
        <w:tabs>
          <w:tab w:leader="none" w:pos="1976"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amount of the aggregate Realized Losses, if any, for the preceding Collection Period as a dollar amount and as a percentage of the Original Pool Balance;</w:t>
      </w:r>
    </w:p>
    <w:p>
      <w:pPr>
        <w:spacing w:after="0" w:line="127" w:lineRule="exact"/>
        <w:rPr>
          <w:rFonts w:ascii="Times New Roman" w:cs="Times New Roman" w:eastAsia="Times New Roman" w:hAnsi="Times New Roman"/>
          <w:sz w:val="19"/>
          <w:szCs w:val="19"/>
          <w:color w:val="2F5496"/>
        </w:rPr>
      </w:pPr>
    </w:p>
    <w:p>
      <w:pPr>
        <w:ind w:left="2020" w:hanging="466"/>
        <w:spacing w:after="0"/>
        <w:tabs>
          <w:tab w:leader="none" w:pos="2020" w:val="left"/>
        </w:tabs>
        <w:numPr>
          <w:ilvl w:val="1"/>
          <w:numId w:val="44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aggregate Purchase Amounts for Purchased Receivables;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18" w:name="page519"/>
    <w:bookmarkEnd w:id="518"/>
    <w:p>
      <w:pPr>
        <w:spacing w:after="0" w:line="200" w:lineRule="exact"/>
        <w:rPr>
          <w:sz w:val="20"/>
          <w:szCs w:val="20"/>
          <w:color w:val="auto"/>
        </w:rPr>
      </w:pPr>
    </w:p>
    <w:p>
      <w:pPr>
        <w:spacing w:after="0" w:line="261" w:lineRule="exact"/>
        <w:rPr>
          <w:sz w:val="20"/>
          <w:szCs w:val="20"/>
          <w:color w:val="auto"/>
        </w:rPr>
      </w:pPr>
    </w:p>
    <w:p>
      <w:pPr>
        <w:ind w:left="2080" w:hanging="526"/>
        <w:spacing w:after="0"/>
        <w:tabs>
          <w:tab w:leader="none" w:pos="2080" w:val="left"/>
        </w:tabs>
        <w:numPr>
          <w:ilvl w:val="0"/>
          <w:numId w:val="44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amount of the distribution payable out of amounts withdrawn from the Reserve Account;</w:t>
      </w:r>
    </w:p>
    <w:p>
      <w:pPr>
        <w:spacing w:after="0" w:line="201" w:lineRule="exact"/>
        <w:rPr>
          <w:rFonts w:ascii="Times New Roman" w:cs="Times New Roman" w:eastAsia="Times New Roman" w:hAnsi="Times New Roman"/>
          <w:sz w:val="19"/>
          <w:szCs w:val="19"/>
          <w:color w:val="2F5496"/>
        </w:rPr>
      </w:pPr>
    </w:p>
    <w:p>
      <w:pPr>
        <w:ind w:left="800" w:right="300" w:firstLine="754"/>
        <w:spacing w:after="0" w:line="286" w:lineRule="auto"/>
        <w:tabs>
          <w:tab w:leader="none" w:pos="2132" w:val="left"/>
        </w:tabs>
        <w:numPr>
          <w:ilvl w:val="0"/>
          <w:numId w:val="44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number and percentage of Receivables that have been delinquent between 31 and 60 days, between 61 and 90 days, and 91 days or more; and</w:t>
      </w:r>
    </w:p>
    <w:p>
      <w:pPr>
        <w:spacing w:after="0" w:line="127" w:lineRule="exact"/>
        <w:rPr>
          <w:rFonts w:ascii="Times New Roman" w:cs="Times New Roman" w:eastAsia="Times New Roman" w:hAnsi="Times New Roman"/>
          <w:sz w:val="19"/>
          <w:szCs w:val="19"/>
          <w:color w:val="2F5496"/>
        </w:rPr>
      </w:pPr>
    </w:p>
    <w:p>
      <w:pPr>
        <w:ind w:left="2120" w:hanging="566"/>
        <w:spacing w:after="0"/>
        <w:tabs>
          <w:tab w:leader="none" w:pos="2120" w:val="left"/>
        </w:tabs>
        <w:numPr>
          <w:ilvl w:val="0"/>
          <w:numId w:val="443"/>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number of all repossessed Financed Vehicles held in inventory.</w:t>
      </w:r>
    </w:p>
    <w:p>
      <w:pPr>
        <w:spacing w:after="0" w:line="20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Each amount set forth pursuant to paragraphs (i), (ii) and (iv) above shall be expressed as a dollar amount per $1,000 of the initial Note Balance of the Notes (or Class thereof).</w:t>
      </w:r>
    </w:p>
    <w:p>
      <w:pPr>
        <w:spacing w:after="0" w:line="127" w:lineRule="exact"/>
        <w:rPr>
          <w:sz w:val="20"/>
          <w:szCs w:val="20"/>
          <w:color w:val="auto"/>
        </w:rPr>
      </w:pPr>
    </w:p>
    <w:p>
      <w:pPr>
        <w:ind w:firstLine="702"/>
        <w:spacing w:after="0" w:line="253" w:lineRule="auto"/>
        <w:tabs>
          <w:tab w:leader="none" w:pos="972" w:val="left"/>
        </w:tabs>
        <w:numPr>
          <w:ilvl w:val="0"/>
          <w:numId w:val="44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will (A) make available each month to each Noteholder the statements referred to in Section 5.10(a) (and certain other documents, reports and information regarding the Receivables provided by the Servicer from time to time), and (B) make available to Noteholders promptly following receipt by the Indenture Trustee any confirmation or notification received by it under Section 4.6(b)(ii), in each case via the Indenture Trustee's internet website, with the use of a password provided by the Indenture Trustee. The Indenture Trustee will make no representation or warranties as to the accuracy or completeness of such documents, reports and information regarding the Receivables provided by the Servicer or such confirmations or notifications. The Indenture Trustee's internet website shall be initially located at www.CTSLink.com or at such other address as shall be specified by the Indenture Trustee from time to time in writing to the Noteholders. In connection with providing access to the Indenture Trustee's internet website, the Indenture Trustee may require registration and the acceptance of a disclaimer. The Indenture Trustee shall not be liable for the dissemination of information in accordance with this Agreement. The Indenture Trustee shall have the right to change the way the statements referred to in Section 5.10(a) are distributed in order to make such distribution more convenient and/or more accessible to the parties entitled to receive such statements, so long as such statements are only provided to the then current Noteholders. The Indenture Trustee shall provide notification of any such change to all parties entitled to receive such statements in the manner described in Section 12.3 hereof or Sections 11.4 or 11.5 of the Indenture, as appropriate. The Indenture Trustee will make no representation or warranties as to the accuracy or completeness of such documents and will assume no responsibility therefor.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F5496"/>
        </w:rPr>
        <w:t>ARTICLE VI</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[Reserved]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F5496"/>
        </w:rPr>
        <w:t>ARTICLE VII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Depositor</w:t>
      </w:r>
    </w:p>
    <w:p>
      <w:pPr>
        <w:spacing w:after="0" w:line="202" w:lineRule="exact"/>
        <w:rPr>
          <w:sz w:val="20"/>
          <w:szCs w:val="20"/>
          <w:color w:val="auto"/>
        </w:rPr>
      </w:pPr>
    </w:p>
    <w:p>
      <w:pPr>
        <w:ind w:right="380" w:firstLine="696"/>
        <w:spacing w:after="0" w:line="256" w:lineRule="auto"/>
        <w:rPr>
          <w:sz w:val="20"/>
          <w:szCs w:val="20"/>
          <w:color w:val="auto"/>
        </w:rPr>
      </w:pPr>
      <w:r>
        <w:rPr>
          <w:rFonts w:ascii="Times New Roman" w:cs="Times New Roman" w:eastAsia="Times New Roman" w:hAnsi="Times New Roman"/>
          <w:sz w:val="19"/>
          <w:szCs w:val="19"/>
          <w:color w:val="2F5496"/>
        </w:rPr>
        <w:t xml:space="preserve">SECTION VII.1. </w:t>
      </w:r>
      <w:r>
        <w:rPr>
          <w:rFonts w:ascii="Times New Roman" w:cs="Times New Roman" w:eastAsia="Times New Roman" w:hAnsi="Times New Roman"/>
          <w:sz w:val="19"/>
          <w:szCs w:val="19"/>
          <w:color w:val="000000"/>
        </w:rPr>
        <w:t>Representations of Depositor. The Depositor makes the following representations on which the Issuer 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deemed to have relied in acquiring the Receivables and on which the Indenture Trustee and Backup Servicer may rely. The representations speak as of the execution and delivery of this Agreement and as of the Closing Date, and shall survive the sale of the Receivables to the Issuer and the pledge thereof to the Indenture Trustee pursuant to the Indenture.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19" w:name="page520"/>
    <w:bookmarkEnd w:id="519"/>
    <w:p>
      <w:pPr>
        <w:spacing w:after="0" w:line="200" w:lineRule="exact"/>
        <w:rPr>
          <w:sz w:val="20"/>
          <w:szCs w:val="20"/>
          <w:color w:val="auto"/>
        </w:rPr>
      </w:pPr>
    </w:p>
    <w:p>
      <w:pPr>
        <w:spacing w:after="0" w:line="261" w:lineRule="exact"/>
        <w:rPr>
          <w:sz w:val="20"/>
          <w:szCs w:val="20"/>
          <w:color w:val="auto"/>
        </w:rPr>
      </w:pPr>
    </w:p>
    <w:p>
      <w:pPr>
        <w:ind w:right="440" w:firstLine="702"/>
        <w:spacing w:after="0" w:line="286" w:lineRule="auto"/>
        <w:tabs>
          <w:tab w:leader="none" w:pos="960" w:val="left"/>
        </w:tabs>
        <w:numPr>
          <w:ilvl w:val="0"/>
          <w:numId w:val="4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Schedule of Representations. The representations and warranties set forth on the Schedule of Representations attached hereto as Schedule B are true and correct.</w:t>
      </w:r>
    </w:p>
    <w:p>
      <w:pPr>
        <w:spacing w:after="0" w:line="127" w:lineRule="exact"/>
        <w:rPr>
          <w:rFonts w:ascii="Times New Roman" w:cs="Times New Roman" w:eastAsia="Times New Roman" w:hAnsi="Times New Roman"/>
          <w:sz w:val="19"/>
          <w:szCs w:val="19"/>
          <w:color w:val="1F3763"/>
        </w:rPr>
      </w:pPr>
    </w:p>
    <w:p>
      <w:pPr>
        <w:ind w:right="340" w:firstLine="702"/>
        <w:spacing w:after="0" w:line="262" w:lineRule="auto"/>
        <w:tabs>
          <w:tab w:leader="none" w:pos="972" w:val="left"/>
        </w:tabs>
        <w:numPr>
          <w:ilvl w:val="0"/>
          <w:numId w:val="4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Organization and Good Standing. The Depositor has been duly organized and is validly existing as a limited liability company in good standing under the laws of the State of Delaware, with power and authority to own its properties and to conduct its business as such properties are currently owned and such business is currently conducted, and had at all relevant times, and now has, power, authority and legal right to acquire, own and sell the Receivables and the Other Conveyed Property transferred to the Trust.</w:t>
      </w:r>
    </w:p>
    <w:p>
      <w:pPr>
        <w:spacing w:after="0" w:line="150" w:lineRule="exact"/>
        <w:rPr>
          <w:rFonts w:ascii="Times New Roman" w:cs="Times New Roman" w:eastAsia="Times New Roman" w:hAnsi="Times New Roman"/>
          <w:sz w:val="19"/>
          <w:szCs w:val="19"/>
          <w:color w:val="1F3763"/>
        </w:rPr>
      </w:pPr>
    </w:p>
    <w:p>
      <w:pPr>
        <w:ind w:right="20" w:firstLine="702"/>
        <w:spacing w:after="0" w:line="259" w:lineRule="auto"/>
        <w:tabs>
          <w:tab w:leader="none" w:pos="960" w:val="left"/>
        </w:tabs>
        <w:numPr>
          <w:ilvl w:val="0"/>
          <w:numId w:val="4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Due Qualification. The Depositor is duly qualified to do business as a foreign limited liability company, is in good standing and has obtained all necessary licenses and approvals in all jurisdictions where the failure to do so would materially and adversely affect the Depositor's ability to transfer the Receivables and the Other Conveyed Property to the Trust pursuant to this Agreement, or the validity or enforceability of the Receivables and the Other Conveyed Property or to perform Depositor's obligations hereunder and under the other Basic Documents to which the Depositor is a party.</w:t>
      </w:r>
    </w:p>
    <w:p>
      <w:pPr>
        <w:spacing w:after="0" w:line="153" w:lineRule="exact"/>
        <w:rPr>
          <w:rFonts w:ascii="Times New Roman" w:cs="Times New Roman" w:eastAsia="Times New Roman" w:hAnsi="Times New Roman"/>
          <w:sz w:val="19"/>
          <w:szCs w:val="19"/>
          <w:color w:val="1F3763"/>
        </w:rPr>
      </w:pPr>
    </w:p>
    <w:p>
      <w:pPr>
        <w:ind w:right="40" w:firstLine="702"/>
        <w:spacing w:after="0" w:line="257" w:lineRule="auto"/>
        <w:tabs>
          <w:tab w:leader="none" w:pos="972" w:val="left"/>
        </w:tabs>
        <w:numPr>
          <w:ilvl w:val="0"/>
          <w:numId w:val="4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Power and Authority. The Depositor has the power and authority to execute and deliver this Agreement and the other Basic Documents to which the Depositor is a party and to carry out its terms and their terms, respectively; the Depositor has full power and authority to sell and assign the Receivables and the Other Conveyed Property to be sold and assigned to and deposited with the Trust by it and has duly authorized such sale and assignment to the Trust by all necessary company action; and the execution, delivery and performance of this Agreement and the other Basic Documents to which the Depositor is a party have been duly authorized by the Depositor by all necessary company action.</w:t>
      </w:r>
    </w:p>
    <w:p>
      <w:pPr>
        <w:spacing w:after="0" w:line="156" w:lineRule="exact"/>
        <w:rPr>
          <w:rFonts w:ascii="Times New Roman" w:cs="Times New Roman" w:eastAsia="Times New Roman" w:hAnsi="Times New Roman"/>
          <w:sz w:val="19"/>
          <w:szCs w:val="19"/>
          <w:color w:val="1F3763"/>
        </w:rPr>
      </w:pPr>
    </w:p>
    <w:p>
      <w:pPr>
        <w:ind w:firstLine="702"/>
        <w:spacing w:after="0" w:line="256" w:lineRule="auto"/>
        <w:tabs>
          <w:tab w:leader="none" w:pos="960" w:val="left"/>
        </w:tabs>
        <w:numPr>
          <w:ilvl w:val="0"/>
          <w:numId w:val="4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Valid Sale, Binding Obligations. This Agreement effects a valid sale, transfer and assignment of the Receivables and the Other Conveyed Property, enforceable against the Depositor and creditors of and purchasers from the Depositor; and this Agreement and the other Basic Documents to which the Depositor is a party, when duly executed and delivered, shall constitute legal, valid and binding obligations of the Depositor enforceable in accordance with their respective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390" w:lineRule="exact"/>
        <w:rPr>
          <w:rFonts w:ascii="Times New Roman" w:cs="Times New Roman" w:eastAsia="Times New Roman" w:hAnsi="Times New Roman"/>
          <w:sz w:val="19"/>
          <w:szCs w:val="19"/>
          <w:color w:val="1F3763"/>
        </w:rPr>
      </w:pPr>
    </w:p>
    <w:p>
      <w:pPr>
        <w:ind w:right="40" w:firstLine="702"/>
        <w:spacing w:after="0" w:line="254" w:lineRule="auto"/>
        <w:tabs>
          <w:tab w:leader="none" w:pos="936" w:val="left"/>
        </w:tabs>
        <w:numPr>
          <w:ilvl w:val="0"/>
          <w:numId w:val="44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Violation. The consummation of the transactions contemplated by this Agreement and the other Basic Documents to which the Depositor is a party and the fulfillment of the terms of this Agreement and the other Basic Documents shall not conflict with, result in any breach of any of the terms and provisions of or constitute (with or without notice, lapse of time or both) a default under the certificate of formation or limited liability company agreement of the Depositor, or any indenture, agreement, mortgage, deed of trust or other instrument to which the Depositor is a party or by which it is bound, or result in the creation or imposition of any Lien upon any of its properties pursuant to the terms of any such indenture, agreement, mortgage, deed of trust or other instrument, other than this</w:t>
      </w:r>
    </w:p>
    <w:p>
      <w:pPr>
        <w:spacing w:after="0" w:line="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9"/>
          <w:szCs w:val="19"/>
          <w:color w:val="auto"/>
        </w:rPr>
        <w:t>Agreement and the Indenture, or violate any law, order, rule or regulation applicable to the Depositor of any court or of any federal or State regulatory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20" w:name="page521"/>
    <w:bookmarkEnd w:id="520"/>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body, administrative agency or other governmental instrumentality having jurisdiction over the Depositor or any of its properties.</w:t>
      </w:r>
    </w:p>
    <w:p>
      <w:pPr>
        <w:spacing w:after="0" w:line="202" w:lineRule="exact"/>
        <w:rPr>
          <w:sz w:val="20"/>
          <w:szCs w:val="20"/>
          <w:color w:val="auto"/>
        </w:rPr>
      </w:pPr>
    </w:p>
    <w:p>
      <w:pPr>
        <w:ind w:right="220" w:firstLine="702"/>
        <w:spacing w:after="0" w:line="256" w:lineRule="auto"/>
        <w:tabs>
          <w:tab w:leader="none" w:pos="972" w:val="left"/>
        </w:tabs>
        <w:numPr>
          <w:ilvl w:val="1"/>
          <w:numId w:val="4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Proceedings. There are no proceedings or investigations pending or, to the Depositor's knowledge, threatened against the Depositor, before any court, regulatory body, administrative agency or other tribunal or governmental instrumentality having jurisdiction over the Depositor or its properties (A) asserting the invalidity of this Agreement or any of the other Basic Documents, (B) seeking to prevent the issuance of the Notes or the consummation of any of the transactions contemplated by this Agreement or any of the other Basic Documents, (C) seeking any determination or ruling that might materially and adversely affect the performance by the Depositor of its obligations under, or the validity or enforceability of, this Agreement or any of the other Basic Documents, or (D) seeking to adversely affect the federal income tax or other federal, State or local tax attributes of the Notes.</w:t>
      </w:r>
    </w:p>
    <w:p>
      <w:pPr>
        <w:spacing w:after="0" w:line="157" w:lineRule="exact"/>
        <w:rPr>
          <w:rFonts w:ascii="Times New Roman" w:cs="Times New Roman" w:eastAsia="Times New Roman" w:hAnsi="Times New Roman"/>
          <w:sz w:val="19"/>
          <w:szCs w:val="19"/>
          <w:color w:val="1F3763"/>
        </w:rPr>
      </w:pPr>
    </w:p>
    <w:p>
      <w:pPr>
        <w:ind w:right="80" w:firstLine="702"/>
        <w:spacing w:after="0" w:line="262" w:lineRule="auto"/>
        <w:tabs>
          <w:tab w:leader="none" w:pos="972" w:val="left"/>
        </w:tabs>
        <w:numPr>
          <w:ilvl w:val="1"/>
          <w:numId w:val="4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Consents. The Depositor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or any other Basic Document to which the Depositor is a party which has not already been obtained.</w:t>
      </w:r>
    </w:p>
    <w:p>
      <w:pPr>
        <w:spacing w:after="0" w:line="150" w:lineRule="exact"/>
        <w:rPr>
          <w:rFonts w:ascii="Times New Roman" w:cs="Times New Roman" w:eastAsia="Times New Roman" w:hAnsi="Times New Roman"/>
          <w:sz w:val="19"/>
          <w:szCs w:val="19"/>
          <w:color w:val="1F3763"/>
        </w:rPr>
      </w:pPr>
    </w:p>
    <w:p>
      <w:pPr>
        <w:ind w:right="20" w:firstLine="702"/>
        <w:spacing w:after="0" w:line="286" w:lineRule="auto"/>
        <w:tabs>
          <w:tab w:leader="none" w:pos="924" w:val="left"/>
        </w:tabs>
        <w:numPr>
          <w:ilvl w:val="1"/>
          <w:numId w:val="4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True Sale. The Receivables are being transferred with the intention of removing them from the Depositor's estate pursuant to Section 541 of the Bankruptcy Code.</w:t>
      </w:r>
    </w:p>
    <w:p>
      <w:pPr>
        <w:spacing w:after="0" w:line="127" w:lineRule="exact"/>
        <w:rPr>
          <w:rFonts w:ascii="Times New Roman" w:cs="Times New Roman" w:eastAsia="Times New Roman" w:hAnsi="Times New Roman"/>
          <w:sz w:val="19"/>
          <w:szCs w:val="19"/>
          <w:color w:val="1F3763"/>
        </w:rPr>
      </w:pPr>
    </w:p>
    <w:p>
      <w:pPr>
        <w:ind w:right="540" w:firstLine="702"/>
        <w:spacing w:after="0" w:line="286" w:lineRule="auto"/>
        <w:tabs>
          <w:tab w:leader="none" w:pos="924" w:val="left"/>
        </w:tabs>
        <w:numPr>
          <w:ilvl w:val="1"/>
          <w:numId w:val="4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Chief Executive Office. The chief executive office of the Depositor is at 1071 Camelback, Suite 100, Newport Beach, California 92660.</w:t>
      </w:r>
    </w:p>
    <w:p>
      <w:pPr>
        <w:spacing w:after="0" w:line="127" w:lineRule="exact"/>
        <w:rPr>
          <w:rFonts w:ascii="Times New Roman" w:cs="Times New Roman" w:eastAsia="Times New Roman" w:hAnsi="Times New Roman"/>
          <w:sz w:val="19"/>
          <w:szCs w:val="19"/>
          <w:color w:val="1F3763"/>
        </w:rPr>
      </w:pPr>
    </w:p>
    <w:p>
      <w:pPr>
        <w:ind w:right="120" w:firstLine="702"/>
        <w:spacing w:after="0" w:line="262" w:lineRule="auto"/>
        <w:tabs>
          <w:tab w:leader="none" w:pos="972" w:val="left"/>
        </w:tabs>
        <w:numPr>
          <w:ilvl w:val="1"/>
          <w:numId w:val="44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Investment Company Act. Neither the Depositor nor the Issuer is an "investment company" nor a company "controlled by an investment company" within the meaning of the Investment Company Act without reliance solely on Sections 3(c)(1), 3(c)(5) or 3(c)</w:t>
      </w:r>
    </w:p>
    <w:p>
      <w:pPr>
        <w:spacing w:after="0" w:line="1" w:lineRule="exact"/>
        <w:rPr>
          <w:rFonts w:ascii="Times New Roman" w:cs="Times New Roman" w:eastAsia="Times New Roman" w:hAnsi="Times New Roman"/>
          <w:sz w:val="19"/>
          <w:szCs w:val="19"/>
          <w:color w:val="1F3763"/>
        </w:rPr>
      </w:pPr>
    </w:p>
    <w:p>
      <w:pPr>
        <w:ind w:left="280" w:hanging="274"/>
        <w:spacing w:after="0"/>
        <w:tabs>
          <w:tab w:leader="none" w:pos="280" w:val="left"/>
        </w:tabs>
        <w:numPr>
          <w:ilvl w:val="0"/>
          <w:numId w:val="4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Investment Company Act.</w:t>
      </w:r>
    </w:p>
    <w:p>
      <w:pPr>
        <w:spacing w:after="0" w:line="179" w:lineRule="exact"/>
        <w:rPr>
          <w:rFonts w:ascii="Times New Roman" w:cs="Times New Roman" w:eastAsia="Times New Roman" w:hAnsi="Times New Roman"/>
          <w:sz w:val="19"/>
          <w:szCs w:val="19"/>
          <w:color w:val="auto"/>
        </w:rPr>
      </w:pPr>
    </w:p>
    <w:p>
      <w:pPr>
        <w:ind w:right="60" w:firstLine="702"/>
        <w:spacing w:after="0" w:line="286" w:lineRule="auto"/>
        <w:tabs>
          <w:tab w:leader="none" w:pos="924" w:val="left"/>
        </w:tabs>
        <w:numPr>
          <w:ilvl w:val="1"/>
          <w:numId w:val="44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Payment of Taxes. The Depositor has filed on a timely basis all tax returns required to be filed by it and paid all taxes, to the extent that such taxes have become due, except any taxes that it is contesting in good faith.</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VII.2. </w:t>
      </w:r>
      <w:r>
        <w:rPr>
          <w:rFonts w:ascii="Times New Roman" w:cs="Times New Roman" w:eastAsia="Times New Roman" w:hAnsi="Times New Roman"/>
          <w:sz w:val="19"/>
          <w:szCs w:val="19"/>
          <w:color w:val="000000"/>
        </w:rPr>
        <w:t>Limited Liability Company Existence.</w:t>
      </w:r>
    </w:p>
    <w:p>
      <w:pPr>
        <w:spacing w:after="0" w:line="202" w:lineRule="exact"/>
        <w:rPr>
          <w:sz w:val="20"/>
          <w:szCs w:val="20"/>
          <w:color w:val="auto"/>
        </w:rPr>
      </w:pPr>
    </w:p>
    <w:p>
      <w:pPr>
        <w:ind w:firstLine="702"/>
        <w:spacing w:after="0" w:line="259" w:lineRule="auto"/>
        <w:tabs>
          <w:tab w:leader="none" w:pos="960" w:val="left"/>
        </w:tabs>
        <w:numPr>
          <w:ilvl w:val="0"/>
          <w:numId w:val="4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During the term of this Agreement, the Depositor will keep in full force and effect its existence, rights and franchises as a limited liability company under the laws of the jurisdiction of its formation and will obtain and preserve its qualification to do business in each jurisdiction in which such qualification is or shall be necessary to protect the validity and enforceability of this Agreement, the other Basic Documents and each other instrument or agreement necessary or appropriate to the proper administration of this Agreement and the transactions contemplated hereby.</w:t>
      </w:r>
    </w:p>
    <w:p>
      <w:pPr>
        <w:spacing w:after="0" w:line="153"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44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During the term of this Agreement, the Depositor shall observe the applicable legal requirements for the recognition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Depositor as a legal entity separate and apart from its Affiliates, including as follows:</w:t>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1" w:name="page522"/>
    <w:bookmarkEnd w:id="521"/>
    <w:p>
      <w:pPr>
        <w:spacing w:after="0" w:line="200" w:lineRule="exact"/>
        <w:rPr>
          <w:sz w:val="20"/>
          <w:szCs w:val="20"/>
          <w:color w:val="auto"/>
        </w:rPr>
      </w:pPr>
    </w:p>
    <w:p>
      <w:pPr>
        <w:spacing w:after="0" w:line="261" w:lineRule="exact"/>
        <w:rPr>
          <w:sz w:val="20"/>
          <w:szCs w:val="20"/>
          <w:color w:val="auto"/>
        </w:rPr>
      </w:pPr>
    </w:p>
    <w:p>
      <w:pPr>
        <w:ind w:left="1920" w:hanging="378"/>
        <w:spacing w:after="0"/>
        <w:tabs>
          <w:tab w:leader="none" w:pos="1920" w:val="left"/>
        </w:tabs>
        <w:numPr>
          <w:ilvl w:val="0"/>
          <w:numId w:val="44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Depositor shall maintain limited liability company records and books of account separate from those of its</w:t>
      </w:r>
    </w:p>
    <w:p>
      <w:pPr>
        <w:spacing w:after="0" w:line="31" w:lineRule="exact"/>
        <w:rPr>
          <w:rFonts w:ascii="Times New Roman" w:cs="Times New Roman" w:eastAsia="Times New Roman" w:hAnsi="Times New Roman"/>
          <w:sz w:val="19"/>
          <w:szCs w:val="19"/>
          <w:color w:val="2F5496"/>
        </w:rPr>
      </w:pPr>
    </w:p>
    <w:p>
      <w:pPr>
        <w:ind w:left="780"/>
        <w:spacing w:after="0"/>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Affiliates;</w:t>
      </w:r>
    </w:p>
    <w:p>
      <w:pPr>
        <w:spacing w:after="0" w:line="179" w:lineRule="exact"/>
        <w:rPr>
          <w:rFonts w:ascii="Times New Roman" w:cs="Times New Roman" w:eastAsia="Times New Roman" w:hAnsi="Times New Roman"/>
          <w:sz w:val="19"/>
          <w:szCs w:val="19"/>
          <w:color w:val="2F5496"/>
        </w:rPr>
      </w:pPr>
    </w:p>
    <w:p>
      <w:pPr>
        <w:ind w:left="780" w:right="280" w:firstLine="762"/>
        <w:spacing w:after="0" w:line="286" w:lineRule="auto"/>
        <w:tabs>
          <w:tab w:leader="none" w:pos="1968" w:val="left"/>
        </w:tabs>
        <w:numPr>
          <w:ilvl w:val="0"/>
          <w:numId w:val="44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except as otherwise provided in this Agreement, the Depositor shall not commingle its assets and funds with those of its Affiliates and not hold itself out as being liable for the debts of another Person;</w:t>
      </w:r>
    </w:p>
    <w:p>
      <w:pPr>
        <w:spacing w:after="0" w:line="127" w:lineRule="exact"/>
        <w:rPr>
          <w:rFonts w:ascii="Times New Roman" w:cs="Times New Roman" w:eastAsia="Times New Roman" w:hAnsi="Times New Roman"/>
          <w:sz w:val="19"/>
          <w:szCs w:val="19"/>
          <w:color w:val="2F5496"/>
        </w:rPr>
      </w:pPr>
    </w:p>
    <w:p>
      <w:pPr>
        <w:jc w:val="both"/>
        <w:ind w:left="780" w:right="40" w:firstLine="762"/>
        <w:spacing w:after="0" w:line="259" w:lineRule="auto"/>
        <w:tabs>
          <w:tab w:leader="none" w:pos="2016" w:val="left"/>
        </w:tabs>
        <w:numPr>
          <w:ilvl w:val="0"/>
          <w:numId w:val="44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Depositor shall hold such appropriate meetings of its board of managers, or adopt resolutions pursuant to a unanimous written consent of the board of managers as are necessary to authorize all the Depositor's company actions required by law to be authorized by the board of managers, shall keep minutes of such meetings and of meetings of its member(s) and observe all other customary company formalities (and any successor Depositor not a limited liability company shall observe similar procedures in accordance with its governing documents and applicable law);</w:t>
      </w:r>
    </w:p>
    <w:p>
      <w:pPr>
        <w:spacing w:after="0" w:line="153" w:lineRule="exact"/>
        <w:rPr>
          <w:rFonts w:ascii="Times New Roman" w:cs="Times New Roman" w:eastAsia="Times New Roman" w:hAnsi="Times New Roman"/>
          <w:sz w:val="19"/>
          <w:szCs w:val="19"/>
          <w:color w:val="2F5496"/>
        </w:rPr>
      </w:pPr>
    </w:p>
    <w:p>
      <w:pPr>
        <w:ind w:left="780" w:right="340" w:firstLine="762"/>
        <w:spacing w:after="0" w:line="259" w:lineRule="auto"/>
        <w:tabs>
          <w:tab w:leader="none" w:pos="2004" w:val="left"/>
        </w:tabs>
        <w:numPr>
          <w:ilvl w:val="0"/>
          <w:numId w:val="44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Depositor shall at all times hold itself out to the public under the Depositor's own name as a legal entity separate and distinct from its Affiliates, act solely in its limited liability company name and through its own managers and agents so as not to mislead others as to its identity or the identity of any Affiliate and correct any known misunderstanding regarding its separate identity, and conduct all its oral and written communications, including letters, invoices, contracts, statements and applications, solely in its own name, including, when applicable, the use of its own stationery;</w:t>
      </w:r>
    </w:p>
    <w:p>
      <w:pPr>
        <w:spacing w:after="0" w:line="153" w:lineRule="exact"/>
        <w:rPr>
          <w:rFonts w:ascii="Times New Roman" w:cs="Times New Roman" w:eastAsia="Times New Roman" w:hAnsi="Times New Roman"/>
          <w:sz w:val="19"/>
          <w:szCs w:val="19"/>
          <w:color w:val="2F5496"/>
        </w:rPr>
      </w:pPr>
    </w:p>
    <w:p>
      <w:pPr>
        <w:ind w:left="1960" w:hanging="418"/>
        <w:spacing w:after="0"/>
        <w:tabs>
          <w:tab w:leader="none" w:pos="1960" w:val="left"/>
        </w:tabs>
        <w:numPr>
          <w:ilvl w:val="0"/>
          <w:numId w:val="44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all transactions and dealings between the Depositor and its Affiliates will be conducted on an arm's-length</w:t>
      </w:r>
    </w:p>
    <w:p>
      <w:pPr>
        <w:spacing w:after="0" w:line="31" w:lineRule="exact"/>
        <w:rPr>
          <w:rFonts w:ascii="Times New Roman" w:cs="Times New Roman" w:eastAsia="Times New Roman" w:hAnsi="Times New Roman"/>
          <w:sz w:val="19"/>
          <w:szCs w:val="19"/>
          <w:color w:val="2F5496"/>
        </w:rPr>
      </w:pPr>
    </w:p>
    <w:p>
      <w:pPr>
        <w:ind w:left="780"/>
        <w:spacing w:after="0"/>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basis;</w:t>
      </w:r>
    </w:p>
    <w:p>
      <w:pPr>
        <w:spacing w:after="0" w:line="179" w:lineRule="exact"/>
        <w:rPr>
          <w:rFonts w:ascii="Times New Roman" w:cs="Times New Roman" w:eastAsia="Times New Roman" w:hAnsi="Times New Roman"/>
          <w:sz w:val="19"/>
          <w:szCs w:val="19"/>
          <w:color w:val="2F5496"/>
        </w:rPr>
      </w:pPr>
    </w:p>
    <w:p>
      <w:pPr>
        <w:ind w:left="780" w:right="120" w:firstLine="762"/>
        <w:spacing w:after="0" w:line="286" w:lineRule="auto"/>
        <w:tabs>
          <w:tab w:leader="none" w:pos="2004" w:val="left"/>
        </w:tabs>
        <w:numPr>
          <w:ilvl w:val="0"/>
          <w:numId w:val="44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Depositor shall pay from its own assets all obligations, indebtedness and expenses of any kind incurred by the Depositor; and</w:t>
      </w:r>
    </w:p>
    <w:p>
      <w:pPr>
        <w:spacing w:after="0" w:line="127" w:lineRule="exact"/>
        <w:rPr>
          <w:rFonts w:ascii="Times New Roman" w:cs="Times New Roman" w:eastAsia="Times New Roman" w:hAnsi="Times New Roman"/>
          <w:sz w:val="19"/>
          <w:szCs w:val="19"/>
          <w:color w:val="2F5496"/>
        </w:rPr>
      </w:pPr>
    </w:p>
    <w:p>
      <w:pPr>
        <w:ind w:left="2080" w:hanging="538"/>
        <w:spacing w:after="0"/>
        <w:tabs>
          <w:tab w:leader="none" w:pos="2080" w:val="left"/>
        </w:tabs>
        <w:numPr>
          <w:ilvl w:val="0"/>
          <w:numId w:val="449"/>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not create, incur or assume any indebtedness other than those contemplated by its Limited Liability Company</w:t>
      </w:r>
    </w:p>
    <w:p>
      <w:pPr>
        <w:spacing w:after="0" w:line="31" w:lineRule="exact"/>
        <w:rPr>
          <w:rFonts w:ascii="Times New Roman" w:cs="Times New Roman" w:eastAsia="Times New Roman" w:hAnsi="Times New Roman"/>
          <w:sz w:val="19"/>
          <w:szCs w:val="19"/>
          <w:color w:val="2F5496"/>
        </w:rPr>
      </w:pPr>
    </w:p>
    <w:p>
      <w:pPr>
        <w:ind w:left="780"/>
        <w:spacing w:after="0"/>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Agreement.</w:t>
      </w:r>
    </w:p>
    <w:p>
      <w:pPr>
        <w:spacing w:after="0" w:line="180"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VII.3. </w:t>
      </w:r>
      <w:r>
        <w:rPr>
          <w:rFonts w:ascii="Times New Roman" w:cs="Times New Roman" w:eastAsia="Times New Roman" w:hAnsi="Times New Roman"/>
          <w:sz w:val="19"/>
          <w:szCs w:val="19"/>
          <w:color w:val="000000"/>
        </w:rPr>
        <w:t>Liability of Depositor; Indemnities. The Depositor shall be liable in accordance herewith only to the extent of</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obligations specifically undertaken by the Depositor under this Agreement.</w:t>
      </w:r>
    </w:p>
    <w:p>
      <w:pPr>
        <w:spacing w:after="0" w:line="127" w:lineRule="exact"/>
        <w:rPr>
          <w:sz w:val="20"/>
          <w:szCs w:val="20"/>
          <w:color w:val="auto"/>
        </w:rPr>
      </w:pPr>
    </w:p>
    <w:p>
      <w:pPr>
        <w:ind w:firstLine="702"/>
        <w:spacing w:after="0" w:line="252" w:lineRule="auto"/>
        <w:tabs>
          <w:tab w:leader="none" w:pos="960" w:val="left"/>
        </w:tabs>
        <w:numPr>
          <w:ilvl w:val="0"/>
          <w:numId w:val="45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 shall indemnify, defend and hold harmless the Owner Trustee, the Issuer, the Indenture Trustee, the Backup Servicer and their respective officers, directors, employees and agents from and against any taxes that may at any time be asserted against any such Person with respect to the transactions or activities contemplated in this Agreement and any of the Basic Documents (except any income taxes arising out of fees or other compensation paid to the Owner Trustee and the Indenture Trustee and except any taxes to which the Owner Trustee or the Indenture Trustee may otherwise be subject to, without regard to the transactions contemplated hereby), including any sales, gross receipts, general franchise, tangible or intangible personal property, privilege or license taxes (but, in the case of the Issuer, not including any taxes asserted with respect to, federal or other income taxes arising out of distributions on the Notes) and costs and expenses in defending against the same, and including any reasonable legal fees, costs, and expenses incurred in connection with any enforcement (including any action, claim, or suit brought) by a party pursuant to this paragraph of any indemnification or other obligation of the Depositor.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2" w:name="page523"/>
    <w:bookmarkEnd w:id="522"/>
    <w:p>
      <w:pPr>
        <w:spacing w:after="0" w:line="200" w:lineRule="exact"/>
        <w:rPr>
          <w:sz w:val="20"/>
          <w:szCs w:val="20"/>
          <w:color w:val="auto"/>
        </w:rPr>
      </w:pPr>
    </w:p>
    <w:p>
      <w:pPr>
        <w:spacing w:after="0" w:line="261" w:lineRule="exact"/>
        <w:rPr>
          <w:sz w:val="20"/>
          <w:szCs w:val="20"/>
          <w:color w:val="auto"/>
        </w:rPr>
      </w:pPr>
    </w:p>
    <w:p>
      <w:pPr>
        <w:ind w:firstLine="702"/>
        <w:spacing w:after="0" w:line="255" w:lineRule="auto"/>
        <w:tabs>
          <w:tab w:leader="none" w:pos="972" w:val="left"/>
        </w:tabs>
        <w:numPr>
          <w:ilvl w:val="0"/>
          <w:numId w:val="45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 shall indemnify, defend and hold harmless the Issuer, the Owner Trustee, the Indenture Trustee, and the Backup Servicer and the officers, directors, employees and agents thereof and the Noteholders from and against any loss, liability or expense (including reasonable attorneys' fees and including any reasonable legal fees, costs, and expenses incurred in connection with any enforcement (including any action, claim, or suit brought) by a party pursuant to this paragraph of any indemnification or other obligation of the Depositor) incurred by reason of (i) the Depositor's willful misconduct, bad faith or negligence in the performance of its duties under this Agreement or any other Basic Document to which it is a party, or by reason of reckless disregard of its obligations and duties under this Agreement or any other Basic Document to which it is a party, and (ii) the Depositor's or the Issuer's violation of federal or State securities laws in connection with the offering and sale of the Notes.</w:t>
      </w:r>
    </w:p>
    <w:p>
      <w:pPr>
        <w:spacing w:after="0" w:line="159" w:lineRule="exact"/>
        <w:rPr>
          <w:rFonts w:ascii="Times New Roman" w:cs="Times New Roman" w:eastAsia="Times New Roman" w:hAnsi="Times New Roman"/>
          <w:sz w:val="19"/>
          <w:szCs w:val="19"/>
          <w:color w:val="1F3763"/>
        </w:rPr>
      </w:pPr>
    </w:p>
    <w:p>
      <w:pPr>
        <w:ind w:right="80" w:firstLine="702"/>
        <w:spacing w:after="0" w:line="254" w:lineRule="auto"/>
        <w:tabs>
          <w:tab w:leader="none" w:pos="960" w:val="left"/>
        </w:tabs>
        <w:numPr>
          <w:ilvl w:val="0"/>
          <w:numId w:val="45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 shall indemnify, defend and hold harmless the Issuer, the Owner Trustee, the Indenture Trustee, and the Backup Servicer and the officers, directors, employees and agents thereof from and against any and all costs, expenses, losses, claims, damages and liabilities (including reasonable attorneys' fees and including any reasonable legal fees, costs, and expenses incurred in connection with any enforcement (including any action, claim, or suit brought) by a party pursuant to this paragraph of any indemnification or other obligation of the Depositor) arising out of, or incurred in connection with the acceptance or performance of the trusts and duties set forth herein and in the Basic Documents except to the extent that such cost, expense, loss, claim, damage or liability shall be due to the willful misconduct, bad faith or negligence (except for errors in judgment) of the Owner Trustee, the Indenture Trustee, and the Backup Servicer, respectively. In the event the Depositor fails to provide such indemnity payments due pursuant to this paragraph to the Owner Trustee, Indenture Trustee or Backup Servicer, the Owner Trustee, Indenture Trustee and Backup Servicer shall collect such indemnity amounts pursuant to Section 7.2 of the Trust Agreement (with respect to the Owner Trustee), Section 5.7(b) hereof or Section 5.6 of the Indenture.</w:t>
      </w:r>
    </w:p>
    <w:p>
      <w:pPr>
        <w:spacing w:after="0" w:line="157"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Indemnification under this Section shall survive the resignation or removal of the Owner Trustee, the Indenture Trustee, or the Backup Servicer and the termination or assignment of this Agreement or the Indenture or the Trust Agreement, as applicable, and shall include reasonable fees and expenses of counsel and other expenses of litigation (including any legal fees, costs (including court costs), and expenses incurred in connection with any enforcement (including any action, claim, or suit brought) by the Indenture Trustee or Backup Servicer of any indemnification or other obligation of the Depositor). If the Depositor shall have made any indemnity payments pursuant to this Section and the Person to or on behalf of whom such payments are made thereafter shall collect any of such amounts from others, such Person shall promptly repay such amounts to the Depositor, without interest.</w:t>
      </w:r>
    </w:p>
    <w:p>
      <w:pPr>
        <w:spacing w:after="0" w:line="157"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9"/>
          <w:szCs w:val="19"/>
          <w:color w:val="2F5496"/>
        </w:rPr>
        <w:t xml:space="preserve">SECTION VII.4. </w:t>
      </w:r>
      <w:r>
        <w:rPr>
          <w:rFonts w:ascii="Times New Roman" w:cs="Times New Roman" w:eastAsia="Times New Roman" w:hAnsi="Times New Roman"/>
          <w:sz w:val="19"/>
          <w:szCs w:val="19"/>
          <w:color w:val="000000"/>
        </w:rPr>
        <w:t>Merger or Consolidation of, or Assumption of the Obligations of, Depositor. Any Person (a) into which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Depositor may be merged or consolidated, (b) which may result from any merger or consolidation to which the Depositor shall be a party or (c) which may succeed to the properties and assets of the Depositor substantially as a whole, which Person in any of the foregoing cases executes an agreement of assumption to perform every obligation of the Depositor under this Agreement and any other Basic Document to which it is a party, shall be the successor to the Depositor hereunder without the execution or filing of any document or any further act by any of the parties to this Agreement;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(i) immediately after</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3" w:name="page524"/>
    <w:bookmarkEnd w:id="523"/>
    <w:p>
      <w:pPr>
        <w:spacing w:after="0" w:line="200" w:lineRule="exact"/>
        <w:rPr>
          <w:sz w:val="20"/>
          <w:szCs w:val="20"/>
          <w:color w:val="auto"/>
        </w:rPr>
      </w:pPr>
    </w:p>
    <w:p>
      <w:pPr>
        <w:spacing w:after="0" w:line="2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giving effect to such transaction, no representation or warranty made pursuant to Section 7.1 shall have been breached and no Servicer Termination Event, and no event which, after notice or lapse of time, or both, would become a Servicer Termination Event shall have happened and be continuing, (ii) the Depositor shall have delivered to the Owner Trustee, the Backup Servicer and the Indenture Trustee an Officer's Certificate and an Opinion of Counsel each stating that such consolidation, merger or succession and such agreement of assumption comply with this Section and that all conditions precedent, if any, provided for in this Agreement relating to such transaction have been complied with, (iii) the Depositor shall have delivered notice to each Rating Agency with respect to such transaction and (iv) the Depositor shall have delivered to the Owner Trustee, the Backup Servicer and the Indenture Trustee an Opinion of Counsel stating that, in the opinion of such counsel, either (A) all financing statements and continuation statements and amendments thereto have been executed and filed that are necessary fully to preserve and protect the interest of the Owner Trustee and the Indenture Trustee, respectively, in the Receivables and reciting the details of such filings or (B) no such action shall be necessary to preserve and protect such interest. Notwithstanding anything herein to the contrary, the execution of the foregoing agreement of assumption and compliance with clauses (i), (ii), (iii) and (iv) above shall be conditions to the consummation of the transactions referred to in clauses (a), (b) or (c) above.</w:t>
      </w:r>
    </w:p>
    <w:p>
      <w:pPr>
        <w:spacing w:after="0" w:line="163" w:lineRule="exact"/>
        <w:rPr>
          <w:sz w:val="20"/>
          <w:szCs w:val="20"/>
          <w:color w:val="auto"/>
        </w:rPr>
      </w:pPr>
    </w:p>
    <w:p>
      <w:pPr>
        <w:ind w:right="360" w:firstLine="696"/>
        <w:spacing w:after="0" w:line="286" w:lineRule="auto"/>
        <w:rPr>
          <w:sz w:val="20"/>
          <w:szCs w:val="20"/>
          <w:color w:val="auto"/>
        </w:rPr>
      </w:pPr>
      <w:r>
        <w:rPr>
          <w:rFonts w:ascii="Times New Roman" w:cs="Times New Roman" w:eastAsia="Times New Roman" w:hAnsi="Times New Roman"/>
          <w:sz w:val="19"/>
          <w:szCs w:val="19"/>
          <w:color w:val="2F5496"/>
        </w:rPr>
        <w:t xml:space="preserve">SECTION VII.5. </w:t>
      </w:r>
      <w:r>
        <w:rPr>
          <w:rFonts w:ascii="Times New Roman" w:cs="Times New Roman" w:eastAsia="Times New Roman" w:hAnsi="Times New Roman"/>
          <w:sz w:val="19"/>
          <w:szCs w:val="19"/>
          <w:color w:val="000000"/>
        </w:rPr>
        <w:t>Depositor Not to Resign. Subject to the provisions of Section 7.4, the Depositor shall not resign from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obligations and duties hereby imposed on it as Depositor hereunder.</w:t>
      </w:r>
    </w:p>
    <w:p>
      <w:pPr>
        <w:spacing w:after="0" w:line="127"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VII.6. </w:t>
      </w:r>
      <w:r>
        <w:rPr>
          <w:rFonts w:ascii="Times New Roman" w:cs="Times New Roman" w:eastAsia="Times New Roman" w:hAnsi="Times New Roman"/>
          <w:sz w:val="19"/>
          <w:szCs w:val="19"/>
          <w:color w:val="000000"/>
        </w:rPr>
        <w:t>Limitation on Liability of Depositor and Others. The Depositor and any director or officer or employee 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agent of the Depositor may rely in good faith on the advice of counsel or on any document of any kind, prima facie properly executed and submitted by any Person respecting any matters arising under any Basic Document. The Depositor shall not be under any obligation to appear in, prosecute or defend any legal action that shall not be incidental to its obligations under this Agreement, and that in its opinion may involve it in any expense or liability.</w:t>
      </w:r>
    </w:p>
    <w:p>
      <w:pPr>
        <w:spacing w:after="0" w:line="154" w:lineRule="exact"/>
        <w:rPr>
          <w:sz w:val="20"/>
          <w:szCs w:val="20"/>
          <w:color w:val="auto"/>
        </w:rPr>
      </w:pPr>
    </w:p>
    <w:p>
      <w:pPr>
        <w:ind w:right="60"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VII.7. </w:t>
      </w:r>
      <w:r>
        <w:rPr>
          <w:rFonts w:ascii="Times New Roman" w:cs="Times New Roman" w:eastAsia="Times New Roman" w:hAnsi="Times New Roman"/>
          <w:sz w:val="19"/>
          <w:szCs w:val="19"/>
          <w:color w:val="000000"/>
        </w:rPr>
        <w:t>Ownership of the Certificates or Notes. The Depositor and any Affiliate thereof may in its individual or any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other capacity become the owner or pledgee of Certificates or Notes with the same rights as it would have if it were not the Depositor or an Affiliate thereof, except as expressly provided herein or in any other Basic Document. Notes or Certificates so owned by the Depositor or such Affiliate shall have an equal and proportionate benefit under the provisions of the Basic Documents, without preference, priority, or distinction as among all of the Notes or Certificates;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any Notes or Certificates owned by the Depositor or any Affiliate thereof, during the time such Notes or Certificates are owned by them, shall be without voting, request, demand, authorization, direction, notice, consent or waiver rights for any purpose set forth in the Basic Documents (unless all Notes of the affected Class or the Certificates at any time are owned by the Depositor or any Affiliate thereof).</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24" w:name="page525"/>
    <w:bookmarkEnd w:id="524"/>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F5496"/>
        </w:rPr>
        <w:t>ARTICLE VIII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Servicer and the Backup Servicer</w:t>
      </w:r>
    </w:p>
    <w:p>
      <w:pPr>
        <w:spacing w:after="0" w:line="202"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VIII.1. </w:t>
      </w:r>
      <w:r>
        <w:rPr>
          <w:rFonts w:ascii="Times New Roman" w:cs="Times New Roman" w:eastAsia="Times New Roman" w:hAnsi="Times New Roman"/>
          <w:sz w:val="19"/>
          <w:szCs w:val="19"/>
          <w:color w:val="000000"/>
        </w:rPr>
        <w:t>Representations of Servicer». The Servicer makes the following representations on which the Issuer is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deemed to have relied in acquiring the Receivables. The representations speak as of the execution and delivery of this Agreement and as of the Closing Date, and shall survive the sale of the Receivables to the Issuer and the pledge thereof to the Indenture Trustee pursuant to the Indenture.</w:t>
      </w:r>
    </w:p>
    <w:p>
      <w:pPr>
        <w:spacing w:after="0" w:line="150" w:lineRule="exact"/>
        <w:rPr>
          <w:sz w:val="20"/>
          <w:szCs w:val="20"/>
          <w:color w:val="auto"/>
        </w:rPr>
      </w:pPr>
    </w:p>
    <w:p>
      <w:pPr>
        <w:ind w:firstLine="702"/>
        <w:spacing w:after="0" w:line="259" w:lineRule="auto"/>
        <w:tabs>
          <w:tab w:leader="none" w:pos="960" w:val="left"/>
        </w:tabs>
        <w:numPr>
          <w:ilvl w:val="0"/>
          <w:numId w:val="4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Organization and Good Standing. The Servicer has been duly organized and is validly existing and in good standing as a corporation under the laws of its jurisdiction of organization, with power, authority and legal right to own its properties and to conduct its business as such properties are currently owned and such business is currently conducted, and had at all relevant times, and now has, power, authority and legal right to service the Receivables and to enter into and perform its obligations under this Agreement and the other Basic Documents to which it is a party;</w:t>
      </w:r>
    </w:p>
    <w:p>
      <w:pPr>
        <w:spacing w:after="0" w:line="153" w:lineRule="exact"/>
        <w:rPr>
          <w:rFonts w:ascii="Times New Roman" w:cs="Times New Roman" w:eastAsia="Times New Roman" w:hAnsi="Times New Roman"/>
          <w:sz w:val="19"/>
          <w:szCs w:val="19"/>
          <w:color w:val="1F3763"/>
        </w:rPr>
      </w:pPr>
    </w:p>
    <w:p>
      <w:pPr>
        <w:ind w:firstLine="702"/>
        <w:spacing w:after="0" w:line="268" w:lineRule="auto"/>
        <w:tabs>
          <w:tab w:leader="none" w:pos="972" w:val="left"/>
        </w:tabs>
        <w:numPr>
          <w:ilvl w:val="0"/>
          <w:numId w:val="4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Due Qualification. The Servicer is duly qualified to do business as a foreign corporation, is in good standing and has obtained all necessary licenses and approvals in all jurisdictions in which the ownership or lease of property or the conduct of its business (including the servicing of the Receivables as required by this Agreement) requires or shall require such qualification;</w:t>
      </w:r>
    </w:p>
    <w:p>
      <w:pPr>
        <w:spacing w:after="0" w:line="144" w:lineRule="exact"/>
        <w:rPr>
          <w:rFonts w:ascii="Times New Roman" w:cs="Times New Roman" w:eastAsia="Times New Roman" w:hAnsi="Times New Roman"/>
          <w:sz w:val="19"/>
          <w:szCs w:val="19"/>
          <w:color w:val="1F3763"/>
        </w:rPr>
      </w:pPr>
    </w:p>
    <w:p>
      <w:pPr>
        <w:jc w:val="both"/>
        <w:ind w:firstLine="702"/>
        <w:spacing w:after="0" w:line="262" w:lineRule="auto"/>
        <w:tabs>
          <w:tab w:leader="none" w:pos="960" w:val="left"/>
        </w:tabs>
        <w:numPr>
          <w:ilvl w:val="0"/>
          <w:numId w:val="4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Power and Authority. The Servicer has the power and authority to execute and deliver this Agreement and the other Basic Documents to which it is a party and to carry out its terms and their terms, respectively, and the execution, delivery and performance of this Agreement and the other Basic Documents to which it is a party have been duly authorized by the Servicer by all necessary corporate action;</w:t>
      </w:r>
    </w:p>
    <w:p>
      <w:pPr>
        <w:spacing w:after="0" w:line="150" w:lineRule="exact"/>
        <w:rPr>
          <w:rFonts w:ascii="Times New Roman" w:cs="Times New Roman" w:eastAsia="Times New Roman" w:hAnsi="Times New Roman"/>
          <w:sz w:val="19"/>
          <w:szCs w:val="19"/>
          <w:color w:val="1F3763"/>
        </w:rPr>
      </w:pPr>
    </w:p>
    <w:p>
      <w:pPr>
        <w:ind w:right="240" w:firstLine="702"/>
        <w:spacing w:after="0" w:line="259" w:lineRule="auto"/>
        <w:tabs>
          <w:tab w:leader="none" w:pos="972" w:val="left"/>
        </w:tabs>
        <w:numPr>
          <w:ilvl w:val="0"/>
          <w:numId w:val="4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Binding Obligation. This Agreement and the other Basic Documents to which the Servicer is party shall constitute legal, valid and binding obligations of the Servicer enforceable in accordance with their respective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153" w:lineRule="exact"/>
        <w:rPr>
          <w:rFonts w:ascii="Times New Roman" w:cs="Times New Roman" w:eastAsia="Times New Roman" w:hAnsi="Times New Roman"/>
          <w:sz w:val="19"/>
          <w:szCs w:val="19"/>
          <w:color w:val="1F3763"/>
        </w:rPr>
      </w:pPr>
    </w:p>
    <w:p>
      <w:pPr>
        <w:ind w:right="40" w:firstLine="702"/>
        <w:spacing w:after="0" w:line="253" w:lineRule="auto"/>
        <w:tabs>
          <w:tab w:leader="none" w:pos="960" w:val="left"/>
        </w:tabs>
        <w:numPr>
          <w:ilvl w:val="0"/>
          <w:numId w:val="45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Violation. The consummation of the transactions contemplated by this Agreement and the Basic Documents to which the Servicer is a party, and the fulfillment of the terms of this Agreement and the other Basic Documents to which the Servicer is a party, shall not conflict with, result in any breach of any of the terms and provisions of, or constitute (with or without notice or lapse of time) a default under, the articles of incorporation or bylaws of the Servicer, or any indenture, agreement, mortgage, deed of trust or other instrument to which the Servicer is a party or by which it is bound, or result in the creation or imposition of any Lien upon any of its properties pursuant to the terms of any such indenture, agreement, mortgage, deed of trust or other instrument, other than this Agreement and the other Basic Documents to which it is a party, or violate any law, order, rule or regulation applicable to the Servicer of any court or of any federal or State regulatory body, administrative agency or other governmental instrumentality having jurisdiction over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Servicer or any of its properties;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5" w:name="page526"/>
    <w:bookmarkEnd w:id="525"/>
    <w:p>
      <w:pPr>
        <w:spacing w:after="0" w:line="200" w:lineRule="exact"/>
        <w:rPr>
          <w:sz w:val="20"/>
          <w:szCs w:val="20"/>
          <w:color w:val="auto"/>
        </w:rPr>
      </w:pPr>
    </w:p>
    <w:p>
      <w:pPr>
        <w:spacing w:after="0" w:line="261" w:lineRule="exact"/>
        <w:rPr>
          <w:sz w:val="20"/>
          <w:szCs w:val="20"/>
          <w:color w:val="auto"/>
        </w:rPr>
      </w:pPr>
    </w:p>
    <w:p>
      <w:pPr>
        <w:ind w:right="120" w:firstLine="702"/>
        <w:spacing w:after="0" w:line="256" w:lineRule="auto"/>
        <w:tabs>
          <w:tab w:leader="none" w:pos="936" w:val="left"/>
        </w:tabs>
        <w:numPr>
          <w:ilvl w:val="0"/>
          <w:numId w:val="45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Proceedings. There are no proceedings or investigations pending or, to the Servicer's knowledge, threatened against the Servicer, before any court, regulatory body, administrative agency or other tribunal or governmental instrumentality having jurisdiction over the Servicer or its properties (A) asserting the invalidity of this Agreement or any of the Basic Documents, (B) seeking to prevent the issuance of the Notes or the consummation of any of the transactions contemplated by this Agreement or any of the Basic Documents, (C) seeking any determination or ruling that might materially and adversely affect the performance by the Servicer of its obligations under, or the validity or enforceability of, this Agreement or any of the Basic Documents or (D) seeking to adversely affect the federal income tax or other federal, State or local tax attributes of the Notes; and</w:t>
      </w:r>
    </w:p>
    <w:p>
      <w:pPr>
        <w:spacing w:after="0" w:line="157" w:lineRule="exact"/>
        <w:rPr>
          <w:rFonts w:ascii="Times New Roman" w:cs="Times New Roman" w:eastAsia="Times New Roman" w:hAnsi="Times New Roman"/>
          <w:sz w:val="19"/>
          <w:szCs w:val="19"/>
          <w:color w:val="1F3763"/>
        </w:rPr>
      </w:pPr>
    </w:p>
    <w:p>
      <w:pPr>
        <w:ind w:right="360" w:firstLine="702"/>
        <w:spacing w:after="0" w:line="262" w:lineRule="auto"/>
        <w:tabs>
          <w:tab w:leader="none" w:pos="972" w:val="left"/>
        </w:tabs>
        <w:numPr>
          <w:ilvl w:val="0"/>
          <w:numId w:val="45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Consents. The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or the other Basic Documents to which it is a party which has not already been obtained.</w:t>
      </w:r>
    </w:p>
    <w:p>
      <w:pPr>
        <w:spacing w:after="0" w:line="150"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VIII.2. </w:t>
      </w:r>
      <w:r>
        <w:rPr>
          <w:rFonts w:ascii="Times New Roman" w:cs="Times New Roman" w:eastAsia="Times New Roman" w:hAnsi="Times New Roman"/>
          <w:sz w:val="19"/>
          <w:szCs w:val="19"/>
          <w:color w:val="000000"/>
        </w:rPr>
        <w:t>Representations of Backup Servicer». The Backup Servicer makes the following representations on which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Issuer is deemed to have relied in acquiring the Receivables. The representations speak as of the execution and delivery of this Agreement and as of the Closing Date, and shall survive the sale of the Receivables to the Issuer and the pledge thereof to the Indenture Trustee pursuant to the Indenture.</w:t>
      </w:r>
    </w:p>
    <w:p>
      <w:pPr>
        <w:spacing w:after="0" w:line="150" w:lineRule="exact"/>
        <w:rPr>
          <w:sz w:val="20"/>
          <w:szCs w:val="20"/>
          <w:color w:val="auto"/>
        </w:rPr>
      </w:pPr>
    </w:p>
    <w:p>
      <w:pPr>
        <w:ind w:right="140" w:firstLine="702"/>
        <w:spacing w:after="0" w:line="259" w:lineRule="auto"/>
        <w:tabs>
          <w:tab w:leader="none" w:pos="960" w:val="left"/>
        </w:tabs>
        <w:numPr>
          <w:ilvl w:val="0"/>
          <w:numId w:val="4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Organization and Good Standing. The Backup Servicer has been duly organized and is validly existing as a national banking association and in good standing under the laws of its jurisdiction of organization, with power, authority and legal right to own its properties and to conduct its business as such properties are currently owned and such business is currently conducted, and had at all relevant times, and now has, power, authority and legal right to enter into and perform its obligations under this Agreement and each other Basic Document to which it is a party;</w:t>
      </w:r>
    </w:p>
    <w:p>
      <w:pPr>
        <w:spacing w:after="0" w:line="153" w:lineRule="exact"/>
        <w:rPr>
          <w:rFonts w:ascii="Times New Roman" w:cs="Times New Roman" w:eastAsia="Times New Roman" w:hAnsi="Times New Roman"/>
          <w:sz w:val="19"/>
          <w:szCs w:val="19"/>
          <w:color w:val="1F3763"/>
        </w:rPr>
      </w:pPr>
    </w:p>
    <w:p>
      <w:pPr>
        <w:ind w:right="40" w:firstLine="702"/>
        <w:spacing w:after="0" w:line="262" w:lineRule="auto"/>
        <w:tabs>
          <w:tab w:leader="none" w:pos="972" w:val="left"/>
        </w:tabs>
        <w:numPr>
          <w:ilvl w:val="0"/>
          <w:numId w:val="4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Due Qualification. The Backup Servicer is duly qualified to do business as a foreign corporation, is in good standing and has obtained all necessary licenses and approvals, in all jurisdictions in which the ownership or lease of property or the conduct of its business (including the servicing of the Receivables as required by this Agreement and each other Basic Document to which it is a party) requires or shall require such qualification;</w:t>
      </w:r>
    </w:p>
    <w:p>
      <w:pPr>
        <w:spacing w:after="0" w:line="150" w:lineRule="exact"/>
        <w:rPr>
          <w:rFonts w:ascii="Times New Roman" w:cs="Times New Roman" w:eastAsia="Times New Roman" w:hAnsi="Times New Roman"/>
          <w:sz w:val="19"/>
          <w:szCs w:val="19"/>
          <w:color w:val="1F3763"/>
        </w:rPr>
      </w:pPr>
    </w:p>
    <w:p>
      <w:pPr>
        <w:ind w:right="20" w:firstLine="702"/>
        <w:spacing w:after="0" w:line="262" w:lineRule="auto"/>
        <w:tabs>
          <w:tab w:leader="none" w:pos="960" w:val="left"/>
        </w:tabs>
        <w:numPr>
          <w:ilvl w:val="0"/>
          <w:numId w:val="4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Power and Authority. The Backup Servicer has the power and authority to execute and deliver this Agreement and the other Basic Documents to which it is a party and to carry out its terms and their terms, respectively, and the execution, delivery and performance of this Agreement and the Backup Servicer's Basic Documents have been duly authorized by the Backup Servicer by all necessary corporate action;</w:t>
      </w:r>
    </w:p>
    <w:p>
      <w:pPr>
        <w:spacing w:after="0" w:line="150" w:lineRule="exact"/>
        <w:rPr>
          <w:rFonts w:ascii="Times New Roman" w:cs="Times New Roman" w:eastAsia="Times New Roman" w:hAnsi="Times New Roman"/>
          <w:sz w:val="19"/>
          <w:szCs w:val="19"/>
          <w:color w:val="1F3763"/>
        </w:rPr>
      </w:pPr>
    </w:p>
    <w:p>
      <w:pPr>
        <w:ind w:firstLine="702"/>
        <w:spacing w:after="0" w:line="262" w:lineRule="auto"/>
        <w:tabs>
          <w:tab w:leader="none" w:pos="972" w:val="left"/>
        </w:tabs>
        <w:numPr>
          <w:ilvl w:val="0"/>
          <w:numId w:val="45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Binding Obligation. This Agreement and the other Basic Documents to which it is a party shall constitute legal, valid and binding obligations of the Backup Servicer enforceable in accordance with their respective terms, except as enforceability may be limited</w:t>
      </w:r>
    </w:p>
    <w:p>
      <w:pPr>
        <w:spacing w:after="0" w:line="1" w:lineRule="exact"/>
        <w:rPr>
          <w:sz w:val="20"/>
          <w:szCs w:val="20"/>
          <w:color w:val="auto"/>
        </w:rPr>
      </w:pPr>
    </w:p>
    <w:p>
      <w:pPr>
        <w:ind w:left="5200" w:right="2180" w:hanging="5184"/>
        <w:spacing w:after="0" w:line="262" w:lineRule="auto"/>
        <w:rPr>
          <w:sz w:val="20"/>
          <w:szCs w:val="20"/>
          <w:color w:val="auto"/>
        </w:rPr>
      </w:pPr>
      <w:r>
        <w:rPr>
          <w:rFonts w:ascii="Times New Roman" w:cs="Times New Roman" w:eastAsia="Times New Roman" w:hAnsi="Times New Roman"/>
          <w:sz w:val="19"/>
          <w:szCs w:val="19"/>
          <w:color w:val="auto"/>
        </w:rPr>
        <w:t>by bankruptcy, insolvency, reorganization, or other similar laws affecting the enforcement of creditors' rights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26" w:name="page527"/>
    <w:bookmarkEnd w:id="526"/>
    <w:p>
      <w:pPr>
        <w:spacing w:after="0" w:line="200" w:lineRule="exact"/>
        <w:rPr>
          <w:sz w:val="20"/>
          <w:szCs w:val="20"/>
          <w:color w:val="auto"/>
        </w:rPr>
      </w:pPr>
    </w:p>
    <w:p>
      <w:pPr>
        <w:spacing w:after="0" w:line="26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color w:val="auto"/>
        </w:rPr>
        <w:t>generally and by equitable limitations on the availability of specific remedies, regardless of whether such enforceability is considered in a proceeding in equity or at law;</w:t>
      </w:r>
    </w:p>
    <w:p>
      <w:pPr>
        <w:spacing w:after="0" w:line="127" w:lineRule="exact"/>
        <w:rPr>
          <w:sz w:val="20"/>
          <w:szCs w:val="20"/>
          <w:color w:val="auto"/>
        </w:rPr>
      </w:pPr>
    </w:p>
    <w:p>
      <w:pPr>
        <w:ind w:firstLine="702"/>
        <w:spacing w:after="0" w:line="255" w:lineRule="auto"/>
        <w:tabs>
          <w:tab w:leader="none" w:pos="960" w:val="left"/>
        </w:tabs>
        <w:numPr>
          <w:ilvl w:val="0"/>
          <w:numId w:val="45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Violation. The consummation of the transactions contemplated by this Agreement and the other Basic Documents to which it is a party, and the fulfillment of the terms of this Agreement and the other Basic Documents to which it is party, shall not conflict with, result in any breach of any of the terms and provisions of, or constitute (with or without notice or lapse of time) a default under, the articles of incorporation or bylaws of the Backup Servicer, or any indenture, agreement, mortgage, deed of trust or other instrument to which the Backup Servicer is a party or by which it is bound, or result in the creation or imposition of any Lien upon any of its properties pursuant to the terms of any such indenture, agreement, mortgage, deed of trust or other instrument, other than this Agreement, or violate any law, order, rule or regulation applicable to the Backup Servicer of any court or of any federal or State regulatory body, administrative agency or other governmental instrumentality having jurisdiction over the Backup Servicer or any of its properties;</w:t>
      </w:r>
    </w:p>
    <w:p>
      <w:pPr>
        <w:spacing w:after="0" w:line="387" w:lineRule="exact"/>
        <w:rPr>
          <w:rFonts w:ascii="Times New Roman" w:cs="Times New Roman" w:eastAsia="Times New Roman" w:hAnsi="Times New Roman"/>
          <w:sz w:val="19"/>
          <w:szCs w:val="19"/>
          <w:color w:val="1F3763"/>
        </w:rPr>
      </w:pPr>
    </w:p>
    <w:p>
      <w:pPr>
        <w:ind w:right="160" w:firstLine="702"/>
        <w:spacing w:after="0" w:line="256" w:lineRule="auto"/>
        <w:tabs>
          <w:tab w:leader="none" w:pos="936" w:val="left"/>
        </w:tabs>
        <w:numPr>
          <w:ilvl w:val="0"/>
          <w:numId w:val="45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Proceedings. There are no proceedings or investigations pending or, to the Backup Servicer's knowledge, threatened against the Backup Servicer, before any court, regulatory body, administrative agency or other tribunal or governmental instrumentality having jurisdiction over the Backup Servicer or its properties (A) asserting the invalidity of this Agreement or any of the Basic Documents, (B) seeking to prevent the issuance of the Notes or the consummation of any of the transactions contemplated by this Agreement or any of the Basic Documents, (C) seeking any determination or ruling that might materially and adversely affect the performance by the Backup Servicer of its obligations under, or the validity or enforceability of, this Agreement or any of the Basic Documents or (D) seeking to adversely affect the federal income tax or other federal, State or local tax attributes of the Notes; and</w:t>
      </w:r>
    </w:p>
    <w:p>
      <w:pPr>
        <w:spacing w:after="0" w:line="157" w:lineRule="exact"/>
        <w:rPr>
          <w:rFonts w:ascii="Times New Roman" w:cs="Times New Roman" w:eastAsia="Times New Roman" w:hAnsi="Times New Roman"/>
          <w:sz w:val="19"/>
          <w:szCs w:val="19"/>
          <w:color w:val="1F3763"/>
        </w:rPr>
      </w:pPr>
    </w:p>
    <w:p>
      <w:pPr>
        <w:ind w:right="80" w:firstLine="702"/>
        <w:spacing w:after="0" w:line="268" w:lineRule="auto"/>
        <w:tabs>
          <w:tab w:leader="none" w:pos="972" w:val="left"/>
        </w:tabs>
        <w:numPr>
          <w:ilvl w:val="0"/>
          <w:numId w:val="45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 Consents. The Backup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which has not already been obtained.</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VIII.3. </w:t>
      </w:r>
      <w:r>
        <w:rPr>
          <w:rFonts w:ascii="Times New Roman" w:cs="Times New Roman" w:eastAsia="Times New Roman" w:hAnsi="Times New Roman"/>
          <w:sz w:val="19"/>
          <w:szCs w:val="19"/>
          <w:color w:val="000000"/>
        </w:rPr>
        <w:t>Liability of Servicer and Backup Servicer; Indemnities».</w:t>
      </w:r>
    </w:p>
    <w:p>
      <w:pPr>
        <w:spacing w:after="0" w:line="202" w:lineRule="exact"/>
        <w:rPr>
          <w:sz w:val="20"/>
          <w:szCs w:val="20"/>
          <w:color w:val="auto"/>
        </w:rPr>
      </w:pPr>
    </w:p>
    <w:p>
      <w:pPr>
        <w:ind w:right="640" w:firstLine="702"/>
        <w:spacing w:after="0" w:line="286" w:lineRule="auto"/>
        <w:tabs>
          <w:tab w:leader="none" w:pos="960" w:val="left"/>
        </w:tabs>
        <w:numPr>
          <w:ilvl w:val="0"/>
          <w:numId w:val="45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(in its capacity as such) shall be liable hereunder only to the extent of the obligations in this Agreement specifically undertaken by the Servicer and the representations made by the Servicer.</w:t>
      </w:r>
    </w:p>
    <w:p>
      <w:pPr>
        <w:spacing w:after="0" w:line="127" w:lineRule="exact"/>
        <w:rPr>
          <w:rFonts w:ascii="Times New Roman" w:cs="Times New Roman" w:eastAsia="Times New Roman" w:hAnsi="Times New Roman"/>
          <w:sz w:val="19"/>
          <w:szCs w:val="19"/>
          <w:color w:val="1F3763"/>
        </w:rPr>
      </w:pPr>
    </w:p>
    <w:p>
      <w:pPr>
        <w:ind w:right="200" w:firstLine="702"/>
        <w:spacing w:after="0" w:line="253" w:lineRule="auto"/>
        <w:tabs>
          <w:tab w:leader="none" w:pos="972" w:val="left"/>
        </w:tabs>
        <w:numPr>
          <w:ilvl w:val="0"/>
          <w:numId w:val="45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defend, indemnify and hold harmless the Trust, the Indenture Trustee, the Owner Trustee, the Backup Servicer, their respective officers, directors, agents and employees, and the Noteholders from and against any and all costs, expenses, losses, damages, claims and liabilities, including reasonable fees and expenses of counsel and expenses of litigation (including any attorney's fees, costs, and expenses incurred in connection with (i) any enforcement (including any action, claim, or suit brought) by an indemnified party pursuant to this paragraph of any indemnification or other obligation of the Servicer, any other party to the Basic Documents or any other Persons and (ii) a successful defense, in whole or in part, of any claim that the Owner Trustee, the Indenture Trustee or the Backup Servicer breached its standard of care) arising out of or resulting from the use, ownership or operation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Servicer or any Affiliate thereof of any Financed Vehicle.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7" w:name="page528"/>
    <w:bookmarkEnd w:id="527"/>
    <w:p>
      <w:pPr>
        <w:spacing w:after="0" w:line="200" w:lineRule="exact"/>
        <w:rPr>
          <w:sz w:val="20"/>
          <w:szCs w:val="20"/>
          <w:color w:val="auto"/>
        </w:rPr>
      </w:pPr>
    </w:p>
    <w:p>
      <w:pPr>
        <w:spacing w:after="0" w:line="261" w:lineRule="exact"/>
        <w:rPr>
          <w:sz w:val="20"/>
          <w:szCs w:val="20"/>
          <w:color w:val="auto"/>
        </w:rPr>
      </w:pPr>
    </w:p>
    <w:p>
      <w:pPr>
        <w:ind w:right="60" w:firstLine="702"/>
        <w:spacing w:after="0" w:line="253" w:lineRule="auto"/>
        <w:tabs>
          <w:tab w:leader="none" w:pos="960" w:val="left"/>
        </w:tabs>
        <w:numPr>
          <w:ilvl w:val="0"/>
          <w:numId w:val="4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(if United Auto is the Servicer) shall indemnify, defend and hold harmless the Trust, the Indenture Trustee, the Owner Trustee, the Backup Servicer, their respective officers, directors, agents and employees and the Noteholders from and against any taxes that may at any time be asserted against any of such parties with respect to the transactions or activities contemplated in this Agreement and the other Basic Documents to which it is a party, including any sales, gross receipts, general corporation, tangible or intangible personal property, privilege or license taxes (but not including (i) any federal or other income taxes, including franchise taxes asserted with respect to, and as of the dates of, the sales of the Receivables and the Other Conveyed Property to the Trust or the issuance and original sale of the Notes and (ii) any personal property taxes arising in connection with the sale of a repossessed Financed Vehicle, for which the Servicer is entitled to be reimbursed pursuant to Section 4.1) and costs and expenses in defending against the same (including any attorney's fees, costs, and expenses incurred in connection with (i) any enforcement (including any action, claim, or suit brought) by an indemnified party pursuant to this paragraph of any indemnification or other obligation of the Servicer, any other party to the Basic Documents or any other Persons and (ii) a successful defense, in whole or in part, of any claim that the Owner Trustee, the Indenture Trustee or the Backup Servicer breached its standard of care).</w:t>
      </w:r>
    </w:p>
    <w:p>
      <w:pPr>
        <w:spacing w:after="0" w:line="165" w:lineRule="exact"/>
        <w:rPr>
          <w:rFonts w:ascii="Times New Roman" w:cs="Times New Roman" w:eastAsia="Times New Roman" w:hAnsi="Times New Roman"/>
          <w:sz w:val="19"/>
          <w:szCs w:val="19"/>
          <w:color w:val="1F3763"/>
        </w:rPr>
      </w:pPr>
    </w:p>
    <w:p>
      <w:pPr>
        <w:ind w:firstLine="702"/>
        <w:spacing w:after="0" w:line="253" w:lineRule="auto"/>
        <w:tabs>
          <w:tab w:leader="none" w:pos="972" w:val="left"/>
        </w:tabs>
        <w:numPr>
          <w:ilvl w:val="0"/>
          <w:numId w:val="4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(if United Auto is not the Servicer) shall indemnify, defend and hold harmless the Trust, the Indenture Trustee, the Owner Trustee, the Backup Servicer, their respective officers, directors, agents and employees and the Noteholders from and against any and all costs, expenses, losses, claims, damages, and liabilities, including reasonable fees and expenses of counsel and expenses of litigation (including any attorney's fees, costs, and expenses incurred in connection with (i) any enforcement (including any action, claim, or suit brought) by an indemnified party pursuant to this paragraph of any indemnification or other obligation of the Servicer, any other party to the Basic Documents or any other Persons and (ii) a successful defense, in whole or in part, of any claim that the Owner Trustee, the Indenture Trustee or the Backup Servicer breached its standard of care), to the extent that such cost, expense, loss, claim, damage, or liability arose out of, or was imposed upon the Trust, the Indenture Trustee, the Owner Trustee, the Backup Servicer or the Noteholders by reason of the breach of this Agreement or any other Basic Document to which it is a party by the Servicer, the negligence, misconduct, or bad faith of the Servicer in the performance of its duties under this Agreement or any other Basic Document to which it is a party or by reason of reckless disregard of its obligations and duties under this Agreement or any other Basic Document to which it is a party.</w:t>
      </w:r>
    </w:p>
    <w:p>
      <w:pPr>
        <w:spacing w:after="0" w:line="395" w:lineRule="exact"/>
        <w:rPr>
          <w:rFonts w:ascii="Times New Roman" w:cs="Times New Roman" w:eastAsia="Times New Roman" w:hAnsi="Times New Roman"/>
          <w:sz w:val="19"/>
          <w:szCs w:val="19"/>
          <w:color w:val="1F3763"/>
        </w:rPr>
      </w:pPr>
    </w:p>
    <w:p>
      <w:pPr>
        <w:ind w:right="60" w:firstLine="702"/>
        <w:spacing w:after="0" w:line="253" w:lineRule="auto"/>
        <w:tabs>
          <w:tab w:leader="none" w:pos="960" w:val="left"/>
        </w:tabs>
        <w:numPr>
          <w:ilvl w:val="0"/>
          <w:numId w:val="45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United Auto shall indemnify, defend and hold harmless the Trust, the Indenture Trustee, the Owner Trustee, the Backup Servicer, their respective officers, directors, agents and employees and the Noteholders from and against any loss, liability or expense incurred by reason of the violation by the Servicer or the Depositor of federal or State securities laws in connection with the registration or the sale of the Notes, including reasonable fees and expenses of counsel (including any attorney's fees, costs, and expenses incurred in connection with (i) any enforcement (including any action, claim, or suit brought) by an indemnified party pursuant to this paragraph of any indemnification or other obligation of United Auto, any other party to the Basic Documents or any other Persons and (ii) a successful defense, in whole or in part, of any claim that the Owner Trustee, the Indenture Trustee or the Backup Servicer breached its standard of care). This Section shall survive the termination of this Agreement, or the earlier removal or resignation of the Owner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Trustee, the Indenture Trustee or the Backup Servicer.</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8" w:name="page529"/>
    <w:bookmarkEnd w:id="528"/>
    <w:p>
      <w:pPr>
        <w:spacing w:after="0" w:line="200" w:lineRule="exact"/>
        <w:rPr>
          <w:sz w:val="20"/>
          <w:szCs w:val="20"/>
          <w:color w:val="auto"/>
        </w:rPr>
      </w:pPr>
    </w:p>
    <w:p>
      <w:pPr>
        <w:spacing w:after="0" w:line="261" w:lineRule="exact"/>
        <w:rPr>
          <w:sz w:val="20"/>
          <w:szCs w:val="20"/>
          <w:color w:val="auto"/>
        </w:rPr>
      </w:pPr>
    </w:p>
    <w:p>
      <w:pPr>
        <w:ind w:left="-6" w:right="20" w:firstLine="702"/>
        <w:spacing w:after="0" w:line="254" w:lineRule="auto"/>
        <w:tabs>
          <w:tab w:leader="none" w:pos="930" w:val="left"/>
        </w:tabs>
        <w:numPr>
          <w:ilvl w:val="1"/>
          <w:numId w:val="45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Backup Servicer shall defend, indemnify and hold harmless the Trust, the Indenture Trustee, the Owner Trustee, the Servicer, their respective officers, directors, agents and employees and the Noteholders from and against any and all costs, expenses, losses, claims, damages, and liabilities including reasonable fees and expenses of counsel (including any attorney's fees, costs, and expenses incurred in connection with (i) any enforcement (including any action, claim, or suit brought) by an indemnified party pursuant to this paragraph of any indemnification or other obligation of the Backup Servicer, any other party to the Basic Documents or any other Persons and (ii) a successful defense, in whole or in part, of any claim that the Owner Trustee, the Indenture Trustee or the Backup Servicer breached its standard of care) to the extent that such cost, expense, loss, claim, damage, or liability arose out of, or was imposed upon the Trust, the Owner Trustee, the Indenture Trustee, the Servicer or the Noteholders by reason of, the negligence, willful misconduct or bad faith of the Backup Servicer in the performance of its duties under this Agreement or by reason of reckless disregard of its obligations and duties under this Agreement.</w:t>
      </w:r>
    </w:p>
    <w:p>
      <w:pPr>
        <w:spacing w:after="0" w:line="160" w:lineRule="exact"/>
        <w:rPr>
          <w:rFonts w:ascii="Times New Roman" w:cs="Times New Roman" w:eastAsia="Times New Roman" w:hAnsi="Times New Roman"/>
          <w:sz w:val="19"/>
          <w:szCs w:val="19"/>
          <w:color w:val="1F3763"/>
        </w:rPr>
      </w:pPr>
    </w:p>
    <w:p>
      <w:pPr>
        <w:ind w:left="-6" w:right="200" w:firstLine="702"/>
        <w:spacing w:after="0" w:line="256" w:lineRule="auto"/>
        <w:tabs>
          <w:tab w:leader="none" w:pos="966" w:val="left"/>
        </w:tabs>
        <w:numPr>
          <w:ilvl w:val="1"/>
          <w:numId w:val="45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United Auto shall indemnify the Indenture Trustee, the Owner Trustee, the Backup Servicer, and the respective officers, directors, agents and employees thereof against any and all loss, liability or expense (including any attorney's fees, costs, and expenses incurred in connection with (i) any enforcement (including any action, claim, or suit brought) by an indemnified party pursuant to this paragraph of any indemnification or other obligation of United Auto, any other party to the Basic Documents or any other Persons and</w:t>
      </w:r>
    </w:p>
    <w:p>
      <w:pPr>
        <w:spacing w:after="0" w:line="2" w:lineRule="exact"/>
        <w:rPr>
          <w:rFonts w:ascii="Times New Roman" w:cs="Times New Roman" w:eastAsia="Times New Roman" w:hAnsi="Times New Roman"/>
          <w:sz w:val="19"/>
          <w:szCs w:val="19"/>
          <w:color w:val="1F3763"/>
        </w:rPr>
      </w:pPr>
    </w:p>
    <w:p>
      <w:pPr>
        <w:ind w:left="-6" w:right="20" w:firstLine="6"/>
        <w:spacing w:after="0" w:line="253" w:lineRule="auto"/>
        <w:tabs>
          <w:tab w:leader="none" w:pos="276" w:val="left"/>
        </w:tabs>
        <w:numPr>
          <w:ilvl w:val="0"/>
          <w:numId w:val="4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successful defense, in whole or in part, of any claim that the Owner Trustee, the Indenture Trustee or the Backup Servicer breached its standard of care), (other than overhead and expenses incurred in the normal course of business) incurred by each of them in connection with the acceptance or administration of the Trust and the performance of their duties under the Basic Documents other than if such loss, liability or expense was incurred by the Indenture Trustee, the Owner Trustee or the Backup Servicer as a result of any such entity's willful misconduct, bad faith or negligence.</w:t>
      </w:r>
    </w:p>
    <w:p>
      <w:pPr>
        <w:spacing w:after="0" w:line="158" w:lineRule="exact"/>
        <w:rPr>
          <w:rFonts w:ascii="Times New Roman" w:cs="Times New Roman" w:eastAsia="Times New Roman" w:hAnsi="Times New Roman"/>
          <w:sz w:val="19"/>
          <w:szCs w:val="19"/>
          <w:color w:val="auto"/>
        </w:rPr>
      </w:pPr>
    </w:p>
    <w:p>
      <w:pPr>
        <w:ind w:left="-6" w:firstLine="702"/>
        <w:spacing w:after="0" w:line="254" w:lineRule="auto"/>
        <w:tabs>
          <w:tab w:leader="none" w:pos="966" w:val="left"/>
        </w:tabs>
        <w:numPr>
          <w:ilvl w:val="1"/>
          <w:numId w:val="4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Indemnification under this Article shall include reasonable fees and expenses of counsel and expenses of litigation (including any attorney's fees, costs (including court costs), and expenses incurred in connection with (i) any enforcement (including any action, claim, or suit brought) by an indemnified party pursuant to this paragraph of any indemnification or other obligation of the Servicer or United Auto, any other party to the Basic Documents or any other Persons and (ii) a successful defense, in whole or in part, of any claim that the Owner Trustee, the Indenture Trustee or the Backup Servicer breached its standard of care). If the Servicer has made any indemnity payments pursuant to this Article and the recipient thereafter collects any of such amounts from others, the recipient shall promptly repay such amounts collected to the Servicer, without interest. Notwithstanding anything contained herein to the contrary, any indemnification payable by the Servicer or United Auto to the Owner Trustee, the Backup Servicer or the Indenture Trustee, to the extent not paid by the Servicer or United Auto, as applicable, shall be paid solely from amounts available therefor pursuant to Section 7.2 of the Trust Agreement (with respect to the Owner Trustee), Section 5.7(b) of this Agreement or Section 5.6 of the Indenture.</w:t>
      </w:r>
    </w:p>
    <w:p>
      <w:pPr>
        <w:spacing w:after="0" w:line="388" w:lineRule="exact"/>
        <w:rPr>
          <w:rFonts w:ascii="Times New Roman" w:cs="Times New Roman" w:eastAsia="Times New Roman" w:hAnsi="Times New Roman"/>
          <w:sz w:val="19"/>
          <w:szCs w:val="19"/>
          <w:color w:val="1F3763"/>
        </w:rPr>
      </w:pPr>
    </w:p>
    <w:p>
      <w:pPr>
        <w:jc w:val="both"/>
        <w:ind w:left="-6" w:right="240" w:firstLine="702"/>
        <w:spacing w:after="0" w:line="262" w:lineRule="auto"/>
        <w:tabs>
          <w:tab w:leader="none" w:pos="918" w:val="left"/>
        </w:tabs>
        <w:numPr>
          <w:ilvl w:val="1"/>
          <w:numId w:val="45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When the Indenture Trustee or the Backup Servicer incurs expenses after the occurrence of a Servicer Termination Event specified in Section 9.1(d) or (e) with respect to the Servicer, the expenses are intended to constitute expenses of administration under</w:t>
      </w:r>
    </w:p>
    <w:p>
      <w:pPr>
        <w:spacing w:after="0" w:line="1" w:lineRule="exact"/>
        <w:rPr>
          <w:sz w:val="20"/>
          <w:szCs w:val="20"/>
          <w:color w:val="auto"/>
        </w:rPr>
      </w:pPr>
    </w:p>
    <w:p>
      <w:pPr>
        <w:ind w:left="5194" w:right="1880" w:hanging="5184"/>
        <w:spacing w:after="0" w:line="262" w:lineRule="auto"/>
        <w:rPr>
          <w:sz w:val="20"/>
          <w:szCs w:val="20"/>
          <w:color w:val="auto"/>
        </w:rPr>
      </w:pPr>
      <w:r>
        <w:rPr>
          <w:rFonts w:ascii="Times New Roman" w:cs="Times New Roman" w:eastAsia="Times New Roman" w:hAnsi="Times New Roman"/>
          <w:sz w:val="19"/>
          <w:szCs w:val="19"/>
          <w:color w:val="auto"/>
        </w:rPr>
        <w:t>Title 11 of the United States Code or any other applicable federal or State bankruptcy, insolvency or similar law.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615950</wp:posOffset>
            </wp:positionV>
            <wp:extent cx="6732905" cy="406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1440" w:right="700" w:bottom="1440" w:gutter="0" w:footer="0" w:header="0"/>
        </w:sectPr>
      </w:pPr>
    </w:p>
    <w:bookmarkStart w:id="529" w:name="page530"/>
    <w:bookmarkEnd w:id="529"/>
    <w:p>
      <w:pPr>
        <w:spacing w:after="0" w:line="200" w:lineRule="exact"/>
        <w:rPr>
          <w:sz w:val="20"/>
          <w:szCs w:val="20"/>
          <w:color w:val="auto"/>
        </w:rPr>
      </w:pPr>
    </w:p>
    <w:p>
      <w:pPr>
        <w:spacing w:after="0" w:line="261" w:lineRule="exact"/>
        <w:rPr>
          <w:sz w:val="20"/>
          <w:szCs w:val="20"/>
          <w:color w:val="auto"/>
        </w:rPr>
      </w:pPr>
    </w:p>
    <w:p>
      <w:pPr>
        <w:ind w:left="-700" w:right="960" w:firstLine="702"/>
        <w:spacing w:after="0" w:line="286" w:lineRule="auto"/>
        <w:tabs>
          <w:tab w:leader="none" w:pos="224" w:val="left"/>
        </w:tabs>
        <w:numPr>
          <w:ilvl w:val="0"/>
          <w:numId w:val="46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indemnification provisions set forth under this Section 8.3 shall survive the termination or assignment of this Agreement, or the earlier removal or resignation of the Owner Trustee, the Indenture Trustee or the Backup Servicer.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F5496"/>
        </w:rPr>
        <w:t xml:space="preserve">SECTION VIII.4. </w:t>
      </w:r>
      <w:r>
        <w:rPr>
          <w:rFonts w:ascii="Times New Roman" w:cs="Times New Roman" w:eastAsia="Times New Roman" w:hAnsi="Times New Roman"/>
          <w:sz w:val="19"/>
          <w:szCs w:val="19"/>
          <w:color w:val="000000"/>
        </w:rPr>
        <w:t>Merger or Consolidation of, or Assumption of the Obligations of the Servicer or Backup Servicer.</w:t>
      </w:r>
    </w:p>
    <w:p>
      <w:pPr>
        <w:spacing w:after="0" w:line="202" w:lineRule="exact"/>
        <w:rPr>
          <w:sz w:val="20"/>
          <w:szCs w:val="20"/>
          <w:color w:val="auto"/>
        </w:rPr>
      </w:pPr>
    </w:p>
    <w:p>
      <w:pPr>
        <w:ind w:left="-700" w:right="20" w:firstLine="702"/>
        <w:spacing w:after="0" w:line="252" w:lineRule="auto"/>
        <w:tabs>
          <w:tab w:leader="none" w:pos="260" w:val="left"/>
        </w:tabs>
        <w:numPr>
          <w:ilvl w:val="0"/>
          <w:numId w:val="46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United Auto shall not merge or consolidate with any other Person, convey, transfer or lease substantially all its assets as an entirety to another Person, or permit any other Person to become the successor to United Auto's business unless, after the merger, consolidation, conveyance, transfer, lease or succession, the successor or surviving entity shall be capable of fulfilling the duties of United Auto contained in this Agreement and the other Basic Documents. Any corporation (i) into which United Auto may be merged or consolidated, (ii) resulting from any merger or consolidation to which United Auto shall be a party, (iii) which acquires by conveyance, transfer, or lease substantially all of the assets of United Auto, or (iv) succeeding to the business of United Auto, in any of the foregoing cases shall execute an agreement of assumption to perform every obligation of United Auto under this Agreement and the other Basic Documents and, whether or not such assumption agreement is executed, shall be the successor to United Auto under this Agreement without the execution or filing of any paper or any further act on the part of any of the parties to this Agreement, anything in this Agreement to the contrary notwithstanding;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nothing contained herein shall be deemed to release United Auto from any obligation. United Auto shall provide notice of any merger, consolidation or succession pursuant to this Section to the Owner Trustee, Indenture Trustee, the Noteholders and each Rating Agency. Notwithstanding the foregoing, United Auto shall not merge or consolidate with any other Person or permit any other Person to become a successor to United Auto's business, unless (x) immediately after giving effect to such transaction, no representation or warranty made pursuant to Section 8.1 shall have been breached (for purposes hereof, such representations and warranties shall speak as of the date of the consummation of such transaction), (y) United Auto shall have delivered to the Owner Trustee, the Indenture Trustee, the Backup Servicer and each Rating Agency an Officer's Certificate and an Opinion of Counsel each stating that such consolidation, merger or succession and such agreement of assumption comply with this Section and that all conditions precedent, if any, provided for in this Agreement relating to such transaction have been complied with, and (z) United Auto shall have delivered to the Owner Trustee, the Indenture Trustee, the Backup Servicer and each Rating Agency an Opinion of Counsel, stating in the opinion of such counsel, either (A) all financing statements and continuation statements and amendments thereto have been executed and filed that are necessary to preserve and protect the interest of the Trust in the Receivables and the Other Conveyed Property and reciting the details of the filings or (B) no such action shall be necessary to preserve and protect such interest.</w:t>
      </w:r>
    </w:p>
    <w:p>
      <w:pPr>
        <w:spacing w:after="0" w:line="390" w:lineRule="exact"/>
        <w:rPr>
          <w:rFonts w:ascii="Times New Roman" w:cs="Times New Roman" w:eastAsia="Times New Roman" w:hAnsi="Times New Roman"/>
          <w:sz w:val="19"/>
          <w:szCs w:val="19"/>
          <w:color w:val="1F3763"/>
        </w:rPr>
      </w:pPr>
    </w:p>
    <w:p>
      <w:pPr>
        <w:ind w:left="-700" w:firstLine="702"/>
        <w:spacing w:after="0" w:line="256" w:lineRule="auto"/>
        <w:tabs>
          <w:tab w:leader="none" w:pos="272" w:val="left"/>
        </w:tabs>
        <w:numPr>
          <w:ilvl w:val="0"/>
          <w:numId w:val="46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Backup Servicer may merge with any other corporation, banking association or other entity. Any corporation, banking association or other entity (i) into which the Backup Servicer may be merged or consolidated, (ii) resulting from any merger or consolidation to which the Backup Servicer shall be a party, (iii) which acquires by conveyance, transfer or lease substantially all of the assets of the Backup Servicer, or (iv) succeeding to all or substantially all of the corporate trust business of the Backup Servicer, in any of</w:t>
      </w:r>
    </w:p>
    <w:p>
      <w:pPr>
        <w:spacing w:after="0" w:line="2" w:lineRule="exact"/>
        <w:rPr>
          <w:sz w:val="20"/>
          <w:szCs w:val="20"/>
          <w:color w:val="auto"/>
        </w:rPr>
      </w:pPr>
    </w:p>
    <w:p>
      <w:pPr>
        <w:ind w:left="4500" w:right="1080" w:hanging="5184"/>
        <w:spacing w:after="0" w:line="262" w:lineRule="auto"/>
        <w:rPr>
          <w:sz w:val="20"/>
          <w:szCs w:val="20"/>
          <w:color w:val="auto"/>
        </w:rPr>
      </w:pPr>
      <w:r>
        <w:rPr>
          <w:rFonts w:ascii="Times New Roman" w:cs="Times New Roman" w:eastAsia="Times New Roman" w:hAnsi="Times New Roman"/>
          <w:sz w:val="19"/>
          <w:szCs w:val="19"/>
          <w:color w:val="auto"/>
        </w:rPr>
        <w:t>the foregoing cases shall execute an agreement of assumption to perform every obligation of the Backup Servicer under this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615950</wp:posOffset>
            </wp:positionV>
            <wp:extent cx="6732905" cy="406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530" w:name="page531"/>
    <w:bookmarkEnd w:id="530"/>
    <w:p>
      <w:pPr>
        <w:spacing w:after="0" w:line="200" w:lineRule="exact"/>
        <w:rPr>
          <w:sz w:val="20"/>
          <w:szCs w:val="20"/>
          <w:color w:val="auto"/>
        </w:rPr>
      </w:pPr>
    </w:p>
    <w:p>
      <w:pPr>
        <w:spacing w:after="0" w:line="2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 xml:space="preserve">Agreement and, whether or not such assumption agreement is executed, shall be the successor to the Backup Servicer under this Agreement without the execution or filing of any paper or any further act on the part of any of the parties to this Agreement, anything in this Agreement to the contrary notwithstanding;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nothing contained herein shall be deemed to release the Backup Servicer from any obligation.</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VIII.5. </w:t>
      </w:r>
      <w:r>
        <w:rPr>
          <w:rFonts w:ascii="Times New Roman" w:cs="Times New Roman" w:eastAsia="Times New Roman" w:hAnsi="Times New Roman"/>
          <w:sz w:val="19"/>
          <w:szCs w:val="19"/>
          <w:color w:val="000000"/>
        </w:rPr>
        <w:t>Limitation on Liability of Servicer, Backup Servicer and Others.</w:t>
      </w:r>
    </w:p>
    <w:p>
      <w:pPr>
        <w:spacing w:after="0" w:line="202" w:lineRule="exact"/>
        <w:rPr>
          <w:sz w:val="20"/>
          <w:szCs w:val="20"/>
          <w:color w:val="auto"/>
        </w:rPr>
      </w:pPr>
    </w:p>
    <w:p>
      <w:pPr>
        <w:ind w:firstLine="702"/>
        <w:spacing w:after="0" w:line="253" w:lineRule="auto"/>
        <w:tabs>
          <w:tab w:leader="none" w:pos="960" w:val="left"/>
        </w:tabs>
        <w:numPr>
          <w:ilvl w:val="0"/>
          <w:numId w:val="46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Neither United Auto, the Backup Servicer nor any of the directors or officers or employees or agents of United Auto or Backup Servicer shall be under any liability to the Trust or the Noteholders, except as provided in this Agreement or the other Basic Documents to which it is a party, for any action taken or for refraining from the taking of any action pursuant thereto or thereto;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this provision shall not protect United Auto, the Backup Servicer or any such Person against any liability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would otherwise be imposed by reason of a breach of this Agreement or any other Basic Document to which it is a party (in the case of United Auto) or willful misconduct, bad faith or negligence (excluding errors in judgment) in the performance of duties;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further, </w:t>
      </w:r>
      <w:r>
        <w:rPr>
          <w:rFonts w:ascii="Times New Roman" w:cs="Times New Roman" w:eastAsia="Times New Roman" w:hAnsi="Times New Roman"/>
          <w:sz w:val="19"/>
          <w:szCs w:val="19"/>
          <w:color w:val="auto"/>
        </w:rPr>
        <w:t>that this provision shall not affect any liability to indemnify the Indenture Trustee and the Owner Trustee for costs, taxes,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expenses, claims, liabilities, losses or damages paid by the Indenture Trustee and the Owner Trustee, in their individual capacities. United Auto, the Backup Servicer and any director, officer, employee or agent of United Auto or Backup Servicer may rely in good faith on the written advice of counsel or on any document of any kind prima facie properly executed and submitted by any Person respecting any matters arising under this Agreement. The Servicer shall not be under any obligation to appear in, prosecute or defend any legal action that shall not be incidental to its obligations under this Agreement, and that in its opinion may involve it in any expense or liability.</w:t>
      </w:r>
    </w:p>
    <w:p>
      <w:pPr>
        <w:spacing w:after="0" w:line="393" w:lineRule="exact"/>
        <w:rPr>
          <w:rFonts w:ascii="Times New Roman" w:cs="Times New Roman" w:eastAsia="Times New Roman" w:hAnsi="Times New Roman"/>
          <w:sz w:val="19"/>
          <w:szCs w:val="19"/>
          <w:color w:val="1F3763"/>
        </w:rPr>
      </w:pPr>
    </w:p>
    <w:p>
      <w:pPr>
        <w:ind w:right="120" w:firstLine="702"/>
        <w:spacing w:after="0" w:line="252" w:lineRule="auto"/>
        <w:tabs>
          <w:tab w:leader="none" w:pos="972" w:val="left"/>
        </w:tabs>
        <w:numPr>
          <w:ilvl w:val="0"/>
          <w:numId w:val="46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Backup Servicer shall not be liable for any obligation of the Servicer contained in this Agreement or for any errors of the Servicer contained in any Computer Tape, certificate or other data or document delivered to the Backup Servicer hereunder or on which the Backup Servicer must rely in order to perform its obligations hereunder, and the Owner Trustee, the Indenture Trustee, the Backup Servicer, the Depositor and the Noteholders shall look only to the Servicer to perform such obligations. The Backup Servicer, the Indenture Trustee, the Owner Trustee and the Custodian shall have no responsibility and shall not be in default hereunder or incur any liability for any failure, error, malfunction or any delay in carrying out any of their respective duties under this Agreement if such failure or delay results from the Backup Servicer acting in accordance with information prepared or supplied by a Person other than the Backup Servicer (or contractual agents) or the failure of any such other Person to prepare or provide such information. The Backup Servicer shall have no responsibility, shall not be in default and shall incur no liability for (i) any act or failure to act of any third party (other than its contractual agents), including the Servicer or the Majority Noteholders, (ii) any inaccuracy or omission in a notice or communication received by the Backup Servicer from any third party (other than its contractual agents), (iii) the invalidity or</w:t>
      </w:r>
    </w:p>
    <w:p>
      <w:pPr>
        <w:spacing w:after="0" w:line="7"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9"/>
          <w:szCs w:val="19"/>
          <w:color w:val="auto"/>
        </w:rPr>
        <w:t>unenforceability of any Receivable under applicable law, (iv) the breach or inaccuracy of any representation or warranty made with respect to any Receivable, or (v) the acts or omissions of any successor Backup Servicer.</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31" w:name="page532"/>
    <w:bookmarkEnd w:id="531"/>
    <w:p>
      <w:pPr>
        <w:spacing w:after="0" w:line="200" w:lineRule="exact"/>
        <w:rPr>
          <w:sz w:val="20"/>
          <w:szCs w:val="20"/>
          <w:color w:val="auto"/>
        </w:rPr>
      </w:pPr>
    </w:p>
    <w:p>
      <w:pPr>
        <w:spacing w:after="0" w:line="261" w:lineRule="exact"/>
        <w:rPr>
          <w:sz w:val="20"/>
          <w:szCs w:val="20"/>
          <w:color w:val="auto"/>
        </w:rPr>
      </w:pPr>
    </w:p>
    <w:p>
      <w:pPr>
        <w:ind w:firstLine="702"/>
        <w:spacing w:after="0" w:line="256" w:lineRule="auto"/>
        <w:tabs>
          <w:tab w:leader="none" w:pos="960" w:val="left"/>
        </w:tabs>
        <w:numPr>
          <w:ilvl w:val="0"/>
          <w:numId w:val="46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parties expressly acknowledge and consent to Computershare Trust Company, N.A., acting in the possible dual capacity of Backup Servicer or successor Servicer and in the capacity as Indenture Trustee. Computershare Trust Company, N.A., may, in such dual or other capacity, discharge its separate functions fully, without hindrance or regard to conflict of interest principles or other breach of duties to the extent that any such conflict or breach arises from the performance by Computershare Trust Company, N.A., of express duties set forth in this Agreement in any of such capacities, all of which defenses, claims or assertions are hereby expressly waived by the other parties hereto and the Noteholders except in the case of willful misconduct, bad faith or negligence by Computershare Trust Company, N.A..</w:t>
      </w:r>
    </w:p>
    <w:p>
      <w:pPr>
        <w:spacing w:after="0" w:line="157"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2F5496"/>
        </w:rPr>
        <w:t xml:space="preserve">SECTION VIII.6. </w:t>
      </w:r>
      <w:r>
        <w:rPr>
          <w:rFonts w:ascii="Times New Roman" w:cs="Times New Roman" w:eastAsia="Times New Roman" w:hAnsi="Times New Roman"/>
          <w:sz w:val="19"/>
          <w:szCs w:val="19"/>
          <w:color w:val="000000"/>
        </w:rPr>
        <w:t>Delegation of Duties». The Servicer may delegate duties under this Agreement to an Affiliate of the Servicer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without first obtaining the consent of any Person and any successor Servicer may delegate its duties under this Agreement to an Affiliate or any other entity without first obtaining the consent of any Person. The Servicer also may at any time perform through sub-contractors the specific duties of (a) repossession of Financed Vehicles, (b) tracking Financed Vehicles' insurance, (c) pursuing the collection of past due balances on certain Receivables and (d) pursuing the collection of deficiency balances on certain Defaulted Receivables, in each case, without the consent of the Indenture Trustee, the Owner Trustee or the Backup Servicer and may perform other specific duties through such sub -contractors in accordance with the Servicing Policies and Procedures, with the prior consent of the Indenture Trustee. No delegation or sub-contracting by the Servicer of its duties herein in the manner described in this Section 8.6 shall relieve the Servicer of its responsibility with respect to such duties. All compensation payable to a subservicer under a subservicing or sub-contracting agreement shall be payable by the Servicer from its servicing compensation or otherwise from its own funds.</w:t>
      </w:r>
    </w:p>
    <w:p>
      <w:pPr>
        <w:spacing w:after="0" w:line="160" w:lineRule="exact"/>
        <w:rPr>
          <w:sz w:val="20"/>
          <w:szCs w:val="20"/>
          <w:color w:val="auto"/>
        </w:rPr>
      </w:pPr>
    </w:p>
    <w:p>
      <w:pPr>
        <w:ind w:right="80" w:firstLine="696"/>
        <w:spacing w:after="0" w:line="252" w:lineRule="auto"/>
        <w:rPr>
          <w:sz w:val="20"/>
          <w:szCs w:val="20"/>
          <w:color w:val="auto"/>
        </w:rPr>
      </w:pPr>
      <w:r>
        <w:rPr>
          <w:rFonts w:ascii="Times New Roman" w:cs="Times New Roman" w:eastAsia="Times New Roman" w:hAnsi="Times New Roman"/>
          <w:sz w:val="19"/>
          <w:szCs w:val="19"/>
          <w:color w:val="2F5496"/>
        </w:rPr>
        <w:t xml:space="preserve">SECTION VIII.7. </w:t>
      </w:r>
      <w:r>
        <w:rPr>
          <w:rFonts w:ascii="Times New Roman" w:cs="Times New Roman" w:eastAsia="Times New Roman" w:hAnsi="Times New Roman"/>
          <w:sz w:val="19"/>
          <w:szCs w:val="19"/>
          <w:color w:val="000000"/>
        </w:rPr>
        <w:t>Servicer and Backup Servicer Not to Resign». Subject to the provisions of Section 8.4, neither the Servicer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nor the Backup Servicer shall resign from the obligations and duties imposed on it by this Agreement as Servicer or Backup Servicer except upon a determination that the performance of its duties under this Agreement is no longer permissible by law. Any such determination permitting the resignation of the Servicer or Backup Servicer shall be evidenced by an Opinion of Counsel to such effect delivered and acceptable to the Indenture Trustee. No resignation of the Servicer shall become effective until the Backup Servicer or a Permitted Successor shall have assumed the responsibilities and obligations of the Servicer. No resignation of the Backup Servicer shall become effective until a Permitted Successor shall have assumed the responsibilities and obligations of the Backup Servicer;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 xml:space="preserve">however, </w:t>
      </w:r>
      <w:r>
        <w:rPr>
          <w:rFonts w:ascii="Times New Roman" w:cs="Times New Roman" w:eastAsia="Times New Roman" w:hAnsi="Times New Roman"/>
          <w:sz w:val="19"/>
          <w:szCs w:val="19"/>
          <w:color w:val="000000"/>
        </w:rPr>
        <w:t>that (i) in the event a successor Backup Servicer is not appointed within 60 days after the Backup Servicer has given notice of</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its resignation and has provided the Opinion of Counsel required by this Section, the Backup Servicer may petition a court for its removal (with all reasonable fees, costs and expenses (including attorneys' fees and expenses) incurred in connection with such petition to be paid by the Issuer pursuant to Section 5.7(b) of this Agreement or Section 5.6 of the Indenture, as applicable, and to the extent not paid thereby, by the initial Servicer), and (ii) if Computershare Trust Company, N.A. resigns as Indenture Trustee under the Indenture, it will no longer be the Backup Servicer.</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32" w:name="page533"/>
    <w:bookmarkEnd w:id="532"/>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VIII.8. </w:t>
      </w:r>
      <w:r>
        <w:rPr>
          <w:rFonts w:ascii="Times New Roman" w:cs="Times New Roman" w:eastAsia="Times New Roman" w:hAnsi="Times New Roman"/>
          <w:sz w:val="19"/>
          <w:szCs w:val="19"/>
          <w:color w:val="000000"/>
        </w:rPr>
        <w:t>Rights of the Backup Servicer.</w:t>
      </w:r>
    </w:p>
    <w:p>
      <w:pPr>
        <w:spacing w:after="0" w:line="202" w:lineRule="exact"/>
        <w:rPr>
          <w:sz w:val="20"/>
          <w:szCs w:val="20"/>
          <w:color w:val="auto"/>
        </w:rPr>
      </w:pPr>
    </w:p>
    <w:p>
      <w:pPr>
        <w:jc w:val="both"/>
        <w:ind w:right="140" w:firstLine="1410"/>
        <w:spacing w:after="0" w:line="262" w:lineRule="auto"/>
        <w:tabs>
          <w:tab w:leader="none" w:pos="1665"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otherwise, under no circumstance will the Backup Servicer be liable for special, punitive, indirect, or consequential loss or damage of any kind whatsoever, whether or not foreseeable, or for any loss of business, goodwill, opportunity, or profit, whether arising directly or indirectly and whether or not foreseeable, even if the Backup Servicer has actual knowledge of or has been advised of the likelihood of such loss or damage and regardless of the form of action.</w:t>
      </w:r>
    </w:p>
    <w:p>
      <w:pPr>
        <w:spacing w:after="0" w:line="150" w:lineRule="exact"/>
        <w:rPr>
          <w:rFonts w:ascii="Times New Roman" w:cs="Times New Roman" w:eastAsia="Times New Roman" w:hAnsi="Times New Roman"/>
          <w:sz w:val="19"/>
          <w:szCs w:val="19"/>
          <w:color w:val="auto"/>
        </w:rPr>
      </w:pPr>
    </w:p>
    <w:p>
      <w:pPr>
        <w:ind w:right="220" w:firstLine="1410"/>
        <w:spacing w:after="0" w:line="268" w:lineRule="auto"/>
        <w:tabs>
          <w:tab w:leader="none" w:pos="1676"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Responsible Officer of the Backup Servicer shall not be imputed with any knowledge of, or information possessed or obtained by, another Responsible Officer of the Indenture Trustee or any other Affiliate, other business line or division of Computershare Trust Company, N.A. and vice versa.</w:t>
      </w:r>
    </w:p>
    <w:p>
      <w:pPr>
        <w:spacing w:after="0" w:line="144" w:lineRule="exact"/>
        <w:rPr>
          <w:rFonts w:ascii="Times New Roman" w:cs="Times New Roman" w:eastAsia="Times New Roman" w:hAnsi="Times New Roman"/>
          <w:sz w:val="19"/>
          <w:szCs w:val="19"/>
          <w:color w:val="auto"/>
        </w:rPr>
      </w:pPr>
    </w:p>
    <w:p>
      <w:pPr>
        <w:ind w:right="20" w:firstLine="1410"/>
        <w:spacing w:after="0" w:line="268" w:lineRule="auto"/>
        <w:tabs>
          <w:tab w:leader="none" w:pos="1665"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expressly set forth in the Basic Documents, the Backup Servicer shall not be held responsible for the acts or omissions of the Depositor, Servicer, Issuer, Indenture Trustee, Owner Trustee, or any other party to the Basic Documents, and may assume performance of such parties absent written notice or actual knowledge of a Responsible Officer to the contrary.</w:t>
      </w:r>
    </w:p>
    <w:p>
      <w:pPr>
        <w:spacing w:after="0" w:line="144" w:lineRule="exact"/>
        <w:rPr>
          <w:rFonts w:ascii="Times New Roman" w:cs="Times New Roman" w:eastAsia="Times New Roman" w:hAnsi="Times New Roman"/>
          <w:sz w:val="19"/>
          <w:szCs w:val="19"/>
          <w:color w:val="auto"/>
        </w:rPr>
      </w:pPr>
    </w:p>
    <w:p>
      <w:pPr>
        <w:ind w:right="40" w:firstLine="1410"/>
        <w:spacing w:after="0" w:line="255" w:lineRule="auto"/>
        <w:tabs>
          <w:tab w:leader="none" w:pos="1676"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discretionary, permissive right, nor privilege of the Backup Servicer shall be deemed or construed as a duty or obligation. The duties and obligations of the Backup Servicer shall be determined solely by the express provisions of this Agreement and no implied covenants or obligations (including any implied duty to enforce another party’s obligations if the Transaction Documents have not assigned such responsibility to a party) shall be read into this Agreement against the Backup Servicer; and in the absence of bad faith on its part, the Backup Servicer may conclusively rely, as to the truth of the statements and the correctness of the opinions expressed therein, upon certificates or opinions furnished to it and conforming to the requirements of this Agreement; however, the Backup Servicer shall examine the certificates and opinions to determine whether or not they conform on their face to the requirements of this Agreement.</w:t>
      </w:r>
    </w:p>
    <w:p>
      <w:pPr>
        <w:spacing w:after="0" w:line="391" w:lineRule="exact"/>
        <w:rPr>
          <w:rFonts w:ascii="Times New Roman" w:cs="Times New Roman" w:eastAsia="Times New Roman" w:hAnsi="Times New Roman"/>
          <w:sz w:val="19"/>
          <w:szCs w:val="19"/>
          <w:color w:val="auto"/>
        </w:rPr>
      </w:pPr>
    </w:p>
    <w:p>
      <w:pPr>
        <w:jc w:val="both"/>
        <w:ind w:right="160" w:firstLine="1410"/>
        <w:spacing w:after="0" w:line="262" w:lineRule="auto"/>
        <w:tabs>
          <w:tab w:leader="none" w:pos="1665"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Backup Servicer shall be entitled to each protection, privilege or indemnity afforded to the Indenture Trustee under Sections 3.7, 6.1(c), 6.1(f) (except for any express costs and expenses related to the performance of the Backup Servicer's duties under this Agreement, such as transition expenses which exceed the maximum set forth in Sections 4.5(c)), 6.1(i), 6.1(k), 6.2(a), 6.2(b), 6.2(c), 6.2(e), 6.2(g), 6.2(j), 6.2(l), 6.2(m), 6.2(n), 6.2(o) and 6.2(p) of the Indenture.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F5496"/>
        </w:rPr>
        <w:t>ARTICLE IX</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Default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IX.1. </w:t>
      </w:r>
      <w:r>
        <w:rPr>
          <w:rFonts w:ascii="Times New Roman" w:cs="Times New Roman" w:eastAsia="Times New Roman" w:hAnsi="Times New Roman"/>
          <w:sz w:val="19"/>
          <w:szCs w:val="19"/>
          <w:color w:val="000000"/>
        </w:rPr>
        <w:t>Servicer Termination Event. For purposes of this Agreement, each of the following shall constitute a "Servicer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Termination Event":</w:t>
      </w:r>
    </w:p>
    <w:p>
      <w:pPr>
        <w:spacing w:after="0" w:line="180" w:lineRule="exact"/>
        <w:rPr>
          <w:sz w:val="20"/>
          <w:szCs w:val="20"/>
          <w:color w:val="auto"/>
        </w:rPr>
      </w:pPr>
    </w:p>
    <w:p>
      <w:pPr>
        <w:ind w:firstLine="702"/>
        <w:spacing w:after="0" w:line="258" w:lineRule="auto"/>
        <w:tabs>
          <w:tab w:leader="none" w:pos="960" w:val="left"/>
        </w:tabs>
        <w:numPr>
          <w:ilvl w:val="0"/>
          <w:numId w:val="465"/>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failure by the Servicer to deliver to the Indenture Trustee for distribution to Noteholders any proceeds or payment required to be so delivered under the terms of this Agreement that continues unremedied for a period of two Business Days (one Business Day with</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33" w:name="page534"/>
    <w:bookmarkEnd w:id="533"/>
    <w:p>
      <w:pPr>
        <w:spacing w:after="0" w:line="200" w:lineRule="exact"/>
        <w:rPr>
          <w:sz w:val="20"/>
          <w:szCs w:val="20"/>
          <w:color w:val="auto"/>
        </w:rPr>
      </w:pPr>
    </w:p>
    <w:p>
      <w:pPr>
        <w:spacing w:after="0" w:line="26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9"/>
          <w:szCs w:val="19"/>
          <w:color w:val="auto"/>
        </w:rPr>
        <w:t>respect to payment of Purchase Amounts) after written notice is received by the Servicer from the Indenture Trustee, from holders of Notes representing at least [***]% of the Note Balance of the Controlling Class thereof, or after discovery of such failure by a Responsible Officer of the Servicer;</w:t>
      </w:r>
    </w:p>
    <w:p>
      <w:pPr>
        <w:spacing w:after="0" w:line="144" w:lineRule="exact"/>
        <w:rPr>
          <w:sz w:val="20"/>
          <w:szCs w:val="20"/>
          <w:color w:val="auto"/>
        </w:rPr>
      </w:pPr>
    </w:p>
    <w:p>
      <w:pPr>
        <w:ind w:right="380" w:firstLine="702"/>
        <w:spacing w:after="0" w:line="286" w:lineRule="auto"/>
        <w:tabs>
          <w:tab w:leader="none" w:pos="972" w:val="left"/>
        </w:tabs>
        <w:numPr>
          <w:ilvl w:val="0"/>
          <w:numId w:val="4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Failure by the Servicer to deliver to the Indenture Trustee the Servicer's Certificate by the first Business Day prior to the Distribution Date, or failure on the part of the Servicer to observe its covenants and agreements set forth in Section 8.4(a);</w:t>
      </w:r>
    </w:p>
    <w:p>
      <w:pPr>
        <w:spacing w:after="0" w:line="127" w:lineRule="exact"/>
        <w:rPr>
          <w:rFonts w:ascii="Times New Roman" w:cs="Times New Roman" w:eastAsia="Times New Roman" w:hAnsi="Times New Roman"/>
          <w:sz w:val="19"/>
          <w:szCs w:val="19"/>
          <w:color w:val="1F3763"/>
        </w:rPr>
      </w:pPr>
    </w:p>
    <w:p>
      <w:pPr>
        <w:ind w:right="80" w:firstLine="702"/>
        <w:spacing w:after="0" w:line="259" w:lineRule="auto"/>
        <w:tabs>
          <w:tab w:leader="none" w:pos="960" w:val="left"/>
        </w:tabs>
        <w:numPr>
          <w:ilvl w:val="0"/>
          <w:numId w:val="4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Failure on the part of the Servicer duly to observe or perform any other covenants or agreements of the Servicer set forth in this Agreement, which failure (i) materially and adversely affects the rights of Noteholders, and (ii) continues unremedied for a period of 30 days after knowledge thereof by the Servicer or after the date on which written notice of such failure, requiring the same to be remedied, shall have been given to the Servicer by the Indenture Trustee, by holders of Notes representing at least [***]% of the Note Balance of the Controlling Class thereof;</w:t>
      </w:r>
    </w:p>
    <w:p>
      <w:pPr>
        <w:spacing w:after="0" w:line="153" w:lineRule="exact"/>
        <w:rPr>
          <w:rFonts w:ascii="Times New Roman" w:cs="Times New Roman" w:eastAsia="Times New Roman" w:hAnsi="Times New Roman"/>
          <w:sz w:val="19"/>
          <w:szCs w:val="19"/>
          <w:color w:val="1F3763"/>
        </w:rPr>
      </w:pPr>
    </w:p>
    <w:p>
      <w:pPr>
        <w:ind w:right="120" w:firstLine="702"/>
        <w:spacing w:after="0" w:line="256" w:lineRule="auto"/>
        <w:tabs>
          <w:tab w:leader="none" w:pos="972" w:val="left"/>
        </w:tabs>
        <w:numPr>
          <w:ilvl w:val="0"/>
          <w:numId w:val="4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entry of a decree or order for relief by a court or regulatory authority having jurisdiction in respect of the Servicer in an involuntary case under the federal bankruptcy laws, as now or hereafter in effect, or another present or future, federal bankruptcy, insolvency or similar law, or appointing a receiver, liquidator, assignee, trustee, custodian, sequestrator or other similar official of the Servicer, or of any substantial part of its property or ordering the winding up or liquidation of the affairs of the Servicer and the continuance of any such decree or order unstayed and in effect for a period of 60 consecutive days or the commencement of an involuntary case under the federal bankruptcy laws, as now or hereinafter in effect, or another present or future federal or State bankruptcy, insolvency or similar law and such case is not dismissed within 60 days;</w:t>
      </w:r>
    </w:p>
    <w:p>
      <w:pPr>
        <w:spacing w:after="0" w:line="157" w:lineRule="exact"/>
        <w:rPr>
          <w:rFonts w:ascii="Times New Roman" w:cs="Times New Roman" w:eastAsia="Times New Roman" w:hAnsi="Times New Roman"/>
          <w:sz w:val="19"/>
          <w:szCs w:val="19"/>
          <w:color w:val="1F3763"/>
        </w:rPr>
      </w:pPr>
    </w:p>
    <w:p>
      <w:pPr>
        <w:ind w:firstLine="702"/>
        <w:spacing w:after="0" w:line="257" w:lineRule="auto"/>
        <w:tabs>
          <w:tab w:leader="none" w:pos="960" w:val="left"/>
        </w:tabs>
        <w:numPr>
          <w:ilvl w:val="0"/>
          <w:numId w:val="4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commencement by the Servicer of a voluntary case under the federal bankruptcy laws, as now or hereafter in effect, or any other present or future, federal or State, bankruptcy, insolvency or similar law, or the consent by the Servicer to the appointment of or taking possession by a receiver, liquidator, assignee, trustee, custodian, sequestrator or other similar official of the Servicer or of any substantial part of its property or the making by the Servicer of an assignment for the benefit of creditors or the failure by the Servicer generally to pay its debts as such debts become due or the taking of corporate action by the Servicer in furtherance of any of the foregoing; or</w:t>
      </w:r>
    </w:p>
    <w:p>
      <w:pPr>
        <w:spacing w:after="0" w:line="156" w:lineRule="exact"/>
        <w:rPr>
          <w:rFonts w:ascii="Times New Roman" w:cs="Times New Roman" w:eastAsia="Times New Roman" w:hAnsi="Times New Roman"/>
          <w:sz w:val="19"/>
          <w:szCs w:val="19"/>
          <w:color w:val="1F3763"/>
        </w:rPr>
      </w:pPr>
    </w:p>
    <w:p>
      <w:pPr>
        <w:jc w:val="both"/>
        <w:ind w:right="180" w:firstLine="702"/>
        <w:spacing w:after="0" w:line="255" w:lineRule="auto"/>
        <w:tabs>
          <w:tab w:leader="none" w:pos="936" w:val="left"/>
        </w:tabs>
        <w:numPr>
          <w:ilvl w:val="0"/>
          <w:numId w:val="46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representation, warranty or statement of the Servicer made in this Agreement or any certificate, report or other writing delivered pursuant hereto shall prove to be incorrect in any material respect as of the time when the same shall have been made, and the incorrectness of such representation, warranty or statement has a material adverse effect on the Trust or any Noteholders and, within 30 days after knowledge thereof by the Servicer or after written notice thereof, requiring the same to be remedied, shall have been given to the Servicer by the Indenture Trustee, by holders of Notes representing at least [***]% of the Note Balance of the Controlling Class</w:t>
      </w:r>
    </w:p>
    <w:p>
      <w:pPr>
        <w:spacing w:after="0" w:line="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9"/>
          <w:szCs w:val="19"/>
          <w:color w:val="auto"/>
        </w:rPr>
        <w:t>thereof, the circumstances or condition in respect of which such representation, warranty or statement was incorrect shall not have been eliminated or otherwise cured.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34" w:name="page535"/>
    <w:bookmarkEnd w:id="534"/>
    <w:p>
      <w:pPr>
        <w:spacing w:after="0" w:line="200" w:lineRule="exact"/>
        <w:rPr>
          <w:sz w:val="20"/>
          <w:szCs w:val="20"/>
          <w:color w:val="auto"/>
        </w:rPr>
      </w:pPr>
    </w:p>
    <w:p>
      <w:pPr>
        <w:spacing w:after="0" w:line="261" w:lineRule="exact"/>
        <w:rPr>
          <w:sz w:val="20"/>
          <w:szCs w:val="20"/>
          <w:color w:val="auto"/>
        </w:rPr>
      </w:pPr>
    </w:p>
    <w:p>
      <w:pPr>
        <w:ind w:firstLine="696"/>
        <w:spacing w:after="0" w:line="265" w:lineRule="auto"/>
        <w:rPr>
          <w:sz w:val="20"/>
          <w:szCs w:val="20"/>
          <w:color w:val="auto"/>
        </w:rPr>
      </w:pPr>
      <w:r>
        <w:rPr>
          <w:rFonts w:ascii="Times New Roman" w:cs="Times New Roman" w:eastAsia="Times New Roman" w:hAnsi="Times New Roman"/>
          <w:sz w:val="19"/>
          <w:szCs w:val="19"/>
          <w:color w:val="auto"/>
        </w:rPr>
        <w:t xml:space="preserve">Notwithstanding the foregoing, Indenture Trustee (i) shall only give notice of such material breach to the Servicer in accordance with clauses (c) or (f) above pursuant to written direction from the holders of Notes evidencing at least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of the Note Balance of the Controlling Class thereof and (ii) shall have no obligation to confirm the existence of such breach or to determine or verify its materiality.</w:t>
      </w:r>
    </w:p>
    <w:p>
      <w:pPr>
        <w:spacing w:after="0" w:line="381" w:lineRule="exact"/>
        <w:rPr>
          <w:sz w:val="20"/>
          <w:szCs w:val="20"/>
          <w:color w:val="auto"/>
        </w:rPr>
      </w:pPr>
    </w:p>
    <w:p>
      <w:pPr>
        <w:ind w:firstLine="696"/>
        <w:spacing w:after="0" w:line="251" w:lineRule="auto"/>
        <w:rPr>
          <w:sz w:val="20"/>
          <w:szCs w:val="20"/>
          <w:color w:val="auto"/>
        </w:rPr>
      </w:pPr>
      <w:r>
        <w:rPr>
          <w:rFonts w:ascii="Times New Roman" w:cs="Times New Roman" w:eastAsia="Times New Roman" w:hAnsi="Times New Roman"/>
          <w:sz w:val="19"/>
          <w:szCs w:val="19"/>
          <w:color w:val="2F5496"/>
        </w:rPr>
        <w:t xml:space="preserve">SECTION IX.2. </w:t>
      </w:r>
      <w:r>
        <w:rPr>
          <w:rFonts w:ascii="Times New Roman" w:cs="Times New Roman" w:eastAsia="Times New Roman" w:hAnsi="Times New Roman"/>
          <w:sz w:val="19"/>
          <w:szCs w:val="19"/>
          <w:color w:val="000000"/>
        </w:rPr>
        <w:t>Consequences of a Servicer Termination Event. If a Servicer Termination Event shall occur and be continuing,</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the Indenture Trustee may, or at the direction of the Majority Noteholders, shall, by notice given in writing to the Servicer (and to the Indenture Trustee if given by the Majority Noteholders) terminate all of the rights and obligations of the Servicer under this Agreement (except for rights and obligations under Section 11.1). On or after the receipt by the Servicer of such written notice or upon termination of the term of the Servicer, all authority, power, obligations and responsibilities of the Servicer under this Agreement, whether with respect to the Notes, the Certificates, the Receivables or the Other Conveyed Property or otherwise, automatically shall pass to, be vested in and become obligations and responsibilities of the Backup Servicer (or such other successor Servicer appointed by the Majority Noteholders, pursuant to Section 9.3);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the successor Servicer shall have no liability with respect to any obligation which was required to be performed by the terminated Servicer prior to the date that the successor Servicer becomes the Servicer or any claim of a third party based on any alleged action or inaction of the terminated Servicer. The successor Servicer is authorized and empowered by this Agreement to execute and deliver, on behalf of the terminated Servicer, as attorney-in-fact or otherwise, any and all documents and other instruments and to do or accomplish all other acts or things necessary or appropriate to effect the purposes of such notice of termination, whether to complete the transfer and endorsement of the Receivables and the Other Conveyed Property and related documents to show the Trust as lienholder or secured party on the related Lien Certificates, or otherwise. The terminated Servicer agrees to cooperate with the successor Servicer in effecting the termination of the responsibilities and rights of the terminated Servicer under this Agreement, including the transfer to the successor Servicer for administration by it of all cash amounts that shall at the time be held by the terminated Servicer for deposit, or have been deposited by the terminated Servicer, in the Collection Account or thereafter received with respect to the Receivables and the delivery to the successor Servicer of all Receivable Files, Monthly Records and Collection Records and a Computer Tape in readable form as of the most recent Business Day containing all information necessary to enable the successor Servicer to service the Receivables and the Other Conveyed Property. If requested by the Indenture Trustee (acting at the written direction of the Majority Noteholders), or if the successor Servicer so elects, the successor Servicer shall terminate the Lockbox Agreement and direct the Obligors to make all payments under the Receivables directly to the successor Servicer (in which event the successor Servicer shall process such payments in accordance with the first sentence of Section 4.2(e)), or to a lockbox established by the successor Servicer at the direction of the Indenture Trustee (acting at the written direction of the Majority Noteholders), at the successor Servicer's expense. The terminated Servicer shall grant the Indenture Trustee and the successor Servicer reasonable access to the terminated Servicer's premises at the terminated Servicer's expense. All reasonable costs and expenses (including attorneys' fees and disbursements) incurred by the Backup Servicer in connection with the transfer and assumption of servicing obligations hereunder from the Servicer to the Backup Servicer, as the successor Servicer, converting the Servicer's data to such party's computer system and amending this Agreement and the other Basic Documents to reflect such succession as Servicer pursuant to this Section shall be paid by the terminated Servicer promptly</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35" w:name="page536"/>
    <w:bookmarkEnd w:id="535"/>
    <w:p>
      <w:pPr>
        <w:spacing w:after="0" w:line="200" w:lineRule="exact"/>
        <w:rPr>
          <w:sz w:val="20"/>
          <w:szCs w:val="20"/>
          <w:color w:val="auto"/>
        </w:rPr>
      </w:pPr>
    </w:p>
    <w:p>
      <w:pPr>
        <w:spacing w:after="0" w:line="26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upon presentation of a written invoice setting forth reasonable transition expenses. In no event shall the Backup Servicer, if it becomes the successor Servicer, be responsible for any such transition expenses. If the terminated Servicer fails to pay the transition expenses, the transition expenses shall be payable pursuant to Section 5.7.</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IX.3. </w:t>
      </w:r>
      <w:r>
        <w:rPr>
          <w:rFonts w:ascii="Times New Roman" w:cs="Times New Roman" w:eastAsia="Times New Roman" w:hAnsi="Times New Roman"/>
          <w:sz w:val="19"/>
          <w:szCs w:val="19"/>
          <w:color w:val="000000"/>
        </w:rPr>
        <w:t>Appointment of Successor.</w:t>
      </w:r>
    </w:p>
    <w:p>
      <w:pPr>
        <w:spacing w:after="0" w:line="202" w:lineRule="exact"/>
        <w:rPr>
          <w:sz w:val="20"/>
          <w:szCs w:val="20"/>
          <w:color w:val="auto"/>
        </w:rPr>
      </w:pPr>
    </w:p>
    <w:p>
      <w:pPr>
        <w:ind w:firstLine="702"/>
        <w:spacing w:after="0" w:line="255" w:lineRule="auto"/>
        <w:tabs>
          <w:tab w:leader="none" w:pos="960" w:val="left"/>
        </w:tabs>
        <w:numPr>
          <w:ilvl w:val="0"/>
          <w:numId w:val="46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On and after the time the Servicer receives a notice of termination pursuant to Section 9.2 or upon the resignation of the Servicer pursuant to Section 8.7, the Backup Servicer (unless the Majority Noteholders shall have exercised its option pursuant to Section 9.3(b) to appoint an alternate successor Servicer) shall be the successor in all respects to the Servicer in its capacity as servicer under this Agreement and the transactions set forth or provided for in this Agreement and the other Basic Documents, and shall be subject to all the rights, responsibilities, restrictions, duties, liabilities and termination provisions relating thereto placed on the Servicer by the terms and provisions of this Agreement except as otherwise stated herein. The Indenture Trustee and such successor Servicer shall take such action, consistent with this Agreement, as shall be necessary to effectuate any such succession. If a successor Servicer is acting as Servicer hereunder, it shall be subject to termination under Section 9.2 upon the occurrence of any Servicer Termination Event applicable to it as Servicer.</w:t>
      </w:r>
    </w:p>
    <w:p>
      <w:pPr>
        <w:spacing w:after="0" w:line="155" w:lineRule="exact"/>
        <w:rPr>
          <w:rFonts w:ascii="Times New Roman" w:cs="Times New Roman" w:eastAsia="Times New Roman" w:hAnsi="Times New Roman"/>
          <w:sz w:val="19"/>
          <w:szCs w:val="19"/>
          <w:color w:val="1F3763"/>
        </w:rPr>
      </w:pPr>
    </w:p>
    <w:p>
      <w:pPr>
        <w:ind w:firstLine="702"/>
        <w:spacing w:after="0" w:line="252" w:lineRule="auto"/>
        <w:tabs>
          <w:tab w:leader="none" w:pos="972" w:val="left"/>
        </w:tabs>
        <w:numPr>
          <w:ilvl w:val="0"/>
          <w:numId w:val="46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Indenture Trustee (acting at the written direction of the Majority Noteholders) may exercise at any time its right to appoint as Backup Servicer or as successor to the Servicer a Person other than the Person serving as Backup Servicer at the time, and shall have no liability to United Auto, the Depositor, the Person then serving as Backup Servicer, any Noteholders or any other Person if it does so. Notwithstanding the above, if the Backup Servicer shall be legally unable or unwilling to act as successor Servicer pursuant to Section 9.3(a), then the Backup Servicer, the Indenture Trustee or the Majority Noteholders may petition a court of competent jurisdiction to appoint a Permitted Successor as the successor to the Servicer. Pending appointment pursuant to the preceding sentence, the Backup Servicer shall act as successor Servicer unless it is legally unable to do so, in which event the outgoing Servicer shall continue to act as Servicer until a successor has been appointed and accepted such appointment. Subject to Section 8.7, no provision of this Agreement shall be construed as relieving the Backup Servicer of its obligation to succeed as successor Servicer upon the termination of the Servicer pursuant to Section 9.2 or the resignation of the Servicer pursuant to Section 8.7. If upon the termination of the Servicer pursuant to Section 9.2 or the resignation of the Servicer pursuant to Section 8.7, the Majority Noteholders direct the Indenture Trustee to appoint a successor Servicer other than the Backup Servicer, the Backup Servicer shall not be relieved of its duties as Backup Servicer hereunder. In the event any successor Servicer is terminated pursuant to Section 9.2, the Indenture Trustee (acting at the written direction of the Majority Noteholders), shall appoint a Permitted Successor as successor Servicer or may petition a court of competent jurisdiction to appoint a Person that it determines is competent to perform the duties of the Servicer hereunder as successor</w:t>
      </w:r>
    </w:p>
    <w:p>
      <w:pPr>
        <w:spacing w:after="0" w:line="2" w:lineRule="exact"/>
        <w:rPr>
          <w:sz w:val="20"/>
          <w:szCs w:val="20"/>
          <w:color w:val="auto"/>
        </w:rPr>
      </w:pPr>
    </w:p>
    <w:p>
      <w:pPr>
        <w:ind w:right="680"/>
        <w:spacing w:after="0" w:line="250" w:lineRule="auto"/>
        <w:rPr>
          <w:sz w:val="20"/>
          <w:szCs w:val="20"/>
          <w:color w:val="auto"/>
        </w:rPr>
      </w:pPr>
      <w:r>
        <w:rPr>
          <w:rFonts w:ascii="Times New Roman" w:cs="Times New Roman" w:eastAsia="Times New Roman" w:hAnsi="Times New Roman"/>
          <w:sz w:val="19"/>
          <w:szCs w:val="19"/>
          <w:color w:val="auto"/>
        </w:rPr>
        <w:t>Servicer. Pending appointment pursuant to the preceding sentence, the outgoing Servicer shall continue to act as Servicer until a successor has been appointed and accepted such appointment.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36" w:name="page537"/>
    <w:bookmarkEnd w:id="536"/>
    <w:p>
      <w:pPr>
        <w:spacing w:after="0" w:line="200" w:lineRule="exact"/>
        <w:rPr>
          <w:sz w:val="20"/>
          <w:szCs w:val="20"/>
          <w:color w:val="auto"/>
        </w:rPr>
      </w:pPr>
    </w:p>
    <w:p>
      <w:pPr>
        <w:spacing w:after="0" w:line="261" w:lineRule="exact"/>
        <w:rPr>
          <w:sz w:val="20"/>
          <w:szCs w:val="20"/>
          <w:color w:val="auto"/>
        </w:rPr>
      </w:pPr>
    </w:p>
    <w:p>
      <w:pPr>
        <w:ind w:right="60" w:firstLine="702"/>
        <w:spacing w:after="0" w:line="254" w:lineRule="auto"/>
        <w:tabs>
          <w:tab w:leader="none" w:pos="960" w:val="left"/>
        </w:tabs>
        <w:numPr>
          <w:ilvl w:val="0"/>
          <w:numId w:val="46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Any successor Servicer shall be entitled to such compensation (whether payable out of the Collection Account or otherwise) as the Servicer would have been entitled to under this Agreement if the Servicer had not resigned or been terminated hereunder or such other compensation as set forth herein. If any successor Servicer is appointed, including as a result of the Backup Servicer's refusal (in breach of the terms of this Agreement) to act as Servicer although it is legally able to do so, the Depositor and such successor Servicer may agree on reasonable additional compensation to be paid to such successor Servicer;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it being understood and agreed that the Depositor shall give prior notice to the Backup Servicer with respect to the appointment of such successor and the payment of additional compensation, if any. The Indenture Trustee shall have the right to agree to compensation of a successor Servicer in excess of that permitted to the Servicer hereunder with the consent of the Majority Noteholders. Notwithstanding anything herein to the contrary, in no event shall the Indenture Trustee be liable for any Servicing Fee or for any differential between the amount of the Servicing Fee paid to the original servicer and the amount necessary to induce any successor servicer to act as successor servicer hereunder.</w:t>
      </w:r>
    </w:p>
    <w:p>
      <w:pPr>
        <w:spacing w:after="0" w:line="157" w:lineRule="exact"/>
        <w:rPr>
          <w:rFonts w:ascii="Times New Roman" w:cs="Times New Roman" w:eastAsia="Times New Roman" w:hAnsi="Times New Roman"/>
          <w:sz w:val="19"/>
          <w:szCs w:val="19"/>
          <w:color w:val="1F3763"/>
        </w:rPr>
      </w:pPr>
    </w:p>
    <w:p>
      <w:pPr>
        <w:ind w:firstLine="702"/>
        <w:spacing w:after="0" w:line="253" w:lineRule="auto"/>
        <w:tabs>
          <w:tab w:leader="none" w:pos="972" w:val="left"/>
        </w:tabs>
        <w:numPr>
          <w:ilvl w:val="0"/>
          <w:numId w:val="468"/>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 xml:space="preserve">Notwithstanding anything contained in this Agreement to the contrary, the successor Servicer is authorized to accept and rely on all of the accounting records (including computer records) and work of the prior Servicer relating to the Receivables (collectively, the "Predecessor Servicer Work Product") without any audit or other examination thereof, and the successor Servicer shall have no duty, responsibility, obligation or liability for the acts and omissions of the prior Servicer. If any error, inaccuracy, omission or incorrect or non-standard practice or procedure (collectively, "Errors") exist in any Predecessor Servicer Work Product and such Errors make it materially more difficult to service or should cause or materially contribute to the successor Servicer making or continuing any Errors (collectively, "Continuing Errors"), the successor Servicer shall have no duty, responsibility, obligation or liability for such Continuing Errors;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successor Servicer agrees to use its best efforts to prevent further Continuing Errors. In the event that the successor Servicer has actual knowledge or has received written notice of Errors or Continuing Errors, it shall, with the prior consent of the Indenture Trustee (acting at the written direction of the Majority Noteholders), use its best efforts to reconstruct and reconcile such data as is commercially reasonable to correct such Errors and Continuing Errors and to prevent future Continuing Errors. The successor Servicer shall be entitled to recover its costs thereby expended from funds available of such purpose in accordance with Section 5.7(b).</w:t>
      </w:r>
    </w:p>
    <w:p>
      <w:pPr>
        <w:spacing w:after="0" w:line="165" w:lineRule="exact"/>
        <w:rPr>
          <w:rFonts w:ascii="Times New Roman" w:cs="Times New Roman" w:eastAsia="Times New Roman" w:hAnsi="Times New Roman"/>
          <w:sz w:val="19"/>
          <w:szCs w:val="19"/>
          <w:color w:val="2F5496"/>
        </w:rPr>
      </w:pPr>
    </w:p>
    <w:p>
      <w:pPr>
        <w:ind w:firstLine="702"/>
        <w:spacing w:after="0" w:line="253" w:lineRule="auto"/>
        <w:tabs>
          <w:tab w:leader="none" w:pos="960" w:val="left"/>
        </w:tabs>
        <w:numPr>
          <w:ilvl w:val="0"/>
          <w:numId w:val="46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Any successor Servicer (including the Backup Servicer) shall have (i) no liability with respect to any obligation which was required to be performed by the predecessor Servicer prior to the date that the successor Servicer becomes the Servicer or any claim of a third party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involved in this transaction and (v) no liability or obligation with respect to any Servicer indemnification obligations of any prior Servicer including the original Servicer. The indemnification obligations of the Backup Servicer upon becoming the successor Servicer are expressly limited to those instances of negligence, willful misconduct or bad faith of the</w:t>
      </w:r>
    </w:p>
    <w:p>
      <w:pPr>
        <w:spacing w:after="0" w:line="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color w:val="auto"/>
        </w:rPr>
        <w:t>Backup Servicer in its role as successor Servicer. Any successor Servicer appointed pursuant to this Section 9.3 (other than the Backup Servicer) must be a Permitted Successor.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37" w:name="page538"/>
    <w:bookmarkEnd w:id="537"/>
    <w:p>
      <w:pPr>
        <w:spacing w:after="0" w:line="200" w:lineRule="exact"/>
        <w:rPr>
          <w:sz w:val="20"/>
          <w:szCs w:val="20"/>
          <w:color w:val="auto"/>
        </w:rPr>
      </w:pPr>
    </w:p>
    <w:p>
      <w:pPr>
        <w:spacing w:after="0" w:line="261" w:lineRule="exact"/>
        <w:rPr>
          <w:sz w:val="20"/>
          <w:szCs w:val="20"/>
          <w:color w:val="auto"/>
        </w:rPr>
      </w:pPr>
    </w:p>
    <w:p>
      <w:pPr>
        <w:ind w:right="4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IX.4. </w:t>
      </w:r>
      <w:r>
        <w:rPr>
          <w:rFonts w:ascii="Times New Roman" w:cs="Times New Roman" w:eastAsia="Times New Roman" w:hAnsi="Times New Roman"/>
          <w:sz w:val="19"/>
          <w:szCs w:val="19"/>
          <w:color w:val="000000"/>
        </w:rPr>
        <w:t>Notification to Noteholders. Upon any termination of, or appointment of a successor to, the Servicer or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Backup Servicer, the Indenture Trustee shall give prompt written notice thereof to each Noteholder and to the Seller (who shall promptly deliver such notice to the Rating Agencies).</w:t>
      </w:r>
    </w:p>
    <w:p>
      <w:pPr>
        <w:spacing w:after="0" w:line="144"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IX.5. </w:t>
      </w:r>
      <w:r>
        <w:rPr>
          <w:rFonts w:ascii="Times New Roman" w:cs="Times New Roman" w:eastAsia="Times New Roman" w:hAnsi="Times New Roman"/>
          <w:sz w:val="19"/>
          <w:szCs w:val="19"/>
          <w:color w:val="000000"/>
        </w:rPr>
        <w:t>Waiver of Past Defaults. The Majority Noteholders may, on behalf of all Noteholders, waive any default by</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the Servicer in the performance of its obligations hereunder and its consequences. Upon any such waiver of a past default, such default shall cease to exist, and any Servicer Termination Event arising therefrom shall be deemed to have been remedied for every purpose of this Agreement and the Basic Documents. No such waiver shall extend to any subsequent or other default or impair any right consequent thereto.</w:t>
      </w:r>
    </w:p>
    <w:p>
      <w:pPr>
        <w:spacing w:after="0" w:line="154" w:lineRule="exact"/>
        <w:rPr>
          <w:sz w:val="20"/>
          <w:szCs w:val="20"/>
          <w:color w:val="auto"/>
        </w:rPr>
      </w:pPr>
    </w:p>
    <w:p>
      <w:pPr>
        <w:ind w:right="60" w:firstLine="696"/>
        <w:spacing w:after="0" w:line="254" w:lineRule="auto"/>
        <w:rPr>
          <w:sz w:val="20"/>
          <w:szCs w:val="20"/>
          <w:color w:val="auto"/>
        </w:rPr>
      </w:pPr>
      <w:r>
        <w:rPr>
          <w:rFonts w:ascii="Times New Roman" w:cs="Times New Roman" w:eastAsia="Times New Roman" w:hAnsi="Times New Roman"/>
          <w:sz w:val="19"/>
          <w:szCs w:val="19"/>
          <w:color w:val="2F5496"/>
        </w:rPr>
        <w:t xml:space="preserve">SECTION IX.6. </w:t>
      </w:r>
      <w:r>
        <w:rPr>
          <w:rFonts w:ascii="Times New Roman" w:cs="Times New Roman" w:eastAsia="Times New Roman" w:hAnsi="Times New Roman"/>
          <w:sz w:val="19"/>
          <w:szCs w:val="19"/>
          <w:color w:val="000000"/>
        </w:rPr>
        <w:t>Backup Servicer Termination. Prior to an appointment as successor Servicer, the Indenture Trustee may, in its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discretion, or shall, at the direction of the Majority Noteholders, (a) terminate all of the rights and obligations of the Backup Servicer under this Agreement in the event of a breach of any of the representations or warranties, covenants or obligations of the Backup Servicer contained in this Agreement or (b) in its sole discretion, without cause upon not less than 30 days' notice, terminate the rights and obligations of the Backup Servicer. The terminated Backup Servicer agrees to cooperate with any successor Backup Servicer appointed by the Indenture Trustee (acting at the written direction of the Majority Noteholders) in effecting the termination of the responsibilities and rights of the terminated Backup Servicer under this Agreement, including the delivery to the successor Backup Servicer of all documents, records and electronic information related to the Receivables in the possession of the Backup Servicer. Expenses incurred by the Backup Servicer in respect of the foregoing sentence shall be reimbursed from the funds available for such purpose in accordance with Section 5.7(b).</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F5496"/>
        </w:rPr>
        <w:t>ARTICLE X</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Termination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X.1. </w:t>
      </w:r>
      <w:r>
        <w:rPr>
          <w:rFonts w:ascii="Times New Roman" w:cs="Times New Roman" w:eastAsia="Times New Roman" w:hAnsi="Times New Roman"/>
          <w:sz w:val="19"/>
          <w:szCs w:val="19"/>
          <w:color w:val="000000"/>
        </w:rPr>
        <w:t>Optional Purchase of All Receivables.</w:t>
      </w:r>
    </w:p>
    <w:p>
      <w:pPr>
        <w:spacing w:after="0" w:line="202" w:lineRule="exact"/>
        <w:rPr>
          <w:sz w:val="20"/>
          <w:szCs w:val="20"/>
          <w:color w:val="auto"/>
        </w:rPr>
      </w:pPr>
    </w:p>
    <w:p>
      <w:pPr>
        <w:ind w:right="40" w:firstLine="702"/>
        <w:spacing w:after="0" w:line="252" w:lineRule="auto"/>
        <w:tabs>
          <w:tab w:leader="none" w:pos="960" w:val="left"/>
        </w:tabs>
        <w:numPr>
          <w:ilvl w:val="0"/>
          <w:numId w:val="46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 xml:space="preserve">Subject to Section 10.1(a) of the Indenture, on the last day of any Collection Period as of which the Pool Balance shall be less than or equal to [***]% of the Original Pool Balance, the Servicer shall have the option to purchase the Owner Trust Estate, other than the Trust Accounts;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amount to be paid for such purchase (as set forth in the following sentence) shall be sufficient to pay the full amount of principal, and interest then due and payable on the Notes. To exercise such option, the Servicer shall deposit pursuant to Section 5.6 in the Collection Account an amount equal to the amount necessary to pay the sum of any amounts owed by the Trust to the Servicer, the Indenture Trustee, the Backup Servicer, any successor Custodian, the Owner Trustee and the Lockbox Bank hereunder and under the Indenture and the full amount of principal and interest then due and payable on the Notes, plus the appraised value of any other property held by the Trust (such value to be determined by the Servicer, or if the Indenture Trustee has received written notice that there is a material error in the Servicer's calculation, by an appraiser mutually agreed upon by the Servicer and the Indenture Trustee), and shall succeed to all interests in and to the Trust. Notice of any such redemption will be given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8" w:name="page539"/>
    <w:bookmarkEnd w:id="538"/>
    <w:p>
      <w:pPr>
        <w:spacing w:after="0" w:line="200" w:lineRule="exact"/>
        <w:rPr>
          <w:sz w:val="20"/>
          <w:szCs w:val="20"/>
          <w:color w:val="auto"/>
        </w:rPr>
      </w:pPr>
    </w:p>
    <w:p>
      <w:pPr>
        <w:spacing w:after="0" w:line="26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9"/>
          <w:szCs w:val="19"/>
          <w:color w:val="auto"/>
        </w:rPr>
        <w:t>the Servicer or the Issuer to the Rating Agencies, the Indenture Trustee and the Depositor no later than five days prior to the planned redemption date.</w:t>
      </w:r>
    </w:p>
    <w:p>
      <w:pPr>
        <w:spacing w:after="0" w:line="127" w:lineRule="exact"/>
        <w:rPr>
          <w:sz w:val="20"/>
          <w:szCs w:val="20"/>
          <w:color w:val="auto"/>
        </w:rPr>
      </w:pPr>
    </w:p>
    <w:p>
      <w:pPr>
        <w:ind w:right="100" w:firstLine="702"/>
        <w:spacing w:after="0" w:line="268" w:lineRule="auto"/>
        <w:tabs>
          <w:tab w:leader="none" w:pos="972" w:val="left"/>
        </w:tabs>
        <w:numPr>
          <w:ilvl w:val="0"/>
          <w:numId w:val="4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any sale of the assets of the Trust pursuant to Section 8.1 of the Trust Agreement, the Servicer shall instruct the Indenture Trustee to deposit the proceeds from such sale after all payments and reserves therefrom (including the expenses of such sale) have been made (the "Termination Proceeds") in the Collection Account.</w:t>
      </w:r>
    </w:p>
    <w:p>
      <w:pPr>
        <w:spacing w:after="0" w:line="144" w:lineRule="exact"/>
        <w:rPr>
          <w:rFonts w:ascii="Times New Roman" w:cs="Times New Roman" w:eastAsia="Times New Roman" w:hAnsi="Times New Roman"/>
          <w:sz w:val="19"/>
          <w:szCs w:val="19"/>
          <w:color w:val="1F3763"/>
        </w:rPr>
      </w:pPr>
    </w:p>
    <w:p>
      <w:pPr>
        <w:ind w:right="600" w:firstLine="702"/>
        <w:spacing w:after="0" w:line="286" w:lineRule="auto"/>
        <w:tabs>
          <w:tab w:leader="none" w:pos="960" w:val="left"/>
        </w:tabs>
        <w:numPr>
          <w:ilvl w:val="0"/>
          <w:numId w:val="4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Notice of any termination of the Trust shall be given by the Servicer to the Owner Trustee, the Indenture Trustee, the Backup Servicer and each Rating Agency as soon as practicable after the Servicer has received notice thereof.</w:t>
      </w:r>
    </w:p>
    <w:p>
      <w:pPr>
        <w:spacing w:after="0" w:line="127" w:lineRule="exact"/>
        <w:rPr>
          <w:rFonts w:ascii="Times New Roman" w:cs="Times New Roman" w:eastAsia="Times New Roman" w:hAnsi="Times New Roman"/>
          <w:sz w:val="19"/>
          <w:szCs w:val="19"/>
          <w:color w:val="1F3763"/>
        </w:rPr>
      </w:pPr>
    </w:p>
    <w:p>
      <w:pPr>
        <w:ind w:firstLine="702"/>
        <w:spacing w:after="0" w:line="262" w:lineRule="auto"/>
        <w:tabs>
          <w:tab w:leader="none" w:pos="972" w:val="left"/>
        </w:tabs>
        <w:numPr>
          <w:ilvl w:val="0"/>
          <w:numId w:val="47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Following the satisfaction and discharge of the Indenture and the payment in full of the principal of and interest on the Notes and any other amounts due and owing to the Noteholders pursuant to the Basic Documents, the Certificateholders will succeed to the rights of the Noteholders hereunder and the Owner Trustee will succeed to the rights of, and assume the obligations of, the Indenture Trustee pursuant to this Agreement.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F5496"/>
        </w:rPr>
        <w:t>ARTICLE XI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Administrative Duties of the Servicer</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XI.1. </w:t>
      </w:r>
      <w:r>
        <w:rPr>
          <w:rFonts w:ascii="Times New Roman" w:cs="Times New Roman" w:eastAsia="Times New Roman" w:hAnsi="Times New Roman"/>
          <w:sz w:val="19"/>
          <w:szCs w:val="19"/>
          <w:color w:val="000000"/>
        </w:rPr>
        <w:t>Administrative Duties.</w:t>
      </w:r>
    </w:p>
    <w:p>
      <w:pPr>
        <w:spacing w:after="0" w:line="202" w:lineRule="exact"/>
        <w:rPr>
          <w:sz w:val="20"/>
          <w:szCs w:val="20"/>
          <w:color w:val="auto"/>
        </w:rPr>
      </w:pPr>
    </w:p>
    <w:p>
      <w:pPr>
        <w:ind w:firstLine="702"/>
        <w:spacing w:after="0" w:line="255" w:lineRule="auto"/>
        <w:tabs>
          <w:tab w:leader="none" w:pos="960" w:val="left"/>
        </w:tabs>
        <w:numPr>
          <w:ilvl w:val="0"/>
          <w:numId w:val="4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Duties with Respect to the Indenture. The Servicer shall perform all its duties and the duties of the Issuer under the Indenture. In addition, the Servicer shall consult with the Owner Trustee as the Servicer deems appropriate regarding the duties of the Issuer under the Indenture. The Servicer shall monitor the performance of the Issuer and shall advise the Owner Trustee when action is necessary to comply with the Issuer's duties under the Indenture. The Servicer shall prepare for execution by the Issuer or shall cause the preparation by other appropriate Persons of all such documents, reports, filings, instruments, certificates and opinions as it shall be the duty of the Issuer to prepare, file or deliver pursuant to the Indenture. In furtherance of the foregoing, the Servicer shall take all necessary action that is the duty of the Issuer to take pursuant to the Indenture, including pursuant to Sections 2.7, 3.5, 3.6, 3.7, 3.9, 3.17, 3.19, 5.1, 5.4, 7.1, 8.3, 9.2, 9.3 and 11.13 of the Indenture.</w:t>
      </w:r>
    </w:p>
    <w:p>
      <w:pPr>
        <w:spacing w:after="0" w:line="159"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47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Duties with Respect to the Issuer.</w:t>
      </w:r>
    </w:p>
    <w:p>
      <w:pPr>
        <w:spacing w:after="0" w:line="201" w:lineRule="exact"/>
        <w:rPr>
          <w:rFonts w:ascii="Times New Roman" w:cs="Times New Roman" w:eastAsia="Times New Roman" w:hAnsi="Times New Roman"/>
          <w:sz w:val="19"/>
          <w:szCs w:val="19"/>
          <w:color w:val="1F3763"/>
        </w:rPr>
      </w:pPr>
    </w:p>
    <w:p>
      <w:pPr>
        <w:ind w:left="700" w:firstLine="746"/>
        <w:spacing w:after="0" w:line="254" w:lineRule="auto"/>
        <w:tabs>
          <w:tab w:leader="none" w:pos="1816" w:val="left"/>
        </w:tabs>
        <w:numPr>
          <w:ilvl w:val="1"/>
          <w:numId w:val="471"/>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In addition to the duties of the Servicer set forth in this Agreement or any of the other Basic Documents, the Servicer shall perform such calculations and shall prepare for execution by the Issuer or the Owner Trustee or shall cause the preparation by other appropriate Persons of all such documents, reports, filings, instruments, certificates and opinions as it shall be the duty of the Issuer or the Owner Trustee to prepare, file or deliver pursuant to this Agreement or any of the other Basic Documents or under State and federal tax and securities laws (including any filings required pursuant to the Sarbanes-Oxley Act of 2002 or any rule or regulation promulgated thereunder), and at the request of the Owner Trustee shall take all appropriate</w:t>
      </w:r>
    </w:p>
    <w:p>
      <w:pPr>
        <w:spacing w:after="0" w:line="3" w:lineRule="exact"/>
        <w:rPr>
          <w:sz w:val="20"/>
          <w:szCs w:val="20"/>
          <w:color w:val="auto"/>
        </w:rPr>
      </w:pPr>
    </w:p>
    <w:p>
      <w:pPr>
        <w:ind w:left="700" w:right="680"/>
        <w:spacing w:after="0" w:line="250" w:lineRule="auto"/>
        <w:rPr>
          <w:sz w:val="20"/>
          <w:szCs w:val="20"/>
          <w:color w:val="auto"/>
        </w:rPr>
      </w:pPr>
      <w:r>
        <w:rPr>
          <w:rFonts w:ascii="Times New Roman" w:cs="Times New Roman" w:eastAsia="Times New Roman" w:hAnsi="Times New Roman"/>
          <w:sz w:val="19"/>
          <w:szCs w:val="19"/>
          <w:color w:val="auto"/>
        </w:rPr>
        <w:t>action that it is the duty of the Issuer to take pursuant to this Agreement or any of the other Basic Documents, including pursuant to Sections 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9" w:name="page540"/>
    <w:bookmarkEnd w:id="539"/>
    <w:p>
      <w:pPr>
        <w:spacing w:after="0" w:line="200" w:lineRule="exact"/>
        <w:rPr>
          <w:sz w:val="20"/>
          <w:szCs w:val="20"/>
          <w:color w:val="auto"/>
        </w:rPr>
      </w:pPr>
    </w:p>
    <w:p>
      <w:pPr>
        <w:spacing w:after="0" w:line="261" w:lineRule="exact"/>
        <w:rPr>
          <w:sz w:val="20"/>
          <w:szCs w:val="20"/>
          <w:color w:val="auto"/>
        </w:rPr>
      </w:pPr>
    </w:p>
    <w:p>
      <w:pPr>
        <w:ind w:left="700" w:right="60"/>
        <w:spacing w:after="0" w:line="257" w:lineRule="auto"/>
        <w:rPr>
          <w:sz w:val="20"/>
          <w:szCs w:val="20"/>
          <w:color w:val="auto"/>
        </w:rPr>
      </w:pPr>
      <w:r>
        <w:rPr>
          <w:rFonts w:ascii="Times New Roman" w:cs="Times New Roman" w:eastAsia="Times New Roman" w:hAnsi="Times New Roman"/>
          <w:sz w:val="19"/>
          <w:szCs w:val="19"/>
          <w:color w:val="auto"/>
        </w:rPr>
        <w:t>2.10 and 2.11 of the Trust Agreement. In accordance with the directions of the Issuer or the Owner Trustee, the Servicer shall administer, perform or supervise the performance of such other activities in connection with the Collateral (including the Basic Documents) as are not covered by any of the foregoing provisions and as are expressly requested by the Issuer or the Owner Trustee and are reasonably within the capability of the Servicer. The Servicer shall monitor the activities of the Issuer to ensure the Issuer's compliance with Section 4.6 of the Trust Agreement and shall take all action necessary to ensure that the Issuer is operated in accordance with the provisions of such section.</w:t>
      </w:r>
    </w:p>
    <w:p>
      <w:pPr>
        <w:spacing w:after="0" w:line="157" w:lineRule="exact"/>
        <w:rPr>
          <w:sz w:val="20"/>
          <w:szCs w:val="20"/>
          <w:color w:val="auto"/>
        </w:rPr>
      </w:pPr>
    </w:p>
    <w:p>
      <w:pPr>
        <w:ind w:left="700" w:right="60" w:firstLine="746"/>
        <w:spacing w:after="0" w:line="259" w:lineRule="auto"/>
        <w:tabs>
          <w:tab w:leader="none" w:pos="1876" w:val="left"/>
        </w:tabs>
        <w:numPr>
          <w:ilvl w:val="1"/>
          <w:numId w:val="47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Notwithstanding anything in this Agreement or any of the other Basic Documents to the contrary, the Servicer shall be responsible for promptly notifying the Owner Trustee and the Indenture Trustee in the event that any withholding tax is imposed on the Issuer's payments (or allocations of income) to a Certificateholder as contemplated by this Agreement. Any such notice shall be in writing and specify the amount of any withholding tax required to be withheld by the Owner Trustee or the Indenture Trustee pursuant to such provision.</w:t>
      </w:r>
    </w:p>
    <w:p>
      <w:pPr>
        <w:spacing w:after="0" w:line="153" w:lineRule="exact"/>
        <w:rPr>
          <w:rFonts w:ascii="Times New Roman" w:cs="Times New Roman" w:eastAsia="Times New Roman" w:hAnsi="Times New Roman"/>
          <w:sz w:val="19"/>
          <w:szCs w:val="19"/>
          <w:color w:val="2F5496"/>
        </w:rPr>
      </w:pPr>
    </w:p>
    <w:p>
      <w:pPr>
        <w:ind w:left="700" w:firstLine="746"/>
        <w:spacing w:after="0" w:line="259" w:lineRule="auto"/>
        <w:tabs>
          <w:tab w:leader="none" w:pos="1924" w:val="left"/>
        </w:tabs>
        <w:numPr>
          <w:ilvl w:val="1"/>
          <w:numId w:val="47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 xml:space="preserve">Notwithstanding anything in this Agreement or the other Basic Documents to the contrary, the Servicer shall be responsible for performance of the duties of the Issuer in accordance with Section 10.11 of the Trust Agreement with respect to, among other things, accounting and reports to Certificateholders;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once prepared by the Servicer, the Certificate Paying Agent shall retain responsibility for the distribution of any necessary Schedule K-1s, as applicable, to enable the Certificateholders to prepare their federal and State income tax returns.</w:t>
      </w:r>
    </w:p>
    <w:p>
      <w:pPr>
        <w:spacing w:after="0" w:line="153" w:lineRule="exact"/>
        <w:rPr>
          <w:rFonts w:ascii="Times New Roman" w:cs="Times New Roman" w:eastAsia="Times New Roman" w:hAnsi="Times New Roman"/>
          <w:sz w:val="19"/>
          <w:szCs w:val="19"/>
          <w:color w:val="2F5496"/>
        </w:rPr>
      </w:pPr>
    </w:p>
    <w:p>
      <w:pPr>
        <w:ind w:left="700" w:right="60" w:firstLine="746"/>
        <w:spacing w:after="0" w:line="262" w:lineRule="auto"/>
        <w:tabs>
          <w:tab w:leader="none" w:pos="1912" w:val="left"/>
        </w:tabs>
        <w:numPr>
          <w:ilvl w:val="1"/>
          <w:numId w:val="47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Servicer shall perform the duties of the Servicer specified in Section 9.3 of the Trust Agreement required to be performed in connection with the appointment of a successor Owner Trustee, the duties of the Servicer specified in Section 10.11 of the Trust Agreement, and any other duties expressly required to be performed by the Servicer under this Agreement or any of the other Basic Documents.</w:t>
      </w:r>
    </w:p>
    <w:p>
      <w:pPr>
        <w:spacing w:after="0" w:line="150" w:lineRule="exact"/>
        <w:rPr>
          <w:rFonts w:ascii="Times New Roman" w:cs="Times New Roman" w:eastAsia="Times New Roman" w:hAnsi="Times New Roman"/>
          <w:sz w:val="19"/>
          <w:szCs w:val="19"/>
          <w:color w:val="2F5496"/>
        </w:rPr>
      </w:pPr>
    </w:p>
    <w:p>
      <w:pPr>
        <w:jc w:val="both"/>
        <w:ind w:left="700" w:right="140" w:firstLine="746"/>
        <w:spacing w:after="0" w:line="262" w:lineRule="auto"/>
        <w:tabs>
          <w:tab w:leader="none" w:pos="1864" w:val="left"/>
        </w:tabs>
        <w:numPr>
          <w:ilvl w:val="1"/>
          <w:numId w:val="472"/>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 xml:space="preserve">In carrying out the foregoing duties or any of its other obligations under this Agreement, the Servicer may enter into transactions with or otherwise deal with any of its Affiliates;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terms of any such transactions or dealings shall be in accordance with any directions received from the Issuer and shall be, in the Servicer's opinion, no less favorable to the Issuer in any material respect.</w:t>
      </w:r>
    </w:p>
    <w:p>
      <w:pPr>
        <w:spacing w:after="0" w:line="150" w:lineRule="exact"/>
        <w:rPr>
          <w:rFonts w:ascii="Times New Roman" w:cs="Times New Roman" w:eastAsia="Times New Roman" w:hAnsi="Times New Roman"/>
          <w:sz w:val="19"/>
          <w:szCs w:val="19"/>
          <w:color w:val="2F5496"/>
        </w:rPr>
      </w:pPr>
    </w:p>
    <w:p>
      <w:pPr>
        <w:ind w:right="20" w:firstLine="702"/>
        <w:spacing w:after="0" w:line="256" w:lineRule="auto"/>
        <w:tabs>
          <w:tab w:leader="none" w:pos="960" w:val="left"/>
        </w:tabs>
        <w:numPr>
          <w:ilvl w:val="0"/>
          <w:numId w:val="473"/>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Tax Matters. The Servicer shall prepare and file, on behalf of the Depositor, all tax returns, tax elections, financial statements and such annual or other reports attributable to the activities engaged in by the Issuer as are necessary for preparation of tax reports, including forms 1099. All tax returns will be signed by the Depositor or the Servicer. In addition, the Servicer will supply to the Indenture Trustee, at the time and in the manner required by applicable Treasury Regulations, for further distribution to the requisite</w:t>
      </w:r>
    </w:p>
    <w:p>
      <w:pPr>
        <w:spacing w:after="0" w:line="2"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9"/>
          <w:szCs w:val="19"/>
          <w:color w:val="auto"/>
        </w:rPr>
        <w:t>noteholders, and to the extent, required by applicable Treasury Regulations, information with respect to any original issue discount accruing on the Notes.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0" w:name="page541"/>
    <w:bookmarkEnd w:id="540"/>
    <w:p>
      <w:pPr>
        <w:spacing w:after="0" w:line="200" w:lineRule="exact"/>
        <w:rPr>
          <w:sz w:val="20"/>
          <w:szCs w:val="20"/>
          <w:color w:val="auto"/>
        </w:rPr>
      </w:pPr>
    </w:p>
    <w:p>
      <w:pPr>
        <w:spacing w:after="0" w:line="261" w:lineRule="exact"/>
        <w:rPr>
          <w:sz w:val="20"/>
          <w:szCs w:val="20"/>
          <w:color w:val="auto"/>
        </w:rPr>
      </w:pPr>
    </w:p>
    <w:p>
      <w:pPr>
        <w:ind w:right="100" w:firstLine="702"/>
        <w:spacing w:after="0" w:line="259" w:lineRule="auto"/>
        <w:tabs>
          <w:tab w:leader="none" w:pos="972" w:val="left"/>
        </w:tabs>
        <w:numPr>
          <w:ilvl w:val="0"/>
          <w:numId w:val="4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Non-Ministerial Matters. With respect to matters that in the reasonable judgment of the Servicer are non-ministerial, the Servicer shall not take any action pursuant to this Article unless within a reasonable time before the taking of such action, the Servicer shall have notified the Owner Trustee and the Indenture Trustee of the proposed action and the Owner Trustee (acting at the direction of the Certificateholders or Depositor, as applicable) and, with respect to items (i), (ii), (iii) and (iv) below, the Indenture Trustee shall not have withheld consent. For the purpose of the preceding sentence, "non-ministerial matters" shall include:</w:t>
      </w:r>
    </w:p>
    <w:p>
      <w:pPr>
        <w:spacing w:after="0" w:line="153" w:lineRule="exact"/>
        <w:rPr>
          <w:rFonts w:ascii="Times New Roman" w:cs="Times New Roman" w:eastAsia="Times New Roman" w:hAnsi="Times New Roman"/>
          <w:sz w:val="19"/>
          <w:szCs w:val="19"/>
          <w:color w:val="1F3763"/>
        </w:rPr>
      </w:pPr>
    </w:p>
    <w:p>
      <w:pPr>
        <w:ind w:left="1820" w:hanging="374"/>
        <w:spacing w:after="0"/>
        <w:tabs>
          <w:tab w:leader="none" w:pos="1820" w:val="left"/>
        </w:tabs>
        <w:numPr>
          <w:ilvl w:val="1"/>
          <w:numId w:val="47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amendment of or any supplement to the Indenture;</w:t>
      </w:r>
    </w:p>
    <w:p>
      <w:pPr>
        <w:spacing w:after="0" w:line="201" w:lineRule="exact"/>
        <w:rPr>
          <w:rFonts w:ascii="Times New Roman" w:cs="Times New Roman" w:eastAsia="Times New Roman" w:hAnsi="Times New Roman"/>
          <w:sz w:val="19"/>
          <w:szCs w:val="19"/>
          <w:color w:val="2F5496"/>
        </w:rPr>
      </w:pPr>
    </w:p>
    <w:p>
      <w:pPr>
        <w:ind w:left="700" w:right="220" w:firstLine="746"/>
        <w:spacing w:after="0" w:line="286" w:lineRule="auto"/>
        <w:tabs>
          <w:tab w:leader="none" w:pos="1876" w:val="left"/>
        </w:tabs>
        <w:numPr>
          <w:ilvl w:val="1"/>
          <w:numId w:val="47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initiation of any claim or lawsuit by the Issuer and the compromise of any action, claim or lawsuit brought by or against the Issuer (other than in connection with the collection of the Receivables);</w:t>
      </w:r>
    </w:p>
    <w:p>
      <w:pPr>
        <w:spacing w:after="0" w:line="127" w:lineRule="exact"/>
        <w:rPr>
          <w:rFonts w:ascii="Times New Roman" w:cs="Times New Roman" w:eastAsia="Times New Roman" w:hAnsi="Times New Roman"/>
          <w:sz w:val="19"/>
          <w:szCs w:val="19"/>
          <w:color w:val="2F5496"/>
        </w:rPr>
      </w:pPr>
    </w:p>
    <w:p>
      <w:pPr>
        <w:ind w:left="1920" w:hanging="474"/>
        <w:spacing w:after="0"/>
        <w:tabs>
          <w:tab w:leader="none" w:pos="1920" w:val="left"/>
        </w:tabs>
        <w:numPr>
          <w:ilvl w:val="1"/>
          <w:numId w:val="47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amendment, change or modification of this Agreement or any of the other Basic Documents;</w:t>
      </w:r>
    </w:p>
    <w:p>
      <w:pPr>
        <w:spacing w:after="0" w:line="201" w:lineRule="exact"/>
        <w:rPr>
          <w:rFonts w:ascii="Times New Roman" w:cs="Times New Roman" w:eastAsia="Times New Roman" w:hAnsi="Times New Roman"/>
          <w:sz w:val="19"/>
          <w:szCs w:val="19"/>
          <w:color w:val="2F5496"/>
        </w:rPr>
      </w:pPr>
    </w:p>
    <w:p>
      <w:pPr>
        <w:ind w:left="700" w:right="420" w:firstLine="746"/>
        <w:spacing w:after="0" w:line="268" w:lineRule="auto"/>
        <w:tabs>
          <w:tab w:leader="none" w:pos="1912" w:val="left"/>
        </w:tabs>
        <w:numPr>
          <w:ilvl w:val="1"/>
          <w:numId w:val="47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appointment of successor Note Registrars, successor Paying Agents and successor Indenture Trustees pursuant to the Indenture or the appointment of successor Servicers or the consent to the assignment by the Note Registrar, Paying Agent or Indenture Trustee of its obligations under the Indenture; and</w:t>
      </w:r>
    </w:p>
    <w:p>
      <w:pPr>
        <w:spacing w:after="0" w:line="144" w:lineRule="exact"/>
        <w:rPr>
          <w:rFonts w:ascii="Times New Roman" w:cs="Times New Roman" w:eastAsia="Times New Roman" w:hAnsi="Times New Roman"/>
          <w:sz w:val="19"/>
          <w:szCs w:val="19"/>
          <w:color w:val="2F5496"/>
        </w:rPr>
      </w:pPr>
    </w:p>
    <w:p>
      <w:pPr>
        <w:ind w:left="1860" w:hanging="414"/>
        <w:spacing w:after="0"/>
        <w:tabs>
          <w:tab w:leader="none" w:pos="1860" w:val="left"/>
        </w:tabs>
        <w:numPr>
          <w:ilvl w:val="1"/>
          <w:numId w:val="474"/>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the removal of the Indenture Trustee.</w:t>
      </w:r>
    </w:p>
    <w:p>
      <w:pPr>
        <w:spacing w:after="0" w:line="201" w:lineRule="exact"/>
        <w:rPr>
          <w:rFonts w:ascii="Times New Roman" w:cs="Times New Roman" w:eastAsia="Times New Roman" w:hAnsi="Times New Roman"/>
          <w:sz w:val="19"/>
          <w:szCs w:val="19"/>
          <w:color w:val="2F5496"/>
        </w:rPr>
      </w:pPr>
    </w:p>
    <w:p>
      <w:pPr>
        <w:ind w:firstLine="702"/>
        <w:spacing w:after="0" w:line="259" w:lineRule="auto"/>
        <w:tabs>
          <w:tab w:leader="none" w:pos="960" w:val="left"/>
        </w:tabs>
        <w:numPr>
          <w:ilvl w:val="0"/>
          <w:numId w:val="4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Exceptions. Notwithstanding anything to the contrary in this Agreement, except as expressly provided herein or in the other Basic Documents, the Servicer, in its capacity hereunder, shall not be obligated to, and shall not, (1) make any payments to the Noteholders or Certificateholders under the Basic Documents, (2) sell the Trust Property pursuant to Section 5.4 of the Indenture, (3) take any other action that the Issuer directs the Servicer not to take on its behalf or (4) in connection with its duties hereunder assume any indemnification obligation of any other Person.</w:t>
      </w:r>
    </w:p>
    <w:p>
      <w:pPr>
        <w:spacing w:after="0" w:line="153" w:lineRule="exact"/>
        <w:rPr>
          <w:rFonts w:ascii="Times New Roman" w:cs="Times New Roman" w:eastAsia="Times New Roman" w:hAnsi="Times New Roman"/>
          <w:sz w:val="19"/>
          <w:szCs w:val="19"/>
          <w:color w:val="1F3763"/>
        </w:rPr>
      </w:pPr>
    </w:p>
    <w:p>
      <w:pPr>
        <w:jc w:val="both"/>
        <w:ind w:right="260" w:firstLine="702"/>
        <w:spacing w:after="0" w:line="268" w:lineRule="auto"/>
        <w:tabs>
          <w:tab w:leader="none" w:pos="936" w:val="left"/>
        </w:tabs>
        <w:numPr>
          <w:ilvl w:val="0"/>
          <w:numId w:val="474"/>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Backup Servicer or any successor Servicer shall not be responsible for any obligations or duties of the Servicer under this Section 11.1. Notwithstanding the foregoing or any other provision of this Agreement, United Auto shall continue to perform the obligations of the Servicer under this Section 11.1.</w:t>
      </w:r>
    </w:p>
    <w:p>
      <w:pPr>
        <w:spacing w:after="0" w:line="144" w:lineRule="exact"/>
        <w:rPr>
          <w:sz w:val="20"/>
          <w:szCs w:val="20"/>
          <w:color w:val="auto"/>
        </w:rPr>
      </w:pPr>
    </w:p>
    <w:p>
      <w:pPr>
        <w:ind w:right="120" w:firstLine="696"/>
        <w:spacing w:after="0" w:line="268" w:lineRule="auto"/>
        <w:rPr>
          <w:sz w:val="20"/>
          <w:szCs w:val="20"/>
          <w:color w:val="auto"/>
        </w:rPr>
      </w:pPr>
      <w:r>
        <w:rPr>
          <w:rFonts w:ascii="Times New Roman" w:cs="Times New Roman" w:eastAsia="Times New Roman" w:hAnsi="Times New Roman"/>
          <w:sz w:val="19"/>
          <w:szCs w:val="19"/>
          <w:color w:val="2F5496"/>
        </w:rPr>
        <w:t xml:space="preserve">SECTION XI.2. </w:t>
      </w:r>
      <w:r>
        <w:rPr>
          <w:rFonts w:ascii="Times New Roman" w:cs="Times New Roman" w:eastAsia="Times New Roman" w:hAnsi="Times New Roman"/>
          <w:sz w:val="19"/>
          <w:szCs w:val="19"/>
          <w:color w:val="000000"/>
        </w:rPr>
        <w:t>Records. The Servicer shall maintain appropriate books of account and records relating to services performed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under this Agreement, which books of account and records shall be accessible for inspection by the Issuer at any time during normal business hours.</w:t>
      </w:r>
    </w:p>
    <w:p>
      <w:pPr>
        <w:spacing w:after="0" w:line="144"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XI.3. </w:t>
      </w:r>
      <w:r>
        <w:rPr>
          <w:rFonts w:ascii="Times New Roman" w:cs="Times New Roman" w:eastAsia="Times New Roman" w:hAnsi="Times New Roman"/>
          <w:sz w:val="19"/>
          <w:szCs w:val="19"/>
          <w:color w:val="000000"/>
        </w:rPr>
        <w:t>Additional Information to be Furnished to the Issuer. The Servicer shall furnish to the Issuer from time to time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such additional information regarding the Sale and Servicing Agreement Collateral as the Issuer shall reasonably request.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1" w:name="page542"/>
    <w:bookmarkEnd w:id="541"/>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F5496"/>
        </w:rPr>
        <w:t>ARTICLE XII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Miscellaneous Provisions</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2F5496"/>
        </w:rPr>
        <w:t>SECTION XII.1</w:t>
      </w:r>
      <w:r>
        <w:rPr>
          <w:rFonts w:ascii="Times New Roman" w:cs="Times New Roman" w:eastAsia="Times New Roman" w:hAnsi="Times New Roman"/>
          <w:sz w:val="19"/>
          <w:szCs w:val="19"/>
          <w:color w:val="000000"/>
        </w:rPr>
        <w:t>. Amendment. This Agreement may be amended from time to time by the parties hereto, with ten days' prior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 xml:space="preserve">notice of such amendment to the Rating Agencies (or such shorter period as shall be acceptable to the applicable Rating Agency) but without the consent of any of the Noteholders, to cure any ambiguity, to correct or supplement any provisions in this Agreement which may be inconsistent with any other provision in this Agreement or the Offering Memorandum, to comply with any changes in the Code, or to make any other provisions with respect to matters or questions arising under this Agreement which shall not be inconsistent with the provisions of this Agreement;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that such action shall not adversely affect in any material respect the interests of any Noteholder as evidenced by an Opinion of Counsel (which opinion shall be delivered by counsel that is not an employee of United Auto or its Affiliates) delivered to Owner Trustee and the Indenture Trustee.</w:t>
      </w:r>
    </w:p>
    <w:p>
      <w:pPr>
        <w:spacing w:after="0" w:line="160"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color w:val="auto"/>
        </w:rPr>
        <w:t xml:space="preserve">This Agreement may also be amended from time to time by the parties hereto, and with the consent of the Majority Noteholders for the purpose of adding any provisions to or changing in any manner or eliminating any of the provisions of this Agreement or of modifying in any manner the rights of the Noteholders;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 such amendment shall (a) increase or reduce in any manner the amount of, or accelerate or delay the timing of, collections of payments on Receivables or distributions that shall be required to be made for the benefit of the Noteholders or (b) reduce the aforesaid percentage of the Note Balance of the Notes, the Holders of which are required to consent to any such amendment, without the consent of the Holders of all the Outstanding Notes of each Class affected thereby.</w:t>
      </w:r>
    </w:p>
    <w:p>
      <w:pPr>
        <w:spacing w:after="0" w:line="157" w:lineRule="exact"/>
        <w:rPr>
          <w:sz w:val="20"/>
          <w:szCs w:val="20"/>
          <w:color w:val="auto"/>
        </w:rPr>
      </w:pPr>
    </w:p>
    <w:p>
      <w:pPr>
        <w:ind w:right="120" w:firstLine="696"/>
        <w:spacing w:after="0" w:line="268" w:lineRule="auto"/>
        <w:rPr>
          <w:sz w:val="20"/>
          <w:szCs w:val="20"/>
          <w:color w:val="auto"/>
        </w:rPr>
      </w:pPr>
      <w:r>
        <w:rPr>
          <w:rFonts w:ascii="Times New Roman" w:cs="Times New Roman" w:eastAsia="Times New Roman" w:hAnsi="Times New Roman"/>
          <w:sz w:val="19"/>
          <w:szCs w:val="19"/>
          <w:color w:val="auto"/>
        </w:rPr>
        <w:t>Promptly after the execution of any such amendment or consent, the Indenture Trustee shall furnish a copy of such amendment or consent to each Noteholder and the Seller (who shall deliver such notification to the Rating Agencies) . The Indenture Trustee's and the Backup Servicer's reasonable costs and expenses related to any such amendment shall be paid by the Issuer.</w:t>
      </w:r>
    </w:p>
    <w:p>
      <w:pPr>
        <w:spacing w:after="0" w:line="144" w:lineRule="exact"/>
        <w:rPr>
          <w:sz w:val="20"/>
          <w:szCs w:val="20"/>
          <w:color w:val="auto"/>
        </w:rPr>
      </w:pPr>
    </w:p>
    <w:p>
      <w:pPr>
        <w:ind w:right="140" w:firstLine="696"/>
        <w:spacing w:after="0" w:line="259" w:lineRule="auto"/>
        <w:rPr>
          <w:sz w:val="20"/>
          <w:szCs w:val="20"/>
          <w:color w:val="auto"/>
        </w:rPr>
      </w:pPr>
      <w:r>
        <w:rPr>
          <w:rFonts w:ascii="Times New Roman" w:cs="Times New Roman" w:eastAsia="Times New Roman" w:hAnsi="Times New Roman"/>
          <w:sz w:val="19"/>
          <w:szCs w:val="19"/>
          <w:color w:val="auto"/>
        </w:rPr>
        <w:t>It shall not be necessary for the consent of the Noteholders pursuant to this Section to approve the particular form of any proposed amendment or consent, but it shall be sufficient if such consent shall approve the substance thereof. The manner of obtaining such consents (and any other consents of Noteholders provided for in this Agreement) and of evidencing the authorization of any action by Noteholders shall be subject to such reasonable requirements as the Indenture Trustee or the Owner Trustee, as applicable, may prescribe.</w:t>
      </w:r>
    </w:p>
    <w:p>
      <w:pPr>
        <w:spacing w:after="0" w:line="154" w:lineRule="exact"/>
        <w:rPr>
          <w:sz w:val="20"/>
          <w:szCs w:val="20"/>
          <w:color w:val="auto"/>
        </w:rPr>
      </w:pPr>
    </w:p>
    <w:p>
      <w:pPr>
        <w:jc w:val="both"/>
        <w:ind w:right="20" w:firstLine="696"/>
        <w:spacing w:after="0" w:line="258" w:lineRule="auto"/>
        <w:rPr>
          <w:sz w:val="20"/>
          <w:szCs w:val="20"/>
          <w:color w:val="auto"/>
        </w:rPr>
      </w:pPr>
      <w:r>
        <w:rPr>
          <w:rFonts w:ascii="Times New Roman" w:cs="Times New Roman" w:eastAsia="Times New Roman" w:hAnsi="Times New Roman"/>
          <w:sz w:val="19"/>
          <w:szCs w:val="19"/>
          <w:color w:val="auto"/>
        </w:rPr>
        <w:t>Prior to the execution of any amendment to this Agreement, the Owner Trustee, the Indenture Trustee and the Backup Servicer shall be entitled to receive and conclusively rely upon an Opinion of Counsel stating that the execution of such amendment is authorized or permitted by this Agreement and that all conditions precedent have been met and the Opinion of Counsel referred to in Section 12.2(h)</w:t>
      </w:r>
    </w:p>
    <w:p>
      <w:pPr>
        <w:spacing w:after="0" w:line="2" w:lineRule="exact"/>
        <w:rPr>
          <w:sz w:val="20"/>
          <w:szCs w:val="20"/>
          <w:color w:val="auto"/>
        </w:rPr>
      </w:pPr>
    </w:p>
    <w:p>
      <w:pPr>
        <w:ind w:right="60" w:firstLine="6"/>
        <w:spacing w:after="0" w:line="250" w:lineRule="auto"/>
        <w:tabs>
          <w:tab w:leader="none" w:pos="229" w:val="left"/>
        </w:tabs>
        <w:numPr>
          <w:ilvl w:val="0"/>
          <w:numId w:val="4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delivered. The Owner Trustee, the Backup Servicer and the Indenture Trustee may, but shall not be obligated to, enter into any such amendment which affects the Issuer's, the Owner Trustee's, the Backup Servicer's or the Indenture Trustee's, as applicable, own rights, duties or immunities under this Agreement or otherwise.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2" w:name="page543"/>
    <w:bookmarkEnd w:id="542"/>
    <w:p>
      <w:pPr>
        <w:spacing w:after="0" w:line="200" w:lineRule="exact"/>
        <w:rPr>
          <w:sz w:val="20"/>
          <w:szCs w:val="20"/>
          <w:color w:val="auto"/>
        </w:rPr>
      </w:pPr>
    </w:p>
    <w:p>
      <w:pPr>
        <w:spacing w:after="0" w:line="261" w:lineRule="exact"/>
        <w:rPr>
          <w:sz w:val="20"/>
          <w:szCs w:val="20"/>
          <w:color w:val="auto"/>
        </w:rPr>
      </w:pPr>
    </w:p>
    <w:p>
      <w:pPr>
        <w:ind w:right="580" w:firstLine="696"/>
        <w:spacing w:after="0" w:line="286" w:lineRule="auto"/>
        <w:rPr>
          <w:sz w:val="20"/>
          <w:szCs w:val="20"/>
          <w:color w:val="auto"/>
        </w:rPr>
      </w:pPr>
      <w:r>
        <w:rPr>
          <w:rFonts w:ascii="Times New Roman" w:cs="Times New Roman" w:eastAsia="Times New Roman" w:hAnsi="Times New Roman"/>
          <w:sz w:val="19"/>
          <w:szCs w:val="19"/>
          <w:color w:val="auto"/>
        </w:rPr>
        <w:t>The Indenture Trustee and the Owner Trustee shall be entitled to recover any reasonable costs (including any reasonable attorneys' fees and expenses) incurred in connection with an amendment hereto.</w:t>
      </w:r>
    </w:p>
    <w:p>
      <w:pPr>
        <w:spacing w:after="0" w:line="127"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color w:val="auto"/>
        </w:rPr>
        <w:t>Notwithstanding the first two paragraphs of this Section 12.1, this Agreement may only be amended by the Servicer and the Depositor if an Opinion of Counsel is delivered to the Indenture Trustee and the Owner Trustee providing that such amendment will not result in or cause the Issuer (or any part thereof) to be classified, for United States federal income tax purposes, as an association (or a publicly traded partnership) taxable as a corporation or as other than a fixed investment trust described in Treasury Regulation section 301.7701-4(c) that is treated as a grantor trust under subpart E, Part I of subchapter J of the Code.</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SECTION XII.2</w:t>
      </w:r>
      <w:r>
        <w:rPr>
          <w:rFonts w:ascii="Times New Roman" w:cs="Times New Roman" w:eastAsia="Times New Roman" w:hAnsi="Times New Roman"/>
          <w:sz w:val="19"/>
          <w:szCs w:val="19"/>
          <w:color w:val="000000"/>
        </w:rPr>
        <w:t>. Protection of Title to Trust.</w:t>
      </w:r>
    </w:p>
    <w:p>
      <w:pPr>
        <w:spacing w:after="0" w:line="202" w:lineRule="exact"/>
        <w:rPr>
          <w:sz w:val="20"/>
          <w:szCs w:val="20"/>
          <w:color w:val="auto"/>
        </w:rPr>
      </w:pPr>
    </w:p>
    <w:p>
      <w:pPr>
        <w:ind w:right="100" w:firstLine="702"/>
        <w:spacing w:after="0" w:line="259" w:lineRule="auto"/>
        <w:tabs>
          <w:tab w:leader="none" w:pos="960" w:val="left"/>
        </w:tabs>
        <w:numPr>
          <w:ilvl w:val="0"/>
          <w:numId w:val="47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Depositor shall execute and file such financing statements and cause to be executed and filed such continuation statements, all in such manner and in such places as may be required by law fully to preserve, maintain and protect the interest of the Issuer and the interests of the Indenture Trustee in the Receivables and in the proceeds thereof. The Depositor shall deliver (or cause to be delivered) to the Owner Trustee and the Indenture Trustee file-stamped copies of, or filing receipts for, any document filed as provided above, as soon as available following such filing.</w:t>
      </w:r>
    </w:p>
    <w:p>
      <w:pPr>
        <w:spacing w:after="0" w:line="153" w:lineRule="exact"/>
        <w:rPr>
          <w:rFonts w:ascii="Times New Roman" w:cs="Times New Roman" w:eastAsia="Times New Roman" w:hAnsi="Times New Roman"/>
          <w:sz w:val="19"/>
          <w:szCs w:val="19"/>
          <w:color w:val="1F3763"/>
        </w:rPr>
      </w:pPr>
    </w:p>
    <w:p>
      <w:pPr>
        <w:ind w:firstLine="702"/>
        <w:spacing w:after="0" w:line="255" w:lineRule="auto"/>
        <w:tabs>
          <w:tab w:leader="none" w:pos="972" w:val="left"/>
        </w:tabs>
        <w:numPr>
          <w:ilvl w:val="0"/>
          <w:numId w:val="47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Neither the Depositor nor the Servicer shall change its name, identity or corporate structure in any manner that would, could or might make any financing statement or continuation statement filed in accordance with paragraph (a) above seriously misleading within the meaning of 9-506 of the UCC, unless it shall have given the Owner Trustee, the Backup Servicer and the Indenture Trustee at least five days' prior written notice thereof and shall have promptly filed appropriate amendments to all previously filed financing statements or continuation statements. Promptly upon such filing, the Depositor or the Servicer, as the case may be, shall deliver an Opinion of Counsel in form and substance reasonably satisfactory to the Indenture Trustee, stating either (i) all financing statements and continuation statements have been executed and filed that are necessary fully to preserve and protect the interest of the Trust and the Indenture Trustee in the Receivables, and reciting the details of such filings or referring to prior Opinions of Counsel in which such details are given, or (ii) no such action shall be necessary to preserve and protect such interest.</w:t>
      </w:r>
    </w:p>
    <w:p>
      <w:pPr>
        <w:spacing w:after="0" w:line="155" w:lineRule="exact"/>
        <w:rPr>
          <w:rFonts w:ascii="Times New Roman" w:cs="Times New Roman" w:eastAsia="Times New Roman" w:hAnsi="Times New Roman"/>
          <w:sz w:val="19"/>
          <w:szCs w:val="19"/>
          <w:color w:val="1F3763"/>
        </w:rPr>
      </w:pPr>
    </w:p>
    <w:p>
      <w:pPr>
        <w:ind w:right="20" w:firstLine="702"/>
        <w:spacing w:after="0" w:line="257" w:lineRule="auto"/>
        <w:tabs>
          <w:tab w:leader="none" w:pos="960" w:val="left"/>
        </w:tabs>
        <w:numPr>
          <w:ilvl w:val="0"/>
          <w:numId w:val="47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of the Depositor and the Servicer shall have an obligation to give the Owner Trustee, the Backup Servicer and the Indenture Trustee at least 60 days' prior written notice of any relocation of its principal executive office or jurisdiction of organization if, as a result of such relocation, the applicable provisions of the UCC would require the filing of any amendment of any previously filed financing or continuation statement or of any new financing statement and shall promptly file any such amendment or new financing statement. The Servicer shall at all times maintain (i) each office from which it shall service Receivables within the United States of America, and (ii) its principal executive office within the United States of America.</w:t>
      </w:r>
    </w:p>
    <w:p>
      <w:pPr>
        <w:spacing w:after="0" w:line="156"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476"/>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maintain accounts and records as to each Receivable accurately and in sufficient detail to permit (i)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reader thereof to know at any time the status of such</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43" w:name="page544"/>
    <w:bookmarkEnd w:id="543"/>
    <w:p>
      <w:pPr>
        <w:spacing w:after="0" w:line="200" w:lineRule="exact"/>
        <w:rPr>
          <w:sz w:val="20"/>
          <w:szCs w:val="20"/>
          <w:color w:val="auto"/>
        </w:rPr>
      </w:pPr>
    </w:p>
    <w:p>
      <w:pPr>
        <w:spacing w:after="0" w:line="2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Receivable, including payments and recoveries made and payments owing (and the nature of each) and (ii) reconciliation between payments or recoveries on (or with respect to) each Receivable and the amounts from time to time deposited in the Collection Account in respect of such Receivable.</w:t>
      </w:r>
    </w:p>
    <w:p>
      <w:pPr>
        <w:spacing w:after="0" w:line="144" w:lineRule="exact"/>
        <w:rPr>
          <w:sz w:val="20"/>
          <w:szCs w:val="20"/>
          <w:color w:val="auto"/>
        </w:rPr>
      </w:pPr>
    </w:p>
    <w:p>
      <w:pPr>
        <w:ind w:firstLine="702"/>
        <w:spacing w:after="0" w:line="259" w:lineRule="auto"/>
        <w:tabs>
          <w:tab w:leader="none" w:pos="960" w:val="left"/>
        </w:tabs>
        <w:numPr>
          <w:ilvl w:val="0"/>
          <w:numId w:val="47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maintain its computer systems so that, from and after the time of sale under this Agreement of the Receivables to the Issuer, the Servicer's master computer records (including any backup archives) that refer to a Receivable shall indicate clearly the interest of the Trust in such Receivable and that such Receivable is owned by the Trust. Indication of the Trust's interest in a Receivable shall be deleted from or modified on the Servicer's computer systems when, and only when, the related Receivable shall have been paid in full or repurchased or sold pursuant to this Agreement.</w:t>
      </w:r>
    </w:p>
    <w:p>
      <w:pPr>
        <w:spacing w:after="0" w:line="153" w:lineRule="exact"/>
        <w:rPr>
          <w:rFonts w:ascii="Times New Roman" w:cs="Times New Roman" w:eastAsia="Times New Roman" w:hAnsi="Times New Roman"/>
          <w:sz w:val="19"/>
          <w:szCs w:val="19"/>
          <w:color w:val="1F3763"/>
        </w:rPr>
      </w:pPr>
    </w:p>
    <w:p>
      <w:pPr>
        <w:jc w:val="both"/>
        <w:ind w:right="60" w:firstLine="702"/>
        <w:spacing w:after="0" w:line="262" w:lineRule="auto"/>
        <w:tabs>
          <w:tab w:leader="none" w:pos="936" w:val="left"/>
        </w:tabs>
        <w:numPr>
          <w:ilvl w:val="0"/>
          <w:numId w:val="47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If at any time the Depositor or the Servicer shall propose to sell, grant a security interest in or otherwise transfer any interest in automotive receivables to any prospective purchaser, lender or other transferee, the Servicer shall give to such prospective purchaser, lender or other transferee computer tapes, records or printouts (including any restored from backup archives) that, if they shall refer in any manner whatsoever to any Receivable, shall indicate clearly that such Receivable has been sold and is owned by the Trust.</w:t>
      </w:r>
    </w:p>
    <w:p>
      <w:pPr>
        <w:spacing w:after="0" w:line="150" w:lineRule="exact"/>
        <w:rPr>
          <w:rFonts w:ascii="Times New Roman" w:cs="Times New Roman" w:eastAsia="Times New Roman" w:hAnsi="Times New Roman"/>
          <w:sz w:val="19"/>
          <w:szCs w:val="19"/>
          <w:color w:val="1F3763"/>
        </w:rPr>
      </w:pPr>
    </w:p>
    <w:p>
      <w:pPr>
        <w:ind w:right="160" w:firstLine="702"/>
        <w:spacing w:after="0" w:line="262" w:lineRule="auto"/>
        <w:tabs>
          <w:tab w:leader="none" w:pos="972" w:val="left"/>
        </w:tabs>
        <w:numPr>
          <w:ilvl w:val="0"/>
          <w:numId w:val="47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Upon request, the Servicer shall furnish to the Owner Trustee, the Backup Servicer or to the Indenture Trustee, within five Business Days, a list of all Receivables (by contract number and name of Obligor) then held as part of the Trust, together with a reconciliation of such list to the Schedule of Receivables and to each of the Servicer's Certificates furnished before such request indicating removal of Receivables from the Trust.</w:t>
      </w:r>
    </w:p>
    <w:p>
      <w:pPr>
        <w:spacing w:after="0" w:line="150"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47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Servicer shall deliver to the Backup Servicer, the Owner Trustee and the Indenture Trustee:</w:t>
      </w:r>
    </w:p>
    <w:p>
      <w:pPr>
        <w:spacing w:after="0" w:line="201" w:lineRule="exact"/>
        <w:rPr>
          <w:rFonts w:ascii="Times New Roman" w:cs="Times New Roman" w:eastAsia="Times New Roman" w:hAnsi="Times New Roman"/>
          <w:sz w:val="19"/>
          <w:szCs w:val="19"/>
          <w:color w:val="1F3763"/>
        </w:rPr>
      </w:pPr>
    </w:p>
    <w:p>
      <w:pPr>
        <w:ind w:left="1420" w:right="80" w:firstLine="639"/>
        <w:spacing w:after="0" w:line="259" w:lineRule="auto"/>
        <w:tabs>
          <w:tab w:leader="none" w:pos="2296" w:val="left"/>
        </w:tabs>
        <w:numPr>
          <w:ilvl w:val="1"/>
          <w:numId w:val="47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promptly after the execution and delivery of this Agreement, an Opinion of Counsel stating that, in the opinion of such counsel, either (A) all financing statements and continuation statements have been executed and filed that are necessary fully to preserve and protect the interest of the Trust and the Indenture Trustee in the Receivables, and reciting the details of such filings or referring to prior Opinions of Counsel in which such details are given, or (B) no such action shall be necessary to preserve and protect such interest; and</w:t>
      </w:r>
    </w:p>
    <w:p>
      <w:pPr>
        <w:spacing w:after="0" w:line="153" w:lineRule="exact"/>
        <w:rPr>
          <w:rFonts w:ascii="Times New Roman" w:cs="Times New Roman" w:eastAsia="Times New Roman" w:hAnsi="Times New Roman"/>
          <w:sz w:val="19"/>
          <w:szCs w:val="19"/>
          <w:color w:val="2F5496"/>
        </w:rPr>
      </w:pPr>
    </w:p>
    <w:p>
      <w:pPr>
        <w:ind w:left="1420" w:right="80" w:firstLine="639"/>
        <w:spacing w:after="0" w:line="256" w:lineRule="auto"/>
        <w:tabs>
          <w:tab w:leader="none" w:pos="2356" w:val="left"/>
        </w:tabs>
        <w:numPr>
          <w:ilvl w:val="1"/>
          <w:numId w:val="477"/>
        </w:numPr>
        <w:rPr>
          <w:rFonts w:ascii="Times New Roman" w:cs="Times New Roman" w:eastAsia="Times New Roman" w:hAnsi="Times New Roman"/>
          <w:sz w:val="19"/>
          <w:szCs w:val="19"/>
          <w:color w:val="2F5496"/>
        </w:rPr>
      </w:pPr>
      <w:r>
        <w:rPr>
          <w:rFonts w:ascii="Times New Roman" w:cs="Times New Roman" w:eastAsia="Times New Roman" w:hAnsi="Times New Roman"/>
          <w:sz w:val="19"/>
          <w:szCs w:val="19"/>
          <w:color w:val="auto"/>
        </w:rPr>
        <w:t>no later than 120 days after the end of each calendar year, commencing with the calendar year ended December 31, 2025, an Opinion of Counsel, dated as of a date during such 120-day period, stating that, in the opinion of such counsel, either (A) all financing statements and continuation statements have been executed and filed that are necessary fully to preserve and protect the interest of the Trust and the Indenture Trustee in the Receivables, and</w:t>
      </w:r>
    </w:p>
    <w:p>
      <w:pPr>
        <w:spacing w:after="0" w:line="2" w:lineRule="exact"/>
        <w:rPr>
          <w:sz w:val="20"/>
          <w:szCs w:val="20"/>
          <w:color w:val="auto"/>
        </w:rPr>
      </w:pPr>
    </w:p>
    <w:p>
      <w:pPr>
        <w:ind w:left="1420" w:right="160"/>
        <w:spacing w:after="0" w:line="250" w:lineRule="auto"/>
        <w:rPr>
          <w:sz w:val="20"/>
          <w:szCs w:val="20"/>
          <w:color w:val="auto"/>
        </w:rPr>
      </w:pPr>
      <w:r>
        <w:rPr>
          <w:rFonts w:ascii="Times New Roman" w:cs="Times New Roman" w:eastAsia="Times New Roman" w:hAnsi="Times New Roman"/>
          <w:sz w:val="19"/>
          <w:szCs w:val="19"/>
          <w:color w:val="auto"/>
        </w:rPr>
        <w:t>reciting the details of such filings or referring to prior Opinions of Counsel in which such details are given, or (B) no such action shall be necessary to preserve and protect such interest.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44" w:name="page545"/>
    <w:bookmarkEnd w:id="544"/>
    <w:p>
      <w:pPr>
        <w:spacing w:after="0" w:line="200" w:lineRule="exact"/>
        <w:rPr>
          <w:sz w:val="20"/>
          <w:szCs w:val="20"/>
          <w:color w:val="auto"/>
        </w:rPr>
      </w:pPr>
    </w:p>
    <w:p>
      <w:pPr>
        <w:spacing w:after="0" w:line="261" w:lineRule="exact"/>
        <w:rPr>
          <w:sz w:val="20"/>
          <w:szCs w:val="20"/>
          <w:color w:val="auto"/>
        </w:rPr>
      </w:pPr>
    </w:p>
    <w:p>
      <w:pPr>
        <w:ind w:right="20" w:firstLine="696"/>
        <w:spacing w:after="0" w:line="286" w:lineRule="auto"/>
        <w:rPr>
          <w:sz w:val="20"/>
          <w:szCs w:val="20"/>
          <w:color w:val="auto"/>
        </w:rPr>
      </w:pPr>
      <w:r>
        <w:rPr>
          <w:rFonts w:ascii="Times New Roman" w:cs="Times New Roman" w:eastAsia="Times New Roman" w:hAnsi="Times New Roman"/>
          <w:sz w:val="19"/>
          <w:szCs w:val="19"/>
          <w:color w:val="auto"/>
        </w:rPr>
        <w:t>Each Opinion of Counsel referred to in clause (i) or (ii) above shall specify any action necessary (as of the date of such opinion) to be taken in the following year to preserve and protect such interest.</w:t>
      </w:r>
    </w:p>
    <w:p>
      <w:pPr>
        <w:spacing w:after="0" w:line="127"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2F5496"/>
        </w:rPr>
        <w:t>SECTION XII.3</w:t>
      </w:r>
      <w:r>
        <w:rPr>
          <w:rFonts w:ascii="Times New Roman" w:cs="Times New Roman" w:eastAsia="Times New Roman" w:hAnsi="Times New Roman"/>
          <w:sz w:val="19"/>
          <w:szCs w:val="19"/>
          <w:color w:val="000000"/>
        </w:rPr>
        <w:t>. Notices. All demands, notices and communications upon or to the Depositor, the Servicer, the Owner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Trustee, the Indenture Trustee, the Backup Servicer or the Rating Agencies (upon whom any demands, notices or communications shall be provided only by the Seller or the Servicer) under this Agreement shall be in writing, personally delivered, electronically delivered, mailed by certified mail, return receipt requested, federal express or similar overnight courier service, and shall be deemed to have been duly given upon receipt (a) in the case of the Depositor to United Auto Credit Financing LLC, c/o United Auto Credit Corporation, 1071 Camelback, Suite 100, Newport Beach, California 92660, Attention: Chief Financial Officer, or via electronic delivery to financing@unitedautocredit.net; (b) in the case of the Servicer to United Auto Credit Corporation, 1071 Camelback, Suite 100, Newport Beach, California 92660, Attention: Chief Financial Officer, or via electronic delivery to financing@unitedautocredit.net; (c) in the case of the Issuer or the Owner Trustee, at the Corporate Trust Office of the Owner Trustee, or via electronic delivery to cdtc@computershare.com; (d) in the case of the Indenture Trustee or the Backup Servicer, at the related Corporate Trust Office, or via electronic delivery to Mike.Oller@computershare.com; (e) in the case of DBRS, at 140 Broadway, 35th Floor, New York, New York 10005, Attention: ABS Surveillance, or via electronic delivery to abs_surveillance@dbrs.com; and (f) in the case of S&amp;P Global Ratings, via electronic delivery to Servicer_reports@sandp.com, or, for any information not available in electronic format, to S&amp;P Global Ratings, 55 Water Street, 41st Floor, New York, New York 10041-0003, Attention: ABS Surveillance Group. Any notice required or permitted to be mailed to a Noteholder shall be given by first class mail, postage prepaid, at the address of such Holder as shown in the Note Register. Any notice so mailed within the time prescribed in the Agreement shall be conclusively presumed to have been duly given, whether or not the Noteholder shall receive such notice.</w:t>
      </w:r>
    </w:p>
    <w:p>
      <w:pPr>
        <w:spacing w:after="0" w:line="169" w:lineRule="exact"/>
        <w:rPr>
          <w:sz w:val="20"/>
          <w:szCs w:val="20"/>
          <w:color w:val="auto"/>
        </w:rPr>
      </w:pPr>
    </w:p>
    <w:p>
      <w:pPr>
        <w:ind w:right="180" w:firstLine="696"/>
        <w:spacing w:after="0" w:line="259" w:lineRule="auto"/>
        <w:rPr>
          <w:sz w:val="20"/>
          <w:szCs w:val="20"/>
          <w:color w:val="auto"/>
        </w:rPr>
      </w:pPr>
      <w:r>
        <w:rPr>
          <w:rFonts w:ascii="Times New Roman" w:cs="Times New Roman" w:eastAsia="Times New Roman" w:hAnsi="Times New Roman"/>
          <w:sz w:val="19"/>
          <w:szCs w:val="19"/>
          <w:color w:val="2F5496"/>
        </w:rPr>
        <w:t>SECTION XII.4</w:t>
      </w:r>
      <w:r>
        <w:rPr>
          <w:rFonts w:ascii="Times New Roman" w:cs="Times New Roman" w:eastAsia="Times New Roman" w:hAnsi="Times New Roman"/>
          <w:sz w:val="19"/>
          <w:szCs w:val="19"/>
          <w:color w:val="000000"/>
        </w:rPr>
        <w:t>. Assignment. This Agreement shall inure to the benefit of and be binding upon the parties hereto, the Owner</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Trustee, and their respective successors and permitted assigns. Notwithstanding anything to the contrary contained herein, except as provided in Sections 7.4 and 8.4 and as provided in the provisions of this Agreement concerning the resignation of the Servicer, this Agreement may not be assigned by the Depositor or the Servicer without the prior written consent of the Owner Trustee, the Backup Servicer, the Indenture Trustee and the Majority Noteholders.</w:t>
      </w:r>
    </w:p>
    <w:p>
      <w:pPr>
        <w:spacing w:after="0" w:line="154"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2F5496"/>
        </w:rPr>
        <w:t>SECTION XII.5</w:t>
      </w:r>
      <w:r>
        <w:rPr>
          <w:rFonts w:ascii="Times New Roman" w:cs="Times New Roman" w:eastAsia="Times New Roman" w:hAnsi="Times New Roman"/>
          <w:sz w:val="19"/>
          <w:szCs w:val="19"/>
          <w:color w:val="000000"/>
        </w:rPr>
        <w:t>. Limitations on Rights of Others. The provisions of this Agreement are solely for the benefit of the parties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hereto, the Indenture Trustee, the Owner Trustee and the Noteholders, as third -party beneficiaries. Nothing in this Agreement, whether express or implied, shall be construed to give to any other Person any legal or equitable right, remedy or claim in the Owner Trust Estate or under or in respect of this Agreement or any covenants, conditions or provisions contained herein.</w:t>
      </w:r>
    </w:p>
    <w:p>
      <w:pPr>
        <w:spacing w:after="0" w:line="150" w:lineRule="exact"/>
        <w:rPr>
          <w:sz w:val="20"/>
          <w:szCs w:val="20"/>
          <w:color w:val="auto"/>
        </w:rPr>
      </w:pPr>
    </w:p>
    <w:p>
      <w:pPr>
        <w:ind w:right="80" w:firstLine="696"/>
        <w:spacing w:after="0" w:line="258" w:lineRule="auto"/>
        <w:rPr>
          <w:sz w:val="20"/>
          <w:szCs w:val="20"/>
          <w:color w:val="auto"/>
        </w:rPr>
      </w:pPr>
      <w:r>
        <w:rPr>
          <w:rFonts w:ascii="Times New Roman" w:cs="Times New Roman" w:eastAsia="Times New Roman" w:hAnsi="Times New Roman"/>
          <w:sz w:val="19"/>
          <w:szCs w:val="19"/>
          <w:color w:val="2F5496"/>
        </w:rPr>
        <w:t>SECTION XII.6</w:t>
      </w:r>
      <w:r>
        <w:rPr>
          <w:rFonts w:ascii="Times New Roman" w:cs="Times New Roman" w:eastAsia="Times New Roman" w:hAnsi="Times New Roman"/>
          <w:sz w:val="19"/>
          <w:szCs w:val="19"/>
          <w:color w:val="000000"/>
        </w:rPr>
        <w:t>. Severability. Any provision of this Agreement that is prohibited or unenforceable in any jurisdiction shall, as</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to such jurisdiction, be ineffective to the extent of such prohibition or unenforceability without invalidating the remaining provisions hereof, and any such</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5" w:name="page546"/>
    <w:bookmarkEnd w:id="545"/>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prohibition or unenforceability in any jurisdiction shall not invalidate or render unenforceable such provision in any other jurisdiction.</w:t>
      </w:r>
    </w:p>
    <w:p>
      <w:pPr>
        <w:spacing w:after="0" w:line="202" w:lineRule="exact"/>
        <w:rPr>
          <w:sz w:val="20"/>
          <w:szCs w:val="20"/>
          <w:color w:val="auto"/>
        </w:rPr>
      </w:pPr>
    </w:p>
    <w:p>
      <w:pPr>
        <w:ind w:right="180" w:firstLine="696"/>
        <w:spacing w:after="0" w:line="268" w:lineRule="auto"/>
        <w:rPr>
          <w:sz w:val="20"/>
          <w:szCs w:val="20"/>
          <w:color w:val="auto"/>
        </w:rPr>
      </w:pPr>
      <w:r>
        <w:rPr>
          <w:rFonts w:ascii="Times New Roman" w:cs="Times New Roman" w:eastAsia="Times New Roman" w:hAnsi="Times New Roman"/>
          <w:sz w:val="19"/>
          <w:szCs w:val="19"/>
          <w:color w:val="2F5496"/>
        </w:rPr>
        <w:t>SECTION XII.7</w:t>
      </w:r>
      <w:r>
        <w:rPr>
          <w:rFonts w:ascii="Times New Roman" w:cs="Times New Roman" w:eastAsia="Times New Roman" w:hAnsi="Times New Roman"/>
          <w:sz w:val="19"/>
          <w:szCs w:val="19"/>
          <w:color w:val="000000"/>
        </w:rPr>
        <w:t>. Separate Counterparts. This Agreement may be executed by the parties hereto in separate counterparts, each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of which when so executed and delivered shall be an original, but all such counterparts shall together constitute but one and the same instrument.</w:t>
      </w:r>
    </w:p>
    <w:p>
      <w:pPr>
        <w:spacing w:after="0" w:line="144"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2F5496"/>
        </w:rPr>
        <w:t>SECTION XII.8</w:t>
      </w:r>
      <w:r>
        <w:rPr>
          <w:rFonts w:ascii="Times New Roman" w:cs="Times New Roman" w:eastAsia="Times New Roman" w:hAnsi="Times New Roman"/>
          <w:sz w:val="19"/>
          <w:szCs w:val="19"/>
          <w:color w:val="000000"/>
        </w:rPr>
        <w:t>. Headings. The headings of the various Articles and Sections herein are for convenience of reference only and</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shall not define or limit any of the terms or provisions hereof.</w:t>
      </w:r>
    </w:p>
    <w:p>
      <w:pPr>
        <w:spacing w:after="0" w:line="125"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XII.9. </w:t>
      </w:r>
      <w:r>
        <w:rPr>
          <w:rFonts w:ascii="Times New Roman" w:cs="Times New Roman" w:eastAsia="Times New Roman" w:hAnsi="Times New Roman"/>
          <w:sz w:val="19"/>
          <w:szCs w:val="19"/>
          <w:color w:val="000000"/>
        </w:rPr>
        <w:t>GOVERNING LAW.</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THIS AGREEMENT SHALL BE CONSTRUED IN ACCORDANCE WITH,</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b w:val="1"/>
          <w:bCs w:val="1"/>
          <w:color w:val="000000"/>
        </w:rPr>
        <w:t>AND THIS AGREEMENT AND ALL MATTERS ARISING OUT OF OR RELATING IN ANY WAY TO THIS AGREEMENT SHALL BE GOVERNED BY, THE LAW OF THE STATE OF NEW YORK, WITHOUT GIVING EFFECT TO ITS CONFLICT OF LAW PROVISIONS (OTHER THAN SECTIONS 5 -1401 AND 5-1402 OF THE NEW YORK GENERAL OBLIGATIONS LAW). EACH OF THE PARTIES HERETO HEREBY AGREES TO THE NON-EXCLUSIVE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58" w:lineRule="exact"/>
        <w:rPr>
          <w:sz w:val="20"/>
          <w:szCs w:val="20"/>
          <w:color w:val="auto"/>
        </w:rPr>
      </w:pPr>
    </w:p>
    <w:p>
      <w:pPr>
        <w:ind w:right="2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XII.10. </w:t>
      </w:r>
      <w:r>
        <w:rPr>
          <w:rFonts w:ascii="Times New Roman" w:cs="Times New Roman" w:eastAsia="Times New Roman" w:hAnsi="Times New Roman"/>
          <w:sz w:val="19"/>
          <w:szCs w:val="19"/>
          <w:color w:val="000000"/>
        </w:rPr>
        <w:t>Assignment to Indenture Trustee. The Depositor hereby acknowledges and consents to any mortgage,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pledge, assignment and grant of a security interest by the Issuer to the Indenture Trustee pursuant to the Indenture for the benefit of the Noteholders of all right, title and interest of the Issuer in, to and under the Receivables and the Other Conveyed Property and/or the assignment of any or all of the Issuer's rights and obligations hereunder to the Indenture Trustee.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XII.11. </w:t>
      </w:r>
      <w:r>
        <w:rPr>
          <w:rFonts w:ascii="Times New Roman" w:cs="Times New Roman" w:eastAsia="Times New Roman" w:hAnsi="Times New Roman"/>
          <w:sz w:val="19"/>
          <w:szCs w:val="19"/>
          <w:color w:val="000000"/>
        </w:rPr>
        <w:t>Nonpetition Covenants.</w:t>
      </w:r>
    </w:p>
    <w:p>
      <w:pPr>
        <w:spacing w:after="0" w:line="202" w:lineRule="exact"/>
        <w:rPr>
          <w:sz w:val="20"/>
          <w:szCs w:val="20"/>
          <w:color w:val="auto"/>
        </w:rPr>
      </w:pPr>
    </w:p>
    <w:p>
      <w:pPr>
        <w:ind w:right="40" w:firstLine="702"/>
        <w:spacing w:after="0" w:line="258" w:lineRule="auto"/>
        <w:tabs>
          <w:tab w:leader="none" w:pos="960" w:val="left"/>
        </w:tabs>
        <w:numPr>
          <w:ilvl w:val="0"/>
          <w:numId w:val="478"/>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any prior termination of this Agreement, the Servicer, the Depositor, the Backup Servicer and the Indenture Trustee shall not, prior to the date which is one year and one day after the termination of this Agreement with respect to the Issuer, acquiesce,</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46" w:name="page547"/>
    <w:bookmarkEnd w:id="546"/>
    <w:p>
      <w:pPr>
        <w:spacing w:after="0" w:line="200" w:lineRule="exact"/>
        <w:rPr>
          <w:sz w:val="20"/>
          <w:szCs w:val="20"/>
          <w:color w:val="auto"/>
        </w:rPr>
      </w:pPr>
    </w:p>
    <w:p>
      <w:pPr>
        <w:spacing w:after="0" w:line="26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petition or otherwise invoke or cause the Issuer to invoke the process of any court or government authority for the purpose of commencing or sustaining a case against the Issuer under any federal or State bankruptcy, insolvency or similar law or appointing a receiver, liquidator, assignee, trustee, custodian, sequestrator or other similar official of the Issuer or any substantial part of its property, or ordering the winding up or liquidation of the affairs of the Issuer and agrees that it will not join in a bankruptcy petition filed by others against the Issuer during the same period.</w:t>
      </w:r>
    </w:p>
    <w:p>
      <w:pPr>
        <w:spacing w:after="0" w:line="154" w:lineRule="exact"/>
        <w:rPr>
          <w:sz w:val="20"/>
          <w:szCs w:val="20"/>
          <w:color w:val="auto"/>
        </w:rPr>
      </w:pPr>
    </w:p>
    <w:p>
      <w:pPr>
        <w:ind w:right="40" w:firstLine="702"/>
        <w:spacing w:after="0" w:line="256" w:lineRule="auto"/>
        <w:tabs>
          <w:tab w:leader="none" w:pos="972" w:val="left"/>
        </w:tabs>
        <w:numPr>
          <w:ilvl w:val="0"/>
          <w:numId w:val="479"/>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any prior termination of this Agreement, the Servicer, the Issuer, the Backup Servicer and the Indenture Trustee shall not, prior to the date that is one year and one day after the termination of this Agreement with respect to the Depositor, acquiesce to, petition or otherwise invoke or cause the Depositor to invoke the process of any court or government authority for the purpose of commencing or sustaining an involuntary case against the Depositor under any federal or State bankruptcy, insolvency or similar law, appointing a receiver, liquidator, assignee, trustee, custodian, sequestrator, or other similar official of the Depositor or any substantial part of its property, or ordering the winding up or liquidation of the affairs of the Depositor and agrees that it will not join in a bankruptcy petition filed by others against the Depositor during the same period.</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XII.12. </w:t>
      </w:r>
      <w:r>
        <w:rPr>
          <w:rFonts w:ascii="Times New Roman" w:cs="Times New Roman" w:eastAsia="Times New Roman" w:hAnsi="Times New Roman"/>
          <w:sz w:val="19"/>
          <w:szCs w:val="19"/>
          <w:color w:val="000000"/>
        </w:rPr>
        <w:t>Limitation of Liability of Owner Trustee and Indenture Trustee.</w:t>
      </w:r>
    </w:p>
    <w:p>
      <w:pPr>
        <w:spacing w:after="0" w:line="202" w:lineRule="exact"/>
        <w:rPr>
          <w:sz w:val="20"/>
          <w:szCs w:val="20"/>
          <w:color w:val="auto"/>
        </w:rPr>
      </w:pPr>
    </w:p>
    <w:p>
      <w:pPr>
        <w:ind w:firstLine="702"/>
        <w:spacing w:after="0" w:line="256" w:lineRule="auto"/>
        <w:tabs>
          <w:tab w:leader="none" w:pos="960" w:val="left"/>
        </w:tabs>
        <w:numPr>
          <w:ilvl w:val="0"/>
          <w:numId w:val="4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anything contained herein to the contrary, this Agreement has been countersigned by Computershare Delaware Trust Company, not in its individual capacity but solely in its capacity as Owner Trustee of the Issuer, and in no event shall Computershare Delaware Trust Company, in its individual capacity or as Owner Trustee have any liability for the representations, warranties, covenants, agreements or other obligations of the Issuer hereunder or in any of the certificates, notices or agreements delivered pursuant hereto, as to all of which recourse shall be had solely to the assets of the Issuer. For all purposes of this Agreement, in the performance of its duties or obligations hereunder or in the performance of any duties or obligations of the Issuer hereunder, the Owner Trustee shall be subject to, and entitled to the benefits of, the Trust Agreement.</w:t>
      </w:r>
    </w:p>
    <w:p>
      <w:pPr>
        <w:spacing w:after="0" w:line="157" w:lineRule="exact"/>
        <w:rPr>
          <w:rFonts w:ascii="Times New Roman" w:cs="Times New Roman" w:eastAsia="Times New Roman" w:hAnsi="Times New Roman"/>
          <w:sz w:val="19"/>
          <w:szCs w:val="19"/>
          <w:color w:val="1F3763"/>
        </w:rPr>
      </w:pPr>
    </w:p>
    <w:p>
      <w:pPr>
        <w:ind w:left="980" w:hanging="278"/>
        <w:spacing w:after="0"/>
        <w:tabs>
          <w:tab w:leader="none" w:pos="980" w:val="left"/>
        </w:tabs>
        <w:numPr>
          <w:ilvl w:val="0"/>
          <w:numId w:val="4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Notwithstanding anything contained herein to the contrary, this Agreement has been executed and delivered by</w:t>
      </w:r>
    </w:p>
    <w:p>
      <w:pPr>
        <w:spacing w:after="0" w:line="31" w:lineRule="exact"/>
        <w:rPr>
          <w:rFonts w:ascii="Times New Roman" w:cs="Times New Roman" w:eastAsia="Times New Roman" w:hAnsi="Times New Roman"/>
          <w:sz w:val="19"/>
          <w:szCs w:val="19"/>
          <w:color w:val="1F3763"/>
        </w:rPr>
      </w:pPr>
    </w:p>
    <w:p>
      <w:pPr>
        <w:ind w:right="120"/>
        <w:spacing w:after="0" w:line="254" w:lineRule="auto"/>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Computershare Trust Company, N.A., not in its individual capacity but solely as Indenture Trustee and Backup Servicer and in no event shall Computershare Trust Company, N.A., have any liability for the representations, warranties, covenants, agreements or other obligations of the Issuer hereunder or in any of the certificates, notices or agreements delivered pursuant hereto, as to all of which recourse shall be had solely to the assets of the Issuer.</w:t>
      </w:r>
    </w:p>
    <w:p>
      <w:pPr>
        <w:spacing w:after="0" w:line="157" w:lineRule="exact"/>
        <w:rPr>
          <w:rFonts w:ascii="Times New Roman" w:cs="Times New Roman" w:eastAsia="Times New Roman" w:hAnsi="Times New Roman"/>
          <w:sz w:val="19"/>
          <w:szCs w:val="19"/>
          <w:color w:val="1F3763"/>
        </w:rPr>
      </w:pPr>
    </w:p>
    <w:p>
      <w:pPr>
        <w:ind w:right="220" w:firstLine="702"/>
        <w:spacing w:after="0" w:line="286" w:lineRule="auto"/>
        <w:tabs>
          <w:tab w:leader="none" w:pos="960" w:val="left"/>
        </w:tabs>
        <w:numPr>
          <w:ilvl w:val="0"/>
          <w:numId w:val="480"/>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In no event shall Computershare Trust Company, N.A., in any of its capacities hereunder, be deemed to have assumed any duties of the Owner Trustee under the Delaware Statutory Trust Statute, common law, or the Trust Agreement.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XII.13. </w:t>
      </w:r>
      <w:r>
        <w:rPr>
          <w:rFonts w:ascii="Times New Roman" w:cs="Times New Roman" w:eastAsia="Times New Roman" w:hAnsi="Times New Roman"/>
          <w:sz w:val="19"/>
          <w:szCs w:val="19"/>
          <w:color w:val="000000"/>
        </w:rPr>
        <w:t>Concerning the Owner Trustee.</w:t>
      </w:r>
    </w:p>
    <w:p>
      <w:pPr>
        <w:spacing w:after="0" w:line="202" w:lineRule="exact"/>
        <w:rPr>
          <w:sz w:val="20"/>
          <w:szCs w:val="20"/>
          <w:color w:val="auto"/>
        </w:rPr>
      </w:pPr>
    </w:p>
    <w:p>
      <w:pPr>
        <w:ind w:right="300" w:firstLine="702"/>
        <w:spacing w:after="0" w:line="255" w:lineRule="auto"/>
        <w:tabs>
          <w:tab w:leader="none" w:pos="960" w:val="left"/>
        </w:tabs>
        <w:numPr>
          <w:ilvl w:val="0"/>
          <w:numId w:val="481"/>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Trust is a Delaware statutory trust and a separate legal entity under the Delaware Statutory Trust Act and pursuant to such act a trustee, when acting in such capacity, is not personally liable for any act, omission or obligation of a statutory trust. In furtherance thereof, the parties hereto are put on notice and hereby acknowledge and agree that (a) this Agreement is executed and delivered by Computershare Delaware Trust Company, not individually or personally but solely as Owner Trustee of the Trust, in the exercise of the powers and authority</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7" w:name="page548"/>
    <w:bookmarkEnd w:id="547"/>
    <w:p>
      <w:pPr>
        <w:spacing w:after="0" w:line="200" w:lineRule="exact"/>
        <w:rPr>
          <w:sz w:val="20"/>
          <w:szCs w:val="20"/>
          <w:color w:val="auto"/>
        </w:rPr>
      </w:pPr>
    </w:p>
    <w:p>
      <w:pPr>
        <w:spacing w:after="0" w:line="26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conferred and vested in it, (b) each of the representations, covenants, undertakings and agreements herein made on the part of the Owner Trustee or the Trust is made and intended not as personal representations, covenants, undertakings and agreements by Computershare Delaware Trust Company but is made and intended for the purpose of binding only the Trust, (c) nothing herein contained shall be construed as creating any liability on Computershare Delaware Trust Company, individually or personally, to perform any covenant either expressed or implied contained herein of the Owner Trustee or the Trust, all such liability, if any, being expressly waived by the parties hereto and by any Person claiming by, through or under the parties hereto, (d) Computershare Delaware Trust Company has not verified or made any investigation as to the accuracy or completeness of any representations and warranties made by the Owner Trustee or the Trust or any other party in this Agreement and (e) under no circumstances shall Computershare Delaware Trust Company be personally liable for the payment of any indebtedness or expenses of the Owner Trustee or the Trust or be liable for the breach or failure of any obligation, duty (including fiduciary duty, if any), representation, warranty or covenant made or undertaken by the Owner Trustee or the Trust under this Agreement or any other related documents.</w:t>
      </w:r>
    </w:p>
    <w:p>
      <w:pPr>
        <w:spacing w:after="0" w:line="157" w:lineRule="exact"/>
        <w:rPr>
          <w:sz w:val="20"/>
          <w:szCs w:val="20"/>
          <w:color w:val="auto"/>
        </w:rPr>
      </w:pPr>
    </w:p>
    <w:p>
      <w:pPr>
        <w:ind w:firstLine="702"/>
        <w:spacing w:after="0" w:line="254" w:lineRule="auto"/>
        <w:tabs>
          <w:tab w:leader="none" w:pos="972" w:val="left"/>
        </w:tabs>
        <w:numPr>
          <w:ilvl w:val="0"/>
          <w:numId w:val="482"/>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The Owner Trustee shall not be deemed to have actual knowledge or notice of any event or information, including any Event of Default, or be required to act upon any event or information (including the sending of any notice), unless a Responsible Officer of the Owner Trustee actually knows of such event or information or a Responsible Officer of the Owner Trustee receives written notice of such event or information. Absent actual knowledge of a Responsible Officer of the Owner Trustee or receipt of written notice by a Responsible Officer of the Owner Trustee in accordance with this Section, the Owner Trustee may conclusively assume that no such event has occurred. The Owner Trustee shall have no obligation to inquire into, or investigate as to, the occurrence of any such event (including any Event of Default). For purposes of determining the Owner Trustee's responsibility and liability hereunder, whenever reference is made in this Agreement to any event (including an Event of Default), such reference shall be construed to refer only to such event of which the Owner Trustee has received written notice or of which a Responsible Officer of the Owner Trustee has actual knowledge.</w:t>
      </w:r>
    </w:p>
    <w:p>
      <w:pPr>
        <w:spacing w:after="0" w:line="3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XII.14. </w:t>
      </w:r>
      <w:r>
        <w:rPr>
          <w:rFonts w:ascii="Times New Roman" w:cs="Times New Roman" w:eastAsia="Times New Roman" w:hAnsi="Times New Roman"/>
          <w:sz w:val="19"/>
          <w:szCs w:val="19"/>
          <w:color w:val="000000"/>
        </w:rPr>
        <w:t>Indenture Trustee to Report Repurchase Demands due to Breaches of Representations and Warranties.</w:t>
      </w:r>
    </w:p>
    <w:p>
      <w:pPr>
        <w:spacing w:after="0" w:line="202"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auto"/>
        </w:rPr>
        <w:t>The Indenture Trustee will (i) notify the Servicer, United Auto and the Seller, as soon as practicable and in any event within five Business Days and in the manner set forth for providing notices hereunder, of all demands or requests communicated (in writing) to Computershare Trust Company, N.A. (in any capacity) for the repurchase of any Receivable pursuant to Section 5.1 of the Purchase Agreement or Section 3.3 hereof, (ii) promptly upon request by the Servicer, United Auto or the Seller, provide to them any other information reasonably requested to facilitate compliance by them with Rule 15Ga-1 under the Exchange Act and Item 1104(e) of Regulation AB, and (iii) if requested by the Servicer, United Auto and the Seller, provide a written certification no later than 15 days following any calendar quarter or calendar year that Computershare Trust Company, N.A. has not received any repurchase demands for such period, or if repurchase demands have been received during such period, that the Indenture Trustee has provided all the information reasonably requested under clause (ii) above with respect to such demands. In no event will the Indenture Trustee or the Issuer have any responsibility or liability in connection with any filing required to be made by a securitizer under the Exchange Act or Regulation AB.</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8" w:name="page549"/>
    <w:bookmarkEnd w:id="548"/>
    <w:p>
      <w:pPr>
        <w:spacing w:after="0" w:line="200" w:lineRule="exact"/>
        <w:rPr>
          <w:sz w:val="20"/>
          <w:szCs w:val="20"/>
          <w:color w:val="auto"/>
        </w:rPr>
      </w:pPr>
    </w:p>
    <w:p>
      <w:pPr>
        <w:spacing w:after="0" w:line="261" w:lineRule="exact"/>
        <w:rPr>
          <w:sz w:val="20"/>
          <w:szCs w:val="20"/>
          <w:color w:val="auto"/>
        </w:rPr>
      </w:pPr>
    </w:p>
    <w:p>
      <w:pPr>
        <w:ind w:right="160"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XII.15. </w:t>
      </w:r>
      <w:r>
        <w:rPr>
          <w:rFonts w:ascii="Times New Roman" w:cs="Times New Roman" w:eastAsia="Times New Roman" w:hAnsi="Times New Roman"/>
          <w:sz w:val="19"/>
          <w:szCs w:val="19"/>
          <w:color w:val="000000"/>
        </w:rPr>
        <w:t>Independence of the Servicer. For all purposes of this Agreement, the Servicer shall be an independent</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contractor and shall not be subject to the supervision of the Issuer, and the Backup Servicer or the Owner Trustee with respect to the manner in which it accomplishes the performance of its obligations hereunder. Unless expressly authorized by this Agreement, the Servicer shall have no authority to act for or represent the Issuer or the Owner Trustee in any way and shall not otherwise be deemed an agent of the Issuer or the Owner Trustee.</w:t>
      </w:r>
    </w:p>
    <w:p>
      <w:pPr>
        <w:spacing w:after="0" w:line="154"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2F5496"/>
        </w:rPr>
        <w:t xml:space="preserve">SECTION XII.16. </w:t>
      </w:r>
      <w:r>
        <w:rPr>
          <w:rFonts w:ascii="Times New Roman" w:cs="Times New Roman" w:eastAsia="Times New Roman" w:hAnsi="Times New Roman"/>
          <w:sz w:val="19"/>
          <w:szCs w:val="19"/>
          <w:color w:val="000000"/>
        </w:rPr>
        <w:t>No Joint Venture. Nothing contained in this Agreement (i) shall constitute the Servicer and either of the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Issuer or the Owner Trustee as members of any partnership, joint venture, association, syndicate, unincorporated business or other separate entity, (ii) shall be construed to impose any liability as such on any of them or (iii) shall be deemed to confer on any of them any express, implied or apparent authority to incur any obligation or liability on behalf of the others.</w:t>
      </w:r>
    </w:p>
    <w:p>
      <w:pPr>
        <w:spacing w:after="0" w:line="150"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2F5496"/>
        </w:rPr>
        <w:t xml:space="preserve">SECTION XII.17. </w:t>
      </w:r>
      <w:r>
        <w:rPr>
          <w:rFonts w:ascii="Times New Roman" w:cs="Times New Roman" w:eastAsia="Times New Roman" w:hAnsi="Times New Roman"/>
          <w:sz w:val="19"/>
          <w:szCs w:val="19"/>
          <w:color w:val="000000"/>
        </w:rPr>
        <w:t>State Business Licenses. The Servicer or the Depositor shall prepare and instruct the Trust to file each State</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business license (and any renewal thereof) required to be filed under applicable State law without further consent or instruction from any other party, including a Sales Finance Company Application (and any renewal thereof) with the Pennsylvania Department of Banking, Licensing Division, and a Financial Regulation Application (and any renewal thereof) with the Maryland Department of Labor, Licensing and Regulation.</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F5496"/>
        </w:rPr>
        <w:t xml:space="preserve">SECTION XII.18. </w:t>
      </w:r>
      <w:r>
        <w:rPr>
          <w:rFonts w:ascii="Times New Roman" w:cs="Times New Roman" w:eastAsia="Times New Roman" w:hAnsi="Times New Roman"/>
          <w:sz w:val="19"/>
          <w:szCs w:val="19"/>
          <w:color w:val="000000"/>
        </w:rPr>
        <w:t>AML Law.</w:t>
      </w:r>
    </w:p>
    <w:p>
      <w:pPr>
        <w:spacing w:after="0" w:line="202" w:lineRule="exact"/>
        <w:rPr>
          <w:sz w:val="20"/>
          <w:szCs w:val="20"/>
          <w:color w:val="auto"/>
        </w:rPr>
      </w:pPr>
    </w:p>
    <w:p>
      <w:pPr>
        <w:ind w:right="140" w:firstLine="696"/>
        <w:spacing w:after="0" w:line="253" w:lineRule="auto"/>
        <w:rPr>
          <w:sz w:val="20"/>
          <w:szCs w:val="20"/>
          <w:color w:val="auto"/>
        </w:rPr>
      </w:pPr>
      <w:r>
        <w:rPr>
          <w:rFonts w:ascii="Times New Roman" w:cs="Times New Roman" w:eastAsia="Times New Roman" w:hAnsi="Times New Roman"/>
          <w:sz w:val="19"/>
          <w:szCs w:val="19"/>
          <w:color w:val="auto"/>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“AML Law”), the Backup Servicer or the Indenture Trustee is required to obtain, verify, and record information relating to individuals and entities that establish a business relationship or open an account with the Backup Servicer or the Indenture Trustee. Each party hereby agrees that it shall provide the Backup Servicer or the Indenture Trustee with such identifying information and documentation as the Backup Servicer or the Indenture Trustee may request from time to time in order to enable the Backup Servicer or the Indenture Trustee to comply with all applicable requirements of AML Law.</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49" w:name="page550"/>
    <w:bookmarkEnd w:id="549"/>
    <w:p>
      <w:pPr>
        <w:spacing w:after="0" w:line="269"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2F5496"/>
        </w:rPr>
        <w:t xml:space="preserve">SECTION XII.19. </w:t>
      </w:r>
      <w:r>
        <w:rPr>
          <w:rFonts w:ascii="Times New Roman" w:cs="Times New Roman" w:eastAsia="Times New Roman" w:hAnsi="Times New Roman"/>
          <w:sz w:val="19"/>
          <w:szCs w:val="19"/>
          <w:color w:val="000000"/>
        </w:rPr>
        <w:t>Electronic Signatures. This Agreement shall be valid, binding, and enforceable against a party only when</w:t>
      </w:r>
      <w:r>
        <w:rPr>
          <w:rFonts w:ascii="Times New Roman" w:cs="Times New Roman" w:eastAsia="Times New Roman" w:hAnsi="Times New Roman"/>
          <w:sz w:val="19"/>
          <w:szCs w:val="19"/>
          <w:color w:val="2F5496"/>
        </w:rPr>
        <w:t xml:space="preserve"> </w:t>
      </w:r>
      <w:r>
        <w:rPr>
          <w:rFonts w:ascii="Times New Roman" w:cs="Times New Roman" w:eastAsia="Times New Roman" w:hAnsi="Times New Roman"/>
          <w:sz w:val="19"/>
          <w:szCs w:val="19"/>
          <w:color w:val="000000"/>
        </w:rPr>
        <w:t>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0" w:name="page551"/>
    <w:bookmarkEnd w:id="550"/>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and delivered by their respective duly authorized officers as of the day and the year first above written.</w:t>
      </w:r>
    </w:p>
    <w:p>
      <w:pPr>
        <w:spacing w:after="0" w:line="18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UNITED AUTO CREDIT SECURITIZATION TRUST 2025-1, as</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Issuer</w:t>
      </w:r>
    </w:p>
    <w:p>
      <w:pPr>
        <w:sectPr>
          <w:pgSz w:w="11900" w:h="16840" w:orient="portrait"/>
          <w:cols w:equalWidth="0" w:num="1">
            <w:col w:w="10480"/>
          </w:cols>
          <w:pgMar w:left="660" w:top="1440" w:right="760" w:bottom="1440" w:gutter="0" w:footer="0" w:header="0"/>
        </w:sectPr>
      </w:pP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COMPUTERSHARE DELAWARE TRUST COMPANY, not in its individual capacity but solely as Owner Trustee on behalf of the Issuer</w:t>
      </w:r>
    </w:p>
    <w:p>
      <w:pPr>
        <w:spacing w:after="0" w:line="180" w:lineRule="exact"/>
        <w:rPr>
          <w:sz w:val="20"/>
          <w:szCs w:val="20"/>
          <w:color w:val="auto"/>
        </w:rPr>
      </w:pPr>
    </w:p>
    <w:p>
      <w:pPr>
        <w:sectPr>
          <w:pgSz w:w="11900" w:h="16840" w:orient="portrait"/>
          <w:cols w:equalWidth="0" w:num="2">
            <w:col w:w="5560" w:space="580"/>
            <w:col w:w="4340"/>
          </w:cols>
          <w:pgMar w:left="660" w:top="1440" w:right="760" w:bottom="1440" w:gutter="0" w:footer="0" w:header="0"/>
          <w:type w:val="continuous"/>
        </w:sect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Title:</w:t>
      </w:r>
    </w:p>
    <w:p>
      <w:pPr>
        <w:sectPr>
          <w:pgSz w:w="11900" w:h="16840" w:orient="portrait"/>
          <w:cols w:equalWidth="0" w:num="1">
            <w:col w:w="10480"/>
          </w:cols>
          <w:pgMar w:left="660" w:top="1440" w:right="760" w:bottom="1440" w:gutter="0" w:footer="0" w:header="0"/>
          <w:type w:val="continuous"/>
        </w:sectPr>
      </w:pPr>
    </w:p>
    <w:p>
      <w:pPr>
        <w:spacing w:after="0" w:line="2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UNITED AUTO CREDIT FINANCING LLC, as Depositor</w:t>
      </w:r>
    </w:p>
    <w:p>
      <w:pPr>
        <w:sectPr>
          <w:pgSz w:w="11900" w:h="16840" w:orient="portrait"/>
          <w:cols w:equalWidth="0" w:num="1">
            <w:col w:w="10480"/>
          </w:cols>
          <w:pgMar w:left="660" w:top="1440" w:right="760" w:bottom="1440" w:gutter="0" w:footer="0" w:header="0"/>
          <w:type w:val="continuous"/>
        </w:sectPr>
      </w:pPr>
    </w:p>
    <w:p>
      <w:pPr>
        <w:spacing w:after="0" w:line="23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Jonathan Sandison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ectPr>
          <w:pgSz w:w="11900" w:h="16840" w:orient="portrait"/>
          <w:cols w:equalWidth="0" w:num="2">
            <w:col w:w="5800" w:space="340"/>
            <w:col w:w="4340"/>
          </w:cols>
          <w:pgMar w:left="660" w:top="1440" w:right="760" w:bottom="1440" w:gutter="0" w:footer="0" w:header="0"/>
          <w:type w:val="continuous"/>
        </w:sectPr>
      </w:pPr>
    </w:p>
    <w:p>
      <w:pPr>
        <w:spacing w:after="0" w:line="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UNITED AUTO CREDIT CORPORATION, as Servicer</w:t>
      </w:r>
    </w:p>
    <w:p>
      <w:pPr>
        <w:sectPr>
          <w:pgSz w:w="11900" w:h="16840" w:orient="portrait"/>
          <w:cols w:equalWidth="0" w:num="1">
            <w:col w:w="10480"/>
          </w:cols>
          <w:pgMar w:left="660" w:top="1440" w:right="760" w:bottom="1440" w:gutter="0" w:footer="0" w:header="0"/>
          <w:type w:val="continuous"/>
        </w:sectPr>
      </w:pPr>
    </w:p>
    <w:p>
      <w:pPr>
        <w:spacing w:after="0" w:line="23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Jonathan Sandison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ectPr>
          <w:pgSz w:w="11900" w:h="16840" w:orient="portrait"/>
          <w:cols w:equalWidth="0" w:num="2">
            <w:col w:w="5800" w:space="340"/>
            <w:col w:w="4340"/>
          </w:cols>
          <w:pgMar w:left="660" w:top="1440" w:right="760" w:bottom="1440" w:gutter="0" w:footer="0" w:header="0"/>
          <w:type w:val="continuous"/>
        </w:sectPr>
      </w:pPr>
    </w:p>
    <w:p>
      <w:pPr>
        <w:spacing w:after="0" w:line="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COMPUTERSHARE TRUST COMPANY, N.A., not in its</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individual capacity but solely as Backup Servicer and Indenture</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Trustee</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894715</wp:posOffset>
            </wp:positionV>
            <wp:extent cx="6732905" cy="406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type w:val="continuous"/>
        </w:sectPr>
      </w:pPr>
    </w:p>
    <w:bookmarkStart w:id="551" w:name="page552"/>
    <w:bookmarkEnd w:id="551"/>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ACKNOWLEDGED AND AGREED SOLELY WITH RESPECT TO SECTION 5.1: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COMPUTERSHARE TRUST COMPANY, 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in its individual capacity but solely as Certificate Paying Agent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894715</wp:posOffset>
            </wp:positionV>
            <wp:extent cx="6732905" cy="406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552" w:name="page553"/>
    <w:bookmarkEnd w:id="552"/>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of Receivables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[On file with United Auto, the Indenture Trustee and Katten Muchin Rosenman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794385</wp:posOffset>
            </wp:positionV>
            <wp:extent cx="6732905" cy="406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553" w:name="page554"/>
    <w:bookmarkEnd w:id="553"/>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B</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Representations and Warranties of the Depositor and United Auto</w:t>
      </w:r>
    </w:p>
    <w:p>
      <w:pPr>
        <w:spacing w:after="0" w:line="298" w:lineRule="exact"/>
        <w:rPr>
          <w:sz w:val="20"/>
          <w:szCs w:val="20"/>
          <w:color w:val="auto"/>
        </w:rPr>
      </w:pPr>
    </w:p>
    <w:p>
      <w:pPr>
        <w:ind w:firstLine="702"/>
        <w:spacing w:after="0" w:line="253" w:lineRule="auto"/>
        <w:tabs>
          <w:tab w:leader="none" w:pos="1080" w:val="left"/>
        </w:tabs>
        <w:numPr>
          <w:ilvl w:val="0"/>
          <w:numId w:val="4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Characteristics of Receivables. Each Receivable (i) was originated (A) by United Auto, (B) by an Originating Affiliate and was validly assigned by such Originating Affiliate to United Auto or (C) by a Dealer and purchased by United Auto from such Dealer under an existing Dealer Agreement or pursuant to a Dealer Assignment with United Auto and was validly assigned by such Dealer to United Auto pursuant to a Dealer Assignment, (ii) was originated by United Auto, such Originating Affiliate or such Dealer for the retail sale of a Financed Vehicle in the ordinary course of United Auto's, such Originating Affiliate's or the Dealer's business, in each case was originated in accordance with United Auto's credit policies and was fully and properly executed by the parties thereto, and United Auto, each Originating Affiliate and each Dealer had all necessary licenses and permits to originate Receivables in the State where United Auto, each such Originating Affiliate or each such Dealer was located, (iii) contains customary and enforceable provisions such as to render the rights and remedies of the holder thereof adequate for realization against the collateral security, (iv) is a Receivable which provides for level monthly payments (provided that the payment in the first monthly payment period and the payment in the final monthly payment period of the Receivable may be minimally different from the normal period and level payment) which, if made when due, shall fully amortize the Amount Financed over the original term and (v) has not been amended or collections with respect to which waived, other than as evidenced in the Receivable File or the Servicer's electronic records relating thereto.</w:t>
      </w:r>
    </w:p>
    <w:p>
      <w:pPr>
        <w:spacing w:after="0" w:line="162" w:lineRule="exact"/>
        <w:rPr>
          <w:rFonts w:ascii="Times New Roman" w:cs="Times New Roman" w:eastAsia="Times New Roman" w:hAnsi="Times New Roman"/>
          <w:sz w:val="19"/>
          <w:szCs w:val="19"/>
          <w:color w:val="auto"/>
        </w:rPr>
      </w:pPr>
    </w:p>
    <w:p>
      <w:pPr>
        <w:ind w:right="80" w:firstLine="702"/>
        <w:spacing w:after="0" w:line="262" w:lineRule="auto"/>
        <w:tabs>
          <w:tab w:leader="none" w:pos="1080" w:val="left"/>
        </w:tabs>
        <w:numPr>
          <w:ilvl w:val="0"/>
          <w:numId w:val="4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Fraud or Misrepresentation. Each Receivable was originated (i) by United Auto, (ii) by an Originating Affiliate and was assigned by the Originating Affiliate to United Auto or (iii) by a Dealer and was sold by the Dealer to United Auto, and was sold by United Auto to the Depositor, in each case, without any fraud or misrepresentation on the part of such Originating Affiliate, Dealer or United Auto.</w:t>
      </w:r>
    </w:p>
    <w:p>
      <w:pPr>
        <w:spacing w:after="0" w:line="150" w:lineRule="exact"/>
        <w:rPr>
          <w:rFonts w:ascii="Times New Roman" w:cs="Times New Roman" w:eastAsia="Times New Roman" w:hAnsi="Times New Roman"/>
          <w:sz w:val="19"/>
          <w:szCs w:val="19"/>
          <w:color w:val="auto"/>
        </w:rPr>
      </w:pPr>
    </w:p>
    <w:p>
      <w:pPr>
        <w:ind w:right="40" w:firstLine="702"/>
        <w:spacing w:after="0" w:line="254" w:lineRule="auto"/>
        <w:tabs>
          <w:tab w:leader="none" w:pos="1080" w:val="left"/>
        </w:tabs>
        <w:numPr>
          <w:ilvl w:val="0"/>
          <w:numId w:val="4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Law. All requirements of applicable federal, State and local laws, and regulations thereunder (including usury laws, the Federal Truth-in-Lending Act, the Equal Credit Opportunity Act, the Fair Credit Billing Act, the Fair Credit Reporting Act, the Fair Debt Collection Practices Act, the Federal Trade Commission Act, the Magnuson-Moss Warranty Act, the Consumer Financial Protection Bureau's Regulation "B" and "Z" (including amendments to the Federal Reserve's Official Staff Commentary to Regulation Z, effective October 1, 1998, concerning negative equity loans), the Dodd-Frank Wall Street Reform and Consumer Protection Act, the Servicemembers Civil Relief Act, each applicable State Motor Vehicle Retail Installment Sales Act, the Gramm-Leach-Bliley Act and State adaptations of the National Consumer Act and of the Uniform Consumer Credit Code and other consumer credit laws and equal credit opportunity and disclosure laws) in respect of the Receivables and the Financed Vehicles, have been complied with in all material respects, and each Receivable and the sale of the Financed Vehicle evidenced by each Receivable complied at the time it was originated or made and now complies in all material respects with all applicable legal requirements.</w:t>
      </w:r>
    </w:p>
    <w:p>
      <w:pPr>
        <w:spacing w:after="0" w:line="160" w:lineRule="exact"/>
        <w:rPr>
          <w:rFonts w:ascii="Times New Roman" w:cs="Times New Roman" w:eastAsia="Times New Roman" w:hAnsi="Times New Roman"/>
          <w:sz w:val="19"/>
          <w:szCs w:val="19"/>
          <w:color w:val="auto"/>
        </w:rPr>
      </w:pPr>
    </w:p>
    <w:p>
      <w:pPr>
        <w:ind w:left="1080" w:hanging="378"/>
        <w:spacing w:after="0"/>
        <w:tabs>
          <w:tab w:leader="none" w:pos="1080" w:val="left"/>
        </w:tabs>
        <w:numPr>
          <w:ilvl w:val="0"/>
          <w:numId w:val="4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Origination. Each Receivable was originated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54" w:name="page555"/>
    <w:bookmarkEnd w:id="554"/>
    <w:p>
      <w:pPr>
        <w:spacing w:after="0" w:line="200" w:lineRule="exact"/>
        <w:rPr>
          <w:sz w:val="20"/>
          <w:szCs w:val="20"/>
          <w:color w:val="auto"/>
        </w:rPr>
      </w:pPr>
    </w:p>
    <w:p>
      <w:pPr>
        <w:spacing w:after="0" w:line="261" w:lineRule="exact"/>
        <w:rPr>
          <w:sz w:val="20"/>
          <w:szCs w:val="20"/>
          <w:color w:val="auto"/>
        </w:rPr>
      </w:pPr>
    </w:p>
    <w:p>
      <w:pPr>
        <w:ind w:firstLine="702"/>
        <w:spacing w:after="0" w:line="256" w:lineRule="auto"/>
        <w:tabs>
          <w:tab w:leader="none" w:pos="1080"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Binding Obligation. Each Receivable represents the genuine, legal, valid and binding payment obligation of the Obligor thereon, enforceable by the holder thereof in accordance with its terms, except (i) as enforceability may be limited by bankruptcy, insolvency, reorganization or similar laws affecting the enforcement of creditors' rights generally and by equitable limitations on the availability of specific remedies, regardless of whether such enforceability is considered in a proceeding in equity or at law and (ii) as such Receivable may be modified by the application after the Cutoff Date of the Servicemembers Civil Relief Act; and all parties to each Receivable had full legal capacity to execute and deliver such Receivable and all other documents related thereto and to grant the security interest purported to be granted thereby.</w:t>
      </w:r>
    </w:p>
    <w:p>
      <w:pPr>
        <w:spacing w:after="0" w:line="157" w:lineRule="exact"/>
        <w:rPr>
          <w:rFonts w:ascii="Times New Roman" w:cs="Times New Roman" w:eastAsia="Times New Roman" w:hAnsi="Times New Roman"/>
          <w:sz w:val="19"/>
          <w:szCs w:val="19"/>
          <w:color w:val="auto"/>
        </w:rPr>
      </w:pPr>
    </w:p>
    <w:p>
      <w:pPr>
        <w:ind w:right="100" w:firstLine="702"/>
        <w:spacing w:after="0" w:line="286" w:lineRule="auto"/>
        <w:tabs>
          <w:tab w:leader="none" w:pos="1080"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Government Obligor. No Obligor is the United States of America or any State or any agency, department, subdivision or instrumentality thereof.</w:t>
      </w:r>
    </w:p>
    <w:p>
      <w:pPr>
        <w:spacing w:after="0" w:line="127" w:lineRule="exact"/>
        <w:rPr>
          <w:rFonts w:ascii="Times New Roman" w:cs="Times New Roman" w:eastAsia="Times New Roman" w:hAnsi="Times New Roman"/>
          <w:sz w:val="19"/>
          <w:szCs w:val="19"/>
          <w:color w:val="auto"/>
        </w:rPr>
      </w:pPr>
    </w:p>
    <w:p>
      <w:pPr>
        <w:ind w:right="80" w:firstLine="702"/>
        <w:spacing w:after="0" w:line="286" w:lineRule="auto"/>
        <w:tabs>
          <w:tab w:leader="none" w:pos="1080"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Obligor Bankruptcy. At the Cutoff Date no Obligor had been identified on the records of United Auto as being the subject of a current bankruptcy proceeding.</w:t>
      </w:r>
    </w:p>
    <w:p>
      <w:pPr>
        <w:spacing w:after="0" w:line="127" w:lineRule="exact"/>
        <w:rPr>
          <w:rFonts w:ascii="Times New Roman" w:cs="Times New Roman" w:eastAsia="Times New Roman" w:hAnsi="Times New Roman"/>
          <w:sz w:val="19"/>
          <w:szCs w:val="19"/>
          <w:color w:val="auto"/>
        </w:rPr>
      </w:pPr>
    </w:p>
    <w:p>
      <w:pPr>
        <w:ind w:right="100" w:firstLine="702"/>
        <w:spacing w:after="0" w:line="286" w:lineRule="auto"/>
        <w:tabs>
          <w:tab w:leader="none" w:pos="1080"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 of Receivables. The information set forth in the Schedule of Receivables has been produced from the Electronic Ledger and was true and correct in all material respects as of the close of business on the Cutoff Date.</w:t>
      </w:r>
    </w:p>
    <w:p>
      <w:pPr>
        <w:spacing w:after="0" w:line="127" w:lineRule="exact"/>
        <w:rPr>
          <w:rFonts w:ascii="Times New Roman" w:cs="Times New Roman" w:eastAsia="Times New Roman" w:hAnsi="Times New Roman"/>
          <w:sz w:val="19"/>
          <w:szCs w:val="19"/>
          <w:color w:val="auto"/>
        </w:rPr>
      </w:pPr>
    </w:p>
    <w:p>
      <w:pPr>
        <w:jc w:val="both"/>
        <w:ind w:right="140" w:firstLine="702"/>
        <w:spacing w:after="0" w:line="268" w:lineRule="auto"/>
        <w:tabs>
          <w:tab w:leader="none" w:pos="1080"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Marking Records. Each of United Auto and the Depositor has indicated in its files that the Receivables have been sold to the Trust pursuant to the Sale and Servicing Agreement and Granted to the Indenture Trustee pursuant to the Indenture. Further, United Auto has indicated in its computer files that the Receivables are owned by the Trust.</w:t>
      </w:r>
    </w:p>
    <w:p>
      <w:pPr>
        <w:spacing w:after="0" w:line="144" w:lineRule="exact"/>
        <w:rPr>
          <w:rFonts w:ascii="Times New Roman" w:cs="Times New Roman" w:eastAsia="Times New Roman" w:hAnsi="Times New Roman"/>
          <w:sz w:val="19"/>
          <w:szCs w:val="19"/>
          <w:color w:val="auto"/>
        </w:rPr>
      </w:pPr>
    </w:p>
    <w:p>
      <w:pPr>
        <w:ind w:right="40" w:firstLine="702"/>
        <w:spacing w:after="0" w:line="286" w:lineRule="auto"/>
        <w:tabs>
          <w:tab w:leader="none" w:pos="1176"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Computer Tape. The Computer Tape made available by the Depositor to the Trust on the Closing Date was complete and accurate as of the Cutoff Date and includes a description of the same Receivables that are described in the Schedule of Receivables.</w:t>
      </w:r>
    </w:p>
    <w:p>
      <w:pPr>
        <w:spacing w:after="0" w:line="127" w:lineRule="exact"/>
        <w:rPr>
          <w:rFonts w:ascii="Times New Roman" w:cs="Times New Roman" w:eastAsia="Times New Roman" w:hAnsi="Times New Roman"/>
          <w:sz w:val="19"/>
          <w:szCs w:val="19"/>
          <w:color w:val="auto"/>
        </w:rPr>
      </w:pPr>
    </w:p>
    <w:p>
      <w:pPr>
        <w:ind w:right="240" w:firstLine="702"/>
        <w:spacing w:after="0" w:line="268" w:lineRule="auto"/>
        <w:tabs>
          <w:tab w:leader="none" w:pos="1176"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Adverse Selection. No selection procedures adverse to the Noteholders were utilized in selecting the Receivables from those receivables owned by the Depositor which met the selection criteria set forth in clauses (A) through (O) of number 28 of this Schedule B.</w:t>
      </w:r>
    </w:p>
    <w:p>
      <w:pPr>
        <w:spacing w:after="0" w:line="144" w:lineRule="exact"/>
        <w:rPr>
          <w:rFonts w:ascii="Times New Roman" w:cs="Times New Roman" w:eastAsia="Times New Roman" w:hAnsi="Times New Roman"/>
          <w:sz w:val="19"/>
          <w:szCs w:val="19"/>
          <w:color w:val="auto"/>
        </w:rPr>
      </w:pPr>
    </w:p>
    <w:p>
      <w:pPr>
        <w:ind w:right="60" w:firstLine="702"/>
        <w:spacing w:after="0" w:line="286" w:lineRule="auto"/>
        <w:tabs>
          <w:tab w:leader="none" w:pos="1176"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Chattel Paper. The Receivables constitute either "tangible chattel paper" or "electronic chattel paper" within the meaning of the UCC as in effect in the State of New York.</w:t>
      </w:r>
    </w:p>
    <w:p>
      <w:pPr>
        <w:spacing w:after="0" w:line="127" w:lineRule="exact"/>
        <w:rPr>
          <w:rFonts w:ascii="Times New Roman" w:cs="Times New Roman" w:eastAsia="Times New Roman" w:hAnsi="Times New Roman"/>
          <w:sz w:val="19"/>
          <w:szCs w:val="19"/>
          <w:color w:val="auto"/>
        </w:rPr>
      </w:pPr>
    </w:p>
    <w:p>
      <w:pPr>
        <w:ind w:right="60" w:firstLine="702"/>
        <w:spacing w:after="0" w:line="262" w:lineRule="auto"/>
        <w:tabs>
          <w:tab w:leader="none" w:pos="1176"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Original. There is only one original executed copy (or with respect to Electronic Contracts, one Authoritative Copy) of each Contract. With respect to Electronic Contracts, each Authoritative Copy (i) is unique, identifiable and unalterable (other than with the participation of Custodian), and (ii) has been communicated to and is maintained by the E-Vault Provider as designated custodian of the Indenture Trustee.</w:t>
      </w:r>
    </w:p>
    <w:p>
      <w:pPr>
        <w:spacing w:after="0" w:line="150" w:lineRule="exact"/>
        <w:rPr>
          <w:rFonts w:ascii="Times New Roman" w:cs="Times New Roman" w:eastAsia="Times New Roman" w:hAnsi="Times New Roman"/>
          <w:sz w:val="19"/>
          <w:szCs w:val="19"/>
          <w:color w:val="auto"/>
        </w:rPr>
      </w:pPr>
    </w:p>
    <w:p>
      <w:pPr>
        <w:ind w:right="20" w:firstLine="702"/>
        <w:spacing w:after="0" w:line="268" w:lineRule="auto"/>
        <w:tabs>
          <w:tab w:leader="none" w:pos="1176"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Non-Authoritative Copy Identification. With respect to Electronic Contracts, the Servicer or the Custodian has marked, or caused to be marked, all copies of each such Contract other than an Authoritative Copy with a watermark to the following effect: "View of Non- Authoritative Copy" or similar language.</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SCH-B-95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55" w:name="page556"/>
    <w:bookmarkEnd w:id="555"/>
    <w:p>
      <w:pPr>
        <w:spacing w:after="0" w:line="200" w:lineRule="exact"/>
        <w:rPr>
          <w:sz w:val="20"/>
          <w:szCs w:val="20"/>
          <w:color w:val="auto"/>
        </w:rPr>
      </w:pPr>
    </w:p>
    <w:p>
      <w:pPr>
        <w:spacing w:after="0" w:line="261" w:lineRule="exact"/>
        <w:rPr>
          <w:sz w:val="20"/>
          <w:szCs w:val="20"/>
          <w:color w:val="auto"/>
        </w:rPr>
      </w:pPr>
    </w:p>
    <w:p>
      <w:pPr>
        <w:ind w:right="200" w:firstLine="702"/>
        <w:spacing w:after="0" w:line="254" w:lineRule="auto"/>
        <w:tabs>
          <w:tab w:leader="none" w:pos="1176" w:val="left"/>
        </w:tabs>
        <w:numPr>
          <w:ilvl w:val="0"/>
          <w:numId w:val="4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 Files Complete. There exists a Receivable File pertaining to each Receivable and such Receivable File contains a fully executed original (or with respect to Electronic Contracts, one Authoritative Copy) of the Contract, the Lien Certificate or a copy of the application therefor. Related documentation concerning the Receivable, including any documentation regarding modifications of the Contract, will be maintained electronically by the Servicer in accordance with the Servicing Policies and Procedures. Each of such documents which is required to be signed by the Obligor has been signed by the Obligor in the appropriate spaces. All blanks on any form have been properly filled in and each form has otherwise been correctly prepared. The Custodian will maintain the complete Receivable File for each Receivable, including with respect to each Receivable evidence by a Contract that constitutes "tangible chattel paper" (within the meaning of the UCC as in effect in the State of New York), a fully executed original of such Contract at one of its offices or the offices of one of its agents or sub-contractor within the United States. With respect to each Receivable evidenced by an Electronic Contract, one Authoritative Copy of such Electronic Contract is and will be maintained in the UACC 2025-1 ABS Vault Partition.</w:t>
      </w:r>
    </w:p>
    <w:p>
      <w:pPr>
        <w:spacing w:after="0" w:line="157" w:lineRule="exact"/>
        <w:rPr>
          <w:rFonts w:ascii="Times New Roman" w:cs="Times New Roman" w:eastAsia="Times New Roman" w:hAnsi="Times New Roman"/>
          <w:sz w:val="19"/>
          <w:szCs w:val="19"/>
          <w:color w:val="auto"/>
        </w:rPr>
      </w:pPr>
    </w:p>
    <w:p>
      <w:pPr>
        <w:ind w:firstLine="702"/>
        <w:spacing w:after="0" w:line="262" w:lineRule="auto"/>
        <w:tabs>
          <w:tab w:leader="none" w:pos="1176" w:val="left"/>
        </w:tabs>
        <w:numPr>
          <w:ilvl w:val="0"/>
          <w:numId w:val="4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Receivables in Force. No Receivable has been satisfied, subordinated or rescinded, and the Financed Vehicle securing each such Receivable has not been released from the lien of the related Receivable in whole or in part. No terms of any Receivable have been waived, altered or modified in any respect since its origination, except by instruments or documents identified in the Receivable File or the Servicer's electronic records.</w:t>
      </w:r>
    </w:p>
    <w:p>
      <w:pPr>
        <w:spacing w:after="0" w:line="150" w:lineRule="exact"/>
        <w:rPr>
          <w:rFonts w:ascii="Times New Roman" w:cs="Times New Roman" w:eastAsia="Times New Roman" w:hAnsi="Times New Roman"/>
          <w:sz w:val="19"/>
          <w:szCs w:val="19"/>
          <w:color w:val="auto"/>
        </w:rPr>
      </w:pPr>
    </w:p>
    <w:p>
      <w:pPr>
        <w:ind w:right="440" w:firstLine="702"/>
        <w:spacing w:after="0" w:line="268" w:lineRule="auto"/>
        <w:tabs>
          <w:tab w:leader="none" w:pos="1176" w:val="left"/>
        </w:tabs>
        <w:numPr>
          <w:ilvl w:val="0"/>
          <w:numId w:val="4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Lawful Assignment. No Receivable was originated in, or is subject to the laws of, any jurisdiction the laws of which would make unlawful, void or voidable the sale, transfer and assignment of such Receivable under this Agreement or pursuant to transfers of the Notes.</w:t>
      </w:r>
    </w:p>
    <w:p>
      <w:pPr>
        <w:spacing w:after="0" w:line="144" w:lineRule="exact"/>
        <w:rPr>
          <w:rFonts w:ascii="Times New Roman" w:cs="Times New Roman" w:eastAsia="Times New Roman" w:hAnsi="Times New Roman"/>
          <w:sz w:val="19"/>
          <w:szCs w:val="19"/>
          <w:color w:val="auto"/>
        </w:rPr>
      </w:pPr>
    </w:p>
    <w:p>
      <w:pPr>
        <w:ind w:right="60" w:firstLine="702"/>
        <w:spacing w:after="0" w:line="257" w:lineRule="auto"/>
        <w:tabs>
          <w:tab w:leader="none" w:pos="1176" w:val="left"/>
        </w:tabs>
        <w:numPr>
          <w:ilvl w:val="0"/>
          <w:numId w:val="4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Title. Immediately prior to the conveyance of the Receivables to the Trust pursuant to this Agreement, the Depositor was the sole owner thereof and had good and indefeasible title thereto, free of any Lien and, upon execution and delivery of this Agreement by the Depositor, the Trust shall have good and indefeasible title to and will be the sole owner of such Receivables, free of any Lien. No Dealer has a participation in, or other right to receive, proceeds of any Receivable. The Depositor has not taken any action to convey any right to any Person that would result in such Person having a right to payments received under the related Insurance Policies or the related Dealer Agreements or Dealer Assignments or to payments due under such Receivables.</w:t>
      </w:r>
    </w:p>
    <w:p>
      <w:pPr>
        <w:spacing w:after="0" w:line="156" w:lineRule="exact"/>
        <w:rPr>
          <w:rFonts w:ascii="Times New Roman" w:cs="Times New Roman" w:eastAsia="Times New Roman" w:hAnsi="Times New Roman"/>
          <w:sz w:val="19"/>
          <w:szCs w:val="19"/>
          <w:color w:val="auto"/>
        </w:rPr>
      </w:pPr>
    </w:p>
    <w:p>
      <w:pPr>
        <w:ind w:right="40" w:firstLine="702"/>
        <w:spacing w:after="0" w:line="255" w:lineRule="auto"/>
        <w:tabs>
          <w:tab w:leader="none" w:pos="1176" w:val="left"/>
        </w:tabs>
        <w:numPr>
          <w:ilvl w:val="0"/>
          <w:numId w:val="4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Interest in Financed Vehicle. Each Receivable created or shall create a valid, binding and enforceable first priority security interest in favor of United Auto (or an Originating Affiliate which first priority security interest has been assigned to United Auto) in the Financed Vehicle. The Lien Certificate for each Financed Vehicle shows, or if a new or replacement Lien Certificate is being applied for with respect to such Financed Vehicle the Lien Certificate will be received within 180 days of the origination date of the related Receivable and will show, United Auto (or an Originating Affiliate) named as the original secured party under each Receivable as the holder of a first priority security interest in such Financed Vehicle. With respect to each Receivable for which the Lien Certificate has not yet been returned from the Registrar of Titles, United Auto or the related Originating Affiliate has applied for or received written evidence from the related Dealer that such Lien Certificate showing United Auto, an</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SCH-B-96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56" w:name="page557"/>
    <w:bookmarkEnd w:id="556"/>
    <w:p>
      <w:pPr>
        <w:spacing w:after="0" w:line="200" w:lineRule="exact"/>
        <w:rPr>
          <w:sz w:val="20"/>
          <w:szCs w:val="20"/>
          <w:color w:val="auto"/>
        </w:rPr>
      </w:pPr>
    </w:p>
    <w:p>
      <w:pPr>
        <w:spacing w:after="0" w:line="26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Originating Affiliate or the Issuer, as applicable, as first lienholder has been applied for and the Originating Affiliate's security interest has been validly assigned by the Originating Affiliate to United Auto and United Auto's security interest (assigned by United Auto to the Depositor pursuant to the Purchase Agreement) has been validly assigned by the Depositor to the Trust pursuant to the Sale and Servicing Agreement. The Sale and Servicing Agreement creates a valid and continuing security interest (as defined in the UCC) in the Receivables in favor of the Trust, which security interest is prior to all other Liens, and is enforceable as such against creditors of and purchasers from the Depositor. Immediately after the sale, transfer and assignment by the Depositor to the Trust, each Receivable will be secured by an enforceable and perfected first priority security interest in the Financed Vehicle in favor of the Indenture Trustee as secured party, which security interest is prior to all other Liens upon and security interests in such Financed Vehicle which now exist or may hereafter arise or be created (except, as to priority, for any lien for taxes, labor or materials affecting a Financed Vehicle). As of the Cutoff Date, there were no Liens or claims for taxes, work, labor or materials affecting a Financed Vehicle which are or may be Liens prior or equal to the Liens of the related Receivable.</w:t>
      </w:r>
    </w:p>
    <w:p>
      <w:pPr>
        <w:spacing w:after="0" w:line="157" w:lineRule="exact"/>
        <w:rPr>
          <w:sz w:val="20"/>
          <w:szCs w:val="20"/>
          <w:color w:val="auto"/>
        </w:rPr>
      </w:pPr>
    </w:p>
    <w:p>
      <w:pPr>
        <w:ind w:right="300" w:firstLine="702"/>
        <w:spacing w:after="0" w:line="259" w:lineRule="auto"/>
        <w:tabs>
          <w:tab w:leader="none" w:pos="1176" w:val="left"/>
        </w:tabs>
        <w:numPr>
          <w:ilvl w:val="0"/>
          <w:numId w:val="4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Filings Made. All filings (including UCC filings (including the filing by the Depositor of all appropriate financing statements in the proper filing office in the State of Delaware under applicable law in order to perfect the security interest in the Receivables granted to the Trust hereunder)) required to be made by any Person and actions required to be taken or performed by any Person in any jurisdiction to give the Trust and the Indenture Trustee a first priority perfected lien on, or ownership interest in, the Receivables and the proceeds thereof and the Other Conveyed Property have been made, taken or performed.</w:t>
      </w:r>
    </w:p>
    <w:p>
      <w:pPr>
        <w:spacing w:after="0" w:line="153" w:lineRule="exact"/>
        <w:rPr>
          <w:rFonts w:ascii="Times New Roman" w:cs="Times New Roman" w:eastAsia="Times New Roman" w:hAnsi="Times New Roman"/>
          <w:sz w:val="19"/>
          <w:szCs w:val="19"/>
          <w:color w:val="auto"/>
        </w:rPr>
      </w:pPr>
    </w:p>
    <w:p>
      <w:pPr>
        <w:ind w:right="60" w:firstLine="702"/>
        <w:spacing w:after="0" w:line="262" w:lineRule="auto"/>
        <w:tabs>
          <w:tab w:leader="none" w:pos="1176" w:val="left"/>
        </w:tabs>
        <w:numPr>
          <w:ilvl w:val="0"/>
          <w:numId w:val="4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Legend. The Receivables which are Electronic Contracts are in the UACC 2025-1 ABS Vault Partition and contain the Required Legend. The Electronic Contracts that constitute or evidence the Receivables do not have any marks or notations indicating that they have been pledged, assigned or otherwise conveyed to any Person other than United Auto, as Custodian, on behalf of the Indenture Trustee for the benefit of the Noteholders, as secured party.</w:t>
      </w:r>
    </w:p>
    <w:p>
      <w:pPr>
        <w:spacing w:after="0" w:line="150" w:lineRule="exact"/>
        <w:rPr>
          <w:rFonts w:ascii="Times New Roman" w:cs="Times New Roman" w:eastAsia="Times New Roman" w:hAnsi="Times New Roman"/>
          <w:sz w:val="19"/>
          <w:szCs w:val="19"/>
          <w:color w:val="auto"/>
        </w:rPr>
      </w:pPr>
    </w:p>
    <w:p>
      <w:pPr>
        <w:ind w:firstLine="702"/>
        <w:spacing w:after="0" w:line="255" w:lineRule="auto"/>
        <w:tabs>
          <w:tab w:leader="none" w:pos="1176" w:val="left"/>
        </w:tabs>
        <w:numPr>
          <w:ilvl w:val="0"/>
          <w:numId w:val="4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Impairment. The Depositor has not done anything to convey any right to any Person that would result in such Person having a right to payments due under the Receivables or otherwise to impair the rights of the Trust, the Indenture Trustee and the Noteholders in any Receivable or the proceeds thereof. Other than the security interest granted to the Trust pursuant to this Agreement and except any other security interests that have been fully released and discharged as of the Closing Date, the Depositor has not pledged, assigned, sold, granted a security interest in, or otherwise conveyed any of the Receivables. The Depositor has not authorized the filing of and is not aware of any financing statements against the Depositor that include a description of collateral covering the Receivables other than any financing statement relating to the security interest granted to the Trust hereunder or that has been terminated. The Depositor is not aware of any judgment or tax lien filings against it.</w:t>
      </w:r>
    </w:p>
    <w:p>
      <w:pPr>
        <w:spacing w:after="0" w:line="159" w:lineRule="exact"/>
        <w:rPr>
          <w:rFonts w:ascii="Times New Roman" w:cs="Times New Roman" w:eastAsia="Times New Roman" w:hAnsi="Times New Roman"/>
          <w:sz w:val="19"/>
          <w:szCs w:val="19"/>
          <w:color w:val="auto"/>
        </w:rPr>
      </w:pPr>
    </w:p>
    <w:p>
      <w:pPr>
        <w:ind w:right="60" w:firstLine="702"/>
        <w:spacing w:after="0" w:line="286" w:lineRule="auto"/>
        <w:tabs>
          <w:tab w:leader="none" w:pos="1176" w:val="left"/>
        </w:tabs>
        <w:numPr>
          <w:ilvl w:val="0"/>
          <w:numId w:val="4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 Not Assumable. No Receivable is assumable by another Person in a manner which would release the Obligor thereof from such Obligor's obligations to the owner thereof with respect to such Receivable.</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SCH-B-97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57" w:name="page558"/>
    <w:bookmarkEnd w:id="557"/>
    <w:p>
      <w:pPr>
        <w:spacing w:after="0" w:line="200" w:lineRule="exact"/>
        <w:rPr>
          <w:sz w:val="20"/>
          <w:szCs w:val="20"/>
          <w:color w:val="auto"/>
        </w:rPr>
      </w:pPr>
    </w:p>
    <w:p>
      <w:pPr>
        <w:spacing w:after="0" w:line="261" w:lineRule="exact"/>
        <w:rPr>
          <w:sz w:val="20"/>
          <w:szCs w:val="20"/>
          <w:color w:val="auto"/>
        </w:rPr>
      </w:pPr>
    </w:p>
    <w:p>
      <w:pPr>
        <w:ind w:left="-20" w:right="240" w:firstLine="702"/>
        <w:spacing w:after="0" w:line="286" w:lineRule="auto"/>
        <w:tabs>
          <w:tab w:leader="none" w:pos="1156" w:val="left"/>
        </w:tabs>
        <w:numPr>
          <w:ilvl w:val="0"/>
          <w:numId w:val="4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Defenses. No Receivable is subject to any right of rescission, setoff, counterclaim or defense and no such right has been asserted or threatened with respect to any Receivable.</w:t>
      </w:r>
    </w:p>
    <w:p>
      <w:pPr>
        <w:spacing w:after="0" w:line="127" w:lineRule="exact"/>
        <w:rPr>
          <w:rFonts w:ascii="Times New Roman" w:cs="Times New Roman" w:eastAsia="Times New Roman" w:hAnsi="Times New Roman"/>
          <w:sz w:val="19"/>
          <w:szCs w:val="19"/>
          <w:color w:val="auto"/>
        </w:rPr>
      </w:pPr>
    </w:p>
    <w:p>
      <w:pPr>
        <w:ind w:left="-20" w:firstLine="702"/>
        <w:spacing w:after="0" w:line="262" w:lineRule="auto"/>
        <w:tabs>
          <w:tab w:leader="none" w:pos="1156" w:val="left"/>
        </w:tabs>
        <w:numPr>
          <w:ilvl w:val="0"/>
          <w:numId w:val="4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There has been no default, breach, violation or event permitting acceleration under the terms of any Receivable (other than payment delinquencies of not more than 30 days), and no condition exists or event has occurred and is continuing that with notice, the lapse of time or both would constitute a default, breach, violation or event permitting acceleration under the terms of any Receivable, and there has been no waiver of any of the foregoing. As of the Cutoff Date, no Financed Vehicle had been repossessed.</w:t>
      </w:r>
    </w:p>
    <w:p>
      <w:pPr>
        <w:spacing w:after="0" w:line="150" w:lineRule="exact"/>
        <w:rPr>
          <w:rFonts w:ascii="Times New Roman" w:cs="Times New Roman" w:eastAsia="Times New Roman" w:hAnsi="Times New Roman"/>
          <w:sz w:val="19"/>
          <w:szCs w:val="19"/>
          <w:color w:val="auto"/>
        </w:rPr>
      </w:pPr>
    </w:p>
    <w:p>
      <w:pPr>
        <w:ind w:left="-20" w:right="120" w:firstLine="702"/>
        <w:spacing w:after="0" w:line="268" w:lineRule="auto"/>
        <w:tabs>
          <w:tab w:leader="none" w:pos="1156" w:val="left"/>
        </w:tabs>
        <w:numPr>
          <w:ilvl w:val="0"/>
          <w:numId w:val="4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Insurance. At the time of an origination of a Receivable by United Auto, an Originating Affiliate or a Dealer, each Financed Vehicle is required to be covered by a comprehensive and collision insurance policy in accordance with the Servicing Policies and Procedures. No Financed Vehicle is insured under a policy of force-placed insurance on the Cutoff Date.</w:t>
      </w:r>
    </w:p>
    <w:p>
      <w:pPr>
        <w:spacing w:after="0" w:line="144" w:lineRule="exact"/>
        <w:rPr>
          <w:rFonts w:ascii="Times New Roman" w:cs="Times New Roman" w:eastAsia="Times New Roman" w:hAnsi="Times New Roman"/>
          <w:sz w:val="19"/>
          <w:szCs w:val="19"/>
          <w:color w:val="auto"/>
        </w:rPr>
      </w:pPr>
    </w:p>
    <w:p>
      <w:pPr>
        <w:ind w:left="-20" w:right="180" w:firstLine="702"/>
        <w:spacing w:after="0" w:line="286" w:lineRule="auto"/>
        <w:tabs>
          <w:tab w:leader="none" w:pos="1156" w:val="left"/>
        </w:tabs>
        <w:numPr>
          <w:ilvl w:val="0"/>
          <w:numId w:val="4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Remaining Principal Balance. At the Cutoff Date, the Principal Balance of each Receivable set forth in the Schedule of Receivables is true and accurate in all material respects.</w:t>
      </w:r>
    </w:p>
    <w:p>
      <w:pPr>
        <w:spacing w:after="0" w:line="127" w:lineRule="exact"/>
        <w:rPr>
          <w:rFonts w:ascii="Times New Roman" w:cs="Times New Roman" w:eastAsia="Times New Roman" w:hAnsi="Times New Roman"/>
          <w:sz w:val="19"/>
          <w:szCs w:val="19"/>
          <w:color w:val="auto"/>
        </w:rPr>
      </w:pPr>
    </w:p>
    <w:p>
      <w:pPr>
        <w:ind w:left="1160" w:hanging="478"/>
        <w:spacing w:after="0"/>
        <w:tabs>
          <w:tab w:leader="none" w:pos="1160" w:val="left"/>
        </w:tabs>
        <w:numPr>
          <w:ilvl w:val="0"/>
          <w:numId w:val="4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Characteristics of the Receivables.</w:t>
      </w:r>
    </w:p>
    <w:p>
      <w:pPr>
        <w:spacing w:after="0" w:line="201" w:lineRule="exact"/>
        <w:rPr>
          <w:rFonts w:ascii="Times New Roman" w:cs="Times New Roman" w:eastAsia="Times New Roman" w:hAnsi="Times New Roman"/>
          <w:sz w:val="19"/>
          <w:szCs w:val="19"/>
          <w:color w:val="auto"/>
        </w:rPr>
      </w:pPr>
    </w:p>
    <w:p>
      <w:pPr>
        <w:ind w:left="1660" w:hanging="234"/>
        <w:spacing w:after="0"/>
        <w:tabs>
          <w:tab w:leader="none" w:pos="1660" w:val="left"/>
        </w:tabs>
        <w:numPr>
          <w:ilvl w:val="1"/>
          <w:numId w:val="48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Receivable had a remaining maturity as of the Cutoff Date of not more than 72 months.</w:t>
      </w:r>
    </w:p>
    <w:p>
      <w:pPr>
        <w:spacing w:after="0" w:line="201" w:lineRule="exact"/>
        <w:rPr>
          <w:rFonts w:ascii="Times New Roman" w:cs="Times New Roman" w:eastAsia="Times New Roman" w:hAnsi="Times New Roman"/>
          <w:sz w:val="19"/>
          <w:szCs w:val="19"/>
          <w:color w:val="1F3763"/>
        </w:rPr>
      </w:pPr>
    </w:p>
    <w:p>
      <w:pPr>
        <w:ind w:left="1660" w:hanging="234"/>
        <w:spacing w:after="0"/>
        <w:tabs>
          <w:tab w:leader="none" w:pos="1660" w:val="left"/>
        </w:tabs>
        <w:numPr>
          <w:ilvl w:val="1"/>
          <w:numId w:val="48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Receivable had an original maturity as of the Cutoff Date of not more than 72 months.</w:t>
      </w:r>
    </w:p>
    <w:p>
      <w:pPr>
        <w:spacing w:after="0" w:line="201" w:lineRule="exact"/>
        <w:rPr>
          <w:rFonts w:ascii="Times New Roman" w:cs="Times New Roman" w:eastAsia="Times New Roman" w:hAnsi="Times New Roman"/>
          <w:sz w:val="19"/>
          <w:szCs w:val="19"/>
          <w:color w:val="1F3763"/>
        </w:rPr>
      </w:pPr>
    </w:p>
    <w:p>
      <w:pPr>
        <w:ind w:left="1660" w:hanging="234"/>
        <w:spacing w:after="0"/>
        <w:tabs>
          <w:tab w:leader="none" w:pos="1660" w:val="left"/>
        </w:tabs>
        <w:numPr>
          <w:ilvl w:val="1"/>
          <w:numId w:val="487"/>
        </w:numPr>
        <w:rPr>
          <w:rFonts w:ascii="Times New Roman" w:cs="Times New Roman" w:eastAsia="Times New Roman" w:hAnsi="Times New Roman"/>
          <w:sz w:val="19"/>
          <w:szCs w:val="19"/>
          <w:color w:val="1F3763"/>
        </w:rPr>
      </w:pPr>
      <w:r>
        <w:rPr>
          <w:rFonts w:ascii="Times New Roman" w:cs="Times New Roman" w:eastAsia="Times New Roman" w:hAnsi="Times New Roman"/>
          <w:sz w:val="19"/>
          <w:szCs w:val="19"/>
          <w:color w:val="auto"/>
        </w:rPr>
        <w:t>Each Receivable had a remaining Principal Balance as of the Cutoff Date of at least $[***] and not more than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1F3763"/>
        </w:rPr>
        <w:t xml:space="preserve">D. </w:t>
      </w:r>
      <w:r>
        <w:rPr>
          <w:rFonts w:ascii="Times New Roman" w:cs="Times New Roman" w:eastAsia="Times New Roman" w:hAnsi="Times New Roman"/>
          <w:sz w:val="19"/>
          <w:szCs w:val="19"/>
          <w:color w:val="000000"/>
        </w:rPr>
        <w:t>Each Receivable had an Annual Percentage Rate as of the Cutoff Date of at least [***]% and not more than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1F3763"/>
        </w:rPr>
        <w:t xml:space="preserve">E. </w:t>
      </w:r>
      <w:r>
        <w:rPr>
          <w:rFonts w:ascii="Times New Roman" w:cs="Times New Roman" w:eastAsia="Times New Roman" w:hAnsi="Times New Roman"/>
          <w:sz w:val="19"/>
          <w:szCs w:val="19"/>
          <w:color w:val="000000"/>
        </w:rPr>
        <w:t>No Receivable was more than 30 days past due as of the Cutoff Date.</w:t>
      </w:r>
    </w:p>
    <w:p>
      <w:pPr>
        <w:spacing w:after="0" w:line="202" w:lineRule="exact"/>
        <w:rPr>
          <w:sz w:val="20"/>
          <w:szCs w:val="20"/>
          <w:color w:val="auto"/>
        </w:rPr>
      </w:pPr>
    </w:p>
    <w:p>
      <w:pPr>
        <w:ind w:left="680" w:right="220" w:firstLine="744"/>
        <w:spacing w:after="0" w:line="286" w:lineRule="auto"/>
        <w:rPr>
          <w:sz w:val="20"/>
          <w:szCs w:val="20"/>
          <w:color w:val="auto"/>
        </w:rPr>
      </w:pPr>
      <w:r>
        <w:rPr>
          <w:rFonts w:ascii="Times New Roman" w:cs="Times New Roman" w:eastAsia="Times New Roman" w:hAnsi="Times New Roman"/>
          <w:sz w:val="19"/>
          <w:szCs w:val="19"/>
          <w:color w:val="1F3763"/>
        </w:rPr>
        <w:t xml:space="preserve">F. </w:t>
      </w:r>
      <w:r>
        <w:rPr>
          <w:rFonts w:ascii="Times New Roman" w:cs="Times New Roman" w:eastAsia="Times New Roman" w:hAnsi="Times New Roman"/>
          <w:sz w:val="19"/>
          <w:szCs w:val="19"/>
          <w:color w:val="000000"/>
        </w:rPr>
        <w:t>No funds had been advanced by United Auto, any Originating Affiliate, any Dealer or anyone acting on behalf of</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any of them in order to cause any Receivable to qualify under clause (E) above.</w:t>
      </w:r>
    </w:p>
    <w:p>
      <w:pPr>
        <w:spacing w:after="0" w:line="127" w:lineRule="exact"/>
        <w:rPr>
          <w:sz w:val="20"/>
          <w:szCs w:val="20"/>
          <w:color w:val="auto"/>
        </w:rPr>
      </w:pPr>
    </w:p>
    <w:p>
      <w:pPr>
        <w:ind w:left="680" w:right="520" w:firstLine="744"/>
        <w:spacing w:after="0" w:line="286" w:lineRule="auto"/>
        <w:rPr>
          <w:sz w:val="20"/>
          <w:szCs w:val="20"/>
          <w:color w:val="auto"/>
        </w:rPr>
      </w:pPr>
      <w:r>
        <w:rPr>
          <w:rFonts w:ascii="Times New Roman" w:cs="Times New Roman" w:eastAsia="Times New Roman" w:hAnsi="Times New Roman"/>
          <w:sz w:val="19"/>
          <w:szCs w:val="19"/>
          <w:color w:val="1F3763"/>
        </w:rPr>
        <w:t xml:space="preserve">G. </w:t>
      </w:r>
      <w:r>
        <w:rPr>
          <w:rFonts w:ascii="Times New Roman" w:cs="Times New Roman" w:eastAsia="Times New Roman" w:hAnsi="Times New Roman"/>
          <w:sz w:val="19"/>
          <w:szCs w:val="19"/>
          <w:color w:val="000000"/>
        </w:rPr>
        <w:t>Each Obligor had a billing address in the United States of America as of the date of origination of the related</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Receivable, is a natural person and is not an Affiliate of any party to the Basic Documents.</w:t>
      </w:r>
    </w:p>
    <w:p>
      <w:pPr>
        <w:spacing w:after="0" w:line="1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color w:val="1F3763"/>
        </w:rPr>
        <w:t xml:space="preserve">H. </w:t>
      </w:r>
      <w:r>
        <w:rPr>
          <w:rFonts w:ascii="Times New Roman" w:cs="Times New Roman" w:eastAsia="Times New Roman" w:hAnsi="Times New Roman"/>
          <w:sz w:val="19"/>
          <w:szCs w:val="19"/>
          <w:color w:val="000000"/>
        </w:rPr>
        <w:t>Each Receivable is denominated in, and each Contract provides for payment in, United States dollars.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SCH-B-98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649605</wp:posOffset>
            </wp:positionV>
            <wp:extent cx="6732905" cy="406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440" w:right="680" w:bottom="1440" w:gutter="0" w:footer="0" w:header="0"/>
        </w:sectPr>
      </w:pPr>
    </w:p>
    <w:bookmarkStart w:id="558" w:name="page559"/>
    <w:bookmarkEnd w:id="558"/>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1F3763"/>
        </w:rPr>
        <w:t xml:space="preserve">I. </w:t>
      </w:r>
      <w:r>
        <w:rPr>
          <w:rFonts w:ascii="Times New Roman" w:cs="Times New Roman" w:eastAsia="Times New Roman" w:hAnsi="Times New Roman"/>
          <w:sz w:val="19"/>
          <w:szCs w:val="19"/>
          <w:color w:val="000000"/>
        </w:rPr>
        <w:t>Each Receivable is identified on the Servicer's master servicing records as a motor vehicle retail installment sales</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contract.</w:t>
      </w:r>
    </w:p>
    <w:p>
      <w:pPr>
        <w:spacing w:after="0" w:line="180" w:lineRule="exact"/>
        <w:rPr>
          <w:sz w:val="20"/>
          <w:szCs w:val="20"/>
          <w:color w:val="auto"/>
        </w:rPr>
      </w:pPr>
    </w:p>
    <w:p>
      <w:pPr>
        <w:ind w:left="700" w:right="360" w:firstLine="744"/>
        <w:spacing w:after="0" w:line="268" w:lineRule="auto"/>
        <w:rPr>
          <w:sz w:val="20"/>
          <w:szCs w:val="20"/>
          <w:color w:val="auto"/>
        </w:rPr>
      </w:pPr>
      <w:r>
        <w:rPr>
          <w:rFonts w:ascii="Times New Roman" w:cs="Times New Roman" w:eastAsia="Times New Roman" w:hAnsi="Times New Roman"/>
          <w:sz w:val="19"/>
          <w:szCs w:val="19"/>
          <w:color w:val="1F3763"/>
        </w:rPr>
        <w:t xml:space="preserve">J. </w:t>
      </w:r>
      <w:r>
        <w:rPr>
          <w:rFonts w:ascii="Times New Roman" w:cs="Times New Roman" w:eastAsia="Times New Roman" w:hAnsi="Times New Roman"/>
          <w:sz w:val="19"/>
          <w:szCs w:val="19"/>
          <w:color w:val="000000"/>
        </w:rPr>
        <w:t>Each Receivable arose under a Contract that is assignable without the consent of, or notice to, the Obligor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thereunder, and does not contain a confidentiality provision that purports to restrict the ability of the Servicer to exercise its rights under the Sale and Servicing Agreement, including its right to review the Contract.</w:t>
      </w:r>
    </w:p>
    <w:p>
      <w:pPr>
        <w:spacing w:after="0" w:line="144" w:lineRule="exact"/>
        <w:rPr>
          <w:sz w:val="20"/>
          <w:szCs w:val="20"/>
          <w:color w:val="auto"/>
        </w:rPr>
      </w:pPr>
    </w:p>
    <w:p>
      <w:pPr>
        <w:jc w:val="both"/>
        <w:ind w:left="700" w:right="100" w:firstLine="744"/>
        <w:spacing w:after="0" w:line="268" w:lineRule="auto"/>
        <w:rPr>
          <w:sz w:val="20"/>
          <w:szCs w:val="20"/>
          <w:color w:val="auto"/>
        </w:rPr>
      </w:pPr>
      <w:r>
        <w:rPr>
          <w:rFonts w:ascii="Times New Roman" w:cs="Times New Roman" w:eastAsia="Times New Roman" w:hAnsi="Times New Roman"/>
          <w:sz w:val="19"/>
          <w:szCs w:val="19"/>
          <w:color w:val="1F3763"/>
        </w:rPr>
        <w:t xml:space="preserve">K. </w:t>
      </w:r>
      <w:r>
        <w:rPr>
          <w:rFonts w:ascii="Times New Roman" w:cs="Times New Roman" w:eastAsia="Times New Roman" w:hAnsi="Times New Roman"/>
          <w:sz w:val="19"/>
          <w:szCs w:val="19"/>
          <w:color w:val="000000"/>
        </w:rPr>
        <w:t>Each Receivable arose under a Contract with respect to which United Auto has performed all obligations required</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to be performed by it thereunder, and, in the event such Contract is a motor vehicle retail installment sales contract, delivery of the Financed Vehicle to the related Obligor has occurred.</w:t>
      </w:r>
    </w:p>
    <w:p>
      <w:pPr>
        <w:spacing w:after="0" w:line="144" w:lineRule="exact"/>
        <w:rPr>
          <w:sz w:val="20"/>
          <w:szCs w:val="20"/>
          <w:color w:val="auto"/>
        </w:rPr>
      </w:pPr>
    </w:p>
    <w:p>
      <w:pPr>
        <w:ind w:left="700" w:firstLine="744"/>
        <w:spacing w:after="0" w:line="286" w:lineRule="auto"/>
        <w:rPr>
          <w:sz w:val="20"/>
          <w:szCs w:val="20"/>
          <w:color w:val="auto"/>
        </w:rPr>
      </w:pPr>
      <w:r>
        <w:rPr>
          <w:rFonts w:ascii="Times New Roman" w:cs="Times New Roman" w:eastAsia="Times New Roman" w:hAnsi="Times New Roman"/>
          <w:sz w:val="19"/>
          <w:szCs w:val="19"/>
          <w:color w:val="1F3763"/>
        </w:rPr>
        <w:t xml:space="preserve">L. </w:t>
      </w:r>
      <w:r>
        <w:rPr>
          <w:rFonts w:ascii="Times New Roman" w:cs="Times New Roman" w:eastAsia="Times New Roman" w:hAnsi="Times New Roman"/>
          <w:sz w:val="19"/>
          <w:szCs w:val="19"/>
          <w:color w:val="000000"/>
        </w:rPr>
        <w:t>Each Receivable constitutes "tangible chattel paper" or "electronic chattel paper" within the meaning of the UCC as</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in effect in the State of New York.</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1F3763"/>
        </w:rPr>
        <w:t xml:space="preserve">M. </w:t>
      </w:r>
      <w:r>
        <w:rPr>
          <w:rFonts w:ascii="Times New Roman" w:cs="Times New Roman" w:eastAsia="Times New Roman" w:hAnsi="Times New Roman"/>
          <w:sz w:val="19"/>
          <w:szCs w:val="19"/>
          <w:color w:val="000000"/>
        </w:rPr>
        <w:t>No automobile related to a Receivable was held in repossession inventory as of the Cutoff Date.</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1F3763"/>
        </w:rPr>
        <w:t xml:space="preserve">N. </w:t>
      </w:r>
      <w:r>
        <w:rPr>
          <w:rFonts w:ascii="Times New Roman" w:cs="Times New Roman" w:eastAsia="Times New Roman" w:hAnsi="Times New Roman"/>
          <w:sz w:val="19"/>
          <w:szCs w:val="19"/>
          <w:color w:val="000000"/>
        </w:rPr>
        <w:t>No Obligor was in bankruptcy as of the Cutoff Date.</w:t>
      </w:r>
    </w:p>
    <w:p>
      <w:pPr>
        <w:spacing w:after="0" w:line="202" w:lineRule="exact"/>
        <w:rPr>
          <w:sz w:val="20"/>
          <w:szCs w:val="20"/>
          <w:color w:val="auto"/>
        </w:rPr>
      </w:pPr>
    </w:p>
    <w:p>
      <w:pPr>
        <w:ind w:left="700" w:right="220" w:firstLine="744"/>
        <w:spacing w:after="0" w:line="286" w:lineRule="auto"/>
        <w:rPr>
          <w:sz w:val="20"/>
          <w:szCs w:val="20"/>
          <w:color w:val="auto"/>
        </w:rPr>
      </w:pPr>
      <w:r>
        <w:rPr>
          <w:rFonts w:ascii="Times New Roman" w:cs="Times New Roman" w:eastAsia="Times New Roman" w:hAnsi="Times New Roman"/>
          <w:sz w:val="19"/>
          <w:szCs w:val="19"/>
          <w:color w:val="1F3763"/>
        </w:rPr>
        <w:t xml:space="preserve">O. </w:t>
      </w:r>
      <w:r>
        <w:rPr>
          <w:rFonts w:ascii="Times New Roman" w:cs="Times New Roman" w:eastAsia="Times New Roman" w:hAnsi="Times New Roman"/>
          <w:sz w:val="19"/>
          <w:szCs w:val="19"/>
          <w:color w:val="000000"/>
        </w:rPr>
        <w:t>Neither United Auto nor the Depositor shall select the motor vehicle retail installment sales contract in a manner</w:t>
      </w:r>
      <w:r>
        <w:rPr>
          <w:rFonts w:ascii="Times New Roman" w:cs="Times New Roman" w:eastAsia="Times New Roman" w:hAnsi="Times New Roman"/>
          <w:sz w:val="19"/>
          <w:szCs w:val="19"/>
          <w:color w:val="1F3763"/>
        </w:rPr>
        <w:t xml:space="preserve"> </w:t>
      </w:r>
      <w:r>
        <w:rPr>
          <w:rFonts w:ascii="Times New Roman" w:cs="Times New Roman" w:eastAsia="Times New Roman" w:hAnsi="Times New Roman"/>
          <w:sz w:val="19"/>
          <w:szCs w:val="19"/>
          <w:color w:val="000000"/>
        </w:rPr>
        <w:t>that either of them believes will be adverse to the interests of the Noteholders.</w:t>
      </w:r>
    </w:p>
    <w:p>
      <w:pPr>
        <w:spacing w:after="0" w:line="127" w:lineRule="exact"/>
        <w:rPr>
          <w:sz w:val="20"/>
          <w:szCs w:val="20"/>
          <w:color w:val="auto"/>
        </w:rPr>
      </w:pPr>
    </w:p>
    <w:p>
      <w:pPr>
        <w:ind w:left="1180" w:hanging="478"/>
        <w:spacing w:after="0"/>
        <w:tabs>
          <w:tab w:leader="none" w:pos="1180" w:val="left"/>
        </w:tabs>
        <w:numPr>
          <w:ilvl w:val="0"/>
          <w:numId w:val="4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Calculation. Each Contract provides for the calculation of interest payable thereunder under the "simple interest"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method.</w:t>
      </w:r>
    </w:p>
    <w:p>
      <w:pPr>
        <w:spacing w:after="0" w:line="180" w:lineRule="exact"/>
        <w:rPr>
          <w:sz w:val="20"/>
          <w:szCs w:val="20"/>
          <w:color w:val="auto"/>
        </w:rPr>
      </w:pPr>
    </w:p>
    <w:p>
      <w:pPr>
        <w:ind w:right="280" w:firstLine="702"/>
        <w:spacing w:after="0" w:line="286" w:lineRule="auto"/>
        <w:tabs>
          <w:tab w:leader="none" w:pos="1176"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Lockbox Account. Each Obligor has been, or will be, directed to make all payments on their related Receivable to the Lockbox Account.</w:t>
      </w:r>
    </w:p>
    <w:p>
      <w:pPr>
        <w:spacing w:after="0" w:line="127" w:lineRule="exact"/>
        <w:rPr>
          <w:rFonts w:ascii="Times New Roman" w:cs="Times New Roman" w:eastAsia="Times New Roman" w:hAnsi="Times New Roman"/>
          <w:sz w:val="19"/>
          <w:szCs w:val="19"/>
          <w:color w:val="auto"/>
        </w:rPr>
      </w:pPr>
    </w:p>
    <w:p>
      <w:pPr>
        <w:ind w:right="120" w:firstLine="702"/>
        <w:spacing w:after="0" w:line="268" w:lineRule="auto"/>
        <w:tabs>
          <w:tab w:leader="none" w:pos="1176"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Prepayment. Each Receivable allows for prepayment and partial prepayments without penalty and requires that a prepayment by the related Obligor will fully pay the principal balance and accrued interest through the date of prepayment based on the Receivable's Annual Percentage Rate.</w:t>
      </w:r>
    </w:p>
    <w:p>
      <w:pPr>
        <w:spacing w:after="0" w:line="144" w:lineRule="exact"/>
        <w:rPr>
          <w:rFonts w:ascii="Times New Roman" w:cs="Times New Roman" w:eastAsia="Times New Roman" w:hAnsi="Times New Roman"/>
          <w:sz w:val="19"/>
          <w:szCs w:val="19"/>
          <w:color w:val="auto"/>
        </w:rPr>
      </w:pPr>
    </w:p>
    <w:p>
      <w:pPr>
        <w:ind w:left="1180" w:hanging="478"/>
        <w:spacing w:after="0"/>
        <w:tabs>
          <w:tab w:leader="none" w:pos="1180"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Each Receivable prohibits the sale or transfer of the Financed Vehicle without the consent of the Depositor.</w:t>
      </w:r>
    </w:p>
    <w:p>
      <w:pPr>
        <w:spacing w:after="0" w:line="201" w:lineRule="exact"/>
        <w:rPr>
          <w:rFonts w:ascii="Times New Roman" w:cs="Times New Roman" w:eastAsia="Times New Roman" w:hAnsi="Times New Roman"/>
          <w:sz w:val="19"/>
          <w:szCs w:val="19"/>
          <w:color w:val="auto"/>
        </w:rPr>
      </w:pPr>
    </w:p>
    <w:p>
      <w:pPr>
        <w:ind w:right="500" w:firstLine="702"/>
        <w:spacing w:after="0" w:line="286" w:lineRule="auto"/>
        <w:tabs>
          <w:tab w:leader="none" w:pos="1176"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 Enforcement. Each Receivable provides for enforcement of the lien or the clear legal right of repossession, as applicable, on the Financed Vehicle securing such Receivable.</w:t>
      </w:r>
    </w:p>
    <w:p>
      <w:pPr>
        <w:spacing w:after="0" w:line="127" w:lineRule="exact"/>
        <w:rPr>
          <w:rFonts w:ascii="Times New Roman" w:cs="Times New Roman" w:eastAsia="Times New Roman" w:hAnsi="Times New Roman"/>
          <w:sz w:val="19"/>
          <w:szCs w:val="19"/>
          <w:color w:val="auto"/>
        </w:rPr>
      </w:pPr>
    </w:p>
    <w:p>
      <w:pPr>
        <w:ind w:right="380" w:firstLine="702"/>
        <w:spacing w:after="0" w:line="286" w:lineRule="auto"/>
        <w:tabs>
          <w:tab w:leader="none" w:pos="1176"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Offering Memorandum Description. Each Receivable conforms, and all Receivables in the aggregate conform, in all material respects to the description thereof set forth in the Offering Memorandum.</w:t>
      </w:r>
    </w:p>
    <w:p>
      <w:pPr>
        <w:spacing w:after="0" w:line="127" w:lineRule="exact"/>
        <w:rPr>
          <w:rFonts w:ascii="Times New Roman" w:cs="Times New Roman" w:eastAsia="Times New Roman" w:hAnsi="Times New Roman"/>
          <w:sz w:val="19"/>
          <w:szCs w:val="19"/>
          <w:color w:val="auto"/>
        </w:rPr>
      </w:pPr>
    </w:p>
    <w:p>
      <w:pPr>
        <w:ind w:right="280" w:firstLine="702"/>
        <w:spacing w:after="0" w:line="286" w:lineRule="auto"/>
        <w:tabs>
          <w:tab w:leader="none" w:pos="1176"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 of Loss. Each Contract contains provisions requiring the Obligor to assume all risk of loss or malfunction on the related Financed Vehicle, requiring the Obligor to pay all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SCH-B-99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59" w:name="page560"/>
    <w:bookmarkEnd w:id="559"/>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sales, use, property, excise and other similar taxes imposed on or with respect to the Financed Vehicle and making the Obligor liable for all payments required to be made thereunder, without any setoff, counterclaim or defense for any reason whatsoever, subject only to the Obligor's right of quiet enjoyment.</w:t>
      </w:r>
    </w:p>
    <w:p>
      <w:pPr>
        <w:spacing w:after="0" w:line="144" w:lineRule="exact"/>
        <w:rPr>
          <w:sz w:val="20"/>
          <w:szCs w:val="20"/>
          <w:color w:val="auto"/>
        </w:rPr>
      </w:pPr>
    </w:p>
    <w:p>
      <w:pPr>
        <w:ind w:right="260" w:firstLine="702"/>
        <w:spacing w:after="0" w:line="286" w:lineRule="auto"/>
        <w:tabs>
          <w:tab w:leader="none" w:pos="1176" w:val="left"/>
        </w:tabs>
        <w:numPr>
          <w:ilvl w:val="0"/>
          <w:numId w:val="4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Leasing Business. To the best of the Depositor's and the Servicer's knowledge, as appropriate, no Obligor is a Person involved in the business of leasing or selling equipment of a type similar to the Obligor's related Financed Vehicle.</w:t>
      </w:r>
    </w:p>
    <w:p>
      <w:pPr>
        <w:spacing w:after="0" w:line="127" w:lineRule="exact"/>
        <w:rPr>
          <w:rFonts w:ascii="Times New Roman" w:cs="Times New Roman" w:eastAsia="Times New Roman" w:hAnsi="Times New Roman"/>
          <w:sz w:val="19"/>
          <w:szCs w:val="19"/>
          <w:color w:val="auto"/>
        </w:rPr>
      </w:pPr>
    </w:p>
    <w:p>
      <w:pPr>
        <w:ind w:right="20" w:firstLine="702"/>
        <w:spacing w:after="0" w:line="286" w:lineRule="auto"/>
        <w:tabs>
          <w:tab w:leader="none" w:pos="1176" w:val="left"/>
        </w:tabs>
        <w:numPr>
          <w:ilvl w:val="0"/>
          <w:numId w:val="4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Consumer Leases. No Receivable constitutes a "consumer lease" under either (a) the UCC as in effect in the jurisdiction the law of which governs the Receivable or (b) the Consumer Leasing Act, 15 USC 1667.</w:t>
      </w:r>
    </w:p>
    <w:p>
      <w:pPr>
        <w:spacing w:after="0" w:line="127" w:lineRule="exact"/>
        <w:rPr>
          <w:rFonts w:ascii="Times New Roman" w:cs="Times New Roman" w:eastAsia="Times New Roman" w:hAnsi="Times New Roman"/>
          <w:sz w:val="19"/>
          <w:szCs w:val="19"/>
          <w:color w:val="auto"/>
        </w:rPr>
      </w:pPr>
    </w:p>
    <w:p>
      <w:pPr>
        <w:ind w:right="460" w:firstLine="702"/>
        <w:spacing w:after="0" w:line="268" w:lineRule="auto"/>
        <w:tabs>
          <w:tab w:leader="none" w:pos="1176" w:val="left"/>
        </w:tabs>
        <w:numPr>
          <w:ilvl w:val="0"/>
          <w:numId w:val="4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Perfection. The Depositor has taken all steps necessary to perfect United Auto's security interest against the related Obligors in the property securing the Receivables and will take all necessary steps on behalf of the Trust to maintain the Trust's perfection of the security interest created by each Receivable in the related Financed Vehicle.</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SCH-B-100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560" w:name="page561"/>
    <w:bookmarkEnd w:id="560"/>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Servicer's Certificate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[ELECTRONIC COPY DELIVERED TO INDENTURE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794385</wp:posOffset>
            </wp:positionV>
            <wp:extent cx="6732905" cy="406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561" w:name="page562"/>
    <w:bookmarkEnd w:id="5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727710</wp:posOffset>
            </wp:positionV>
            <wp:extent cx="1791335" cy="4800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May 12, 2025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Jonathan Sandison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Delivered via email: jon.sandison@vroom.com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Dear Jon,</w:t>
      </w:r>
    </w:p>
    <w:p>
      <w:pPr>
        <w:spacing w:after="0" w:line="17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are pleased to continue your employment with Vroom, Inc. (“Vroom”) by entering into the terms of this employment letter (this “Employment Letter”). This Employment Letter shall supersede the terms and conditions of that certain letter previously entered into between you and Vroom, dated as of September 27, 2022 (the “Prior Letter”).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Chief Financial Officer and Treasurer, reporting directly to the Chief Executive Officer of Vroom.</w:t>
      </w:r>
    </w:p>
    <w:p>
      <w:pPr>
        <w:spacing w:after="0" w:line="176"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Transition Date</w:t>
      </w:r>
      <w:r>
        <w:rPr>
          <w:rFonts w:ascii="Arial" w:cs="Arial" w:eastAsia="Arial" w:hAnsi="Arial"/>
          <w:sz w:val="16"/>
          <w:szCs w:val="16"/>
          <w:color w:val="auto"/>
        </w:rPr>
        <w:t>: Effective May 15, 2025, you will commence employment as Chief Financial Officer and Treasurer of Vroom pursuant to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Letter and in this capacity you will also serve as the principal financial officer for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You will primarily work remotely, subject to appropriate business travel.</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6"/>
          <w:szCs w:val="16"/>
          <w:b w:val="1"/>
          <w:bCs w:val="1"/>
          <w:color w:val="auto"/>
        </w:rPr>
        <w:t xml:space="preserve">Duties: </w:t>
      </w:r>
      <w:r>
        <w:rPr>
          <w:rFonts w:ascii="Arial" w:cs="Arial" w:eastAsia="Arial" w:hAnsi="Arial"/>
          <w:sz w:val="16"/>
          <w:szCs w:val="16"/>
          <w:color w:val="auto"/>
        </w:rPr>
        <w:t>You agree to devote your reasonable best efforts and all of your active business time and attention (except for permitted vacation periods)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and affairs of Vroom and any entities from time to time directly or indirectly owned or controlled by Vroom (each an “Affiliate,” or collectively, the “Affiliates”). If so requested by Vroom, you shall serve as an officer, director or manager of Vroom’s Affiliates. During your employment, you will not engage in any material outside business activity without the prior written approval of the Chief Executive Officer (not to be unreasonably withheld). The foregoing restrictions shall not limit or prohibit you from engaging in passive investments or community, charitable and social activities, in each case, not interfering with your performance and obligations hereunder.</w:t>
      </w:r>
    </w:p>
    <w:p>
      <w:pPr>
        <w:spacing w:after="0" w:line="156" w:lineRule="exact"/>
        <w:rPr>
          <w:sz w:val="20"/>
          <w:szCs w:val="20"/>
          <w:color w:val="auto"/>
        </w:rPr>
      </w:pPr>
    </w:p>
    <w:p>
      <w:pPr>
        <w:ind w:right="320"/>
        <w:spacing w:after="0" w:line="302" w:lineRule="auto"/>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Your gross annual base salary shall be $400,000, payable bi-weekly on Fridays or otherwise in accordance with Vroom’s payroll</w:t>
      </w:r>
      <w:r>
        <w:rPr>
          <w:rFonts w:ascii="Arial" w:cs="Arial" w:eastAsia="Arial" w:hAnsi="Arial"/>
          <w:sz w:val="14"/>
          <w:szCs w:val="14"/>
          <w:b w:val="1"/>
          <w:bCs w:val="1"/>
          <w:color w:val="auto"/>
        </w:rPr>
        <w:t xml:space="preserve"> </w:t>
      </w:r>
      <w:r>
        <w:rPr>
          <w:rFonts w:ascii="Arial" w:cs="Arial" w:eastAsia="Arial" w:hAnsi="Arial"/>
          <w:sz w:val="14"/>
          <w:szCs w:val="14"/>
          <w:color w:val="auto"/>
        </w:rPr>
        <w:t>practices as in effect from time to time. Your role is currently classified as exempt. Therefore, you are exempt from the overtime provisions of the Fair Labor Standards Act (FLSA). Your annual base salary will be reviewed by the Compensation Committee of the Board on an annual basis.</w:t>
      </w:r>
    </w:p>
    <w:p>
      <w:pPr>
        <w:spacing w:after="0" w:line="112"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b w:val="1"/>
          <w:bCs w:val="1"/>
          <w:color w:val="auto"/>
        </w:rPr>
        <w:t xml:space="preserve">Annual incentive </w:t>
      </w:r>
      <w:r>
        <w:rPr>
          <w:rFonts w:ascii="Arial" w:cs="Arial" w:eastAsia="Arial" w:hAnsi="Arial"/>
          <w:sz w:val="16"/>
          <w:szCs w:val="16"/>
          <w:color w:val="auto"/>
        </w:rPr>
        <w:t>: You shall be entitled to participate in Vroom’s annual incentive bonus plan. This plan is based upon Vroom’s achievement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plan, as well as your success against personal performance goals.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•Your annual target bonus is 60% of your gross annual base salary actually paid with respect to the given year, prorated for partial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899160</wp:posOffset>
            </wp:positionV>
            <wp:extent cx="6732905" cy="406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62" w:name="page563"/>
    <w:bookmarkEnd w:id="5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727710</wp:posOffset>
            </wp:positionV>
            <wp:extent cx="1791335" cy="4800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80060"/>
                    </a:xfrm>
                    <a:prstGeom prst="rect">
                      <a:avLst/>
                    </a:prstGeom>
                    <a:noFill/>
                  </pic:spPr>
                </pic:pic>
              </a:graphicData>
            </a:graphic>
          </wp:anchor>
        </w:drawing>
      </w:r>
    </w:p>
    <w:p>
      <w:pPr>
        <w:spacing w:after="0" w:line="251"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•Payments in respect of annual bonuses are generally made on or before the end of the first quarter following the relevant performance year. Except as set forth in the Executive Severance Plan, no part of any bonus will be paid to you unless you are actively employed by Vroom on the date the bonus is to be paid.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bonus plan will be governed and outlined in a plan document that will be provided to you.</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Payments and Equity:</w:t>
      </w:r>
    </w:p>
    <w:p>
      <w:pPr>
        <w:spacing w:after="0" w:line="17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RSU Awards</w:t>
      </w:r>
      <w:r>
        <w:rPr>
          <w:rFonts w:ascii="Arial" w:cs="Arial" w:eastAsia="Arial" w:hAnsi="Arial"/>
          <w:sz w:val="16"/>
          <w:szCs w:val="16"/>
          <w:color w:val="auto"/>
        </w:rPr>
        <w:t>. Notwithstanding anything herein to the contrary, your RSU awards shall remain outstanding in accordance with their existing terms and conditions, including those terms set forth in the Vroom 2020 Incentive Award Plan (as in effect from time to time, the “Plan”), the associated award agreements and your letter agreement with the Company dated as of March 11, 2024.</w:t>
      </w:r>
    </w:p>
    <w:p>
      <w:pPr>
        <w:spacing w:after="0" w:line="14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 Awards</w:t>
      </w:r>
      <w:r>
        <w:rPr>
          <w:rFonts w:ascii="Arial" w:cs="Arial" w:eastAsia="Arial" w:hAnsi="Arial"/>
          <w:sz w:val="16"/>
          <w:szCs w:val="16"/>
          <w:color w:val="auto"/>
        </w:rPr>
        <w:t>. Your Incentive Stock Option awards shall remain outstanding in accordance with their existing terms and conditions, including those terms set forth in the Vroom 2020 Incentive Award Plan (as in effect from time to time, the “Plan”) and the associated award agreements.</w:t>
      </w:r>
    </w:p>
    <w:p>
      <w:pPr>
        <w:spacing w:after="0" w:line="134" w:lineRule="exact"/>
        <w:rPr>
          <w:sz w:val="20"/>
          <w:szCs w:val="20"/>
          <w:color w:val="auto"/>
        </w:rPr>
      </w:pPr>
    </w:p>
    <w:p>
      <w:pPr>
        <w:spacing w:after="0" w:line="244" w:lineRule="auto"/>
        <w:rPr>
          <w:sz w:val="20"/>
          <w:szCs w:val="20"/>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Subject to your continued employment with Vroom through the applicable grant date, you shall be entitled to participate in future grant</w:t>
      </w:r>
      <w:r>
        <w:rPr>
          <w:rFonts w:ascii="Arial" w:cs="Arial" w:eastAsia="Arial" w:hAnsi="Arial"/>
          <w:sz w:val="16"/>
          <w:szCs w:val="16"/>
          <w:b w:val="1"/>
          <w:bCs w:val="1"/>
          <w:color w:val="auto"/>
        </w:rPr>
        <w:t xml:space="preserve"> </w:t>
      </w:r>
      <w:r>
        <w:rPr>
          <w:rFonts w:ascii="Arial" w:cs="Arial" w:eastAsia="Arial" w:hAnsi="Arial"/>
          <w:sz w:val="16"/>
          <w:szCs w:val="16"/>
          <w:color w:val="auto"/>
        </w:rPr>
        <w:t>award cycles along with other senior executives of Vroom. Such grants are generally expected to be made in March of each year, subject to the approval of the Board or its Compensation Committee, provided that the Board or its Compensation Committee may modify Vroom’s grant process at any time and for any reason in their sole discretion.</w:t>
      </w:r>
    </w:p>
    <w:p>
      <w:pPr>
        <w:spacing w:after="0" w:line="152" w:lineRule="exact"/>
        <w:rPr>
          <w:sz w:val="20"/>
          <w:szCs w:val="20"/>
          <w:color w:val="auto"/>
        </w:rPr>
      </w:pPr>
    </w:p>
    <w:p>
      <w:pPr>
        <w:ind w:right="240"/>
        <w:spacing w:after="0" w:line="302" w:lineRule="auto"/>
        <w:rPr>
          <w:sz w:val="20"/>
          <w:szCs w:val="20"/>
          <w:color w:val="auto"/>
        </w:rPr>
      </w:pPr>
      <w:r>
        <w:rPr>
          <w:rFonts w:ascii="Arial" w:cs="Arial" w:eastAsia="Arial" w:hAnsi="Arial"/>
          <w:sz w:val="14"/>
          <w:szCs w:val="14"/>
          <w:b w:val="1"/>
          <w:bCs w:val="1"/>
          <w:color w:val="auto"/>
        </w:rPr>
        <w:t xml:space="preserve">Benefits: </w:t>
      </w:r>
      <w:r>
        <w:rPr>
          <w:rFonts w:ascii="Arial" w:cs="Arial" w:eastAsia="Arial" w:hAnsi="Arial"/>
          <w:sz w:val="14"/>
          <w:szCs w:val="14"/>
          <w:color w:val="auto"/>
        </w:rPr>
        <w:t>You shall continue to be entitled to participate in Vroom’s comprehensive benefits package and retirement plan. For details on eligibility and</w:t>
      </w:r>
      <w:r>
        <w:rPr>
          <w:rFonts w:ascii="Arial" w:cs="Arial" w:eastAsia="Arial" w:hAnsi="Arial"/>
          <w:sz w:val="14"/>
          <w:szCs w:val="14"/>
          <w:b w:val="1"/>
          <w:bCs w:val="1"/>
          <w:color w:val="auto"/>
        </w:rPr>
        <w:t xml:space="preserve"> </w:t>
      </w:r>
      <w:r>
        <w:rPr>
          <w:rFonts w:ascii="Arial" w:cs="Arial" w:eastAsia="Arial" w:hAnsi="Arial"/>
          <w:sz w:val="14"/>
          <w:szCs w:val="14"/>
          <w:color w:val="auto"/>
        </w:rPr>
        <w:t>our full benefits offering, please review our benefits resources which have been provided to you. You also shall continue to be the beneficiary of a company-paid officers and directors liability insurance policy and tail on terms consistent with those applicable to other senior executives of Vroom.</w:t>
      </w:r>
    </w:p>
    <w:p>
      <w:pPr>
        <w:spacing w:after="0" w:line="112" w:lineRule="exact"/>
        <w:rPr>
          <w:sz w:val="20"/>
          <w:szCs w:val="20"/>
          <w:color w:val="auto"/>
        </w:rPr>
      </w:pPr>
    </w:p>
    <w:p>
      <w:pPr>
        <w:ind w:right="660"/>
        <w:spacing w:after="0" w:line="265" w:lineRule="auto"/>
        <w:rPr>
          <w:sz w:val="20"/>
          <w:szCs w:val="20"/>
          <w:color w:val="auto"/>
        </w:rPr>
      </w:pPr>
      <w:r>
        <w:rPr>
          <w:rFonts w:ascii="Arial" w:cs="Arial" w:eastAsia="Arial" w:hAnsi="Arial"/>
          <w:sz w:val="16"/>
          <w:szCs w:val="16"/>
          <w:b w:val="1"/>
          <w:bCs w:val="1"/>
          <w:color w:val="auto"/>
        </w:rPr>
        <w:t xml:space="preserve">Business Expenses: </w:t>
      </w:r>
      <w:r>
        <w:rPr>
          <w:rFonts w:ascii="Arial" w:cs="Arial" w:eastAsia="Arial" w:hAnsi="Arial"/>
          <w:sz w:val="16"/>
          <w:szCs w:val="16"/>
          <w:color w:val="auto"/>
        </w:rPr>
        <w:t>Vroom shall pay or reimburse you for all reasonable business expenses incurred by you in performing services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Letter in accordance with policies then in effect.</w:t>
      </w:r>
    </w:p>
    <w:p>
      <w:pPr>
        <w:spacing w:after="0" w:line="13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b w:val="1"/>
          <w:bCs w:val="1"/>
          <w:color w:val="auto"/>
        </w:rPr>
        <w:t xml:space="preserve">Severance: </w:t>
      </w:r>
      <w:r>
        <w:rPr>
          <w:rFonts w:ascii="Arial" w:cs="Arial" w:eastAsia="Arial" w:hAnsi="Arial"/>
          <w:sz w:val="16"/>
          <w:szCs w:val="16"/>
          <w:color w:val="auto"/>
        </w:rPr>
        <w:t>You shall continue to be designated as a participant in the Executive Severance Plan. In the event of your termination of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Vroom, except as explicitly provided herein, your severance benefits (if any) shall be determined in accordance with the terms of the Executive Severance Plan (or any successor plan), as in effect on the date of your termination, including, without limitation Section 7 thereof.</w:t>
      </w:r>
    </w:p>
    <w:p>
      <w:pPr>
        <w:spacing w:after="0" w:line="14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color w:val="auto"/>
        </w:rPr>
        <w:t xml:space="preserve">Time Off: </w:t>
      </w:r>
      <w:r>
        <w:rPr>
          <w:rFonts w:ascii="Arial" w:cs="Arial" w:eastAsia="Arial" w:hAnsi="Arial"/>
          <w:sz w:val="16"/>
          <w:szCs w:val="16"/>
          <w:color w:val="auto"/>
        </w:rPr>
        <w:t>You will continue to be entitled to participate in Vroom’s comprehensive Paid Time Off Policy (“PTO Policy”), including holidays, annual PTO,</w:t>
      </w:r>
      <w:r>
        <w:rPr>
          <w:rFonts w:ascii="Arial" w:cs="Arial" w:eastAsia="Arial" w:hAnsi="Arial"/>
          <w:sz w:val="16"/>
          <w:szCs w:val="16"/>
          <w:b w:val="1"/>
          <w:bCs w:val="1"/>
          <w:color w:val="auto"/>
        </w:rPr>
        <w:t xml:space="preserve"> </w:t>
      </w:r>
      <w:r>
        <w:rPr>
          <w:rFonts w:ascii="Arial" w:cs="Arial" w:eastAsia="Arial" w:hAnsi="Arial"/>
          <w:sz w:val="16"/>
          <w:szCs w:val="16"/>
          <w:color w:val="auto"/>
        </w:rPr>
        <w:t>and sick leave annually as per the Company leave policy. Please review Vroom’s PTO Policy for complete details.</w:t>
      </w:r>
    </w:p>
    <w:p>
      <w:pPr>
        <w:spacing w:after="0" w:line="13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You agree that you shall not, during or after your employment with Vroom, disparage Vroom or any of its Affiliates or any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products, services, operations or practices, or any of their respective directors, officers, advisors, operating partners, employees, agents, representatives, or equity holders, either orally or in writing, at any time; provided that you may (i) confer in confidence with your legal representatives, (ii) make truthful statements as required by law, and (iii) rebut false or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770890</wp:posOffset>
            </wp:positionV>
            <wp:extent cx="6732905" cy="406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3" w:name="page564"/>
    <w:bookmarkEnd w:id="5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727710</wp:posOffset>
            </wp:positionV>
            <wp:extent cx="1791335" cy="4800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80060"/>
                    </a:xfrm>
                    <a:prstGeom prst="rect">
                      <a:avLst/>
                    </a:prstGeom>
                    <a:noFill/>
                  </pic:spPr>
                </pic:pic>
              </a:graphicData>
            </a:graphic>
          </wp:anchor>
        </w:drawing>
      </w:r>
    </w:p>
    <w:p>
      <w:pPr>
        <w:spacing w:after="0" w:line="251" w:lineRule="exact"/>
        <w:rPr>
          <w:sz w:val="20"/>
          <w:szCs w:val="20"/>
          <w:color w:val="auto"/>
        </w:rPr>
      </w:pPr>
    </w:p>
    <w:p>
      <w:pPr>
        <w:jc w:val="both"/>
        <w:ind w:right="180"/>
        <w:spacing w:after="0" w:line="248" w:lineRule="auto"/>
        <w:rPr>
          <w:sz w:val="20"/>
          <w:szCs w:val="20"/>
          <w:color w:val="auto"/>
        </w:rPr>
      </w:pPr>
      <w:r>
        <w:rPr>
          <w:rFonts w:ascii="Arial" w:cs="Arial" w:eastAsia="Arial" w:hAnsi="Arial"/>
          <w:sz w:val="16"/>
          <w:szCs w:val="16"/>
          <w:color w:val="auto"/>
        </w:rPr>
        <w:t>statements about you. Vroom shall not, and shall cause its executive officers and directors not to, disparage you, during or after your employment with Vroom; provided, that Vroom’s executive officers and directors may (i) confer in confidence with their respective legal representatives, (ii) make truthful statements as required by law, and (iii) rebut false or misleading statements about Vroom or any of its Affiliates.</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color w:val="auto"/>
        </w:rPr>
        <w:t xml:space="preserve">Acknowledgements; Representations: </w:t>
      </w:r>
      <w:r>
        <w:rPr>
          <w:rFonts w:ascii="Arial" w:cs="Arial" w:eastAsia="Arial" w:hAnsi="Arial"/>
          <w:sz w:val="16"/>
          <w:szCs w:val="16"/>
          <w:color w:val="auto"/>
        </w:rPr>
        <w:t>Notwithstanding anything herein to the contrary, you acknowledge and agree that your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Inventions Assignment Agreement (the “Vroom PIIA”) shall remain in full force and effect. In addition, you acknowledge and agree that you will continue to comply with Vroom’s policies, including, without limitation, the policies set forth in Vroom’s Employee Handbook, which may be updated from time to time (“Policies”). With your signature below, you represent that: (a) your execution, delivery and performance of this Employment Letter does not and shall not conflict with, breach or violate any agreement to which you are a party or any judgment to which you are subject and (b) upon the execution and delivery of this Employment Letter, this Employment Letter will be a binding obligation in respect of your employment with Vroom, enforceable in accordance with its terms.</w:t>
      </w:r>
    </w:p>
    <w:p>
      <w:pPr>
        <w:spacing w:after="0" w:line="158"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b w:val="1"/>
          <w:bCs w:val="1"/>
          <w:color w:val="auto"/>
        </w:rPr>
        <w:t xml:space="preserve">Indemnification; D&amp;O. </w:t>
      </w:r>
      <w:r>
        <w:rPr>
          <w:rFonts w:ascii="Arial" w:cs="Arial" w:eastAsia="Arial" w:hAnsi="Arial"/>
          <w:sz w:val="14"/>
          <w:szCs w:val="14"/>
          <w:color w:val="auto"/>
        </w:rPr>
        <w:t>You shall continue to be covered by your indemnification agreement, as well as the indemnification, advancement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provisions as set forth in the bylaws, articles of incorporation and other governing documents In addition, Vroom shall maintain Directors and Officers (D&amp;O) liability insurance covering you under Vroom’s D&amp;O coverage and other insurance coverage and no such indemnification, advancement or D&amp;O provisions shall be amended or altered in any manner adverse to you without your consent (not to be unreasonably withheld).</w:t>
      </w:r>
    </w:p>
    <w:p>
      <w:pPr>
        <w:spacing w:after="0" w:line="119"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b w:val="1"/>
          <w:bCs w:val="1"/>
          <w:color w:val="auto"/>
        </w:rPr>
        <w:t xml:space="preserve">Complete Agreement: </w:t>
      </w:r>
      <w:r>
        <w:rPr>
          <w:rFonts w:ascii="Arial" w:cs="Arial" w:eastAsia="Arial" w:hAnsi="Arial"/>
          <w:sz w:val="16"/>
          <w:szCs w:val="16"/>
          <w:color w:val="auto"/>
        </w:rPr>
        <w:t>Except as expressly set forth herein, this Employment Letter, those documents and policies expressly referred to herein)</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the entire agreement between you and Vroom and supersede any prior understandings and agreements by or between you and Vroom, whether written or oral, related in any way to the subject matter of this Employment Letter.</w:t>
      </w:r>
    </w:p>
    <w:p>
      <w:pPr>
        <w:spacing w:after="0" w:line="145"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Employment Letter shall be binding on, and shall inure to the benefit of, you and Vroom and your respective heirs,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successors and permitted assigns. You may not assign, transfer or delegate your rights or obligations hereunder and any attempt to do so shall be void.</w:t>
      </w:r>
    </w:p>
    <w:p>
      <w:pPr>
        <w:spacing w:after="0" w:line="14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color w:val="auto"/>
        </w:rPr>
        <w:t xml:space="preserve">Withholding of Taxes: </w:t>
      </w:r>
      <w:r>
        <w:rPr>
          <w:rFonts w:ascii="Arial" w:cs="Arial" w:eastAsia="Arial" w:hAnsi="Arial"/>
          <w:sz w:val="16"/>
          <w:szCs w:val="16"/>
          <w:color w:val="auto"/>
        </w:rPr>
        <w:t>Vroom may deduct and withhold from the compensation payable to you hereunder or otherwise any and all applicable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state, and local income and employment withholding taxes and any other authorized amounts or amounts required to be deducted or withheld by Vroom under applicable law.</w:t>
      </w:r>
    </w:p>
    <w:p>
      <w:pPr>
        <w:spacing w:after="0" w:line="145"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Employment Letter shall in all respects be subject to, and governed by, the laws of the State of New York without regard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of conflict of laws.</w:t>
      </w:r>
    </w:p>
    <w:p>
      <w:pPr>
        <w:spacing w:after="0" w:line="134"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b w:val="1"/>
          <w:bCs w:val="1"/>
          <w:color w:val="auto"/>
        </w:rPr>
        <w:t xml:space="preserve">Amendment and Waiver: </w:t>
      </w:r>
      <w:r>
        <w:rPr>
          <w:rFonts w:ascii="Arial" w:cs="Arial" w:eastAsia="Arial" w:hAnsi="Arial"/>
          <w:sz w:val="16"/>
          <w:szCs w:val="16"/>
          <w:color w:val="auto"/>
        </w:rPr>
        <w:t>The provisions of this Employment Letter may be amended and waived only with the prior written consent of you and Vroom,</w:t>
      </w:r>
      <w:r>
        <w:rPr>
          <w:rFonts w:ascii="Arial" w:cs="Arial" w:eastAsia="Arial" w:hAnsi="Arial"/>
          <w:sz w:val="16"/>
          <w:szCs w:val="16"/>
          <w:b w:val="1"/>
          <w:bCs w:val="1"/>
          <w:color w:val="auto"/>
        </w:rPr>
        <w:t xml:space="preserve"> </w:t>
      </w:r>
      <w:r>
        <w:rPr>
          <w:rFonts w:ascii="Arial" w:cs="Arial" w:eastAsia="Arial" w:hAnsi="Arial"/>
          <w:sz w:val="16"/>
          <w:szCs w:val="16"/>
          <w:color w:val="auto"/>
        </w:rPr>
        <w:t>and no course of conduct or failure or delay in enforcing the provisions of this Employment Letter shall affect the enforceability of this Employment Letter or any provision hereof.</w:t>
      </w:r>
    </w:p>
    <w:p>
      <w:pPr>
        <w:spacing w:after="0" w:line="145" w:lineRule="exact"/>
        <w:rPr>
          <w:sz w:val="20"/>
          <w:szCs w:val="20"/>
          <w:color w:val="auto"/>
        </w:rPr>
      </w:pPr>
    </w:p>
    <w:p>
      <w:pPr>
        <w:ind w:right="540"/>
        <w:spacing w:after="0" w:line="265" w:lineRule="auto"/>
        <w:rPr>
          <w:sz w:val="20"/>
          <w:szCs w:val="20"/>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Employment Letter may be executed in two or more counterparts, each of which shall be deemed an original and all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873125</wp:posOffset>
            </wp:positionV>
            <wp:extent cx="6732905" cy="406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64" w:name="page565"/>
    <w:bookmarkEnd w:id="5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727710</wp:posOffset>
            </wp:positionV>
            <wp:extent cx="1791335" cy="4800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80060"/>
                    </a:xfrm>
                    <a:prstGeom prst="rect">
                      <a:avLst/>
                    </a:prstGeom>
                    <a:noFill/>
                  </pic:spPr>
                </pic:pic>
              </a:graphicData>
            </a:graphic>
          </wp:anchor>
        </w:drawing>
      </w:r>
    </w:p>
    <w:p>
      <w:pPr>
        <w:spacing w:after="0" w:line="249"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color w:val="auto"/>
        </w:rPr>
        <w:t xml:space="preserve">Code Section 409A: </w:t>
      </w:r>
      <w:r>
        <w:rPr>
          <w:rFonts w:ascii="Arial" w:cs="Arial" w:eastAsia="Arial" w:hAnsi="Arial"/>
          <w:sz w:val="16"/>
          <w:szCs w:val="16"/>
          <w:color w:val="auto"/>
        </w:rPr>
        <w:t>This Employment Letter is intended to be interpreted and operated so that the payments and benefits set forth herein shall either be</w:t>
      </w:r>
      <w:r>
        <w:rPr>
          <w:rFonts w:ascii="Arial" w:cs="Arial" w:eastAsia="Arial" w:hAnsi="Arial"/>
          <w:sz w:val="16"/>
          <w:szCs w:val="16"/>
          <w:b w:val="1"/>
          <w:bCs w:val="1"/>
          <w:color w:val="auto"/>
        </w:rPr>
        <w:t xml:space="preserve"> </w:t>
      </w:r>
      <w:r>
        <w:rPr>
          <w:rFonts w:ascii="Arial" w:cs="Arial" w:eastAsia="Arial" w:hAnsi="Arial"/>
          <w:sz w:val="16"/>
          <w:szCs w:val="16"/>
          <w:color w:val="auto"/>
        </w:rPr>
        <w:t>exempt from or comply with the requirements of Section 409A of the Internal Revenue Code of 1986, as amended (“Section 409A”). In no event shall Vroom be liable for any taxes, penalties or interest which may be imposed upon you pursuant to Section 409A. You hereby agree that no representations have been made to you relating to the tax treatment of any payment pursuant to this Employment Letter. To the extent required to comply with the provisions of Section 409A, (a) no reimbursement of expenses incurred by you during any taxable year shall be made after the last day of the following taxable year, (b) the amount of expenses eligible for reimbursement, or in- kind benefits provided, during any taxable year shall not affect the expenses eligible for reimbursement, or in-kind benefits to be provided, to you in any other taxable year, and (c) the right to reimbursement of such expenses shall not be subject to liquidation or exchange for another benefit.</w:t>
      </w:r>
    </w:p>
    <w:p>
      <w:pPr>
        <w:spacing w:after="0" w:line="155" w:lineRule="exact"/>
        <w:rPr>
          <w:sz w:val="20"/>
          <w:szCs w:val="20"/>
          <w:color w:val="auto"/>
        </w:rPr>
      </w:pPr>
    </w:p>
    <w:p>
      <w:pPr>
        <w:ind w:right="460"/>
        <w:spacing w:after="0" w:line="242" w:lineRule="auto"/>
        <w:rPr>
          <w:sz w:val="20"/>
          <w:szCs w:val="20"/>
          <w:color w:val="auto"/>
        </w:rPr>
      </w:pPr>
      <w:r>
        <w:rPr>
          <w:rFonts w:ascii="Arial" w:cs="Arial" w:eastAsia="Arial" w:hAnsi="Arial"/>
          <w:sz w:val="16"/>
          <w:szCs w:val="16"/>
          <w:b w:val="1"/>
          <w:bCs w:val="1"/>
          <w:color w:val="auto"/>
        </w:rPr>
        <w:t xml:space="preserve">WAIVER OF JURY TRIAL: </w:t>
      </w:r>
      <w:r>
        <w:rPr>
          <w:rFonts w:ascii="Arial" w:cs="Arial" w:eastAsia="Arial" w:hAnsi="Arial"/>
          <w:sz w:val="16"/>
          <w:szCs w:val="16"/>
          <w:color w:val="auto"/>
        </w:rPr>
        <w:t>NO PARTY TO THIS EMPLOYMENT LETTER OR ANY ASSIGNEE, SUCCESSOR, HEIR OR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OF A PARTY SHALL SEEK A JURY TRIAL IN ANY LITIGATION BASED UPON OR ARISING OUT OF THIS EMPLOYMENT LETTER. NO PARTY WILL SEEK TO CONSOLIDATE ANY SUCH ACTION, IN WHICH A JURY TRIAL HAS BEEN WAIVED, WITH ANY OTHER ACTION IN WHICH A JURY TRIAL CANNOT OR HAS NOT BEEN WAIVED. THE PROVISIONS UNDER THIS HEADING HAVE BEEN FULLY DISCUSSED BY THE PARTIES HERETO, AND THESE PROVISIONS SHALL BE SUBJECT TO NO EXCEPTIONS.</w:t>
      </w:r>
    </w:p>
    <w:p>
      <w:pPr>
        <w:spacing w:after="0" w:line="155" w:lineRule="exact"/>
        <w:rPr>
          <w:sz w:val="20"/>
          <w:szCs w:val="20"/>
          <w:color w:val="auto"/>
        </w:rPr>
      </w:pPr>
    </w:p>
    <w:p>
      <w:pPr>
        <w:ind w:right="740"/>
        <w:spacing w:after="0" w:line="262" w:lineRule="auto"/>
        <w:rPr>
          <w:sz w:val="20"/>
          <w:szCs w:val="20"/>
          <w:color w:val="auto"/>
        </w:rPr>
      </w:pPr>
      <w:r>
        <w:rPr>
          <w:rFonts w:ascii="Arial" w:cs="Arial" w:eastAsia="Arial" w:hAnsi="Arial"/>
          <w:sz w:val="16"/>
          <w:szCs w:val="16"/>
          <w:color w:val="auto"/>
        </w:rPr>
        <w:t>To accept the terms of this Employment Letter, please complete, sign and scan the attached signature page. We look forward to continuing our relationship as we help drive Vroom’s growth.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3528695</wp:posOffset>
            </wp:positionV>
            <wp:extent cx="6732905" cy="406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65" w:name="page566"/>
    <w:bookmarkEnd w:id="5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727710</wp:posOffset>
            </wp:positionV>
            <wp:extent cx="1791335" cy="4800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800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 ________________</w:t>
      </w:r>
    </w:p>
    <w:p>
      <w:pPr>
        <w:spacing w:after="0" w:line="6" w:lineRule="exact"/>
        <w:rPr>
          <w:sz w:val="20"/>
          <w:szCs w:val="20"/>
          <w:color w:val="auto"/>
        </w:rPr>
      </w:pPr>
    </w:p>
    <w:p>
      <w:pPr>
        <w:spacing w:after="0"/>
        <w:tabs>
          <w:tab w:leader="none" w:pos="3380" w:val="left"/>
        </w:tabs>
        <w:rPr>
          <w:sz w:val="20"/>
          <w:szCs w:val="20"/>
          <w:color w:val="auto"/>
        </w:rPr>
      </w:pPr>
      <w:r>
        <w:rPr>
          <w:rFonts w:ascii="Arial" w:cs="Arial" w:eastAsia="Arial" w:hAnsi="Arial"/>
          <w:sz w:val="16"/>
          <w:szCs w:val="16"/>
          <w:color w:val="auto"/>
        </w:rPr>
        <w:t>Tom Shortt | Vroom</w:t>
      </w:r>
      <w:r>
        <w:rPr>
          <w:sz w:val="20"/>
          <w:szCs w:val="20"/>
          <w:color w:val="auto"/>
        </w:rPr>
        <w:tab/>
      </w:r>
      <w:r>
        <w:rPr>
          <w:rFonts w:ascii="Arial" w:cs="Arial" w:eastAsia="Arial" w:hAnsi="Arial"/>
          <w:sz w:val="14"/>
          <w:szCs w:val="14"/>
          <w:color w:val="auto"/>
        </w:rPr>
        <w:t>Date</w:t>
      </w: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68" w:lineRule="exact"/>
        <w:rPr>
          <w:sz w:val="20"/>
          <w:szCs w:val="20"/>
          <w:color w:val="auto"/>
        </w:rPr>
      </w:pPr>
    </w:p>
    <w:p>
      <w:pPr>
        <w:spacing w:after="0" w:line="288" w:lineRule="auto"/>
        <w:rPr>
          <w:sz w:val="20"/>
          <w:szCs w:val="20"/>
          <w:color w:val="auto"/>
        </w:rPr>
      </w:pPr>
      <w:r>
        <w:rPr>
          <w:rFonts w:ascii="Arial" w:cs="Arial" w:eastAsia="Arial" w:hAnsi="Arial"/>
          <w:sz w:val="14"/>
          <w:szCs w:val="14"/>
          <w:b w:val="1"/>
          <w:bCs w:val="1"/>
          <w:color w:val="auto"/>
        </w:rPr>
        <w:t>I accept the terms of employment and agree to the provisions stated in this letter. I acknowledge that, except as expressly set forth in this Employment Letter, this Employment Letter, together with the Executive Severance Plan, the Vroom PIIA and Policies, constitute the entire agreement between Vroom and me and supersedes all prior verbal or written agreements, arrangements or understandings pertaining to my employment. I understand that I am employed at-will and that my employment can be terminated at any time, with or without Cause, at the option of either Vroom or me, but subject to the terms of this letter and the Executive Severance Plan (as modified herein).</w:t>
      </w:r>
    </w:p>
    <w:p>
      <w:pPr>
        <w:spacing w:after="0" w:line="11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I UNDERSTAND THAT THIS EMPLOYMENT LETTER AFFECTS IMPORTANT RIGHTS. BY SIGNING BELOW, I CERTIFY THAT I HAVE READ IT CAREFULLY AND AM SATISFIED THAT I UNDERSTAND IT COMPLETELY.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 _________________</w:t>
      </w:r>
    </w:p>
    <w:p>
      <w:pPr>
        <w:spacing w:after="0" w:line="10"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Jonathan Sandison</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1233170</wp:posOffset>
            </wp:positionV>
            <wp:extent cx="6732905" cy="406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1440" w:right="840" w:bottom="1440" w:gutter="0" w:footer="0" w:header="0"/>
        </w:sectPr>
      </w:pPr>
    </w:p>
    <w:bookmarkStart w:id="566" w:name="page567"/>
    <w:bookmarkEnd w:id="56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Thomas H. Shortt, certify that:</w:t>
      </w:r>
    </w:p>
    <w:p>
      <w:pPr>
        <w:spacing w:after="0" w:line="212" w:lineRule="exact"/>
        <w:rPr>
          <w:sz w:val="20"/>
          <w:szCs w:val="20"/>
          <w:color w:val="auto"/>
        </w:rPr>
      </w:pPr>
    </w:p>
    <w:p>
      <w:pPr>
        <w:ind w:left="440" w:hanging="434"/>
        <w:spacing w:after="0"/>
        <w:tabs>
          <w:tab w:leader="none" w:pos="44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Vroom, Inc.;</w:t>
      </w:r>
    </w:p>
    <w:p>
      <w:pPr>
        <w:spacing w:after="0" w:line="200" w:lineRule="exact"/>
        <w:rPr>
          <w:rFonts w:ascii="Times New Roman" w:cs="Times New Roman" w:eastAsia="Times New Roman" w:hAnsi="Times New Roman"/>
          <w:sz w:val="16"/>
          <w:szCs w:val="16"/>
          <w:color w:val="auto"/>
        </w:rPr>
      </w:pPr>
    </w:p>
    <w:p>
      <w:pPr>
        <w:spacing w:after="0" w:line="240" w:lineRule="exact"/>
        <w:rPr>
          <w:rFonts w:ascii="Times New Roman" w:cs="Times New Roman" w:eastAsia="Times New Roman" w:hAnsi="Times New Roman"/>
          <w:sz w:val="16"/>
          <w:szCs w:val="16"/>
          <w:color w:val="auto"/>
        </w:rPr>
      </w:pPr>
    </w:p>
    <w:p>
      <w:pPr>
        <w:ind w:left="440" w:right="380" w:hanging="434"/>
        <w:spacing w:after="0" w:line="259" w:lineRule="auto"/>
        <w:tabs>
          <w:tab w:leader="none" w:pos="44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6"/>
          <w:szCs w:val="16"/>
          <w:color w:val="auto"/>
        </w:rPr>
      </w:pPr>
    </w:p>
    <w:p>
      <w:pPr>
        <w:spacing w:after="0" w:line="207" w:lineRule="exact"/>
        <w:rPr>
          <w:rFonts w:ascii="Times New Roman" w:cs="Times New Roman" w:eastAsia="Times New Roman" w:hAnsi="Times New Roman"/>
          <w:sz w:val="16"/>
          <w:szCs w:val="16"/>
          <w:color w:val="auto"/>
        </w:rPr>
      </w:pPr>
    </w:p>
    <w:p>
      <w:pPr>
        <w:ind w:left="440" w:right="460" w:hanging="434"/>
        <w:spacing w:after="0" w:line="259" w:lineRule="auto"/>
        <w:tabs>
          <w:tab w:leader="none" w:pos="44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6"/>
          <w:szCs w:val="16"/>
          <w:color w:val="auto"/>
        </w:rPr>
      </w:pPr>
    </w:p>
    <w:p>
      <w:pPr>
        <w:spacing w:after="0" w:line="207" w:lineRule="exact"/>
        <w:rPr>
          <w:rFonts w:ascii="Times New Roman" w:cs="Times New Roman" w:eastAsia="Times New Roman" w:hAnsi="Times New Roman"/>
          <w:sz w:val="16"/>
          <w:szCs w:val="16"/>
          <w:color w:val="auto"/>
        </w:rPr>
      </w:pPr>
    </w:p>
    <w:p>
      <w:pPr>
        <w:jc w:val="both"/>
        <w:ind w:left="440" w:right="280" w:hanging="434"/>
        <w:spacing w:after="0" w:line="247" w:lineRule="auto"/>
        <w:tabs>
          <w:tab w:leader="none" w:pos="44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6"/>
          <w:szCs w:val="16"/>
          <w:color w:val="auto"/>
        </w:rPr>
      </w:pPr>
    </w:p>
    <w:p>
      <w:pPr>
        <w:spacing w:after="0" w:line="216" w:lineRule="exact"/>
        <w:rPr>
          <w:rFonts w:ascii="Times New Roman" w:cs="Times New Roman" w:eastAsia="Times New Roman" w:hAnsi="Times New Roman"/>
          <w:sz w:val="16"/>
          <w:szCs w:val="16"/>
          <w:color w:val="auto"/>
        </w:rPr>
      </w:pPr>
    </w:p>
    <w:p>
      <w:pPr>
        <w:ind w:left="880" w:right="140" w:hanging="442"/>
        <w:spacing w:after="0" w:line="247" w:lineRule="auto"/>
        <w:tabs>
          <w:tab w:leader="none" w:pos="88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6" w:lineRule="exact"/>
        <w:rPr>
          <w:rFonts w:ascii="Times New Roman" w:cs="Times New Roman" w:eastAsia="Times New Roman" w:hAnsi="Times New Roman"/>
          <w:sz w:val="16"/>
          <w:szCs w:val="16"/>
          <w:color w:val="auto"/>
        </w:rPr>
      </w:pPr>
    </w:p>
    <w:p>
      <w:pPr>
        <w:ind w:left="880" w:right="60" w:hanging="442"/>
        <w:spacing w:after="0" w:line="247" w:lineRule="auto"/>
        <w:tabs>
          <w:tab w:leader="none" w:pos="88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8" w:lineRule="exact"/>
        <w:rPr>
          <w:rFonts w:ascii="Times New Roman" w:cs="Times New Roman" w:eastAsia="Times New Roman" w:hAnsi="Times New Roman"/>
          <w:sz w:val="16"/>
          <w:szCs w:val="16"/>
          <w:color w:val="auto"/>
        </w:rPr>
      </w:pPr>
    </w:p>
    <w:p>
      <w:pPr>
        <w:ind w:left="880" w:right="40" w:hanging="442"/>
        <w:spacing w:after="0" w:line="259" w:lineRule="auto"/>
        <w:tabs>
          <w:tab w:leader="none" w:pos="88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880" w:right="320" w:hanging="442"/>
        <w:spacing w:after="0" w:line="247" w:lineRule="auto"/>
        <w:tabs>
          <w:tab w:leader="none" w:pos="88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6"/>
          <w:szCs w:val="16"/>
          <w:color w:val="auto"/>
        </w:rPr>
      </w:pPr>
    </w:p>
    <w:p>
      <w:pPr>
        <w:spacing w:after="0" w:line="216" w:lineRule="exact"/>
        <w:rPr>
          <w:rFonts w:ascii="Times New Roman" w:cs="Times New Roman" w:eastAsia="Times New Roman" w:hAnsi="Times New Roman"/>
          <w:sz w:val="16"/>
          <w:szCs w:val="16"/>
          <w:color w:val="auto"/>
        </w:rPr>
      </w:pPr>
    </w:p>
    <w:p>
      <w:pPr>
        <w:ind w:left="440" w:right="220" w:hanging="434"/>
        <w:spacing w:after="0" w:line="259" w:lineRule="auto"/>
        <w:tabs>
          <w:tab w:leader="none" w:pos="44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6"/>
          <w:szCs w:val="16"/>
          <w:color w:val="auto"/>
        </w:rPr>
      </w:pPr>
    </w:p>
    <w:p>
      <w:pPr>
        <w:spacing w:after="0" w:line="207" w:lineRule="exact"/>
        <w:rPr>
          <w:rFonts w:ascii="Times New Roman" w:cs="Times New Roman" w:eastAsia="Times New Roman" w:hAnsi="Times New Roman"/>
          <w:sz w:val="16"/>
          <w:szCs w:val="16"/>
          <w:color w:val="auto"/>
        </w:rPr>
      </w:pPr>
    </w:p>
    <w:p>
      <w:pPr>
        <w:ind w:left="880" w:right="220" w:hanging="442"/>
        <w:spacing w:after="0" w:line="259" w:lineRule="auto"/>
        <w:tabs>
          <w:tab w:leader="none" w:pos="88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6"/>
          <w:szCs w:val="16"/>
          <w:color w:val="auto"/>
        </w:rPr>
      </w:pPr>
    </w:p>
    <w:p>
      <w:pPr>
        <w:spacing w:after="0" w:line="207" w:lineRule="exact"/>
        <w:rPr>
          <w:rFonts w:ascii="Times New Roman" w:cs="Times New Roman" w:eastAsia="Times New Roman" w:hAnsi="Times New Roman"/>
          <w:sz w:val="16"/>
          <w:szCs w:val="16"/>
          <w:color w:val="auto"/>
        </w:rPr>
      </w:pPr>
    </w:p>
    <w:p>
      <w:pPr>
        <w:ind w:left="880" w:right="420" w:hanging="442"/>
        <w:spacing w:after="0" w:line="259" w:lineRule="auto"/>
        <w:tabs>
          <w:tab w:leader="none" w:pos="88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513080</wp:posOffset>
            </wp:positionV>
            <wp:extent cx="6732905" cy="406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567" w:name="page568"/>
    <w:bookmarkEnd w:id="567"/>
    <w:p>
      <w:pPr>
        <w:spacing w:after="0"/>
        <w:tabs>
          <w:tab w:leader="none" w:pos="5320" w:val="left"/>
          <w:tab w:leader="none" w:pos="7460" w:val="left"/>
        </w:tabs>
        <w:rPr>
          <w:sz w:val="20"/>
          <w:szCs w:val="20"/>
          <w:color w:val="auto"/>
        </w:rPr>
      </w:pPr>
      <w:r>
        <w:rPr>
          <w:rFonts w:ascii="Times New Roman" w:cs="Times New Roman" w:eastAsia="Times New Roman" w:hAnsi="Times New Roman"/>
          <w:sz w:val="16"/>
          <w:szCs w:val="16"/>
          <w:color w:val="auto"/>
        </w:rPr>
        <w:t>Date: May 14,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5715</wp:posOffset>
            </wp:positionV>
            <wp:extent cx="3109595"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3109595" cy="7620"/>
                    </a:xfrm>
                    <a:prstGeom prst="rect">
                      <a:avLst/>
                    </a:prstGeom>
                    <a:noFill/>
                  </pic:spPr>
                </pic:pic>
              </a:graphicData>
            </a:graphic>
          </wp:anchor>
        </w:drawing>
      </w:r>
    </w:p>
    <w:p>
      <w:pPr>
        <w:spacing w:after="0" w:line="2"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6"/>
          <w:szCs w:val="16"/>
          <w:color w:val="auto"/>
        </w:rPr>
        <w:t>Thomas H. Shortt</w:t>
      </w:r>
    </w:p>
    <w:p>
      <w:pPr>
        <w:jc w:val="center"/>
        <w:ind w:left="5660"/>
        <w:spacing w:after="0" w:line="234" w:lineRule="auto"/>
        <w:rPr>
          <w:sz w:val="20"/>
          <w:szCs w:val="20"/>
          <w:color w:val="auto"/>
        </w:rPr>
      </w:pPr>
      <w:r>
        <w:rPr>
          <w:rFonts w:ascii="Times New Roman" w:cs="Times New Roman" w:eastAsia="Times New Roman" w:hAnsi="Times New Roman"/>
          <w:sz w:val="16"/>
          <w:szCs w:val="16"/>
          <w:color w:val="auto"/>
        </w:rPr>
        <w:t>Chief Executive Officer</w:t>
      </w:r>
    </w:p>
    <w:p>
      <w:pPr>
        <w:spacing w:after="0" w:line="1"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537210</wp:posOffset>
            </wp:positionV>
            <wp:extent cx="6732905" cy="406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157" w:right="1440" w:bottom="1440" w:gutter="0" w:footer="0" w:header="0"/>
        </w:sectPr>
      </w:pPr>
    </w:p>
    <w:bookmarkStart w:id="568" w:name="page569"/>
    <w:bookmarkEnd w:id="56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Agnieszka Zakowicz, certify that:</w:t>
      </w:r>
    </w:p>
    <w:p>
      <w:pPr>
        <w:spacing w:after="0" w:line="212" w:lineRule="exact"/>
        <w:rPr>
          <w:sz w:val="20"/>
          <w:szCs w:val="20"/>
          <w:color w:val="auto"/>
        </w:rPr>
      </w:pPr>
    </w:p>
    <w:p>
      <w:pPr>
        <w:ind w:left="440" w:hanging="434"/>
        <w:spacing w:after="0"/>
        <w:tabs>
          <w:tab w:leader="none" w:pos="44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Vroom, Inc.;</w:t>
      </w:r>
    </w:p>
    <w:p>
      <w:pPr>
        <w:spacing w:after="0" w:line="392" w:lineRule="exact"/>
        <w:rPr>
          <w:rFonts w:ascii="Times New Roman" w:cs="Times New Roman" w:eastAsia="Times New Roman" w:hAnsi="Times New Roman"/>
          <w:sz w:val="16"/>
          <w:szCs w:val="16"/>
          <w:color w:val="auto"/>
        </w:rPr>
      </w:pPr>
    </w:p>
    <w:p>
      <w:pPr>
        <w:ind w:left="440" w:right="380" w:hanging="434"/>
        <w:spacing w:after="0" w:line="259" w:lineRule="auto"/>
        <w:tabs>
          <w:tab w:leader="none" w:pos="44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9" w:lineRule="exact"/>
        <w:rPr>
          <w:rFonts w:ascii="Times New Roman" w:cs="Times New Roman" w:eastAsia="Times New Roman" w:hAnsi="Times New Roman"/>
          <w:sz w:val="16"/>
          <w:szCs w:val="16"/>
          <w:color w:val="auto"/>
        </w:rPr>
      </w:pPr>
    </w:p>
    <w:p>
      <w:pPr>
        <w:ind w:left="440" w:right="460" w:hanging="434"/>
        <w:spacing w:after="0" w:line="259" w:lineRule="auto"/>
        <w:tabs>
          <w:tab w:leader="none" w:pos="44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9" w:lineRule="exact"/>
        <w:rPr>
          <w:rFonts w:ascii="Times New Roman" w:cs="Times New Roman" w:eastAsia="Times New Roman" w:hAnsi="Times New Roman"/>
          <w:sz w:val="16"/>
          <w:szCs w:val="16"/>
          <w:color w:val="auto"/>
        </w:rPr>
      </w:pPr>
    </w:p>
    <w:p>
      <w:pPr>
        <w:jc w:val="both"/>
        <w:ind w:left="440" w:right="280" w:hanging="434"/>
        <w:spacing w:after="0" w:line="247" w:lineRule="auto"/>
        <w:tabs>
          <w:tab w:leader="none" w:pos="44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8" w:lineRule="exact"/>
        <w:rPr>
          <w:rFonts w:ascii="Times New Roman" w:cs="Times New Roman" w:eastAsia="Times New Roman" w:hAnsi="Times New Roman"/>
          <w:sz w:val="16"/>
          <w:szCs w:val="16"/>
          <w:color w:val="auto"/>
        </w:rPr>
      </w:pPr>
    </w:p>
    <w:p>
      <w:pPr>
        <w:ind w:left="880" w:right="140" w:hanging="442"/>
        <w:spacing w:after="0" w:line="247" w:lineRule="auto"/>
        <w:tabs>
          <w:tab w:leader="none" w:pos="880" w:val="left"/>
        </w:tabs>
        <w:numPr>
          <w:ilvl w:val="1"/>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6"/>
          <w:szCs w:val="16"/>
          <w:color w:val="auto"/>
        </w:rPr>
      </w:pPr>
    </w:p>
    <w:p>
      <w:pPr>
        <w:ind w:left="880" w:right="60" w:hanging="442"/>
        <w:spacing w:after="0" w:line="247" w:lineRule="auto"/>
        <w:tabs>
          <w:tab w:leader="none" w:pos="880" w:val="left"/>
        </w:tabs>
        <w:numPr>
          <w:ilvl w:val="1"/>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8" w:lineRule="exact"/>
        <w:rPr>
          <w:rFonts w:ascii="Times New Roman" w:cs="Times New Roman" w:eastAsia="Times New Roman" w:hAnsi="Times New Roman"/>
          <w:sz w:val="16"/>
          <w:szCs w:val="16"/>
          <w:color w:val="auto"/>
        </w:rPr>
      </w:pPr>
    </w:p>
    <w:p>
      <w:pPr>
        <w:ind w:left="880" w:right="40" w:hanging="442"/>
        <w:spacing w:after="0" w:line="259" w:lineRule="auto"/>
        <w:tabs>
          <w:tab w:leader="none" w:pos="880" w:val="left"/>
        </w:tabs>
        <w:numPr>
          <w:ilvl w:val="1"/>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7" w:lineRule="exact"/>
        <w:rPr>
          <w:rFonts w:ascii="Times New Roman" w:cs="Times New Roman" w:eastAsia="Times New Roman" w:hAnsi="Times New Roman"/>
          <w:sz w:val="16"/>
          <w:szCs w:val="16"/>
          <w:color w:val="auto"/>
        </w:rPr>
      </w:pPr>
    </w:p>
    <w:p>
      <w:pPr>
        <w:ind w:left="880" w:right="320" w:hanging="442"/>
        <w:spacing w:after="0" w:line="247" w:lineRule="auto"/>
        <w:tabs>
          <w:tab w:leader="none" w:pos="880" w:val="left"/>
        </w:tabs>
        <w:numPr>
          <w:ilvl w:val="1"/>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8" w:lineRule="exact"/>
        <w:rPr>
          <w:rFonts w:ascii="Times New Roman" w:cs="Times New Roman" w:eastAsia="Times New Roman" w:hAnsi="Times New Roman"/>
          <w:sz w:val="16"/>
          <w:szCs w:val="16"/>
          <w:color w:val="auto"/>
        </w:rPr>
      </w:pPr>
    </w:p>
    <w:p>
      <w:pPr>
        <w:ind w:left="440" w:right="220" w:hanging="434"/>
        <w:spacing w:after="0" w:line="259" w:lineRule="auto"/>
        <w:tabs>
          <w:tab w:leader="none" w:pos="44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9" w:lineRule="exact"/>
        <w:rPr>
          <w:rFonts w:ascii="Times New Roman" w:cs="Times New Roman" w:eastAsia="Times New Roman" w:hAnsi="Times New Roman"/>
          <w:sz w:val="16"/>
          <w:szCs w:val="16"/>
          <w:color w:val="auto"/>
        </w:rPr>
      </w:pPr>
    </w:p>
    <w:p>
      <w:pPr>
        <w:ind w:left="880" w:right="220" w:hanging="442"/>
        <w:spacing w:after="0" w:line="259" w:lineRule="auto"/>
        <w:tabs>
          <w:tab w:leader="none" w:pos="880" w:val="left"/>
        </w:tabs>
        <w:numPr>
          <w:ilvl w:val="1"/>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9" w:lineRule="exact"/>
        <w:rPr>
          <w:rFonts w:ascii="Times New Roman" w:cs="Times New Roman" w:eastAsia="Times New Roman" w:hAnsi="Times New Roman"/>
          <w:sz w:val="16"/>
          <w:szCs w:val="16"/>
          <w:color w:val="auto"/>
        </w:rPr>
      </w:pPr>
    </w:p>
    <w:p>
      <w:pPr>
        <w:ind w:left="880" w:right="420" w:hanging="442"/>
        <w:spacing w:after="0" w:line="259" w:lineRule="auto"/>
        <w:tabs>
          <w:tab w:leader="none" w:pos="880" w:val="left"/>
        </w:tabs>
        <w:numPr>
          <w:ilvl w:val="1"/>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Date: May 14, 2025</w:t>
            </w:r>
          </w:p>
        </w:tc>
        <w:tc>
          <w:tcPr>
            <w:tcW w:w="23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Agnieszka Zakowicz</w:t>
            </w:r>
          </w:p>
        </w:tc>
      </w:tr>
      <w:tr>
        <w:trPr>
          <w:trHeight w:val="159"/>
        </w:trPr>
        <w:tc>
          <w:tcPr>
            <w:tcW w:w="3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8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w w:val="98"/>
              </w:rPr>
              <w:t>Agnieszka Zakowicz</w:t>
            </w:r>
          </w:p>
        </w:tc>
      </w:tr>
      <w:tr>
        <w:trPr>
          <w:trHeight w:val="178"/>
        </w:trPr>
        <w:tc>
          <w:tcPr>
            <w:tcW w:w="3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8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Chief Financial Officer</w:t>
            </w:r>
          </w:p>
        </w:tc>
      </w:tr>
      <w:tr>
        <w:trPr>
          <w:trHeight w:val="205"/>
        </w:trPr>
        <w:tc>
          <w:tcPr>
            <w:tcW w:w="3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w:t>
            </w:r>
            <w:r>
              <w:rPr>
                <w:rFonts w:ascii="Times New Roman" w:cs="Times New Roman" w:eastAsia="Times New Roman" w:hAnsi="Times New Roman"/>
                <w:sz w:val="16"/>
                <w:szCs w:val="16"/>
                <w:i w:val="1"/>
                <w:iCs w:val="1"/>
                <w:color w:val="auto"/>
                <w:w w:val="97"/>
              </w:rPr>
              <w:t>principal financial officer and principal accounting officer</w:t>
            </w:r>
            <w:r>
              <w:rPr>
                <w:rFonts w:ascii="Times New Roman" w:cs="Times New Roman" w:eastAsia="Times New Roman" w:hAnsi="Times New Roman"/>
                <w:sz w:val="16"/>
                <w:szCs w:val="16"/>
                <w:color w:val="auto"/>
                <w:w w:val="97"/>
              </w:rPr>
              <w:t>)</w:t>
            </w:r>
          </w:p>
        </w:tc>
      </w:tr>
      <w:tr>
        <w:trPr>
          <w:trHeight w:val="854"/>
        </w:trPr>
        <w:tc>
          <w:tcPr>
            <w:tcW w:w="330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569" w:name="page570"/>
    <w:bookmarkEnd w:id="56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4"/>
          <w:szCs w:val="14"/>
          <w:color w:val="auto"/>
        </w:rPr>
        <w:t>In connection with the Quarterly Report on Form 10-Q of Vroom, Inc. (the “Company”) for the period ended March 31, 2025 as filed with the Securities and Exchange Commission on the date hereof (the “Report”), I certify, pursuant to 18 U.S.C. § 1350, as adopted pursuant to § 906 of the Sarbanes-Oxley Act of 2002, that:</w:t>
      </w:r>
    </w:p>
    <w:p>
      <w:pPr>
        <w:spacing w:after="0" w:line="132" w:lineRule="exact"/>
        <w:rPr>
          <w:sz w:val="20"/>
          <w:szCs w:val="20"/>
          <w:color w:val="auto"/>
        </w:rPr>
      </w:pPr>
    </w:p>
    <w:p>
      <w:pPr>
        <w:ind w:left="880" w:hanging="442"/>
        <w:spacing w:after="0"/>
        <w:tabs>
          <w:tab w:leader="none" w:pos="88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6"/>
          <w:szCs w:val="16"/>
          <w:color w:val="auto"/>
        </w:rPr>
      </w:pPr>
    </w:p>
    <w:p>
      <w:pPr>
        <w:spacing w:after="0" w:line="240" w:lineRule="exact"/>
        <w:rPr>
          <w:rFonts w:ascii="Times New Roman" w:cs="Times New Roman" w:eastAsia="Times New Roman" w:hAnsi="Times New Roman"/>
          <w:sz w:val="16"/>
          <w:szCs w:val="16"/>
          <w:color w:val="auto"/>
        </w:rPr>
      </w:pPr>
    </w:p>
    <w:p>
      <w:pPr>
        <w:ind w:left="880" w:hanging="442"/>
        <w:spacing w:after="0"/>
        <w:tabs>
          <w:tab w:leader="none" w:pos="88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Date: May 14, 2025</w:t>
            </w:r>
          </w:p>
        </w:tc>
        <w:tc>
          <w:tcPr>
            <w:tcW w:w="23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Thomas H. Shortt</w:t>
            </w:r>
          </w:p>
        </w:tc>
      </w:tr>
      <w:tr>
        <w:trPr>
          <w:trHeight w:val="159"/>
        </w:trPr>
        <w:tc>
          <w:tcPr>
            <w:tcW w:w="3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8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w w:val="98"/>
              </w:rPr>
              <w:t>Thomas H. Shortt</w:t>
            </w:r>
          </w:p>
        </w:tc>
      </w:tr>
      <w:tr>
        <w:trPr>
          <w:trHeight w:val="178"/>
        </w:trPr>
        <w:tc>
          <w:tcPr>
            <w:tcW w:w="3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8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Chief Executive Officer</w:t>
            </w:r>
          </w:p>
        </w:tc>
      </w:tr>
      <w:tr>
        <w:trPr>
          <w:trHeight w:val="205"/>
        </w:trPr>
        <w:tc>
          <w:tcPr>
            <w:tcW w:w="3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6"/>
                <w:szCs w:val="16"/>
                <w:i w:val="1"/>
                <w:iCs w:val="1"/>
                <w:color w:val="auto"/>
                <w:w w:val="96"/>
              </w:rPr>
              <w:t>principal executive officer</w:t>
            </w:r>
            <w:r>
              <w:rPr>
                <w:rFonts w:ascii="Times New Roman" w:cs="Times New Roman" w:eastAsia="Times New Roman" w:hAnsi="Times New Roman"/>
                <w:sz w:val="16"/>
                <w:szCs w:val="16"/>
                <w:color w:val="auto"/>
                <w:w w:val="96"/>
              </w:rPr>
              <w:t>)</w:t>
            </w:r>
          </w:p>
        </w:tc>
      </w:tr>
      <w:tr>
        <w:trPr>
          <w:trHeight w:val="1262"/>
        </w:trPr>
        <w:tc>
          <w:tcPr>
            <w:tcW w:w="330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570" w:name="page571"/>
    <w:bookmarkEnd w:id="57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4"/>
          <w:szCs w:val="14"/>
          <w:color w:val="auto"/>
        </w:rPr>
        <w:t>In connection with the Quarterly Report on Form 10-Q of Vroom, Inc. (the “Company”) for the period ended March 31, 2025 as filed with the Securities and Exchange Commission on the date hereof (the “Report”), I certify, pursuant to 18 U.S.C. § 1350, as adopted pursuant to § 906 of the Sarbanes-Oxley Act of 2002, that:</w:t>
      </w:r>
    </w:p>
    <w:p>
      <w:pPr>
        <w:spacing w:after="0" w:line="132" w:lineRule="exact"/>
        <w:rPr>
          <w:sz w:val="20"/>
          <w:szCs w:val="20"/>
          <w:color w:val="auto"/>
        </w:rPr>
      </w:pPr>
    </w:p>
    <w:p>
      <w:pPr>
        <w:ind w:left="880" w:hanging="442"/>
        <w:spacing w:after="0"/>
        <w:tabs>
          <w:tab w:leader="none" w:pos="880"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6"/>
          <w:szCs w:val="16"/>
          <w:color w:val="auto"/>
        </w:rPr>
      </w:pPr>
    </w:p>
    <w:p>
      <w:pPr>
        <w:spacing w:after="0" w:line="240" w:lineRule="exact"/>
        <w:rPr>
          <w:rFonts w:ascii="Times New Roman" w:cs="Times New Roman" w:eastAsia="Times New Roman" w:hAnsi="Times New Roman"/>
          <w:sz w:val="16"/>
          <w:szCs w:val="16"/>
          <w:color w:val="auto"/>
        </w:rPr>
      </w:pPr>
    </w:p>
    <w:p>
      <w:pPr>
        <w:ind w:left="880" w:hanging="442"/>
        <w:spacing w:after="0"/>
        <w:tabs>
          <w:tab w:leader="none" w:pos="880"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Date: May 14, 2025</w:t>
            </w:r>
          </w:p>
        </w:tc>
        <w:tc>
          <w:tcPr>
            <w:tcW w:w="23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Agnieszka Zakowicz</w:t>
            </w:r>
          </w:p>
        </w:tc>
      </w:tr>
      <w:tr>
        <w:trPr>
          <w:trHeight w:val="159"/>
        </w:trPr>
        <w:tc>
          <w:tcPr>
            <w:tcW w:w="3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8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w w:val="98"/>
              </w:rPr>
              <w:t>Agnieszka Zakowicz</w:t>
            </w:r>
          </w:p>
        </w:tc>
      </w:tr>
      <w:tr>
        <w:trPr>
          <w:trHeight w:val="178"/>
        </w:trPr>
        <w:tc>
          <w:tcPr>
            <w:tcW w:w="3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8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Chief Financial Officer</w:t>
            </w:r>
          </w:p>
        </w:tc>
      </w:tr>
      <w:tr>
        <w:trPr>
          <w:trHeight w:val="205"/>
        </w:trPr>
        <w:tc>
          <w:tcPr>
            <w:tcW w:w="3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w:t>
            </w:r>
            <w:r>
              <w:rPr>
                <w:rFonts w:ascii="Times New Roman" w:cs="Times New Roman" w:eastAsia="Times New Roman" w:hAnsi="Times New Roman"/>
                <w:sz w:val="16"/>
                <w:szCs w:val="16"/>
                <w:i w:val="1"/>
                <w:iCs w:val="1"/>
                <w:color w:val="auto"/>
                <w:w w:val="97"/>
              </w:rPr>
              <w:t>principal financial officer and principal accounting officer)</w:t>
            </w:r>
          </w:p>
        </w:tc>
      </w:tr>
      <w:tr>
        <w:trPr>
          <w:trHeight w:val="1827"/>
        </w:trPr>
        <w:tc>
          <w:tcPr>
            <w:tcW w:w="330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571" w:name="page572"/>
    <w:bookmarkEnd w:id="57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F7F12"/>
    <w:multiLevelType w:val="hybridMultilevel"/>
    <w:lvl w:ilvl="0">
      <w:lvlJc w:val="left"/>
      <w:lvlText w:val="☒"/>
      <w:numFmt w:val="bullet"/>
      <w:start w:val="1"/>
    </w:lvl>
  </w:abstractNum>
  <w:abstractNum w:abstractNumId="1">
    <w:nsid w:val="2817E7EC"/>
    <w:multiLevelType w:val="hybridMultilevel"/>
    <w:lvl w:ilvl="0">
      <w:lvlJc w:val="left"/>
      <w:lvlText w:val="☐"/>
      <w:numFmt w:val="bullet"/>
      <w:start w:val="1"/>
    </w:lvl>
  </w:abstractNum>
  <w:abstractNum w:abstractNumId="2">
    <w:nsid w:val="71482545"/>
    <w:multiLevelType w:val="hybridMultilevel"/>
    <w:lvl w:ilvl="0">
      <w:lvlJc w:val="left"/>
      <w:lvlText w:val="•"/>
      <w:numFmt w:val="bullet"/>
      <w:start w:val="1"/>
    </w:lvl>
  </w:abstractNum>
  <w:abstractNum w:abstractNumId="3">
    <w:nsid w:val="17D78639"/>
    <w:multiLevelType w:val="hybridMultilevel"/>
    <w:lvl w:ilvl="0">
      <w:lvlJc w:val="left"/>
      <w:lvlText w:val="%1."/>
      <w:numFmt w:val="decimal"/>
      <w:start w:val="1"/>
    </w:lvl>
  </w:abstractNum>
  <w:abstractNum w:abstractNumId="4">
    <w:nsid w:val="141D2302"/>
    <w:multiLevelType w:val="hybridMultilevel"/>
    <w:lvl w:ilvl="0">
      <w:lvlJc w:val="left"/>
      <w:lvlText w:val="(%1)"/>
      <w:numFmt w:val="decimal"/>
      <w:start w:val="1"/>
    </w:lvl>
  </w:abstractNum>
  <w:abstractNum w:abstractNumId="5">
    <w:nsid w:val="407168D8"/>
    <w:multiLevelType w:val="hybridMultilevel"/>
    <w:lvl w:ilvl="0">
      <w:lvlJc w:val="left"/>
      <w:lvlText w:val="%1."/>
      <w:numFmt w:val="decimal"/>
      <w:start w:val="3"/>
    </w:lvl>
  </w:abstractNum>
  <w:abstractNum w:abstractNumId="6">
    <w:nsid w:val="6A1B45E5"/>
    <w:multiLevelType w:val="hybridMultilevel"/>
    <w:lvl w:ilvl="0">
      <w:lvlJc w:val="left"/>
      <w:lvlText w:val="%1."/>
      <w:numFmt w:val="decimal"/>
      <w:start w:val="6"/>
    </w:lvl>
  </w:abstractNum>
  <w:abstractNum w:abstractNumId="7">
    <w:nsid w:val="567BD50A"/>
    <w:multiLevelType w:val="hybridMultilevel"/>
    <w:lvl w:ilvl="0">
      <w:lvlJc w:val="left"/>
      <w:lvlText w:val="%1."/>
      <w:numFmt w:val="decimal"/>
      <w:start w:val="7"/>
    </w:lvl>
  </w:abstractNum>
  <w:abstractNum w:abstractNumId="8">
    <w:nsid w:val="73BBD7F8"/>
    <w:multiLevelType w:val="hybridMultilevel"/>
    <w:lvl w:ilvl="0">
      <w:lvlJc w:val="left"/>
      <w:lvlText w:val="a"/>
      <w:numFmt w:val="bullet"/>
      <w:start w:val="1"/>
    </w:lvl>
  </w:abstractNum>
  <w:abstractNum w:abstractNumId="9">
    <w:nsid w:val="1876589D"/>
    <w:multiLevelType w:val="hybridMultilevel"/>
    <w:lvl w:ilvl="0">
      <w:lvlJc w:val="left"/>
      <w:lvlText w:val="(%1)"/>
      <w:numFmt w:val="lowerLetter"/>
      <w:start w:val="2"/>
    </w:lvl>
  </w:abstractNum>
  <w:abstractNum w:abstractNumId="10">
    <w:nsid w:val="327FAC77"/>
    <w:multiLevelType w:val="hybridMultilevel"/>
    <w:lvl w:ilvl="0">
      <w:lvlJc w:val="left"/>
      <w:lvlText w:val="H"/>
      <w:numFmt w:val="bullet"/>
      <w:start w:val="1"/>
    </w:lvl>
  </w:abstractNum>
  <w:abstractNum w:abstractNumId="11">
    <w:nsid w:val="5A606509"/>
    <w:multiLevelType w:val="hybridMultilevel"/>
    <w:lvl w:ilvl="0">
      <w:lvlJc w:val="left"/>
      <w:lvlText w:val="L"/>
      <w:numFmt w:val="bullet"/>
      <w:start w:val="1"/>
    </w:lvl>
  </w:abstractNum>
  <w:abstractNum w:abstractNumId="12">
    <w:nsid w:val="6F38E6D1"/>
    <w:multiLevelType w:val="hybridMultilevel"/>
    <w:lvl w:ilvl="0">
      <w:lvlJc w:val="left"/>
      <w:lvlText w:val="F"/>
      <w:numFmt w:val="bullet"/>
      <w:start w:val="1"/>
    </w:lvl>
  </w:abstractNum>
  <w:abstractNum w:abstractNumId="13">
    <w:nsid w:val="46111BA5"/>
    <w:multiLevelType w:val="hybridMultilevel"/>
    <w:lvl w:ilvl="0">
      <w:lvlJc w:val="left"/>
      <w:lvlText w:val="B"/>
      <w:numFmt w:val="bullet"/>
      <w:start w:val="1"/>
    </w:lvl>
  </w:abstractNum>
  <w:abstractNum w:abstractNumId="14">
    <w:nsid w:val="5E963896"/>
    <w:multiLevelType w:val="hybridMultilevel"/>
    <w:lvl w:ilvl="0">
      <w:lvlJc w:val="left"/>
      <w:lvlText w:val="E"/>
      <w:numFmt w:val="bullet"/>
      <w:start w:val="1"/>
    </w:lvl>
  </w:abstractNum>
  <w:abstractNum w:abstractNumId="15">
    <w:nsid w:val="775BA7C1"/>
    <w:multiLevelType w:val="hybridMultilevel"/>
    <w:lvl w:ilvl="0">
      <w:lvlJc w:val="left"/>
      <w:lvlText w:val="#"/>
      <w:numFmt w:val="bullet"/>
      <w:start w:val="1"/>
    </w:lvl>
    <w:lvl w:ilvl="1">
      <w:lvlJc w:val="left"/>
      <w:lvlText w:val="%2"/>
      <w:numFmt w:val="decimal"/>
      <w:start w:val="104"/>
    </w:lvl>
  </w:abstractNum>
  <w:abstractNum w:abstractNumId="16">
    <w:nsid w:val="1DD6D6F4"/>
    <w:multiLevelType w:val="hybridMultilevel"/>
    <w:lvl w:ilvl="0">
      <w:lvlJc w:val="left"/>
      <w:lvlText w:val="[***]"/>
      <w:numFmt w:val="bullet"/>
      <w:start w:val="1"/>
    </w:lvl>
  </w:abstractNum>
  <w:abstractNum w:abstractNumId="17">
    <w:nsid w:val="769A091F"/>
    <w:multiLevelType w:val="hybridMultilevel"/>
    <w:lvl w:ilvl="0">
      <w:lvlJc w:val="left"/>
      <w:lvlText w:val="[***]"/>
      <w:numFmt w:val="bullet"/>
      <w:start w:val="1"/>
    </w:lvl>
  </w:abstractNum>
  <w:abstractNum w:abstractNumId="18">
    <w:nsid w:val="4695AE95"/>
    <w:multiLevelType w:val="hybridMultilevel"/>
    <w:lvl w:ilvl="0">
      <w:lvlJc w:val="left"/>
      <w:lvlText w:val="(%1)"/>
      <w:numFmt w:val="lowerLetter"/>
      <w:start w:val="9"/>
    </w:lvl>
    <w:lvl w:ilvl="1">
      <w:lvlJc w:val="left"/>
      <w:lvlText w:val="(%2)"/>
      <w:numFmt w:val="lowerLetter"/>
      <w:start w:val="1"/>
    </w:lvl>
  </w:abstractNum>
  <w:abstractNum w:abstractNumId="19">
    <w:nsid w:val="777A4EAA"/>
    <w:multiLevelType w:val="hybridMultilevel"/>
    <w:lvl w:ilvl="0">
      <w:lvlJc w:val="left"/>
      <w:lvlText w:val="(%1)"/>
      <w:numFmt w:val="lowerRoman"/>
      <w:start w:val="2"/>
    </w:lvl>
  </w:abstractNum>
  <w:abstractNum w:abstractNumId="20">
    <w:nsid w:val="3F48B982"/>
    <w:multiLevelType w:val="hybridMultilevel"/>
    <w:lvl w:ilvl="0">
      <w:lvlJc w:val="left"/>
      <w:lvlText w:val="(%1)"/>
      <w:numFmt w:val="lowerRoman"/>
      <w:start w:val="3"/>
    </w:lvl>
  </w:abstractNum>
  <w:abstractNum w:abstractNumId="21">
    <w:nsid w:val="46BA8FCA"/>
    <w:multiLevelType w:val="hybridMultilevel"/>
    <w:lvl w:ilvl="0">
      <w:lvlJc w:val="left"/>
      <w:lvlText w:val="(%1)"/>
      <w:numFmt w:val="lowerLetter"/>
      <w:start w:val="1"/>
    </w:lvl>
  </w:abstractNum>
  <w:abstractNum w:abstractNumId="22">
    <w:nsid w:val="7835626C"/>
    <w:multiLevelType w:val="hybridMultilevel"/>
    <w:lvl w:ilvl="0">
      <w:lvlJc w:val="left"/>
      <w:lvlText w:val="(%1)"/>
      <w:numFmt w:val="lowerLetter"/>
      <w:start w:val="1"/>
    </w:lvl>
  </w:abstractNum>
  <w:abstractNum w:abstractNumId="23">
    <w:nsid w:val="665ACA49"/>
    <w:multiLevelType w:val="hybridMultilevel"/>
    <w:lvl w:ilvl="0">
      <w:lvlJc w:val="left"/>
      <w:lvlText w:val="(%1)"/>
      <w:numFmt w:val="lowerLetter"/>
      <w:start w:val="1"/>
    </w:lvl>
  </w:abstractNum>
  <w:abstractNum w:abstractNumId="24">
    <w:nsid w:val="6835B2AE"/>
    <w:multiLevelType w:val="hybridMultilevel"/>
    <w:lvl w:ilvl="0">
      <w:lvlJc w:val="left"/>
      <w:lvlText w:val="(%1)"/>
      <w:numFmt w:val="lowerLetter"/>
      <w:start w:val="2"/>
    </w:lvl>
  </w:abstractNum>
  <w:abstractNum w:abstractNumId="25">
    <w:nsid w:val="4C187C90"/>
    <w:multiLevelType w:val="hybridMultilevel"/>
    <w:lvl w:ilvl="0">
      <w:lvlJc w:val="left"/>
      <w:lvlText w:val="(%1)"/>
      <w:numFmt w:val="lowerRoman"/>
      <w:start w:val="3"/>
    </w:lvl>
  </w:abstractNum>
  <w:abstractNum w:abstractNumId="26">
    <w:nsid w:val="541F28CD"/>
    <w:multiLevelType w:val="hybridMultilevel"/>
    <w:lvl w:ilvl="0">
      <w:lvlJc w:val="left"/>
      <w:lvlText w:val="(%1)"/>
      <w:numFmt w:val="lowerRoman"/>
      <w:start w:val="2"/>
    </w:lvl>
  </w:abstractNum>
  <w:abstractNum w:abstractNumId="27">
    <w:nsid w:val="7F65FD16"/>
    <w:multiLevelType w:val="hybridMultilevel"/>
    <w:lvl w:ilvl="0">
      <w:lvlJc w:val="left"/>
      <w:lvlText w:val="%1"/>
      <w:numFmt w:val="lowerLetter"/>
      <w:start w:val="1"/>
    </w:lvl>
    <w:lvl w:ilvl="1">
      <w:lvlJc w:val="left"/>
      <w:lvlText w:val="(%2)"/>
      <w:numFmt w:val="lowerLetter"/>
      <w:start w:val="1"/>
    </w:lvl>
  </w:abstractNum>
  <w:abstractNum w:abstractNumId="28">
    <w:nsid w:val="77C9FD68"/>
    <w:multiLevelType w:val="hybridMultilevel"/>
    <w:lvl w:ilvl="0">
      <w:lvlJc w:val="left"/>
      <w:lvlText w:val="(%1)"/>
      <w:numFmt w:val="lowerLetter"/>
      <w:start w:val="2"/>
    </w:lvl>
    <w:lvl w:ilvl="1">
      <w:lvlJc w:val="left"/>
      <w:lvlText w:val="(%2)"/>
      <w:numFmt w:val="lowerLetter"/>
      <w:start w:val="3"/>
    </w:lvl>
  </w:abstractNum>
  <w:abstractNum w:abstractNumId="29">
    <w:nsid w:val="298A92BA"/>
    <w:multiLevelType w:val="hybridMultilevel"/>
    <w:lvl w:ilvl="0">
      <w:lvlJc w:val="left"/>
      <w:lvlText w:val="(%1)"/>
      <w:numFmt w:val="lowerLetter"/>
      <w:start w:val="4"/>
    </w:lvl>
    <w:lvl w:ilvl="1">
      <w:lvlJc w:val="left"/>
      <w:lvlText w:val="(%2)"/>
      <w:numFmt w:val="lowerLetter"/>
      <w:start w:val="5"/>
    </w:lvl>
  </w:abstractNum>
  <w:abstractNum w:abstractNumId="30">
    <w:nsid w:val="6FE95EAC"/>
    <w:multiLevelType w:val="hybridMultilevel"/>
    <w:lvl w:ilvl="0">
      <w:lvlJc w:val="left"/>
      <w:lvlText w:val="(%1)"/>
      <w:numFmt w:val="lowerLetter"/>
      <w:start w:val="6"/>
    </w:lvl>
  </w:abstractNum>
  <w:abstractNum w:abstractNumId="31">
    <w:nsid w:val="4B697C7A"/>
    <w:multiLevelType w:val="hybridMultilevel"/>
    <w:lvl w:ilvl="0">
      <w:lvlJc w:val="left"/>
      <w:lvlText w:val="[***]"/>
      <w:numFmt w:val="bullet"/>
      <w:start w:val="1"/>
    </w:lvl>
  </w:abstractNum>
  <w:abstractNum w:abstractNumId="32">
    <w:nsid w:val="51A27AA6"/>
    <w:multiLevelType w:val="hybridMultilevel"/>
    <w:lvl w:ilvl="0">
      <w:lvlJc w:val="left"/>
      <w:lvlText w:val="(%1)"/>
      <w:numFmt w:val="lowerRoman"/>
      <w:start w:val="3"/>
    </w:lvl>
  </w:abstractNum>
  <w:abstractNum w:abstractNumId="33">
    <w:nsid w:val="613183F2"/>
    <w:multiLevelType w:val="hybridMultilevel"/>
    <w:lvl w:ilvl="0">
      <w:lvlJc w:val="left"/>
      <w:lvlText w:val="(%1)"/>
      <w:numFmt w:val="lowerRoman"/>
      <w:start w:val="2"/>
    </w:lvl>
  </w:abstractNum>
  <w:abstractNum w:abstractNumId="34">
    <w:nsid w:val="634102B4"/>
    <w:multiLevelType w:val="hybridMultilevel"/>
    <w:lvl w:ilvl="0">
      <w:lvlJc w:val="left"/>
      <w:lvlText w:val="%1."/>
      <w:numFmt w:val="decimal"/>
      <w:start w:val="1"/>
    </w:lvl>
  </w:abstractNum>
  <w:abstractNum w:abstractNumId="35">
    <w:nsid w:val="65BF9DA8"/>
    <w:multiLevelType w:val="hybridMultilevel"/>
    <w:lvl w:ilvl="0">
      <w:lvlJc w:val="left"/>
      <w:lvlText w:val="(%1)"/>
      <w:numFmt w:val="lowerLetter"/>
      <w:start w:val="2"/>
    </w:lvl>
  </w:abstractNum>
  <w:abstractNum w:abstractNumId="36">
    <w:nsid w:val="21A2ECCA"/>
    <w:multiLevelType w:val="hybridMultilevel"/>
    <w:lvl w:ilvl="0">
      <w:lvlJc w:val="left"/>
      <w:lvlText w:val="%1."/>
      <w:numFmt w:val="decimal"/>
      <w:start w:val="1"/>
    </w:lvl>
  </w:abstractNum>
  <w:abstractNum w:abstractNumId="37">
    <w:nsid w:val="4D5C4899"/>
    <w:multiLevelType w:val="hybridMultilevel"/>
    <w:lvl w:ilvl="0">
      <w:lvlJc w:val="left"/>
      <w:lvlText w:val="(%1)"/>
      <w:numFmt w:val="decimal"/>
      <w:start w:val="1"/>
    </w:lvl>
  </w:abstractNum>
  <w:abstractNum w:abstractNumId="38">
    <w:nsid w:val="3C3B72B2"/>
    <w:multiLevelType w:val="hybridMultilevel"/>
    <w:lvl w:ilvl="0">
      <w:lvlJc w:val="left"/>
      <w:lvlText w:val="(%1)"/>
      <w:numFmt w:val="lowerLetter"/>
      <w:start w:val="1"/>
    </w:lvl>
  </w:abstractNum>
  <w:abstractNum w:abstractNumId="39">
    <w:nsid w:val="155EC4C2"/>
    <w:multiLevelType w:val="hybridMultilevel"/>
    <w:lvl w:ilvl="0">
      <w:lvlJc w:val="left"/>
      <w:lvlText w:val="[***]"/>
      <w:numFmt w:val="bullet"/>
      <w:start w:val="1"/>
    </w:lvl>
    <w:lvl w:ilvl="1">
      <w:lvlJc w:val="left"/>
      <w:lvlText w:val="(%2)"/>
      <w:numFmt w:val="lowerRoman"/>
      <w:start w:val="1"/>
    </w:lvl>
  </w:abstractNum>
  <w:abstractNum w:abstractNumId="40">
    <w:nsid w:val="65D2A13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1">
    <w:nsid w:val="6EBB1F2A"/>
    <w:multiLevelType w:val="hybridMultilevel"/>
    <w:lvl w:ilvl="0">
      <w:lvlJc w:val="left"/>
      <w:lvlText w:val="%1"/>
      <w:numFmt w:val="lowerRoman"/>
      <w:start w:val="1"/>
    </w:lvl>
    <w:lvl w:ilvl="1">
      <w:lvlJc w:val="left"/>
      <w:lvlText w:val="(%2)"/>
      <w:numFmt w:val="lowerRoman"/>
      <w:start w:val="2"/>
    </w:lvl>
  </w:abstractNum>
  <w:abstractNum w:abstractNumId="42">
    <w:nsid w:val="6FBF29CB"/>
    <w:multiLevelType w:val="hybridMultilevel"/>
    <w:lvl w:ilvl="0">
      <w:lvlJc w:val="left"/>
      <w:lvlText w:val="(%1)"/>
      <w:numFmt w:val="lowerRoman"/>
      <w:start w:val="3"/>
    </w:lvl>
    <w:lvl w:ilvl="1">
      <w:lvlJc w:val="left"/>
      <w:lvlText w:val="(%2)"/>
      <w:numFmt w:val="lowerRoman"/>
      <w:start w:val="5"/>
    </w:lvl>
  </w:abstractNum>
  <w:abstractNum w:abstractNumId="43">
    <w:nsid w:val="550B8808"/>
    <w:multiLevelType w:val="hybridMultilevel"/>
    <w:lvl w:ilvl="0">
      <w:lvlJc w:val="left"/>
      <w:lvlText w:val="(%1)"/>
      <w:numFmt w:val="lowerLetter"/>
      <w:start w:val="1"/>
    </w:lvl>
  </w:abstractNum>
  <w:abstractNum w:abstractNumId="44">
    <w:nsid w:val="34CC3ACF"/>
    <w:multiLevelType w:val="hybridMultilevel"/>
    <w:lvl w:ilvl="0">
      <w:lvlJc w:val="left"/>
      <w:lvlText w:val="(%1)"/>
      <w:numFmt w:val="lowerLetter"/>
      <w:start w:val="1"/>
    </w:lvl>
  </w:abstractNum>
  <w:abstractNum w:abstractNumId="45">
    <w:nsid w:val="4E556261"/>
    <w:multiLevelType w:val="hybridMultilevel"/>
    <w:lvl w:ilvl="0">
      <w:lvlJc w:val="left"/>
      <w:lvlText w:val="(%1)"/>
      <w:numFmt w:val="lowerLetter"/>
      <w:start w:val="2"/>
    </w:lvl>
  </w:abstractNum>
  <w:abstractNum w:abstractNumId="46">
    <w:nsid w:val="4C672FC9"/>
    <w:multiLevelType w:val="hybridMultilevel"/>
    <w:lvl w:ilvl="0">
      <w:lvlJc w:val="left"/>
      <w:lvlText w:val="(%1)"/>
      <w:numFmt w:val="lowerLetter"/>
      <w:start w:val="1"/>
    </w:lvl>
  </w:abstractNum>
  <w:abstractNum w:abstractNumId="47">
    <w:nsid w:val="52A311C3"/>
    <w:multiLevelType w:val="hybridMultilevel"/>
    <w:lvl w:ilvl="0">
      <w:lvlJc w:val="left"/>
      <w:lvlText w:val="(%1)"/>
      <w:numFmt w:val="lowerLetter"/>
      <w:start w:val="3"/>
    </w:lvl>
  </w:abstractNum>
  <w:abstractNum w:abstractNumId="48">
    <w:nsid w:val="44EF6B80"/>
    <w:multiLevelType w:val="hybridMultilevel"/>
    <w:lvl w:ilvl="0">
      <w:lvlJc w:val="left"/>
      <w:lvlText w:val="(%1)"/>
      <w:numFmt w:val="lowerLetter"/>
      <w:start w:val="1"/>
    </w:lvl>
  </w:abstractNum>
  <w:abstractNum w:abstractNumId="49">
    <w:nsid w:val="12FCDE5E"/>
    <w:multiLevelType w:val="hybridMultilevel"/>
    <w:lvl w:ilvl="0">
      <w:lvlJc w:val="left"/>
      <w:lvlText w:val="(%1)"/>
      <w:numFmt w:val="lowerLetter"/>
      <w:start w:val="1"/>
    </w:lvl>
  </w:abstractNum>
  <w:abstractNum w:abstractNumId="50">
    <w:nsid w:val="4A1D606E"/>
    <w:multiLevelType w:val="hybridMultilevel"/>
    <w:lvl w:ilvl="0">
      <w:lvlJc w:val="left"/>
      <w:lvlText w:val="%1"/>
      <w:numFmt w:val="lowerLetter"/>
      <w:start w:val="1"/>
    </w:lvl>
    <w:lvl w:ilvl="1">
      <w:lvlJc w:val="left"/>
      <w:lvlText w:val="(%2)"/>
      <w:numFmt w:val="lowerLetter"/>
      <w:start w:val="2"/>
    </w:lvl>
  </w:abstractNum>
  <w:abstractNum w:abstractNumId="51">
    <w:nsid w:val="4382503"/>
    <w:multiLevelType w:val="hybridMultilevel"/>
    <w:lvl w:ilvl="0">
      <w:lvlJc w:val="left"/>
      <w:lvlText w:val="(%1)"/>
      <w:numFmt w:val="lowerLetter"/>
      <w:start w:val="9"/>
    </w:lvl>
    <w:lvl w:ilvl="1">
      <w:lvlJc w:val="left"/>
      <w:lvlText w:val="(%2)"/>
      <w:numFmt w:val="lowerLetter"/>
      <w:start w:val="3"/>
    </w:lvl>
  </w:abstractNum>
  <w:abstractNum w:abstractNumId="52">
    <w:nsid w:val="59B76E28"/>
    <w:multiLevelType w:val="hybridMultilevel"/>
    <w:lvl w:ilvl="0">
      <w:lvlJc w:val="left"/>
      <w:lvlText w:val="(%1)"/>
      <w:numFmt w:val="lowerLetter"/>
      <w:start w:val="1"/>
    </w:lvl>
  </w:abstractNum>
  <w:abstractNum w:abstractNumId="53">
    <w:nsid w:val="4252C2DA"/>
    <w:multiLevelType w:val="hybridMultilevel"/>
    <w:lvl w:ilvl="0">
      <w:lvlJc w:val="left"/>
      <w:lvlText w:val="(%1)"/>
      <w:numFmt w:val="lowerLetter"/>
      <w:start w:val="2"/>
    </w:lvl>
  </w:abstractNum>
  <w:abstractNum w:abstractNumId="54">
    <w:nsid w:val="6A92EF4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1"/>
    </w:lvl>
    <w:lvl w:ilvl="5">
      <w:lvlJc w:val="left"/>
      <w:lvlText w:val="(%6)"/>
      <w:numFmt w:val="lowerRoman"/>
      <w:start w:val="1"/>
    </w:lvl>
  </w:abstractNum>
  <w:abstractNum w:abstractNumId="55">
    <w:nsid w:val="41ED20D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5"/>
    </w:lvl>
    <w:lvl w:ilvl="5">
      <w:lvlJc w:val="left"/>
      <w:lvlText w:val="%6"/>
      <w:numFmt w:val="lowerRoman"/>
      <w:start w:val="1"/>
    </w:lvl>
  </w:abstractNum>
  <w:abstractNum w:abstractNumId="56">
    <w:nsid w:val="E6B3F6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lvl w:ilvl="4">
      <w:lvlJc w:val="left"/>
      <w:lvlText w:val="%5"/>
      <w:numFmt w:val="lowerRoman"/>
      <w:start w:val="1"/>
    </w:lvl>
    <w:lvl w:ilvl="5">
      <w:lvlJc w:val="left"/>
      <w:lvlText w:val="%6"/>
      <w:numFmt w:val="lowerRoman"/>
      <w:start w:val="1"/>
    </w:lvl>
  </w:abstractNum>
  <w:abstractNum w:abstractNumId="57">
    <w:nsid w:val="3EB21819"/>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58">
    <w:nsid w:val="41531DED"/>
    <w:multiLevelType w:val="hybridMultilevel"/>
    <w:lvl w:ilvl="0">
      <w:lvlJc w:val="left"/>
      <w:lvlText w:val="(%1)"/>
      <w:numFmt w:val="lowerRoman"/>
      <w:start w:val="9"/>
    </w:lvl>
    <w:lvl w:ilvl="1">
      <w:lvlJc w:val="left"/>
      <w:lvlText w:val="(%2)"/>
      <w:numFmt w:val="lowerRoman"/>
      <w:start w:val="10"/>
    </w:lvl>
  </w:abstractNum>
  <w:abstractNum w:abstractNumId="59">
    <w:nsid w:val="6353CD2"/>
    <w:multiLevelType w:val="hybridMultilevel"/>
    <w:lvl w:ilvl="0">
      <w:lvlJc w:val="left"/>
      <w:lvlText w:val="(%1)"/>
      <w:numFmt w:val="lowerLetter"/>
      <w:start w:val="1"/>
    </w:lvl>
  </w:abstractNum>
  <w:abstractNum w:abstractNumId="60">
    <w:nsid w:val="683CAAD3"/>
    <w:multiLevelType w:val="hybridMultilevel"/>
    <w:lvl w:ilvl="0">
      <w:lvlJc w:val="left"/>
      <w:lvlText w:val="(%1)"/>
      <w:numFmt w:val="lowerLetter"/>
      <w:start w:val="1"/>
    </w:lvl>
  </w:abstractNum>
  <w:abstractNum w:abstractNumId="61">
    <w:nsid w:val="313C7C99"/>
    <w:multiLevelType w:val="hybridMultilevel"/>
    <w:lvl w:ilvl="0">
      <w:lvlJc w:val="left"/>
      <w:lvlText w:val="(%1)"/>
      <w:numFmt w:val="lowerLetter"/>
      <w:start w:val="1"/>
    </w:lvl>
  </w:abstractNum>
  <w:abstractNum w:abstractNumId="62">
    <w:nsid w:val="519EB94C"/>
    <w:multiLevelType w:val="hybridMultilevel"/>
    <w:lvl w:ilvl="0">
      <w:lvlJc w:val="left"/>
      <w:lvlText w:val="(%1)"/>
      <w:numFmt w:val="lowerLetter"/>
      <w:start w:val="1"/>
    </w:lvl>
  </w:abstractNum>
  <w:abstractNum w:abstractNumId="63">
    <w:nsid w:val="39DF2579"/>
    <w:multiLevelType w:val="hybridMultilevel"/>
    <w:lvl w:ilvl="0">
      <w:lvlJc w:val="left"/>
      <w:lvlText w:val="%1)"/>
      <w:numFmt w:val="upperLetter"/>
      <w:start w:val="61"/>
    </w:lvl>
    <w:lvl w:ilvl="1">
      <w:lvlJc w:val="left"/>
      <w:lvlText w:val="(%2)"/>
      <w:numFmt w:val="lowerLetter"/>
      <w:start w:val="3"/>
    </w:lvl>
  </w:abstractNum>
  <w:abstractNum w:abstractNumId="64">
    <w:nsid w:val="126E008B"/>
    <w:multiLevelType w:val="hybridMultilevel"/>
    <w:lvl w:ilvl="0">
      <w:lvlJc w:val="left"/>
      <w:lvlText w:val="(%1)"/>
      <w:numFmt w:val="lowerLetter"/>
      <w:start w:val="1"/>
    </w:lvl>
  </w:abstractNum>
  <w:abstractNum w:abstractNumId="65">
    <w:nsid w:val="34DFBC00"/>
    <w:multiLevelType w:val="hybridMultilevel"/>
    <w:lvl w:ilvl="0">
      <w:lvlJc w:val="left"/>
      <w:lvlText w:val="(%1)"/>
      <w:numFmt w:val="lowerLetter"/>
      <w:start w:val="2"/>
    </w:lvl>
  </w:abstractNum>
  <w:abstractNum w:abstractNumId="66">
    <w:nsid w:val="1F9EC322"/>
    <w:multiLevelType w:val="hybridMultilevel"/>
    <w:lvl w:ilvl="0">
      <w:lvlJc w:val="left"/>
      <w:lvlText w:val="(%1)"/>
      <w:numFmt w:val="lowerLetter"/>
      <w:start w:val="6"/>
    </w:lvl>
  </w:abstractNum>
  <w:abstractNum w:abstractNumId="67">
    <w:nsid w:val="3410ED56"/>
    <w:multiLevelType w:val="hybridMultilevel"/>
    <w:lvl w:ilvl="0">
      <w:lvlJc w:val="left"/>
      <w:lvlText w:val="(%1)"/>
      <w:numFmt w:val="lowerLetter"/>
      <w:start w:val="1"/>
    </w:lvl>
  </w:abstractNum>
  <w:abstractNum w:abstractNumId="68">
    <w:nsid w:val="23C049A"/>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69">
    <w:nsid w:val="5BDA35D4"/>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70">
    <w:nsid w:val="496FB218"/>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1"/>
    </w:lvl>
  </w:abstractNum>
  <w:abstractNum w:abstractNumId="71">
    <w:nsid w:val="680EA5D1"/>
    <w:multiLevelType w:val="hybridMultilevel"/>
    <w:lvl w:ilvl="0">
      <w:lvlJc w:val="left"/>
      <w:lvlText w:val="%1"/>
      <w:numFmt w:val="lowerLetter"/>
      <w:start w:val="1"/>
    </w:lvl>
    <w:lvl w:ilvl="1">
      <w:lvlJc w:val="left"/>
      <w:lvlText w:val="(%2)"/>
      <w:numFmt w:val="lowerRoman"/>
      <w:start w:val="6"/>
    </w:lvl>
  </w:abstractNum>
  <w:abstractNum w:abstractNumId="72">
    <w:nsid w:val="4A9554FE"/>
    <w:multiLevelType w:val="hybridMultilevel"/>
    <w:lvl w:ilvl="0">
      <w:lvlJc w:val="left"/>
      <w:lvlText w:val="(%1)"/>
      <w:numFmt w:val="lowerLetter"/>
      <w:start w:val="2"/>
    </w:lvl>
    <w:lvl w:ilvl="1">
      <w:lvlJc w:val="left"/>
      <w:lvlText w:val="%2"/>
      <w:numFmt w:val="lowerRoman"/>
      <w:start w:val="1"/>
    </w:lvl>
  </w:abstractNum>
  <w:abstractNum w:abstractNumId="73">
    <w:nsid w:val="392EDBE4"/>
    <w:multiLevelType w:val="hybridMultilevel"/>
    <w:lvl w:ilvl="0">
      <w:lvlJc w:val="left"/>
      <w:lvlText w:val="(%1)"/>
      <w:numFmt w:val="lowerRoman"/>
      <w:start w:val="2"/>
    </w:lvl>
  </w:abstractNum>
  <w:abstractNum w:abstractNumId="74">
    <w:nsid w:val="3D1A2DD9"/>
    <w:multiLevelType w:val="hybridMultilevel"/>
    <w:lvl w:ilvl="0">
      <w:lvlJc w:val="left"/>
      <w:lvlText w:val="%1"/>
      <w:numFmt w:val="lowerLetter"/>
      <w:start w:val="1"/>
    </w:lvl>
    <w:lvl w:ilvl="1">
      <w:lvlJc w:val="left"/>
      <w:lvlText w:val="(%2)"/>
      <w:numFmt w:val="lowerLetter"/>
      <w:start w:val="1"/>
    </w:lvl>
  </w:abstractNum>
  <w:abstractNum w:abstractNumId="75">
    <w:nsid w:val="7F618FCD"/>
    <w:multiLevelType w:val="hybridMultilevel"/>
    <w:lvl w:ilvl="0">
      <w:lvlJc w:val="left"/>
      <w:lvlText w:val="(%1)"/>
      <w:numFmt w:val="lowerLetter"/>
      <w:start w:val="9"/>
    </w:lvl>
    <w:lvl w:ilvl="1">
      <w:lvlJc w:val="left"/>
      <w:lvlText w:val="%2"/>
      <w:numFmt w:val="lowerLetter"/>
      <w:start w:val="1"/>
    </w:lvl>
  </w:abstractNum>
  <w:abstractNum w:abstractNumId="76">
    <w:nsid w:val="7843E45"/>
    <w:multiLevelType w:val="hybridMultilevel"/>
    <w:lvl w:ilvl="0">
      <w:lvlJc w:val="left"/>
      <w:lvlText w:val="(%1)"/>
      <w:numFmt w:val="lowerLetter"/>
      <w:start w:val="3"/>
    </w:lvl>
  </w:abstractNum>
  <w:abstractNum w:abstractNumId="77">
    <w:nsid w:val="9815DA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78">
    <w:nsid w:val="5204A191"/>
    <w:multiLevelType w:val="hybridMultilevel"/>
    <w:lvl w:ilvl="0">
      <w:lvlJc w:val="left"/>
      <w:lvlText w:val="(%1)"/>
      <w:numFmt w:val="lowerRoman"/>
      <w:start w:val="4"/>
    </w:lvl>
    <w:lvl w:ilvl="1">
      <w:lvlJc w:val="left"/>
      <w:lvlText w:val="(%2)"/>
      <w:numFmt w:val="lowerLetter"/>
      <w:start w:val="7"/>
    </w:lvl>
    <w:lvl w:ilvl="2">
      <w:lvlJc w:val="left"/>
      <w:lvlText w:val="%3"/>
      <w:numFmt w:val="lowerRoman"/>
      <w:start w:val="1"/>
    </w:lvl>
    <w:lvl w:ilvl="3">
      <w:lvlJc w:val="left"/>
      <w:lvlText w:val="%4"/>
      <w:numFmt w:val="lowerRoman"/>
      <w:start w:val="1"/>
    </w:lvl>
  </w:abstractNum>
  <w:abstractNum w:abstractNumId="79">
    <w:nsid w:val="4C73A9C6"/>
    <w:multiLevelType w:val="hybridMultilevel"/>
    <w:lvl w:ilvl="0">
      <w:lvlJc w:val="left"/>
      <w:lvlText w:val="(%1)"/>
      <w:numFmt w:val="lowerLetter"/>
      <w:start w:val="8"/>
    </w:lvl>
  </w:abstractNum>
  <w:abstractNum w:abstractNumId="80">
    <w:nsid w:val="1C7E3C01"/>
    <w:multiLevelType w:val="hybridMultilevel"/>
    <w:lvl w:ilvl="0">
      <w:lvlJc w:val="left"/>
      <w:lvlText w:val="(%1)"/>
      <w:numFmt w:val="lowerLetter"/>
      <w:start w:val="14"/>
    </w:lvl>
  </w:abstractNum>
  <w:abstractNum w:abstractNumId="81">
    <w:nsid w:val="1C2201FF"/>
    <w:multiLevelType w:val="hybridMultilevel"/>
    <w:lvl w:ilvl="0">
      <w:lvlJc w:val="left"/>
      <w:lvlText w:val="(%1)"/>
      <w:numFmt w:val="lowerLetter"/>
      <w:start w:val="15"/>
    </w:lvl>
  </w:abstractNum>
  <w:abstractNum w:abstractNumId="82">
    <w:nsid w:val="50ABCEC9"/>
    <w:multiLevelType w:val="hybridMultilevel"/>
    <w:lvl w:ilvl="0">
      <w:lvlJc w:val="left"/>
      <w:lvlText w:val="(%1)"/>
      <w:numFmt w:val="lowerLetter"/>
      <w:start w:val="18"/>
    </w:lvl>
  </w:abstractNum>
  <w:abstractNum w:abstractNumId="83">
    <w:nsid w:val="7635AA2A"/>
    <w:multiLevelType w:val="hybridMultilevel"/>
    <w:lvl w:ilvl="0">
      <w:lvlJc w:val="left"/>
      <w:lvlText w:val="(%1)"/>
      <w:numFmt w:val="lowerLetter"/>
      <w:start w:val="1"/>
    </w:lvl>
  </w:abstractNum>
  <w:abstractNum w:abstractNumId="84">
    <w:nsid w:val="5E74C4D9"/>
    <w:multiLevelType w:val="hybridMultilevel"/>
    <w:lvl w:ilvl="0">
      <w:lvlJc w:val="left"/>
      <w:lvlText w:val="(%1)"/>
      <w:numFmt w:val="lowerLetter"/>
      <w:start w:val="3"/>
    </w:lvl>
  </w:abstractNum>
  <w:abstractNum w:abstractNumId="85">
    <w:nsid w:val="3B3EBE15"/>
    <w:multiLevelType w:val="hybridMultilevel"/>
    <w:lvl w:ilvl="0">
      <w:lvlJc w:val="left"/>
      <w:lvlText w:val="(%1)"/>
      <w:numFmt w:val="lowerLetter"/>
      <w:start w:val="5"/>
    </w:lvl>
  </w:abstractNum>
  <w:abstractNum w:abstractNumId="86">
    <w:nsid w:val="3822CB01"/>
    <w:multiLevelType w:val="hybridMultilevel"/>
    <w:lvl w:ilvl="0">
      <w:lvlJc w:val="left"/>
      <w:lvlText w:val="(%1)"/>
      <w:numFmt w:val="lowerLetter"/>
      <w:start w:val="1"/>
    </w:lvl>
    <w:lvl w:ilvl="1">
      <w:lvlJc w:val="left"/>
      <w:lvlText w:val="(%2)"/>
      <w:numFmt w:val="lowerLetter"/>
      <w:start w:val="9"/>
    </w:lvl>
  </w:abstractNum>
  <w:abstractNum w:abstractNumId="87">
    <w:nsid w:val="6CE0044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2"/>
    </w:lvl>
  </w:abstractNum>
  <w:abstractNum w:abstractNumId="88">
    <w:nsid w:val="79F0D62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lvl w:ilvl="4">
      <w:lvlJc w:val="left"/>
      <w:lvlText w:val="%5"/>
      <w:numFmt w:val="lowerRoman"/>
      <w:start w:val="1"/>
    </w:lvl>
  </w:abstractNum>
  <w:abstractNum w:abstractNumId="89">
    <w:nsid w:val="7975E8EE"/>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6"/>
    </w:lvl>
    <w:lvl w:ilvl="3">
      <w:lvlJc w:val="left"/>
      <w:lvlText w:val="%4"/>
      <w:numFmt w:val="lowerRoman"/>
      <w:start w:val="1"/>
    </w:lvl>
    <w:lvl w:ilvl="4">
      <w:lvlJc w:val="left"/>
      <w:lvlText w:val="%5"/>
      <w:numFmt w:val="lowerRoman"/>
      <w:start w:val="1"/>
    </w:lvl>
  </w:abstractNum>
  <w:abstractNum w:abstractNumId="90">
    <w:nsid w:val="7315411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91">
    <w:nsid w:val="622D8102"/>
    <w:multiLevelType w:val="hybridMultilevel"/>
    <w:lvl w:ilvl="0">
      <w:lvlJc w:val="left"/>
      <w:lvlText w:val="(%1)"/>
      <w:numFmt w:val="lowerLetter"/>
      <w:start w:val="1"/>
    </w:lvl>
  </w:abstractNum>
  <w:abstractNum w:abstractNumId="92">
    <w:nsid w:val="2AB26587"/>
    <w:multiLevelType w:val="hybridMultilevel"/>
    <w:lvl w:ilvl="0">
      <w:lvlJc w:val="left"/>
      <w:lvlText w:val="(%1)"/>
      <w:numFmt w:val="lowerLetter"/>
      <w:start w:val="2"/>
    </w:lvl>
  </w:abstractNum>
  <w:abstractNum w:abstractNumId="93">
    <w:nsid w:val="44B3FA61"/>
    <w:multiLevelType w:val="hybridMultilevel"/>
    <w:lvl w:ilvl="0">
      <w:lvlJc w:val="left"/>
      <w:lvlText w:val="(%1)"/>
      <w:numFmt w:val="lowerLetter"/>
      <w:start w:val="1"/>
    </w:lvl>
  </w:abstractNum>
  <w:abstractNum w:abstractNumId="94">
    <w:nsid w:val="1C0CA67C"/>
    <w:multiLevelType w:val="hybridMultilevel"/>
    <w:lvl w:ilvl="0">
      <w:lvlJc w:val="left"/>
      <w:lvlText w:val="(%1)"/>
      <w:numFmt w:val="lowerLetter"/>
      <w:start w:val="1"/>
    </w:lvl>
  </w:abstractNum>
  <w:abstractNum w:abstractNumId="95">
    <w:nsid w:val="3D206613"/>
    <w:multiLevelType w:val="hybridMultilevel"/>
    <w:lvl w:ilvl="0">
      <w:lvlJc w:val="left"/>
      <w:lvlText w:val="(%1)"/>
      <w:numFmt w:val="upperLetter"/>
      <w:start w:val="3"/>
    </w:lvl>
    <w:lvl w:ilvl="1">
      <w:lvlJc w:val="left"/>
      <w:lvlText w:val="(%2)"/>
      <w:numFmt w:val="lowerLetter"/>
      <w:start w:val="4"/>
    </w:lvl>
  </w:abstractNum>
  <w:abstractNum w:abstractNumId="96">
    <w:nsid w:val="7993B662"/>
    <w:multiLevelType w:val="hybridMultilevel"/>
    <w:lvl w:ilvl="0">
      <w:lvlJc w:val="left"/>
      <w:lvlText w:val="(%1)"/>
      <w:numFmt w:val="lowerLetter"/>
      <w:start w:val="10"/>
    </w:lvl>
  </w:abstractNum>
  <w:abstractNum w:abstractNumId="97">
    <w:nsid w:val="3BAB699E"/>
    <w:multiLevelType w:val="hybridMultilevel"/>
    <w:lvl w:ilvl="0">
      <w:lvlJc w:val="left"/>
      <w:lvlText w:val="(%1)"/>
      <w:numFmt w:val="lowerLetter"/>
      <w:start w:val="14"/>
    </w:lvl>
  </w:abstractNum>
  <w:abstractNum w:abstractNumId="98">
    <w:nsid w:val="71315369"/>
    <w:multiLevelType w:val="hybridMultilevel"/>
    <w:lvl w:ilvl="0">
      <w:lvlJc w:val="left"/>
      <w:lvlText w:val="(%1)"/>
      <w:numFmt w:val="lowerLetter"/>
      <w:start w:val="21"/>
    </w:lvl>
  </w:abstractNum>
  <w:abstractNum w:abstractNumId="99">
    <w:nsid w:val="7BCFBAFC"/>
    <w:multiLevelType w:val="hybridMultilevel"/>
    <w:lvl w:ilvl="0">
      <w:lvlJc w:val="left"/>
      <w:lvlText w:val="(%1)"/>
      <w:numFmt w:val="lowerLetter"/>
      <w:start w:val="27"/>
    </w:lvl>
  </w:abstractNum>
  <w:abstractNum w:abstractNumId="100">
    <w:nsid w:val="17859F72"/>
    <w:multiLevelType w:val="hybridMultilevel"/>
    <w:lvl w:ilvl="0">
      <w:lvlJc w:val="left"/>
      <w:lvlText w:val="(%1)"/>
      <w:numFmt w:val="lowerLetter"/>
      <w:start w:val="28"/>
    </w:lvl>
  </w:abstractNum>
  <w:abstractNum w:abstractNumId="101">
    <w:nsid w:val="3AA10581"/>
    <w:multiLevelType w:val="hybridMultilevel"/>
    <w:lvl w:ilvl="0">
      <w:lvlJc w:val="left"/>
      <w:lvlText w:val="(%1)"/>
      <w:numFmt w:val="lowerLetter"/>
      <w:start w:val="1"/>
    </w:lvl>
  </w:abstractNum>
  <w:abstractNum w:abstractNumId="102">
    <w:nsid w:val="63DE60CD"/>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03">
    <w:nsid w:val="621AF471"/>
    <w:multiLevelType w:val="hybridMultilevel"/>
    <w:lvl w:ilvl="0">
      <w:lvlJc w:val="left"/>
      <w:lvlText w:val="%1"/>
      <w:numFmt w:val="lowerLetter"/>
      <w:start w:val="1"/>
    </w:lvl>
    <w:lvl w:ilvl="1">
      <w:lvlJc w:val="left"/>
      <w:lvlText w:val="(%2)"/>
      <w:numFmt w:val="lowerLetter"/>
      <w:start w:val="1"/>
    </w:lvl>
  </w:abstractNum>
  <w:abstractNum w:abstractNumId="104">
    <w:nsid w:val="73CFE165"/>
    <w:multiLevelType w:val="hybridMultilevel"/>
    <w:lvl w:ilvl="0">
      <w:lvlJc w:val="left"/>
      <w:lvlText w:val="(%1)"/>
      <w:numFmt w:val="lowerLetter"/>
      <w:start w:val="35"/>
    </w:lvl>
    <w:lvl w:ilvl="1">
      <w:lvlJc w:val="left"/>
      <w:lvlText w:val="(%2)"/>
      <w:numFmt w:val="lowerLetter"/>
      <w:start w:val="4"/>
    </w:lvl>
  </w:abstractNum>
  <w:abstractNum w:abstractNumId="105">
    <w:nsid w:val="20F88EA6"/>
    <w:multiLevelType w:val="hybridMultilevel"/>
    <w:lvl w:ilvl="0">
      <w:lvlJc w:val="left"/>
      <w:lvlText w:val="(%1)"/>
      <w:numFmt w:val="lowerLetter"/>
      <w:start w:val="61"/>
    </w:lvl>
    <w:lvl w:ilvl="1">
      <w:lvlJc w:val="left"/>
      <w:lvlText w:val="%2"/>
      <w:numFmt w:val="lowerLetter"/>
      <w:start w:val="1"/>
    </w:lvl>
  </w:abstractNum>
  <w:abstractNum w:abstractNumId="106">
    <w:nsid w:val="617C843E"/>
    <w:multiLevelType w:val="hybridMultilevel"/>
    <w:lvl w:ilvl="0">
      <w:lvlJc w:val="left"/>
      <w:lvlText w:val="(%1)"/>
      <w:numFmt w:val="lowerLetter"/>
      <w:start w:val="7"/>
    </w:lvl>
  </w:abstractNum>
  <w:abstractNum w:abstractNumId="107">
    <w:nsid w:val="7B541FAB"/>
    <w:multiLevelType w:val="hybridMultilevel"/>
    <w:lvl w:ilvl="0">
      <w:lvlJc w:val="left"/>
      <w:lvlText w:val="(%1)"/>
      <w:numFmt w:val="lowerLetter"/>
      <w:start w:val="15"/>
    </w:lvl>
  </w:abstractNum>
  <w:abstractNum w:abstractNumId="108">
    <w:nsid w:val="2A79EC49"/>
    <w:multiLevelType w:val="hybridMultilevel"/>
    <w:lvl w:ilvl="0">
      <w:lvlJc w:val="left"/>
      <w:lvlText w:val="(%1)"/>
      <w:numFmt w:val="lowerLetter"/>
      <w:start w:val="1"/>
    </w:lvl>
  </w:abstractNum>
  <w:abstractNum w:abstractNumId="109">
    <w:nsid w:val="338125CF"/>
    <w:multiLevelType w:val="hybridMultilevel"/>
    <w:lvl w:ilvl="0">
      <w:lvlJc w:val="left"/>
      <w:lvlText w:val="(%1)"/>
      <w:numFmt w:val="lowerLetter"/>
      <w:start w:val="2"/>
    </w:lvl>
  </w:abstractNum>
  <w:abstractNum w:abstractNumId="110">
    <w:nsid w:val="47C7C971"/>
    <w:multiLevelType w:val="hybridMultilevel"/>
    <w:lvl w:ilvl="0">
      <w:lvlJc w:val="left"/>
      <w:lvlText w:val="(%1)"/>
      <w:numFmt w:val="lowerLetter"/>
      <w:start w:val="1"/>
    </w:lvl>
  </w:abstractNum>
  <w:abstractNum w:abstractNumId="111">
    <w:nsid w:val="46F8284B"/>
    <w:multiLevelType w:val="hybridMultilevel"/>
    <w:lvl w:ilvl="0">
      <w:lvlJc w:val="left"/>
      <w:lvlText w:val="(%1)"/>
      <w:numFmt w:val="lowerLetter"/>
      <w:start w:val="3"/>
    </w:lvl>
  </w:abstractNum>
  <w:abstractNum w:abstractNumId="112">
    <w:nsid w:val="4FA327CE"/>
    <w:multiLevelType w:val="hybridMultilevel"/>
    <w:lvl w:ilvl="0">
      <w:lvlJc w:val="left"/>
      <w:lvlText w:val="(%1)"/>
      <w:numFmt w:val="lowerLetter"/>
      <w:start w:val="10"/>
    </w:lvl>
    <w:lvl w:ilvl="1">
      <w:lvlJc w:val="left"/>
      <w:lvlText w:val="(%2)"/>
      <w:numFmt w:val="lowerRoman"/>
      <w:start w:val="2"/>
    </w:lvl>
    <w:lvl w:ilvl="2">
      <w:lvlJc w:val="left"/>
      <w:lvlText w:val="(%3)"/>
      <w:numFmt w:val="lowerRoman"/>
      <w:start w:val="4"/>
    </w:lvl>
    <w:lvl w:ilvl="3">
      <w:lvlJc w:val="left"/>
      <w:lvlText w:val="(%4)"/>
      <w:numFmt w:val="lowerRoman"/>
      <w:start w:val="1"/>
    </w:lvl>
    <w:lvl w:ilvl="4">
      <w:lvlJc w:val="left"/>
      <w:lvlText w:val="(%5)"/>
      <w:numFmt w:val="lowerRoman"/>
      <w:start w:val="1"/>
    </w:lvl>
  </w:abstractNum>
  <w:abstractNum w:abstractNumId="113">
    <w:nsid w:val="1873983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5"/>
    </w:lvl>
    <w:lvl w:ilvl="4">
      <w:lvlJc w:val="left"/>
      <w:lvlText w:val="%5"/>
      <w:numFmt w:val="lowerRoman"/>
      <w:start w:val="1"/>
    </w:lvl>
  </w:abstractNum>
  <w:abstractNum w:abstractNumId="114">
    <w:nsid w:val="3D2DD27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6"/>
    </w:lvl>
  </w:abstractNum>
  <w:abstractNum w:abstractNumId="115">
    <w:nsid w:val="2E17ECA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7"/>
    </w:lvl>
    <w:lvl w:ilvl="4">
      <w:lvlJc w:val="left"/>
      <w:lvlText w:val="%5"/>
      <w:numFmt w:val="lowerRoman"/>
      <w:start w:val="1"/>
    </w:lvl>
  </w:abstractNum>
  <w:abstractNum w:abstractNumId="116">
    <w:nsid w:val="53B2564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lvl w:ilvl="3">
      <w:lvlJc w:val="left"/>
      <w:lvlText w:val="%4"/>
      <w:numFmt w:val="lowerRoman"/>
      <w:start w:val="1"/>
    </w:lvl>
    <w:lvl w:ilvl="4">
      <w:lvlJc w:val="left"/>
      <w:lvlText w:val="(%5)"/>
      <w:numFmt w:val="lowerRoman"/>
      <w:start w:val="9"/>
    </w:lvl>
  </w:abstractNum>
  <w:abstractNum w:abstractNumId="117">
    <w:nsid w:val="75509D76"/>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18">
    <w:nsid w:val="1AF7F0EA"/>
    <w:multiLevelType w:val="hybridMultilevel"/>
    <w:lvl w:ilvl="0">
      <w:lvlJc w:val="left"/>
      <w:lvlText w:val="(%1)"/>
      <w:numFmt w:val="lowerLetter"/>
      <w:start w:val="61"/>
    </w:lvl>
    <w:lvl w:ilvl="1">
      <w:lvlJc w:val="left"/>
      <w:lvlText w:val="(%2)"/>
      <w:numFmt w:val="lowerLetter"/>
      <w:start w:val="18"/>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19">
    <w:nsid w:val="4DA32C7E"/>
    <w:multiLevelType w:val="hybridMultilevel"/>
    <w:lvl w:ilvl="0">
      <w:lvlJc w:val="left"/>
      <w:lvlText w:val="(%1)"/>
      <w:numFmt w:val="lowerLetter"/>
      <w:start w:val="1"/>
    </w:lvl>
  </w:abstractNum>
  <w:abstractNum w:abstractNumId="120">
    <w:nsid w:val="6EC68664"/>
    <w:multiLevelType w:val="hybridMultilevel"/>
    <w:lvl w:ilvl="0">
      <w:lvlJc w:val="left"/>
      <w:lvlText w:val="(%1)"/>
      <w:numFmt w:val="lowerLetter"/>
      <w:start w:val="7"/>
    </w:lvl>
  </w:abstractNum>
  <w:abstractNum w:abstractNumId="121">
    <w:nsid w:val="E0D31FF"/>
    <w:multiLevelType w:val="hybridMultilevel"/>
    <w:lvl w:ilvl="0">
      <w:lvlJc w:val="left"/>
      <w:lvlText w:val="(%1)"/>
      <w:numFmt w:val="lowerRoman"/>
      <w:start w:val="1"/>
    </w:lvl>
  </w:abstractNum>
  <w:abstractNum w:abstractNumId="122">
    <w:nsid w:val="2FD0AD81"/>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23">
    <w:nsid w:val="1978EBEB"/>
    <w:multiLevelType w:val="hybridMultilevel"/>
    <w:lvl w:ilvl="0">
      <w:lvlJc w:val="left"/>
      <w:lvlText w:val="(%1)"/>
      <w:numFmt w:val="lowerRoman"/>
      <w:start w:val="3"/>
    </w:lvl>
    <w:lvl w:ilvl="1">
      <w:lvlJc w:val="left"/>
      <w:lvlText w:val="(%2)"/>
      <w:numFmt w:val="lowerRoman"/>
      <w:start w:val="4"/>
    </w:lvl>
    <w:lvl w:ilvl="2">
      <w:lvlJc w:val="left"/>
      <w:lvlText w:val="(%3)"/>
      <w:numFmt w:val="lowerRoman"/>
      <w:start w:val="5"/>
    </w:lvl>
  </w:abstractNum>
  <w:abstractNum w:abstractNumId="124">
    <w:nsid w:val="52C12C61"/>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125">
    <w:nsid w:val="4BDD53FD"/>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1"/>
    </w:lvl>
    <w:lvl w:ilvl="3">
      <w:lvlJc w:val="left"/>
      <w:lvlText w:val="%4"/>
      <w:numFmt w:val="lowerRoman"/>
      <w:start w:val="1"/>
    </w:lvl>
  </w:abstractNum>
  <w:abstractNum w:abstractNumId="126">
    <w:nsid w:val="569951FE"/>
    <w:multiLevelType w:val="hybridMultilevel"/>
    <w:lvl w:ilvl="0">
      <w:lvlJc w:val="left"/>
      <w:lvlText w:val="(%1)"/>
      <w:numFmt w:val="lowerRoman"/>
      <w:start w:val="8"/>
    </w:lvl>
    <w:lvl w:ilvl="1">
      <w:lvlJc w:val="left"/>
      <w:lvlText w:val="%2"/>
      <w:numFmt w:val="lowerRoman"/>
      <w:start w:val="1"/>
    </w:lvl>
    <w:lvl w:ilvl="2">
      <w:lvlJc w:val="left"/>
      <w:lvlText w:val="(%3)"/>
      <w:numFmt w:val="lowerRoman"/>
      <w:start w:val="9"/>
    </w:lvl>
    <w:lvl w:ilvl="3">
      <w:lvlJc w:val="left"/>
      <w:lvlText w:val="(%4)"/>
      <w:numFmt w:val="lowerRoman"/>
      <w:start w:val="10"/>
    </w:lvl>
  </w:abstractNum>
  <w:abstractNum w:abstractNumId="127">
    <w:nsid w:val="4C54E2C3"/>
    <w:multiLevelType w:val="hybridMultilevel"/>
    <w:lvl w:ilvl="0">
      <w:lvlJc w:val="left"/>
      <w:lvlText w:val="%1"/>
      <w:numFmt w:val="lowerRoman"/>
      <w:start w:val="1"/>
    </w:lvl>
    <w:lvl w:ilvl="1">
      <w:lvlJc w:val="left"/>
      <w:lvlText w:val="(%2)"/>
      <w:numFmt w:val="lowerRoman"/>
      <w:start w:val="11"/>
    </w:lvl>
  </w:abstractNum>
  <w:abstractNum w:abstractNumId="128">
    <w:nsid w:val="788BD9B"/>
    <w:multiLevelType w:val="hybridMultilevel"/>
    <w:lvl w:ilvl="0">
      <w:lvlJc w:val="left"/>
      <w:lvlText w:val="(%1)"/>
      <w:numFmt w:val="lowerRoman"/>
      <w:start w:val="12"/>
    </w:lvl>
    <w:lvl w:ilvl="1">
      <w:lvlJc w:val="left"/>
      <w:lvlText w:val="%2"/>
      <w:numFmt w:val="lowerRoman"/>
      <w:start w:val="1"/>
    </w:lvl>
  </w:abstractNum>
  <w:abstractNum w:abstractNumId="129">
    <w:nsid w:val="47CAA56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3"/>
    </w:lvl>
    <w:lvl w:ilvl="3">
      <w:lvlJc w:val="left"/>
      <w:lvlText w:val="(%4)"/>
      <w:numFmt w:val="lowerRoman"/>
      <w:start w:val="15"/>
    </w:lvl>
    <w:lvl w:ilvl="4">
      <w:lvlJc w:val="left"/>
      <w:lvlText w:val="(%5)"/>
      <w:numFmt w:val="lowerRoman"/>
      <w:start w:val="15"/>
    </w:lvl>
  </w:abstractNum>
  <w:abstractNum w:abstractNumId="130">
    <w:nsid w:val="48249DBF"/>
    <w:multiLevelType w:val="hybridMultilevel"/>
    <w:lvl w:ilvl="0">
      <w:lvlJc w:val="left"/>
      <w:lvlText w:val="%1"/>
      <w:numFmt w:val="lowerRoman"/>
      <w:start w:val="1"/>
    </w:lvl>
    <w:lvl w:ilvl="1">
      <w:lvlJc w:val="left"/>
      <w:lvlText w:val="(%2)"/>
      <w:numFmt w:val="lowerRoman"/>
      <w:start w:val="17"/>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31">
    <w:nsid w:val="1F0E5D0D"/>
    <w:multiLevelType w:val="hybridMultilevel"/>
    <w:lvl w:ilvl="0">
      <w:lvlJc w:val="left"/>
      <w:lvlText w:val="(%1)"/>
      <w:numFmt w:val="lowerRoman"/>
      <w:start w:val="18"/>
    </w:lvl>
    <w:lvl w:ilvl="1">
      <w:lvlJc w:val="left"/>
      <w:lvlText w:val="(%2)"/>
      <w:numFmt w:val="lowerRoman"/>
      <w:start w:val="21"/>
    </w:lvl>
    <w:lvl w:ilvl="2">
      <w:lvlJc w:val="left"/>
      <w:lvlText w:val="(%3)"/>
      <w:numFmt w:val="lowerRoman"/>
      <w:start w:val="19"/>
    </w:lvl>
    <w:lvl w:ilvl="3">
      <w:lvlJc w:val="left"/>
      <w:lvlText w:val="(%4)"/>
      <w:numFmt w:val="lowerRoman"/>
      <w:start w:val="20"/>
    </w:lvl>
    <w:lvl w:ilvl="4">
      <w:lvlJc w:val="left"/>
      <w:lvlText w:val="(%5)"/>
      <w:numFmt w:val="lowerRoman"/>
      <w:start w:val="20"/>
    </w:lvl>
  </w:abstractNum>
  <w:abstractNum w:abstractNumId="132">
    <w:nsid w:val="26BAAE9"/>
    <w:multiLevelType w:val="hybridMultilevel"/>
    <w:lvl w:ilvl="0">
      <w:lvlJc w:val="left"/>
      <w:lvlText w:val="(%1)"/>
      <w:numFmt w:val="lowerRoman"/>
      <w:start w:val="23"/>
    </w:lvl>
    <w:lvl w:ilvl="1">
      <w:lvlJc w:val="left"/>
      <w:lvlText w:val="(%2)"/>
      <w:numFmt w:val="lowerRoman"/>
      <w:start w:val="25"/>
    </w:lvl>
  </w:abstractNum>
  <w:abstractNum w:abstractNumId="133">
    <w:nsid w:val="2C02FE8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6"/>
    </w:lvl>
  </w:abstractNum>
  <w:abstractNum w:abstractNumId="134">
    <w:nsid w:val="129517E"/>
    <w:multiLevelType w:val="hybridMultilevel"/>
    <w:lvl w:ilvl="0">
      <w:lvlJc w:val="left"/>
      <w:lvlText w:val="%1"/>
      <w:numFmt w:val="lowerRoman"/>
      <w:start w:val="1"/>
    </w:lvl>
    <w:lvl w:ilvl="1">
      <w:lvlJc w:val="left"/>
      <w:lvlText w:val="(%2)"/>
      <w:numFmt w:val="lowerRoman"/>
      <w:start w:val="27"/>
    </w:lvl>
    <w:lvl w:ilvl="2">
      <w:lvlJc w:val="left"/>
      <w:lvlText w:val="%3"/>
      <w:numFmt w:val="lowerRoman"/>
      <w:start w:val="1"/>
    </w:lvl>
  </w:abstractNum>
  <w:abstractNum w:abstractNumId="135">
    <w:nsid w:val="763B8C4E"/>
    <w:multiLevelType w:val="hybridMultilevel"/>
    <w:lvl w:ilvl="0">
      <w:lvlJc w:val="left"/>
      <w:lvlText w:val="(%1)"/>
      <w:numFmt w:val="lowerRoman"/>
      <w:start w:val="28"/>
    </w:lvl>
    <w:lvl w:ilvl="1">
      <w:lvlJc w:val="left"/>
      <w:lvlText w:val="%2"/>
      <w:numFmt w:val="lowerRoman"/>
      <w:start w:val="1"/>
    </w:lvl>
    <w:lvl w:ilvl="2">
      <w:lvlJc w:val="left"/>
      <w:lvlText w:val="(%3)"/>
      <w:numFmt w:val="lowerRoman"/>
      <w:start w:val="29"/>
    </w:lvl>
  </w:abstractNum>
  <w:abstractNum w:abstractNumId="136">
    <w:nsid w:val="4CFB8D32"/>
    <w:multiLevelType w:val="hybridMultilevel"/>
    <w:lvl w:ilvl="0">
      <w:lvlJc w:val="left"/>
      <w:lvlText w:val="(%1)"/>
      <w:numFmt w:val="lowerLetter"/>
      <w:start w:val="15"/>
    </w:lvl>
  </w:abstractNum>
  <w:abstractNum w:abstractNumId="137">
    <w:nsid w:val="62A5D5BD"/>
    <w:multiLevelType w:val="hybridMultilevel"/>
    <w:lvl w:ilvl="0">
      <w:lvlJc w:val="left"/>
      <w:lvlText w:val="(%1)"/>
      <w:numFmt w:val="lowerLetter"/>
      <w:start w:val="18"/>
    </w:lvl>
  </w:abstractNum>
  <w:abstractNum w:abstractNumId="138">
    <w:nsid w:val="718FABF9"/>
    <w:multiLevelType w:val="hybridMultilevel"/>
    <w:lvl w:ilvl="0">
      <w:lvlJc w:val="left"/>
      <w:lvlText w:val="(%1)"/>
      <w:numFmt w:val="lowerLetter"/>
      <w:start w:val="1"/>
    </w:lvl>
  </w:abstractNum>
  <w:abstractNum w:abstractNumId="139">
    <w:nsid w:val="7775797C"/>
    <w:multiLevelType w:val="hybridMultilevel"/>
    <w:lvl w:ilvl="0">
      <w:lvlJc w:val="left"/>
      <w:lvlText w:val="(%1)"/>
      <w:numFmt w:val="lowerLetter"/>
      <w:start w:val="7"/>
    </w:lvl>
  </w:abstractNum>
  <w:abstractNum w:abstractNumId="140">
    <w:nsid w:val="1626FB8C"/>
    <w:multiLevelType w:val="hybridMultilevel"/>
    <w:lvl w:ilvl="0">
      <w:lvlJc w:val="left"/>
      <w:lvlText w:val="(%1)"/>
      <w:numFmt w:val="lowerLetter"/>
      <w:start w:val="13"/>
    </w:lvl>
  </w:abstractNum>
  <w:abstractNum w:abstractNumId="141">
    <w:nsid w:val="3957756A"/>
    <w:multiLevelType w:val="hybridMultilevel"/>
    <w:lvl w:ilvl="0">
      <w:lvlJc w:val="left"/>
      <w:lvlText w:val="(%1)"/>
      <w:numFmt w:val="lowerLetter"/>
      <w:start w:val="21"/>
    </w:lvl>
  </w:abstractNum>
  <w:abstractNum w:abstractNumId="142">
    <w:nsid w:val="3E6DA1C7"/>
    <w:multiLevelType w:val="hybridMultilevel"/>
    <w:lvl w:ilvl="0">
      <w:lvlJc w:val="left"/>
      <w:lvlText w:val="%1"/>
      <w:numFmt w:val="lowerLetter"/>
      <w:start w:val="1"/>
    </w:lvl>
    <w:lvl w:ilvl="1">
      <w:lvlJc w:val="left"/>
      <w:lvlText w:val="(%2)"/>
      <w:numFmt w:val="lowerLetter"/>
      <w:start w:val="1"/>
    </w:lvl>
  </w:abstractNum>
  <w:abstractNum w:abstractNumId="143">
    <w:nsid w:val="65CA235B"/>
    <w:multiLevelType w:val="hybridMultilevel"/>
    <w:lvl w:ilvl="0">
      <w:lvlJc w:val="left"/>
      <w:lvlText w:val="(%1)"/>
      <w:numFmt w:val="lowerLetter"/>
      <w:start w:val="9"/>
    </w:lvl>
    <w:lvl w:ilvl="1">
      <w:lvlJc w:val="left"/>
      <w:lvlText w:val="(%2)"/>
      <w:numFmt w:val="lowerLetter"/>
      <w:start w:val="2"/>
    </w:lvl>
  </w:abstractNum>
  <w:abstractNum w:abstractNumId="144">
    <w:nsid w:val="51CB0DA4"/>
    <w:multiLevelType w:val="hybridMultilevel"/>
    <w:lvl w:ilvl="0">
      <w:lvlJc w:val="left"/>
      <w:lvlText w:val="%1"/>
      <w:numFmt w:val="lowerLetter"/>
      <w:start w:val="1"/>
    </w:lvl>
    <w:lvl w:ilvl="1">
      <w:lvlJc w:val="left"/>
      <w:lvlText w:val="(%2)"/>
      <w:numFmt w:val="lowerLetter"/>
      <w:start w:val="5"/>
    </w:lvl>
  </w:abstractNum>
  <w:abstractNum w:abstractNumId="145">
    <w:nsid w:val="7B9B743C"/>
    <w:multiLevelType w:val="hybridMultilevel"/>
    <w:lvl w:ilvl="0">
      <w:lvlJc w:val="left"/>
      <w:lvlText w:val="(%1)"/>
      <w:numFmt w:val="lowerLetter"/>
      <w:start w:val="24"/>
    </w:lvl>
    <w:lvl w:ilvl="1">
      <w:lvlJc w:val="left"/>
      <w:lvlText w:val="%2"/>
      <w:numFmt w:val="lowerLetter"/>
      <w:start w:val="1"/>
    </w:lvl>
  </w:abstractNum>
  <w:abstractNum w:abstractNumId="146">
    <w:nsid w:val="13E21002"/>
    <w:multiLevelType w:val="hybridMultilevel"/>
    <w:lvl w:ilvl="0">
      <w:lvlJc w:val="left"/>
      <w:lvlText w:val="(%1)"/>
      <w:numFmt w:val="lowerRoman"/>
      <w:start w:val="13"/>
    </w:lvl>
  </w:abstractNum>
  <w:abstractNum w:abstractNumId="147">
    <w:nsid w:val="257D63F4"/>
    <w:multiLevelType w:val="hybridMultilevel"/>
    <w:lvl w:ilvl="0">
      <w:lvlJc w:val="left"/>
      <w:lvlText w:val="(%1)"/>
      <w:numFmt w:val="lowerLetter"/>
      <w:start w:val="9"/>
    </w:lvl>
  </w:abstractNum>
  <w:abstractNum w:abstractNumId="148">
    <w:nsid w:val="70EC11B2"/>
    <w:multiLevelType w:val="hybridMultilevel"/>
    <w:lvl w:ilvl="0">
      <w:lvlJc w:val="left"/>
      <w:lvlText w:val="(%1)"/>
      <w:numFmt w:val="lowerLetter"/>
      <w:start w:val="1"/>
    </w:lvl>
    <w:lvl w:ilvl="1">
      <w:lvlJc w:val="left"/>
      <w:lvlText w:val="(%2)"/>
      <w:numFmt w:val="lowerLetter"/>
      <w:start w:val="9"/>
    </w:lvl>
  </w:abstractNum>
  <w:abstractNum w:abstractNumId="149">
    <w:nsid w:val="2EDA00ED"/>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2"/>
    </w:lvl>
  </w:abstractNum>
  <w:abstractNum w:abstractNumId="150">
    <w:nsid w:val="73209072"/>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Roman"/>
      <w:start w:val="1"/>
    </w:lvl>
  </w:abstractNum>
  <w:abstractNum w:abstractNumId="151">
    <w:nsid w:val="5FB29816"/>
    <w:multiLevelType w:val="hybridMultilevel"/>
    <w:lvl w:ilvl="0">
      <w:lvlJc w:val="left"/>
      <w:lvlText w:val="(%1)"/>
      <w:numFmt w:val="lowerLetter"/>
      <w:start w:val="4"/>
    </w:lvl>
    <w:lvl w:ilvl="1">
      <w:lvlJc w:val="left"/>
      <w:lvlText w:val="(%2)"/>
      <w:numFmt w:val="lowerRoman"/>
      <w:start w:val="2"/>
    </w:lvl>
    <w:lvl w:ilvl="2">
      <w:lvlJc w:val="left"/>
      <w:lvlText w:val="(%3)"/>
      <w:numFmt w:val="lowerLetter"/>
      <w:start w:val="34"/>
    </w:lvl>
    <w:lvl w:ilvl="3">
      <w:lvlJc w:val="left"/>
      <w:lvlText w:val="(%4)"/>
      <w:numFmt w:val="lowerRoman"/>
      <w:start w:val="1"/>
    </w:lvl>
  </w:abstractNum>
  <w:abstractNum w:abstractNumId="152">
    <w:nsid w:val="3CE732E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lvl w:ilvl="3">
      <w:lvlJc w:val="left"/>
      <w:lvlText w:val="%4"/>
      <w:numFmt w:val="lowerRoman"/>
      <w:start w:val="1"/>
    </w:lvl>
  </w:abstractNum>
  <w:abstractNum w:abstractNumId="153">
    <w:nsid w:val="22F13DF3"/>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abstractNum>
  <w:abstractNum w:abstractNumId="154">
    <w:nsid w:val="792B8401"/>
    <w:multiLevelType w:val="hybridMultilevel"/>
    <w:lvl w:ilvl="0">
      <w:lvlJc w:val="left"/>
      <w:lvlText w:val="(%1)"/>
      <w:numFmt w:val="lowerLetter"/>
      <w:start w:val="1"/>
    </w:lvl>
  </w:abstractNum>
  <w:abstractNum w:abstractNumId="155">
    <w:nsid w:val="FA85F4D"/>
    <w:multiLevelType w:val="hybridMultilevel"/>
    <w:lvl w:ilvl="0">
      <w:lvlJc w:val="left"/>
      <w:lvlText w:val="(%1)"/>
      <w:numFmt w:val="lowerLetter"/>
      <w:start w:val="2"/>
    </w:lvl>
  </w:abstractNum>
  <w:abstractNum w:abstractNumId="156">
    <w:nsid w:val="6ECE91F0"/>
    <w:multiLevelType w:val="hybridMultilevel"/>
    <w:lvl w:ilvl="0">
      <w:lvlJc w:val="left"/>
      <w:lvlText w:val="(%1)"/>
      <w:numFmt w:val="lowerLetter"/>
      <w:start w:val="1"/>
    </w:lvl>
  </w:abstractNum>
  <w:abstractNum w:abstractNumId="157">
    <w:nsid w:val="4FC4D600"/>
    <w:multiLevelType w:val="hybridMultilevel"/>
    <w:lvl w:ilvl="0">
      <w:lvlJc w:val="left"/>
      <w:lvlText w:val="(%1)"/>
      <w:numFmt w:val="lowerLetter"/>
      <w:start w:val="1"/>
    </w:lvl>
  </w:abstractNum>
  <w:abstractNum w:abstractNumId="158">
    <w:nsid w:val="5BFD4210"/>
    <w:multiLevelType w:val="hybridMultilevel"/>
    <w:lvl w:ilvl="0">
      <w:lvlJc w:val="left"/>
      <w:lvlText w:val="(%1)"/>
      <w:numFmt w:val="lowerLetter"/>
      <w:start w:val="1"/>
    </w:lvl>
  </w:abstractNum>
  <w:abstractNum w:abstractNumId="159">
    <w:nsid w:val="76574F8B"/>
    <w:multiLevelType w:val="hybridMultilevel"/>
    <w:lvl w:ilvl="0">
      <w:lvlJc w:val="left"/>
      <w:lvlText w:val="(%1)"/>
      <w:numFmt w:val="lowerLetter"/>
      <w:start w:val="3"/>
    </w:lvl>
  </w:abstractNum>
  <w:abstractNum w:abstractNumId="160">
    <w:nsid w:val="178F7B67"/>
    <w:multiLevelType w:val="hybridMultilevel"/>
    <w:lvl w:ilvl="0">
      <w:lvlJc w:val="left"/>
      <w:lvlText w:val="(%1)"/>
      <w:numFmt w:val="lowerLetter"/>
      <w:start w:val="7"/>
    </w:lvl>
  </w:abstractNum>
  <w:abstractNum w:abstractNumId="161">
    <w:nsid w:val="2421DFC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62">
    <w:nsid w:val="1565AC99"/>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163">
    <w:nsid w:val="19FB2650"/>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1"/>
    </w:lvl>
  </w:abstractNum>
  <w:abstractNum w:abstractNumId="164">
    <w:nsid w:val="5024DE5B"/>
    <w:multiLevelType w:val="hybridMultilevel"/>
    <w:lvl w:ilvl="0">
      <w:lvlJc w:val="left"/>
      <w:lvlText w:val="(%1)"/>
      <w:numFmt w:val="lowerLetter"/>
      <w:start w:val="1"/>
    </w:lvl>
  </w:abstractNum>
  <w:abstractNum w:abstractNumId="165">
    <w:nsid w:val="168EFE17"/>
    <w:multiLevelType w:val="hybridMultilevel"/>
    <w:lvl w:ilvl="0">
      <w:lvlJc w:val="left"/>
      <w:lvlText w:val="(%1)"/>
      <w:numFmt w:val="lowerLetter"/>
      <w:start w:val="1"/>
    </w:lvl>
  </w:abstractNum>
  <w:abstractNum w:abstractNumId="166">
    <w:nsid w:val="1036B29F"/>
    <w:multiLevelType w:val="hybridMultilevel"/>
    <w:lvl w:ilvl="0">
      <w:lvlJc w:val="left"/>
      <w:lvlText w:val="%1"/>
      <w:numFmt w:val="lowerLetter"/>
      <w:start w:val="1"/>
    </w:lvl>
    <w:lvl w:ilvl="1">
      <w:lvlJc w:val="left"/>
      <w:lvlText w:val="(%2)"/>
      <w:numFmt w:val="lowerLetter"/>
      <w:start w:val="2"/>
    </w:lvl>
  </w:abstractNum>
  <w:abstractNum w:abstractNumId="167">
    <w:nsid w:val="1D206B8E"/>
    <w:multiLevelType w:val="hybridMultilevel"/>
    <w:lvl w:ilvl="0">
      <w:lvlJc w:val="left"/>
      <w:lvlText w:val="(%1)"/>
      <w:numFmt w:val="lowerLetter"/>
      <w:start w:val="35"/>
    </w:lvl>
    <w:lvl w:ilvl="1">
      <w:lvlJc w:val="left"/>
      <w:lvlText w:val="%2"/>
      <w:numFmt w:val="lowerLetter"/>
      <w:start w:val="1"/>
    </w:lvl>
  </w:abstractNum>
  <w:abstractNum w:abstractNumId="168">
    <w:nsid w:val="7934D3D4"/>
    <w:multiLevelType w:val="hybridMultilevel"/>
    <w:lvl w:ilvl="0">
      <w:lvlJc w:val="left"/>
      <w:lvlText w:val="(%1)"/>
      <w:numFmt w:val="lowerLetter"/>
      <w:start w:val="4"/>
    </w:lvl>
  </w:abstractNum>
  <w:abstractNum w:abstractNumId="169">
    <w:nsid w:val="1C65E98"/>
    <w:multiLevelType w:val="hybridMultilevel"/>
    <w:lvl w:ilvl="0">
      <w:lvlJc w:val="left"/>
      <w:lvlText w:val="%1"/>
      <w:numFmt w:val="lowerLetter"/>
      <w:start w:val="1"/>
    </w:lvl>
    <w:lvl w:ilvl="1">
      <w:lvlJc w:val="left"/>
      <w:lvlText w:val="(%2)"/>
      <w:numFmt w:val="lowerLetter"/>
      <w:start w:val="8"/>
    </w:lvl>
  </w:abstractNum>
  <w:abstractNum w:abstractNumId="170">
    <w:nsid w:val="1495E50A"/>
    <w:multiLevelType w:val="hybridMultilevel"/>
    <w:lvl w:ilvl="0">
      <w:lvlJc w:val="left"/>
      <w:lvlText w:val="(%1)"/>
      <w:numFmt w:val="lowerLetter"/>
      <w:start w:val="35"/>
    </w:lvl>
    <w:lvl w:ilvl="1">
      <w:lvlJc w:val="left"/>
      <w:lvlText w:val="(%2)"/>
      <w:numFmt w:val="lowerLetter"/>
      <w:start w:val="11"/>
    </w:lvl>
  </w:abstractNum>
  <w:abstractNum w:abstractNumId="171">
    <w:nsid w:val="F5BCF61"/>
    <w:multiLevelType w:val="hybridMultilevel"/>
    <w:lvl w:ilvl="0">
      <w:lvlJc w:val="left"/>
      <w:lvlText w:val="(%1)"/>
      <w:numFmt w:val="lowerLetter"/>
      <w:start w:val="1"/>
    </w:lvl>
  </w:abstractNum>
  <w:abstractNum w:abstractNumId="172">
    <w:nsid w:val="3B1DD403"/>
    <w:multiLevelType w:val="hybridMultilevel"/>
    <w:lvl w:ilvl="0">
      <w:lvlJc w:val="left"/>
      <w:lvlText w:val="(%1)"/>
      <w:numFmt w:val="lowerRoman"/>
      <w:start w:val="6"/>
    </w:lvl>
    <w:lvl w:ilvl="1">
      <w:lvlJc w:val="left"/>
      <w:lvlText w:val="(%2)"/>
      <w:numFmt w:val="lowerLetter"/>
      <w:start w:val="2"/>
    </w:lvl>
  </w:abstractNum>
  <w:abstractNum w:abstractNumId="173">
    <w:nsid w:val="530386D1"/>
    <w:multiLevelType w:val="hybridMultilevel"/>
    <w:lvl w:ilvl="0">
      <w:lvlJc w:val="left"/>
      <w:lvlText w:val="(%1)"/>
      <w:numFmt w:val="lowerLetter"/>
      <w:start w:val="5"/>
    </w:lvl>
  </w:abstractNum>
  <w:abstractNum w:abstractNumId="174">
    <w:nsid w:val="7525F2BC"/>
    <w:multiLevelType w:val="hybridMultilevel"/>
    <w:lvl w:ilvl="0">
      <w:lvlJc w:val="left"/>
      <w:lvlText w:val="(%1)"/>
      <w:numFmt w:val="lowerLetter"/>
      <w:start w:val="1"/>
    </w:lvl>
  </w:abstractNum>
  <w:abstractNum w:abstractNumId="175">
    <w:nsid w:val="CE8E1A7"/>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lvl w:ilvl="3">
      <w:lvlJc w:val="left"/>
      <w:lvlText w:val="(%4)"/>
      <w:numFmt w:val="lowerRoman"/>
      <w:start w:val="1"/>
    </w:lvl>
  </w:abstractNum>
  <w:abstractNum w:abstractNumId="176">
    <w:nsid w:val="4E9EFB0D"/>
    <w:multiLevelType w:val="hybridMultilevel"/>
    <w:lvl w:ilvl="0">
      <w:lvlJc w:val="left"/>
      <w:lvlText w:val="%1"/>
      <w:numFmt w:val="lowerRoman"/>
      <w:start w:val="1"/>
    </w:lvl>
    <w:lvl w:ilvl="1">
      <w:lvlJc w:val="left"/>
      <w:lvlText w:val="(%2)"/>
      <w:numFmt w:val="lowerRoman"/>
      <w:start w:val="5"/>
    </w:lvl>
  </w:abstractNum>
  <w:abstractNum w:abstractNumId="177">
    <w:nsid w:val="90802BE"/>
    <w:multiLevelType w:val="hybridMultilevel"/>
    <w:lvl w:ilvl="0">
      <w:lvlJc w:val="left"/>
      <w:lvlText w:val="(%1)"/>
      <w:numFmt w:val="lowerRoman"/>
      <w:start w:val="6"/>
    </w:lvl>
    <w:lvl w:ilvl="1">
      <w:lvlJc w:val="left"/>
      <w:lvlText w:val="%2"/>
      <w:numFmt w:val="lowerRoman"/>
      <w:start w:val="1"/>
    </w:lvl>
  </w:abstractNum>
  <w:abstractNum w:abstractNumId="178">
    <w:nsid w:val="3266459B"/>
    <w:multiLevelType w:val="hybridMultilevel"/>
    <w:lvl w:ilvl="0">
      <w:lvlJc w:val="left"/>
      <w:lvlText w:val="(%1)"/>
      <w:numFmt w:val="lowerLetter"/>
      <w:start w:val="1"/>
    </w:lvl>
  </w:abstractNum>
  <w:abstractNum w:abstractNumId="179">
    <w:nsid w:val="3F8B0CBF"/>
    <w:multiLevelType w:val="hybridMultilevel"/>
    <w:lvl w:ilvl="0">
      <w:lvlJc w:val="left"/>
      <w:lvlText w:val="(%1)"/>
      <w:numFmt w:val="lowerLetter"/>
      <w:start w:val="2"/>
    </w:lvl>
  </w:abstractNum>
  <w:abstractNum w:abstractNumId="180">
    <w:nsid w:val="37E203AB"/>
    <w:multiLevelType w:val="hybridMultilevel"/>
    <w:lvl w:ilvl="0">
      <w:lvlJc w:val="left"/>
      <w:lvlText w:val="(%1)"/>
      <w:numFmt w:val="lowerLetter"/>
      <w:start w:val="1"/>
    </w:lvl>
  </w:abstractNum>
  <w:abstractNum w:abstractNumId="181">
    <w:nsid w:val="2586D60E"/>
    <w:multiLevelType w:val="hybridMultilevel"/>
    <w:lvl w:ilvl="0">
      <w:lvlJc w:val="left"/>
      <w:lvlText w:val="(%1)"/>
      <w:numFmt w:val="lowerLetter"/>
      <w:start w:val="1"/>
    </w:lvl>
  </w:abstractNum>
  <w:abstractNum w:abstractNumId="182">
    <w:nsid w:val="1F3DA4D5"/>
    <w:multiLevelType w:val="hybridMultilevel"/>
    <w:lvl w:ilvl="0">
      <w:lvlJc w:val="left"/>
      <w:lvlText w:val="(%1)"/>
      <w:numFmt w:val="lowerLetter"/>
      <w:start w:val="1"/>
    </w:lvl>
  </w:abstractNum>
  <w:abstractNum w:abstractNumId="183">
    <w:nsid w:val="74C93698"/>
    <w:multiLevelType w:val="hybridMultilevel"/>
    <w:lvl w:ilvl="0">
      <w:lvlJc w:val="left"/>
      <w:lvlText w:val="(%1)"/>
      <w:numFmt w:val="lowerLetter"/>
      <w:start w:val="2"/>
    </w:lvl>
  </w:abstractNum>
  <w:abstractNum w:abstractNumId="184">
    <w:nsid w:val="48781401"/>
    <w:multiLevelType w:val="hybridMultilevel"/>
    <w:lvl w:ilvl="0">
      <w:lvlJc w:val="left"/>
      <w:lvlText w:val="(%1)"/>
      <w:numFmt w:val="lowerLetter"/>
      <w:start w:val="1"/>
    </w:lvl>
  </w:abstractNum>
  <w:abstractNum w:abstractNumId="185">
    <w:nsid w:val="186928D6"/>
    <w:multiLevelType w:val="hybridMultilevel"/>
    <w:lvl w:ilvl="0">
      <w:lvlJc w:val="left"/>
      <w:lvlText w:val="%1"/>
      <w:numFmt w:val="lowerRoman"/>
      <w:start w:val="1"/>
    </w:lvl>
    <w:lvl w:ilvl="1">
      <w:lvlJc w:val="left"/>
      <w:lvlText w:val="(%2)"/>
      <w:numFmt w:val="lowerLetter"/>
      <w:start w:val="2"/>
    </w:lvl>
  </w:abstractNum>
  <w:abstractNum w:abstractNumId="186">
    <w:nsid w:val="47195E5"/>
    <w:multiLevelType w:val="hybridMultilevel"/>
    <w:lvl w:ilvl="0">
      <w:lvlJc w:val="left"/>
      <w:lvlText w:val="(%1)"/>
      <w:numFmt w:val="lowerRoman"/>
      <w:start w:val="6"/>
    </w:lvl>
    <w:lvl w:ilvl="1">
      <w:lvlJc w:val="left"/>
      <w:lvlText w:val="%2"/>
      <w:numFmt w:val="lowerLetter"/>
      <w:start w:val="1"/>
    </w:lvl>
  </w:abstractNum>
  <w:abstractNum w:abstractNumId="187">
    <w:nsid w:val="3746A5F2"/>
    <w:multiLevelType w:val="hybridMultilevel"/>
    <w:lvl w:ilvl="0">
      <w:lvlJc w:val="left"/>
      <w:lvlText w:val="(%1)"/>
      <w:numFmt w:val="lowerLetter"/>
      <w:start w:val="4"/>
    </w:lvl>
  </w:abstractNum>
  <w:abstractNum w:abstractNumId="188">
    <w:nsid w:val="682DFED6"/>
    <w:multiLevelType w:val="hybridMultilevel"/>
    <w:lvl w:ilvl="0">
      <w:lvlJc w:val="left"/>
      <w:lvlText w:val="(%1)"/>
      <w:numFmt w:val="lowerLetter"/>
      <w:start w:val="7"/>
    </w:lvl>
  </w:abstractNum>
  <w:abstractNum w:abstractNumId="189">
    <w:nsid w:val="606ED7F6"/>
    <w:multiLevelType w:val="hybridMultilevel"/>
    <w:lvl w:ilvl="0">
      <w:lvlJc w:val="left"/>
      <w:lvlText w:val="(%1)"/>
      <w:numFmt w:val="lowerLetter"/>
      <w:start w:val="1"/>
    </w:lvl>
  </w:abstractNum>
  <w:abstractNum w:abstractNumId="190">
    <w:nsid w:val="2D9DF57D"/>
    <w:multiLevelType w:val="hybridMultilevel"/>
    <w:lvl w:ilvl="0">
      <w:lvlJc w:val="left"/>
      <w:lvlText w:val="(%1)"/>
      <w:numFmt w:val="lowerLetter"/>
      <w:start w:val="5"/>
    </w:lvl>
  </w:abstractNum>
  <w:abstractNum w:abstractNumId="191">
    <w:nsid w:val="7FBD7A3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92">
    <w:nsid w:val="490B7C5"/>
    <w:multiLevelType w:val="hybridMultilevel"/>
    <w:lvl w:ilvl="0">
      <w:lvlJc w:val="left"/>
      <w:lvlText w:val="(%1)"/>
      <w:numFmt w:val="lowerLetter"/>
      <w:start w:val="3"/>
    </w:lvl>
  </w:abstractNum>
  <w:abstractNum w:abstractNumId="193">
    <w:nsid w:val="4303A216"/>
    <w:multiLevelType w:val="hybridMultilevel"/>
    <w:lvl w:ilvl="0">
      <w:lvlJc w:val="left"/>
      <w:lvlText w:val="(%1)"/>
      <w:numFmt w:val="lowerLetter"/>
      <w:start w:val="1"/>
    </w:lvl>
  </w:abstractNum>
  <w:abstractNum w:abstractNumId="194">
    <w:nsid w:val="19B8A08E"/>
    <w:multiLevelType w:val="hybridMultilevel"/>
    <w:lvl w:ilvl="0">
      <w:lvlJc w:val="left"/>
      <w:lvlText w:val="(%1)"/>
      <w:numFmt w:val="lowerLetter"/>
      <w:start w:val="2"/>
    </w:lvl>
  </w:abstractNum>
  <w:abstractNum w:abstractNumId="195">
    <w:nsid w:val="54B59621"/>
    <w:multiLevelType w:val="hybridMultilevel"/>
    <w:lvl w:ilvl="0">
      <w:lvlJc w:val="left"/>
      <w:lvlText w:val="(%1)"/>
      <w:numFmt w:val="lowerLetter"/>
      <w:start w:val="1"/>
    </w:lvl>
  </w:abstractNum>
  <w:abstractNum w:abstractNumId="196">
    <w:nsid w:val="5992A02E"/>
    <w:multiLevelType w:val="hybridMultilevel"/>
    <w:lvl w:ilvl="0">
      <w:lvlJc w:val="left"/>
      <w:lvlText w:val="(%1)"/>
      <w:numFmt w:val="lowerRoman"/>
      <w:start w:val="1"/>
    </w:lvl>
  </w:abstractNum>
  <w:abstractNum w:abstractNumId="197">
    <w:nsid w:val="29EF532D"/>
    <w:multiLevelType w:val="hybridMultilevel"/>
    <w:lvl w:ilvl="0">
      <w:lvlJc w:val="left"/>
      <w:lvlText w:val="[***]"/>
      <w:numFmt w:val="bullet"/>
      <w:start w:val="1"/>
    </w:lvl>
    <w:lvl w:ilvl="1">
      <w:lvlJc w:val="left"/>
      <w:lvlText w:val="(%2)"/>
      <w:numFmt w:val="lowerRoman"/>
      <w:start w:val="1"/>
    </w:lvl>
  </w:abstractNum>
  <w:abstractNum w:abstractNumId="198">
    <w:nsid w:val="71D601AF"/>
    <w:multiLevelType w:val="hybridMultilevel"/>
    <w:lvl w:ilvl="0">
      <w:lvlJc w:val="left"/>
      <w:lvlText w:val="[***]"/>
      <w:numFmt w:val="bullet"/>
      <w:start w:val="1"/>
    </w:lvl>
    <w:lvl w:ilvl="1">
      <w:lvlJc w:val="left"/>
      <w:lvlText w:val="(%2)"/>
      <w:numFmt w:val="lowerRoman"/>
      <w:start w:val="10"/>
    </w:lvl>
  </w:abstractNum>
  <w:abstractNum w:abstractNumId="199">
    <w:nsid w:val="52C77402"/>
    <w:multiLevelType w:val="hybridMultilevel"/>
    <w:lvl w:ilvl="0">
      <w:lvlJc w:val="left"/>
      <w:lvlText w:val="(%1)"/>
      <w:numFmt w:val="lowerRoman"/>
      <w:start w:val="11"/>
    </w:lvl>
  </w:abstractNum>
  <w:abstractNum w:abstractNumId="200">
    <w:nsid w:val="2BB5B1C6"/>
    <w:multiLevelType w:val="hybridMultilevel"/>
    <w:lvl w:ilvl="0">
      <w:lvlJc w:val="left"/>
      <w:lvlText w:val="[***]"/>
      <w:numFmt w:val="bullet"/>
      <w:start w:val="1"/>
    </w:lvl>
    <w:lvl w:ilvl="1">
      <w:lvlJc w:val="left"/>
      <w:lvlText w:val="(%2)"/>
      <w:numFmt w:val="lowerRoman"/>
      <w:start w:val="18"/>
    </w:lvl>
  </w:abstractNum>
  <w:abstractNum w:abstractNumId="201">
    <w:nsid w:val="66BE6B9"/>
    <w:multiLevelType w:val="hybridMultilevel"/>
    <w:lvl w:ilvl="0">
      <w:lvlJc w:val="left"/>
      <w:lvlText w:val="[***]"/>
      <w:numFmt w:val="bullet"/>
      <w:start w:val="1"/>
    </w:lvl>
    <w:lvl w:ilvl="1">
      <w:lvlJc w:val="left"/>
      <w:lvlText w:val="(%2)"/>
      <w:numFmt w:val="lowerRoman"/>
      <w:start w:val="25"/>
    </w:lvl>
  </w:abstractNum>
  <w:abstractNum w:abstractNumId="202">
    <w:nsid w:val="62234363"/>
    <w:multiLevelType w:val="hybridMultilevel"/>
    <w:lvl w:ilvl="0">
      <w:lvlJc w:val="left"/>
      <w:lvlText w:val="[***]"/>
      <w:numFmt w:val="bullet"/>
      <w:start w:val="1"/>
    </w:lvl>
    <w:lvl w:ilvl="1">
      <w:lvlJc w:val="left"/>
      <w:lvlText w:val="(%2)"/>
      <w:numFmt w:val="lowerRoman"/>
      <w:start w:val="26"/>
    </w:lvl>
  </w:abstractNum>
  <w:abstractNum w:abstractNumId="203">
    <w:nsid w:val="66D385C9"/>
    <w:multiLevelType w:val="hybridMultilevel"/>
    <w:lvl w:ilvl="0">
      <w:lvlJc w:val="left"/>
      <w:lvlText w:val="(%1)"/>
      <w:numFmt w:val="lowerRoman"/>
      <w:start w:val="29"/>
    </w:lvl>
  </w:abstractNum>
  <w:abstractNum w:abstractNumId="204">
    <w:nsid w:val="596F6D8A"/>
    <w:multiLevelType w:val="hybridMultilevel"/>
    <w:lvl w:ilvl="0">
      <w:lvlJc w:val="left"/>
      <w:lvlText w:val="(%1)"/>
      <w:numFmt w:val="lowerRoman"/>
      <w:start w:val="38"/>
    </w:lvl>
  </w:abstractNum>
  <w:abstractNum w:abstractNumId="205">
    <w:nsid w:val="5749361F"/>
    <w:multiLevelType w:val="hybridMultilevel"/>
    <w:lvl w:ilvl="0">
      <w:lvlJc w:val="left"/>
      <w:lvlText w:val="(%1)"/>
      <w:numFmt w:val="decimal"/>
      <w:start w:val="1"/>
    </w:lvl>
  </w:abstractNum>
  <w:abstractNum w:abstractNumId="206">
    <w:nsid w:val="73BC6770"/>
    <w:multiLevelType w:val="hybridMultilevel"/>
    <w:lvl w:ilvl="0">
      <w:lvlJc w:val="left"/>
      <w:lvlText w:val="(%1)"/>
      <w:numFmt w:val="decimal"/>
      <w:start w:val="2"/>
    </w:lvl>
    <w:lvl w:ilvl="1">
      <w:lvlJc w:val="left"/>
      <w:lvlText w:val="(%2)"/>
      <w:numFmt w:val="lowerLetter"/>
      <w:start w:val="1"/>
    </w:lvl>
  </w:abstractNum>
  <w:abstractNum w:abstractNumId="207">
    <w:nsid w:val="280E6897"/>
    <w:multiLevelType w:val="hybridMultilevel"/>
    <w:lvl w:ilvl="0">
      <w:lvlJc w:val="left"/>
      <w:lvlText w:val="(%1)"/>
      <w:numFmt w:val="decimal"/>
      <w:start w:val="6"/>
    </w:lvl>
  </w:abstractNum>
  <w:abstractNum w:abstractNumId="208">
    <w:nsid w:val="605138DE"/>
    <w:multiLevelType w:val="hybridMultilevel"/>
    <w:lvl w:ilvl="0">
      <w:lvlJc w:val="left"/>
      <w:lvlText w:val="%1."/>
      <w:numFmt w:val="decimal"/>
      <w:start w:val="1"/>
    </w:lvl>
  </w:abstractNum>
  <w:abstractNum w:abstractNumId="209">
    <w:nsid w:val="2622AD0C"/>
    <w:multiLevelType w:val="hybridMultilevel"/>
    <w:lvl w:ilvl="0">
      <w:lvlJc w:val="left"/>
      <w:lvlText w:val="%1."/>
      <w:numFmt w:val="decimal"/>
      <w:start w:val="4"/>
    </w:lvl>
  </w:abstractNum>
  <w:abstractNum w:abstractNumId="210">
    <w:nsid w:val="67997556"/>
    <w:multiLevelType w:val="hybridMultilevel"/>
    <w:lvl w:ilvl="0">
      <w:lvlJc w:val="left"/>
      <w:lvlText w:val="(%1)"/>
      <w:numFmt w:val="lowerLetter"/>
      <w:start w:val="1"/>
    </w:lvl>
  </w:abstractNum>
  <w:abstractNum w:abstractNumId="211">
    <w:nsid w:val="18333C89"/>
    <w:multiLevelType w:val="hybridMultilevel"/>
    <w:lvl w:ilvl="0">
      <w:lvlJc w:val="left"/>
      <w:lvlText w:val="(%1)"/>
      <w:numFmt w:val="lowerLetter"/>
      <w:start w:val="5"/>
    </w:lvl>
  </w:abstractNum>
  <w:abstractNum w:abstractNumId="212">
    <w:nsid w:val="4BA9831A"/>
    <w:multiLevelType w:val="hybridMultilevel"/>
    <w:lvl w:ilvl="0">
      <w:lvlJc w:val="left"/>
      <w:lvlText w:val="(%1)"/>
      <w:numFmt w:val="lowerLetter"/>
      <w:start w:val="1"/>
    </w:lvl>
  </w:abstractNum>
  <w:abstractNum w:abstractNumId="213">
    <w:nsid w:val="6D71A2B"/>
    <w:multiLevelType w:val="hybridMultilevel"/>
    <w:lvl w:ilvl="0">
      <w:lvlJc w:val="left"/>
      <w:lvlText w:val="(%1)"/>
      <w:numFmt w:val="lowerLetter"/>
      <w:start w:val="1"/>
    </w:lvl>
  </w:abstractNum>
  <w:abstractNum w:abstractNumId="214">
    <w:nsid w:val="CFC7321"/>
    <w:multiLevelType w:val="hybridMultilevel"/>
    <w:lvl w:ilvl="0">
      <w:lvlJc w:val="left"/>
      <w:lvlText w:val="(%1)"/>
      <w:numFmt w:val="lowerLetter"/>
      <w:start w:val="3"/>
    </w:lvl>
  </w:abstractNum>
  <w:abstractNum w:abstractNumId="215">
    <w:nsid w:val="1421971B"/>
    <w:multiLevelType w:val="hybridMultilevel"/>
    <w:lvl w:ilvl="0">
      <w:lvlJc w:val="left"/>
      <w:lvlText w:val="%1."/>
      <w:numFmt w:val="decimal"/>
      <w:start w:val="1"/>
    </w:lvl>
  </w:abstractNum>
  <w:abstractNum w:abstractNumId="216">
    <w:nsid w:val="1F404301"/>
    <w:multiLevelType w:val="hybridMultilevel"/>
    <w:lvl w:ilvl="0">
      <w:lvlJc w:val="left"/>
      <w:lvlText w:val="%1."/>
      <w:numFmt w:val="decimal"/>
      <w:start w:val="6"/>
    </w:lvl>
  </w:abstractNum>
  <w:abstractNum w:abstractNumId="217">
    <w:nsid w:val="116E0907"/>
    <w:multiLevelType w:val="hybridMultilevel"/>
    <w:lvl w:ilvl="0">
      <w:lvlJc w:val="left"/>
      <w:lvlText w:val="%1."/>
      <w:numFmt w:val="decimal"/>
      <w:start w:val="16"/>
    </w:lvl>
  </w:abstractNum>
  <w:abstractNum w:abstractNumId="218">
    <w:nsid w:val="4B683D0D"/>
    <w:multiLevelType w:val="hybridMultilevel"/>
    <w:lvl w:ilvl="0">
      <w:lvlJc w:val="left"/>
      <w:lvlText w:val="%1."/>
      <w:numFmt w:val="decimal"/>
      <w:start w:val="20"/>
    </w:lvl>
  </w:abstractNum>
  <w:abstractNum w:abstractNumId="219">
    <w:nsid w:val="76E41D8"/>
    <w:multiLevelType w:val="hybridMultilevel"/>
    <w:lvl w:ilvl="0">
      <w:lvlJc w:val="left"/>
      <w:lvlText w:val="%1."/>
      <w:numFmt w:val="decimal"/>
      <w:start w:val="25"/>
    </w:lvl>
  </w:abstractNum>
  <w:abstractNum w:abstractNumId="220">
    <w:nsid w:val="71DCE0FD"/>
    <w:multiLevelType w:val="hybridMultilevel"/>
    <w:lvl w:ilvl="0">
      <w:lvlJc w:val="left"/>
      <w:lvlText w:val="%1."/>
      <w:numFmt w:val="decimal"/>
      <w:start w:val="29"/>
    </w:lvl>
  </w:abstractNum>
  <w:abstractNum w:abstractNumId="221">
    <w:nsid w:val="7906328B"/>
    <w:multiLevelType w:val="hybridMultilevel"/>
    <w:lvl w:ilvl="0">
      <w:lvlJc w:val="left"/>
      <w:lvlText w:val="%1."/>
      <w:numFmt w:val="decimal"/>
      <w:start w:val="36"/>
    </w:lvl>
  </w:abstractNum>
  <w:abstractNum w:abstractNumId="222">
    <w:nsid w:val="72BBC16"/>
    <w:multiLevelType w:val="hybridMultilevel"/>
    <w:lvl w:ilvl="0">
      <w:lvlJc w:val="left"/>
      <w:lvlText w:val="(%1)"/>
      <w:numFmt w:val="lowerRoman"/>
      <w:start w:val="2"/>
    </w:lvl>
  </w:abstractNum>
  <w:abstractNum w:abstractNumId="223">
    <w:nsid w:val="766D98C2"/>
    <w:multiLevelType w:val="hybridMultilevel"/>
    <w:lvl w:ilvl="0">
      <w:lvlJc w:val="left"/>
      <w:lvlText w:val="(%1)"/>
      <w:numFmt w:val="lowerRoman"/>
      <w:start w:val="1"/>
    </w:lvl>
  </w:abstractNum>
  <w:abstractNum w:abstractNumId="224">
    <w:nsid w:val="3C09D4A1"/>
    <w:multiLevelType w:val="hybridMultilevel"/>
    <w:lvl w:ilvl="0">
      <w:lvlJc w:val="left"/>
      <w:lvlText w:val="(%1)"/>
      <w:numFmt w:val="lowerLetter"/>
      <w:start w:val="1"/>
    </w:lvl>
  </w:abstractNum>
  <w:abstractNum w:abstractNumId="225">
    <w:nsid w:val="20E45CA4"/>
    <w:multiLevelType w:val="hybridMultilevel"/>
    <w:lvl w:ilvl="0">
      <w:lvlJc w:val="left"/>
      <w:lvlText w:val="(%1)"/>
      <w:numFmt w:val="lowerLetter"/>
      <w:start w:val="3"/>
    </w:lvl>
  </w:abstractNum>
  <w:abstractNum w:abstractNumId="226">
    <w:nsid w:val="4B232EE3"/>
    <w:multiLevelType w:val="hybridMultilevel"/>
    <w:lvl w:ilvl="0">
      <w:lvlJc w:val="left"/>
      <w:lvlText w:val="(%1)"/>
      <w:numFmt w:val="lowerLetter"/>
      <w:start w:val="1"/>
    </w:lvl>
  </w:abstractNum>
  <w:abstractNum w:abstractNumId="227">
    <w:nsid w:val="159C74CF"/>
    <w:multiLevelType w:val="hybridMultilevel"/>
    <w:lvl w:ilvl="0">
      <w:lvlJc w:val="left"/>
      <w:lvlText w:val="(%1)"/>
      <w:numFmt w:val="lowerLetter"/>
      <w:start w:val="2"/>
    </w:lvl>
  </w:abstractNum>
  <w:abstractNum w:abstractNumId="228">
    <w:nsid w:val="4AD3AFD2"/>
    <w:multiLevelType w:val="hybridMultilevel"/>
    <w:lvl w:ilvl="0">
      <w:lvlJc w:val="left"/>
      <w:lvlText w:val="(%1)"/>
      <w:numFmt w:val="lowerLetter"/>
      <w:start w:val="3"/>
    </w:lvl>
  </w:abstractNum>
  <w:abstractNum w:abstractNumId="229">
    <w:nsid w:val="3CF93092"/>
    <w:multiLevelType w:val="hybridMultilevel"/>
    <w:lvl w:ilvl="0">
      <w:lvlJc w:val="left"/>
      <w:lvlText w:val="(%1)"/>
      <w:numFmt w:val="lowerLetter"/>
      <w:start w:val="4"/>
    </w:lvl>
    <w:lvl w:ilvl="1">
      <w:lvlJc w:val="left"/>
      <w:lvlText w:val="(%2)"/>
      <w:numFmt w:val="decimal"/>
      <w:start w:val="1"/>
    </w:lvl>
  </w:abstractNum>
  <w:abstractNum w:abstractNumId="230">
    <w:nsid w:val="6863E8D2"/>
    <w:multiLevelType w:val="hybridMultilevel"/>
    <w:lvl w:ilvl="0">
      <w:lvlJc w:val="left"/>
      <w:lvlText w:val="%1"/>
      <w:numFmt w:val="lowerLetter"/>
      <w:start w:val="1"/>
    </w:lvl>
    <w:lvl w:ilvl="1">
      <w:lvlJc w:val="left"/>
      <w:lvlText w:val="(%2)"/>
      <w:numFmt w:val="decimal"/>
      <w:start w:val="3"/>
    </w:lvl>
  </w:abstractNum>
  <w:abstractNum w:abstractNumId="231">
    <w:nsid w:val="76896198"/>
    <w:multiLevelType w:val="hybridMultilevel"/>
    <w:lvl w:ilvl="0">
      <w:lvlJc w:val="left"/>
      <w:lvlText w:val="(%1)"/>
      <w:numFmt w:val="lowerLetter"/>
      <w:start w:val="2"/>
    </w:lvl>
    <w:lvl w:ilvl="1">
      <w:lvlJc w:val="left"/>
      <w:lvlText w:val="%2"/>
      <w:numFmt w:val="decimal"/>
      <w:start w:val="1"/>
    </w:lvl>
  </w:abstractNum>
  <w:abstractNum w:abstractNumId="232">
    <w:nsid w:val="4365174B"/>
    <w:multiLevelType w:val="hybridMultilevel"/>
    <w:lvl w:ilvl="0">
      <w:lvlJc w:val="left"/>
      <w:lvlText w:val="(%1)"/>
      <w:numFmt w:val="lowerLetter"/>
      <w:start w:val="5"/>
    </w:lvl>
  </w:abstractNum>
  <w:abstractNum w:abstractNumId="233">
    <w:nsid w:val="4A872C35"/>
    <w:multiLevelType w:val="hybridMultilevel"/>
    <w:lvl w:ilvl="0">
      <w:lvlJc w:val="left"/>
      <w:lvlText w:val="(%1)"/>
      <w:numFmt w:val="lowerLetter"/>
      <w:start w:val="1"/>
    </w:lvl>
  </w:abstractNum>
  <w:abstractNum w:abstractNumId="234">
    <w:nsid w:val="5D5CE761"/>
    <w:multiLevelType w:val="hybridMultilevel"/>
    <w:lvl w:ilvl="0">
      <w:lvlJc w:val="left"/>
      <w:lvlText w:val="(%1)"/>
      <w:numFmt w:val="lowerLetter"/>
      <w:start w:val="1"/>
    </w:lvl>
  </w:abstractNum>
  <w:abstractNum w:abstractNumId="235">
    <w:nsid w:val="1CD484D5"/>
    <w:multiLevelType w:val="hybridMultilevel"/>
    <w:lvl w:ilvl="0">
      <w:lvlJc w:val="left"/>
      <w:lvlText w:val="(%1)"/>
      <w:numFmt w:val="lowerRoman"/>
      <w:start w:val="1"/>
    </w:lvl>
  </w:abstractNum>
  <w:abstractNum w:abstractNumId="236">
    <w:nsid w:val="21D06255"/>
    <w:multiLevelType w:val="hybridMultilevel"/>
    <w:lvl w:ilvl="0">
      <w:lvlJc w:val="left"/>
      <w:lvlText w:val="(%1)"/>
      <w:numFmt w:val="lowerRoman"/>
      <w:start w:val="5"/>
    </w:lvl>
  </w:abstractNum>
  <w:abstractNum w:abstractNumId="237">
    <w:nsid w:val="51194ED1"/>
    <w:multiLevelType w:val="hybridMultilevel"/>
    <w:lvl w:ilvl="0">
      <w:lvlJc w:val="left"/>
      <w:lvlText w:val="(%1)"/>
      <w:numFmt w:val="lowerRoman"/>
      <w:start w:val="1"/>
    </w:lvl>
  </w:abstractNum>
  <w:abstractNum w:abstractNumId="238">
    <w:nsid w:val="44E2ED6C"/>
    <w:multiLevelType w:val="hybridMultilevel"/>
    <w:lvl w:ilvl="0">
      <w:lvlJc w:val="left"/>
      <w:lvlText w:val="(%1)"/>
      <w:numFmt w:val="lowerLetter"/>
      <w:start w:val="1"/>
    </w:lvl>
  </w:abstractNum>
  <w:abstractNum w:abstractNumId="239">
    <w:nsid w:val="2219B33"/>
    <w:multiLevelType w:val="hybridMultilevel"/>
    <w:lvl w:ilvl="0">
      <w:lvlJc w:val="left"/>
      <w:lvlText w:val="(%1)"/>
      <w:numFmt w:val="lowerLetter"/>
      <w:start w:val="2"/>
    </w:lvl>
  </w:abstractNum>
  <w:abstractNum w:abstractNumId="240">
    <w:nsid w:val="773BFBDD"/>
    <w:multiLevelType w:val="hybridMultilevel"/>
    <w:lvl w:ilvl="0">
      <w:lvlJc w:val="left"/>
      <w:lvlText w:val="(%1)"/>
      <w:numFmt w:val="lowerLetter"/>
      <w:start w:val="1"/>
    </w:lvl>
  </w:abstractNum>
  <w:abstractNum w:abstractNumId="241">
    <w:nsid w:val="2C7C62C2"/>
    <w:multiLevelType w:val="hybridMultilevel"/>
    <w:lvl w:ilvl="0">
      <w:lvlJc w:val="left"/>
      <w:lvlText w:val="(%1)"/>
      <w:numFmt w:val="lowerLetter"/>
      <w:start w:val="1"/>
    </w:lvl>
  </w:abstractNum>
  <w:abstractNum w:abstractNumId="242">
    <w:nsid w:val="1A54D7BC"/>
    <w:multiLevelType w:val="hybridMultilevel"/>
    <w:lvl w:ilvl="0">
      <w:lvlJc w:val="left"/>
      <w:lvlText w:val="(%1)"/>
      <w:numFmt w:val="lowerRoman"/>
      <w:start w:val="1"/>
    </w:lvl>
  </w:abstractNum>
  <w:abstractNum w:abstractNumId="243">
    <w:nsid w:val="42E57EF7"/>
    <w:multiLevelType w:val="hybridMultilevel"/>
    <w:lvl w:ilvl="0">
      <w:lvlJc w:val="left"/>
      <w:lvlText w:val="(%1)"/>
      <w:numFmt w:val="lowerRoman"/>
      <w:start w:val="2"/>
    </w:lvl>
  </w:abstractNum>
  <w:abstractNum w:abstractNumId="244">
    <w:nsid w:val="33537CED"/>
    <w:multiLevelType w:val="hybridMultilevel"/>
    <w:lvl w:ilvl="0">
      <w:lvlJc w:val="left"/>
      <w:lvlText w:val="(%1)"/>
      <w:numFmt w:val="lowerRoman"/>
      <w:start w:val="1"/>
    </w:lvl>
  </w:abstractNum>
  <w:abstractNum w:abstractNumId="245">
    <w:nsid w:val="27514ADE"/>
    <w:multiLevelType w:val="hybridMultilevel"/>
    <w:lvl w:ilvl="0">
      <w:lvlJc w:val="left"/>
      <w:lvlText w:val="(%1)"/>
      <w:numFmt w:val="lowerLetter"/>
      <w:start w:val="1"/>
    </w:lvl>
    <w:lvl w:ilvl="1">
      <w:lvlJc w:val="left"/>
      <w:lvlText w:val="(%2)"/>
      <w:numFmt w:val="lowerLetter"/>
      <w:start w:val="9"/>
    </w:lvl>
  </w:abstractNum>
  <w:abstractNum w:abstractNumId="246">
    <w:nsid w:val="5707161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47">
    <w:nsid w:val="5293BFEF"/>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6"/>
    </w:lvl>
  </w:abstractNum>
  <w:abstractNum w:abstractNumId="248">
    <w:nsid w:val="38BF53E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49">
    <w:nsid w:val="226F5320"/>
    <w:multiLevelType w:val="hybridMultilevel"/>
    <w:lvl w:ilvl="0">
      <w:lvlJc w:val="left"/>
      <w:lvlText w:val="(%1)"/>
      <w:numFmt w:val="lowerRoman"/>
      <w:start w:val="2"/>
    </w:lvl>
  </w:abstractNum>
  <w:abstractNum w:abstractNumId="250">
    <w:nsid w:val="5A0201C7"/>
    <w:multiLevelType w:val="hybridMultilevel"/>
    <w:lvl w:ilvl="0">
      <w:lvlJc w:val="left"/>
      <w:lvlText w:val="(%1)"/>
      <w:numFmt w:val="lowerLetter"/>
      <w:start w:val="1"/>
    </w:lvl>
  </w:abstractNum>
  <w:abstractNum w:abstractNumId="251">
    <w:nsid w:val="2A9C34E2"/>
    <w:multiLevelType w:val="hybridMultilevel"/>
    <w:lvl w:ilvl="0">
      <w:lvlJc w:val="left"/>
      <w:lvlText w:val="(%1)"/>
      <w:numFmt w:val="lowerLetter"/>
      <w:start w:val="1"/>
    </w:lvl>
  </w:abstractNum>
  <w:abstractNum w:abstractNumId="252">
    <w:nsid w:val="1B7585AB"/>
    <w:multiLevelType w:val="hybridMultilevel"/>
    <w:lvl w:ilvl="0">
      <w:lvlJc w:val="left"/>
      <w:lvlText w:val="(%1)"/>
      <w:numFmt w:val="lowerLetter"/>
      <w:start w:val="3"/>
    </w:lvl>
  </w:abstractNum>
  <w:abstractNum w:abstractNumId="253">
    <w:nsid w:val="612DBDDD"/>
    <w:multiLevelType w:val="hybridMultilevel"/>
    <w:lvl w:ilvl="0">
      <w:lvlJc w:val="left"/>
      <w:lvlText w:val="(%1)"/>
      <w:numFmt w:val="lowerRoman"/>
      <w:start w:val="1"/>
    </w:lvl>
  </w:abstractNum>
  <w:abstractNum w:abstractNumId="254">
    <w:nsid w:val="2109CDA4"/>
    <w:multiLevelType w:val="hybridMultilevel"/>
    <w:lvl w:ilvl="0">
      <w:lvlJc w:val="left"/>
      <w:lvlText w:val="%1"/>
      <w:numFmt w:val="lowerRoman"/>
      <w:start w:val="1"/>
    </w:lvl>
    <w:lvl w:ilvl="1">
      <w:lvlJc w:val="left"/>
      <w:lvlText w:val="(%2)"/>
      <w:numFmt w:val="lowerRoman"/>
      <w:start w:val="3"/>
    </w:lvl>
  </w:abstractNum>
  <w:abstractNum w:abstractNumId="255">
    <w:nsid w:val="577F5A4D"/>
    <w:multiLevelType w:val="hybridMultilevel"/>
    <w:lvl w:ilvl="0">
      <w:lvlJc w:val="left"/>
      <w:lvlText w:val="(%1)"/>
      <w:numFmt w:val="lowerRoman"/>
      <w:start w:val="5"/>
    </w:lvl>
    <w:lvl w:ilvl="1">
      <w:lvlJc w:val="left"/>
      <w:lvlText w:val="%2"/>
      <w:numFmt w:val="lowerRoman"/>
      <w:start w:val="1"/>
    </w:lvl>
  </w:abstractNum>
  <w:abstractNum w:abstractNumId="256">
    <w:nsid w:val="2121A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7">
    <w:nsid w:val="6C2CFC88"/>
    <w:multiLevelType w:val="hybridMultilevel"/>
    <w:lvl w:ilvl="0">
      <w:lvlJc w:val="left"/>
      <w:lvlText w:val="(%1)"/>
      <w:numFmt w:val="lowerLetter"/>
      <w:start w:val="1"/>
    </w:lvl>
  </w:abstractNum>
  <w:abstractNum w:abstractNumId="258">
    <w:nsid w:val="6D1BCF1C"/>
    <w:multiLevelType w:val="hybridMultilevel"/>
    <w:lvl w:ilvl="0">
      <w:lvlJc w:val="left"/>
      <w:lvlText w:val="(%1)"/>
      <w:numFmt w:val="lowerLetter"/>
      <w:start w:val="2"/>
    </w:lvl>
  </w:abstractNum>
  <w:abstractNum w:abstractNumId="259">
    <w:nsid w:val="4CE5CA53"/>
    <w:multiLevelType w:val="hybridMultilevel"/>
    <w:lvl w:ilvl="0">
      <w:lvlJc w:val="left"/>
      <w:lvlText w:val="(%1)"/>
      <w:numFmt w:val="lowerLetter"/>
      <w:start w:val="4"/>
    </w:lvl>
    <w:lvl w:ilvl="1">
      <w:lvlJc w:val="left"/>
      <w:lvlText w:val="(%2)"/>
      <w:numFmt w:val="lowerLetter"/>
      <w:start w:val="9"/>
    </w:lvl>
  </w:abstractNum>
  <w:abstractNum w:abstractNumId="260">
    <w:nsid w:val="29262D1A"/>
    <w:multiLevelType w:val="hybridMultilevel"/>
    <w:lvl w:ilvl="0">
      <w:lvlJc w:val="left"/>
      <w:lvlText w:val="(%1)"/>
      <w:numFmt w:val="lowerRoman"/>
      <w:start w:val="2"/>
    </w:lvl>
  </w:abstractNum>
  <w:abstractNum w:abstractNumId="261">
    <w:nsid w:val="557FB7EE"/>
    <w:multiLevelType w:val="hybridMultilevel"/>
    <w:lvl w:ilvl="0">
      <w:lvlJc w:val="left"/>
      <w:lvlText w:val="(%1)"/>
      <w:numFmt w:val="lowerLetter"/>
      <w:start w:val="5"/>
    </w:lvl>
  </w:abstractNum>
  <w:abstractNum w:abstractNumId="262">
    <w:nsid w:val="436F2B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9"/>
    </w:lvl>
  </w:abstractNum>
  <w:abstractNum w:abstractNumId="263">
    <w:nsid w:val="6C8B4466"/>
    <w:multiLevelType w:val="hybridMultilevel"/>
    <w:lvl w:ilvl="0">
      <w:lvlJc w:val="left"/>
      <w:lvlText w:val="(%1)"/>
      <w:numFmt w:val="upperLetter"/>
      <w:start w:val="35"/>
    </w:lvl>
  </w:abstractNum>
  <w:abstractNum w:abstractNumId="264">
    <w:nsid w:val="2006E424"/>
    <w:multiLevelType w:val="hybridMultilevel"/>
    <w:lvl w:ilvl="0">
      <w:lvlJc w:val="left"/>
      <w:lvlText w:val="(%1)"/>
      <w:numFmt w:val="upperLetter"/>
      <w:start w:val="61"/>
    </w:lvl>
  </w:abstractNum>
  <w:abstractNum w:abstractNumId="265">
    <w:nsid w:val="20CC134C"/>
    <w:multiLevelType w:val="hybridMultilevel"/>
    <w:lvl w:ilvl="0">
      <w:lvlJc w:val="left"/>
      <w:lvlText w:val="(%1)"/>
      <w:numFmt w:val="lowerLetter"/>
      <w:start w:val="1"/>
    </w:lvl>
  </w:abstractNum>
  <w:abstractNum w:abstractNumId="266">
    <w:nsid w:val="95FC93B"/>
    <w:multiLevelType w:val="hybridMultilevel"/>
    <w:lvl w:ilvl="0">
      <w:lvlJc w:val="left"/>
      <w:lvlText w:val="%1"/>
      <w:numFmt w:val="lowerLetter"/>
      <w:start w:val="1"/>
    </w:lvl>
    <w:lvl w:ilvl="1">
      <w:lvlJc w:val="left"/>
      <w:lvlText w:val="(%2)"/>
      <w:numFmt w:val="lowerLetter"/>
      <w:start w:val="2"/>
    </w:lvl>
  </w:abstractNum>
  <w:abstractNum w:abstractNumId="267">
    <w:nsid w:val="41D74679"/>
    <w:multiLevelType w:val="hybridMultilevel"/>
    <w:lvl w:ilvl="0">
      <w:lvlJc w:val="left"/>
      <w:lvlText w:val="(%1)"/>
      <w:numFmt w:val="lowerLetter"/>
      <w:start w:val="9"/>
    </w:lvl>
    <w:lvl w:ilvl="1">
      <w:lvlJc w:val="left"/>
      <w:lvlText w:val="(%2)"/>
      <w:numFmt w:val="lowerLetter"/>
      <w:start w:val="3"/>
    </w:lvl>
  </w:abstractNum>
  <w:abstractNum w:abstractNumId="268">
    <w:nsid w:val="71E5621E"/>
    <w:multiLevelType w:val="hybridMultilevel"/>
    <w:lvl w:ilvl="0">
      <w:lvlJc w:val="left"/>
      <w:lvlText w:val="(%1)"/>
      <w:numFmt w:val="lowerRoman"/>
      <w:start w:val="1"/>
    </w:lvl>
  </w:abstractNum>
  <w:abstractNum w:abstractNumId="269">
    <w:nsid w:val="4E42B6A8"/>
    <w:multiLevelType w:val="hybridMultilevel"/>
    <w:lvl w:ilvl="0">
      <w:lvlJc w:val="left"/>
      <w:lvlText w:val="(%1)"/>
      <w:numFmt w:val="lowerRoman"/>
      <w:start w:val="3"/>
    </w:lvl>
  </w:abstractNum>
  <w:abstractNum w:abstractNumId="270">
    <w:nsid w:val="43F8E1AC"/>
    <w:multiLevelType w:val="hybridMultilevel"/>
    <w:lvl w:ilvl="0">
      <w:lvlJc w:val="left"/>
      <w:lvlText w:val="(%1)"/>
      <w:numFmt w:val="lowerRoman"/>
      <w:start w:val="1"/>
    </w:lvl>
  </w:abstractNum>
  <w:abstractNum w:abstractNumId="271">
    <w:nsid w:val="69215DFB"/>
    <w:multiLevelType w:val="hybridMultilevel"/>
    <w:lvl w:ilvl="0">
      <w:lvlJc w:val="left"/>
      <w:lvlText w:val="(%1)"/>
      <w:numFmt w:val="lowerLetter"/>
      <w:start w:val="1"/>
    </w:lvl>
  </w:abstractNum>
  <w:abstractNum w:abstractNumId="272">
    <w:nsid w:val="7ABF196A"/>
    <w:multiLevelType w:val="hybridMultilevel"/>
    <w:lvl w:ilvl="0">
      <w:lvlJc w:val="left"/>
      <w:lvlText w:val="(%1)"/>
      <w:numFmt w:val="lowerLetter"/>
      <w:start w:val="1"/>
    </w:lvl>
    <w:lvl w:ilvl="1">
      <w:lvlJc w:val="left"/>
      <w:lvlText w:val="(%2)"/>
      <w:numFmt w:val="lowerRoman"/>
      <w:start w:val="1"/>
    </w:lvl>
  </w:abstractNum>
  <w:abstractNum w:abstractNumId="273">
    <w:nsid w:val="5E4DB96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74">
    <w:nsid w:val="2C06DCF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75">
    <w:nsid w:val="2E129658"/>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76">
    <w:nsid w:val="59F0446"/>
    <w:multiLevelType w:val="hybridMultilevel"/>
    <w:lvl w:ilvl="0">
      <w:lvlJc w:val="left"/>
      <w:lvlText w:val="(%1)"/>
      <w:numFmt w:val="lowerLetter"/>
      <w:start w:val="10"/>
    </w:lvl>
  </w:abstractNum>
  <w:abstractNum w:abstractNumId="277">
    <w:nsid w:val="30DF306"/>
    <w:multiLevelType w:val="hybridMultilevel"/>
    <w:lvl w:ilvl="0">
      <w:lvlJc w:val="left"/>
      <w:lvlText w:val="(%1)"/>
      <w:numFmt w:val="lowerLetter"/>
      <w:start w:val="1"/>
    </w:lvl>
  </w:abstractNum>
  <w:abstractNum w:abstractNumId="278">
    <w:nsid w:val="A65647"/>
    <w:multiLevelType w:val="hybridMultilevel"/>
    <w:lvl w:ilvl="0">
      <w:lvlJc w:val="left"/>
      <w:lvlText w:val="(%1)"/>
      <w:numFmt w:val="lowerLetter"/>
      <w:start w:val="6"/>
    </w:lvl>
  </w:abstractNum>
  <w:abstractNum w:abstractNumId="279">
    <w:nsid w:val="3E5E582B"/>
    <w:multiLevelType w:val="hybridMultilevel"/>
    <w:lvl w:ilvl="0">
      <w:lvlJc w:val="left"/>
      <w:lvlText w:val="(%1)"/>
      <w:numFmt w:val="lowerLetter"/>
      <w:start w:val="10"/>
    </w:lvl>
  </w:abstractNum>
  <w:abstractNum w:abstractNumId="280">
    <w:nsid w:val="257D4626"/>
    <w:multiLevelType w:val="hybridMultilevel"/>
    <w:lvl w:ilvl="0">
      <w:lvlJc w:val="left"/>
      <w:lvlText w:val="(%1)"/>
      <w:numFmt w:val="lowerLetter"/>
      <w:start w:val="17"/>
    </w:lvl>
  </w:abstractNum>
  <w:abstractNum w:abstractNumId="281">
    <w:nsid w:val="5AA8580E"/>
    <w:multiLevelType w:val="hybridMultilevel"/>
    <w:lvl w:ilvl="0">
      <w:lvlJc w:val="left"/>
      <w:lvlText w:val="(%1)"/>
      <w:numFmt w:val="lowerLetter"/>
      <w:start w:val="18"/>
    </w:lvl>
  </w:abstractNum>
  <w:abstractNum w:abstractNumId="282">
    <w:nsid w:val="68FA8D0D"/>
    <w:multiLevelType w:val="hybridMultilevel"/>
    <w:lvl w:ilvl="0">
      <w:lvlJc w:val="left"/>
      <w:lvlText w:val="(%1)"/>
      <w:numFmt w:val="lowerLetter"/>
      <w:start w:val="1"/>
    </w:lvl>
  </w:abstractNum>
  <w:abstractNum w:abstractNumId="283">
    <w:nsid w:val="40F2CBD2"/>
    <w:multiLevelType w:val="hybridMultilevel"/>
    <w:lvl w:ilvl="0">
      <w:lvlJc w:val="left"/>
      <w:lvlText w:val="%1"/>
      <w:numFmt w:val="lowerLetter"/>
      <w:start w:val="1"/>
    </w:lvl>
    <w:lvl w:ilvl="1">
      <w:lvlJc w:val="left"/>
      <w:lvlText w:val="(%2)"/>
      <w:numFmt w:val="lowerLetter"/>
      <w:start w:val="1"/>
    </w:lvl>
  </w:abstractNum>
  <w:abstractNum w:abstractNumId="284">
    <w:nsid w:val="3BD615EB"/>
    <w:multiLevelType w:val="hybridMultilevel"/>
    <w:lvl w:ilvl="0">
      <w:lvlJc w:val="left"/>
      <w:lvlText w:val="(%1)"/>
      <w:numFmt w:val="lowerLetter"/>
      <w:start w:val="61"/>
    </w:lvl>
    <w:lvl w:ilvl="1">
      <w:lvlJc w:val="left"/>
      <w:lvlText w:val="(%2)"/>
      <w:numFmt w:val="lowerLetter"/>
      <w:start w:val="2"/>
    </w:lvl>
  </w:abstractNum>
  <w:abstractNum w:abstractNumId="285">
    <w:nsid w:val="A045AB2"/>
    <w:multiLevelType w:val="hybridMultilevel"/>
    <w:lvl w:ilvl="0">
      <w:lvlJc w:val="left"/>
      <w:lvlText w:val="(%1)"/>
      <w:numFmt w:val="lowerRoman"/>
      <w:start w:val="1"/>
    </w:lvl>
  </w:abstractNum>
  <w:abstractNum w:abstractNumId="286">
    <w:nsid w:val="187226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7">
    <w:nsid w:val="3DE8306C"/>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88">
    <w:nsid w:val="7631573A"/>
    <w:multiLevelType w:val="hybridMultilevel"/>
    <w:lvl w:ilvl="0">
      <w:lvlJc w:val="left"/>
      <w:lvlText w:val="(%1)"/>
      <w:numFmt w:val="lowerLetter"/>
      <w:start w:val="4"/>
    </w:lvl>
  </w:abstractNum>
  <w:abstractNum w:abstractNumId="289">
    <w:nsid w:val="58DF53B"/>
    <w:multiLevelType w:val="hybridMultilevel"/>
    <w:lvl w:ilvl="0">
      <w:lvlJc w:val="left"/>
      <w:lvlText w:val="(%1)"/>
      <w:numFmt w:val="lowerLetter"/>
      <w:start w:val="1"/>
    </w:lvl>
    <w:lvl w:ilvl="1">
      <w:lvlJc w:val="left"/>
      <w:lvlText w:val="(%2)"/>
      <w:numFmt w:val="lowerRoman"/>
      <w:start w:val="1"/>
    </w:lvl>
  </w:abstractNum>
  <w:abstractNum w:abstractNumId="290">
    <w:nsid w:val="ACDFAC0"/>
    <w:multiLevelType w:val="hybridMultilevel"/>
    <w:lvl w:ilvl="0">
      <w:lvlJc w:val="left"/>
      <w:lvlText w:val="%1"/>
      <w:numFmt w:val="lowerLetter"/>
      <w:start w:val="1"/>
    </w:lvl>
    <w:lvl w:ilvl="1">
      <w:lvlJc w:val="left"/>
      <w:lvlText w:val="(%2)"/>
      <w:numFmt w:val="lowerRoman"/>
      <w:start w:val="5"/>
    </w:lvl>
  </w:abstractNum>
  <w:abstractNum w:abstractNumId="291">
    <w:nsid w:val="1F578454"/>
    <w:multiLevelType w:val="hybridMultilevel"/>
    <w:lvl w:ilvl="0">
      <w:lvlJc w:val="left"/>
      <w:lvlText w:val="(%1)"/>
      <w:numFmt w:val="lowerLetter"/>
      <w:start w:val="2"/>
    </w:lvl>
    <w:lvl w:ilvl="1">
      <w:lvlJc w:val="left"/>
      <w:lvlText w:val="%2"/>
      <w:numFmt w:val="lowerRoman"/>
      <w:start w:val="1"/>
    </w:lvl>
  </w:abstractNum>
  <w:abstractNum w:abstractNumId="292">
    <w:nsid w:val="5B0DAD2A"/>
    <w:multiLevelType w:val="hybridMultilevel"/>
    <w:lvl w:ilvl="0">
      <w:lvlJc w:val="left"/>
      <w:lvlText w:val="(%1)"/>
      <w:numFmt w:val="lowerLetter"/>
      <w:start w:val="1"/>
    </w:lvl>
  </w:abstractNum>
  <w:abstractNum w:abstractNumId="293">
    <w:nsid w:val="4E3D26AB"/>
    <w:multiLevelType w:val="hybridMultilevel"/>
    <w:lvl w:ilvl="0">
      <w:lvlJc w:val="left"/>
      <w:lvlText w:val="(%1)"/>
      <w:numFmt w:val="lowerRoman"/>
      <w:start w:val="1"/>
    </w:lvl>
  </w:abstractNum>
  <w:abstractNum w:abstractNumId="294">
    <w:nsid w:val="BE2C8BA"/>
    <w:multiLevelType w:val="hybridMultilevel"/>
    <w:lvl w:ilvl="0">
      <w:lvlJc w:val="left"/>
      <w:lvlText w:val="(%1)"/>
      <w:numFmt w:val="lowerRoman"/>
      <w:start w:val="1"/>
    </w:lvl>
  </w:abstractNum>
  <w:abstractNum w:abstractNumId="295">
    <w:nsid w:val="7B14914E"/>
    <w:multiLevelType w:val="hybridMultilevel"/>
    <w:lvl w:ilvl="0">
      <w:lvlJc w:val="left"/>
      <w:lvlText w:val="(%1)"/>
      <w:numFmt w:val="lowerRoman"/>
      <w:start w:val="7"/>
    </w:lvl>
  </w:abstractNum>
  <w:abstractNum w:abstractNumId="296">
    <w:nsid w:val="6F0939F8"/>
    <w:multiLevelType w:val="hybridMultilevel"/>
    <w:lvl w:ilvl="0">
      <w:lvlJc w:val="left"/>
      <w:lvlText w:val="(%1)"/>
      <w:numFmt w:val="lowerLetter"/>
      <w:start w:val="1"/>
    </w:lvl>
  </w:abstractNum>
  <w:abstractNum w:abstractNumId="297">
    <w:nsid w:val="154291F6"/>
    <w:multiLevelType w:val="hybridMultilevel"/>
    <w:lvl w:ilvl="0">
      <w:lvlJc w:val="left"/>
      <w:lvlText w:val="(%1)"/>
      <w:numFmt w:val="lowerLetter"/>
      <w:start w:val="1"/>
    </w:lvl>
  </w:abstractNum>
  <w:abstractNum w:abstractNumId="298">
    <w:nsid w:val="3CEBD7C7"/>
    <w:multiLevelType w:val="hybridMultilevel"/>
    <w:lvl w:ilvl="0">
      <w:lvlJc w:val="left"/>
      <w:lvlText w:val="(%1)"/>
      <w:numFmt w:val="lowerRoman"/>
      <w:start w:val="1"/>
    </w:lvl>
  </w:abstractNum>
  <w:abstractNum w:abstractNumId="299">
    <w:nsid w:val="60EE9C16"/>
    <w:multiLevelType w:val="hybridMultilevel"/>
    <w:lvl w:ilvl="0">
      <w:lvlJc w:val="left"/>
      <w:lvlText w:val="(%1)"/>
      <w:numFmt w:val="lowerLetter"/>
      <w:start w:val="1"/>
    </w:lvl>
  </w:abstractNum>
  <w:abstractNum w:abstractNumId="300">
    <w:nsid w:val="6385489E"/>
    <w:multiLevelType w:val="hybridMultilevel"/>
    <w:lvl w:ilvl="0">
      <w:lvlJc w:val="left"/>
      <w:lvlText w:val="%1"/>
      <w:numFmt w:val="lowerLetter"/>
      <w:start w:val="1"/>
    </w:lvl>
    <w:lvl w:ilvl="1">
      <w:lvlJc w:val="left"/>
      <w:lvlText w:val="(%2)"/>
      <w:numFmt w:val="lowerRoman"/>
      <w:start w:val="1"/>
    </w:lvl>
  </w:abstractNum>
  <w:abstractNum w:abstractNumId="301">
    <w:nsid w:val="E4B973"/>
    <w:multiLevelType w:val="hybridMultilevel"/>
    <w:lvl w:ilvl="0">
      <w:lvlJc w:val="left"/>
      <w:lvlText w:val="(%1)"/>
      <w:numFmt w:val="lowerLetter"/>
      <w:start w:val="2"/>
    </w:lvl>
    <w:lvl w:ilvl="1">
      <w:lvlJc w:val="left"/>
      <w:lvlText w:val="(%2)"/>
      <w:numFmt w:val="lowerRoman"/>
      <w:start w:val="7"/>
    </w:lvl>
  </w:abstractNum>
  <w:abstractNum w:abstractNumId="302">
    <w:nsid w:val="4A0FFA11"/>
    <w:multiLevelType w:val="hybridMultilevel"/>
    <w:lvl w:ilvl="0">
      <w:lvlJc w:val="left"/>
      <w:lvlText w:val="(%1)"/>
      <w:numFmt w:val="lowerRoman"/>
      <w:start w:val="9"/>
    </w:lvl>
  </w:abstractNum>
  <w:abstractNum w:abstractNumId="303">
    <w:nsid w:val="5E446208"/>
    <w:multiLevelType w:val="hybridMultilevel"/>
    <w:lvl w:ilvl="0">
      <w:lvlJc w:val="left"/>
      <w:lvlText w:val="(%1)"/>
      <w:numFmt w:val="lowerLetter"/>
      <w:start w:val="1"/>
    </w:lvl>
  </w:abstractNum>
  <w:abstractNum w:abstractNumId="304">
    <w:nsid w:val="5F3272DB"/>
    <w:multiLevelType w:val="hybridMultilevel"/>
    <w:lvl w:ilvl="0">
      <w:lvlJc w:val="left"/>
      <w:lvlText w:val="(%1)"/>
      <w:numFmt w:val="lowerLetter"/>
      <w:start w:val="1"/>
    </w:lvl>
  </w:abstractNum>
  <w:abstractNum w:abstractNumId="305">
    <w:nsid w:val="7616D704"/>
    <w:multiLevelType w:val="hybridMultilevel"/>
    <w:lvl w:ilvl="0">
      <w:lvlJc w:val="left"/>
      <w:lvlText w:val="(%1)"/>
      <w:numFmt w:val="lowerLetter"/>
      <w:start w:val="2"/>
    </w:lvl>
  </w:abstractNum>
  <w:abstractNum w:abstractNumId="306">
    <w:nsid w:val="C56F860"/>
    <w:multiLevelType w:val="hybridMultilevel"/>
    <w:lvl w:ilvl="0">
      <w:lvlJc w:val="left"/>
      <w:lvlText w:val="(%1)"/>
      <w:numFmt w:val="lowerLetter"/>
      <w:start w:val="1"/>
    </w:lvl>
  </w:abstractNum>
  <w:abstractNum w:abstractNumId="307">
    <w:nsid w:val="64D17722"/>
    <w:multiLevelType w:val="hybridMultilevel"/>
    <w:lvl w:ilvl="0">
      <w:lvlJc w:val="left"/>
      <w:lvlText w:val="(%1)"/>
      <w:numFmt w:val="upperLetter"/>
      <w:start w:val="3"/>
    </w:lvl>
  </w:abstractNum>
  <w:abstractNum w:abstractNumId="308">
    <w:nsid w:val="7924CA0A"/>
    <w:multiLevelType w:val="hybridMultilevel"/>
    <w:lvl w:ilvl="0">
      <w:lvlJc w:val="left"/>
      <w:lvlText w:val="1"/>
      <w:numFmt w:val="bullet"/>
      <w:start w:val="1"/>
    </w:lvl>
  </w:abstractNum>
  <w:abstractNum w:abstractNumId="309">
    <w:nsid w:val="CFD4EA7"/>
    <w:multiLevelType w:val="hybridMultilevel"/>
    <w:lvl w:ilvl="0">
      <w:lvlJc w:val="left"/>
      <w:lvlText w:val="%1."/>
      <w:numFmt w:val="decimal"/>
      <w:start w:val="1"/>
    </w:lvl>
  </w:abstractNum>
  <w:abstractNum w:abstractNumId="310">
    <w:nsid w:val="232FCF4D"/>
    <w:multiLevelType w:val="hybridMultilevel"/>
    <w:lvl w:ilvl="0">
      <w:lvlJc w:val="left"/>
      <w:lvlText w:val="%1."/>
      <w:numFmt w:val="decimal"/>
      <w:start w:val="6"/>
    </w:lvl>
  </w:abstractNum>
  <w:abstractNum w:abstractNumId="311">
    <w:nsid w:val="1EA21031"/>
    <w:multiLevelType w:val="hybridMultilevel"/>
    <w:lvl w:ilvl="0">
      <w:lvlJc w:val="left"/>
      <w:lvlText w:val="(%1)"/>
      <w:numFmt w:val="lowerRoman"/>
      <w:start w:val="2"/>
    </w:lvl>
  </w:abstractNum>
  <w:abstractNum w:abstractNumId="312">
    <w:nsid w:val="67A5A6B5"/>
    <w:multiLevelType w:val="hybridMultilevel"/>
    <w:lvl w:ilvl="0">
      <w:lvlJc w:val="left"/>
      <w:lvlText w:val="(%1)"/>
      <w:numFmt w:val="lowerLetter"/>
      <w:start w:val="1"/>
    </w:lvl>
  </w:abstractNum>
  <w:abstractNum w:abstractNumId="313">
    <w:nsid w:val="C2A5C5B"/>
    <w:multiLevelType w:val="hybridMultilevel"/>
    <w:lvl w:ilvl="0">
      <w:lvlJc w:val="left"/>
      <w:lvlText w:val="(%1)"/>
      <w:numFmt w:val="lowerLetter"/>
      <w:start w:val="1"/>
    </w:lvl>
  </w:abstractNum>
  <w:abstractNum w:abstractNumId="314">
    <w:nsid w:val="5F94DC03"/>
    <w:multiLevelType w:val="hybridMultilevel"/>
    <w:lvl w:ilvl="0">
      <w:lvlJc w:val="left"/>
      <w:lvlText w:val="(%1)"/>
      <w:numFmt w:val="lowerLetter"/>
      <w:start w:val="6"/>
    </w:lvl>
  </w:abstractNum>
  <w:abstractNum w:abstractNumId="315">
    <w:nsid w:val="237BBCA0"/>
    <w:multiLevelType w:val="hybridMultilevel"/>
    <w:lvl w:ilvl="0">
      <w:lvlJc w:val="left"/>
      <w:lvlText w:val="(%1)"/>
      <w:numFmt w:val="lowerLetter"/>
      <w:start w:val="1"/>
    </w:lvl>
  </w:abstractNum>
  <w:abstractNum w:abstractNumId="316">
    <w:nsid w:val="162EB70D"/>
    <w:multiLevelType w:val="hybridMultilevel"/>
    <w:lvl w:ilvl="0">
      <w:lvlJc w:val="left"/>
      <w:lvlText w:val="(%1)"/>
      <w:numFmt w:val="lowerLetter"/>
      <w:start w:val="1"/>
    </w:lvl>
  </w:abstractNum>
  <w:abstractNum w:abstractNumId="317">
    <w:nsid w:val="78070222"/>
    <w:multiLevelType w:val="hybridMultilevel"/>
    <w:lvl w:ilvl="0">
      <w:lvlJc w:val="left"/>
      <w:lvlText w:val="(%1)"/>
      <w:numFmt w:val="lowerLetter"/>
      <w:start w:val="6"/>
    </w:lvl>
  </w:abstractNum>
  <w:abstractNum w:abstractNumId="318">
    <w:nsid w:val="6163ED0D"/>
    <w:multiLevelType w:val="hybridMultilevel"/>
    <w:lvl w:ilvl="0">
      <w:lvlJc w:val="left"/>
      <w:lvlText w:val="(%1)"/>
      <w:numFmt w:val="lowerLetter"/>
      <w:start w:val="1"/>
    </w:lvl>
  </w:abstractNum>
  <w:abstractNum w:abstractNumId="319">
    <w:nsid w:val="C600E47"/>
    <w:multiLevelType w:val="hybridMultilevel"/>
    <w:lvl w:ilvl="0">
      <w:lvlJc w:val="left"/>
      <w:lvlText w:val="(%1)"/>
      <w:numFmt w:val="lowerLetter"/>
      <w:start w:val="1"/>
    </w:lvl>
  </w:abstractNum>
  <w:abstractNum w:abstractNumId="320">
    <w:nsid w:val="7D94F75D"/>
    <w:multiLevelType w:val="hybridMultilevel"/>
    <w:lvl w:ilvl="0">
      <w:lvlJc w:val="left"/>
      <w:lvlText w:val="(%1)"/>
      <w:numFmt w:val="lowerLetter"/>
      <w:start w:val="2"/>
    </w:lvl>
  </w:abstractNum>
  <w:abstractNum w:abstractNumId="321">
    <w:nsid w:val="6C31E7CD"/>
    <w:multiLevelType w:val="hybridMultilevel"/>
    <w:lvl w:ilvl="0">
      <w:lvlJc w:val="left"/>
      <w:lvlText w:val="(%1)"/>
      <w:numFmt w:val="lowerLetter"/>
      <w:start w:val="1"/>
    </w:lvl>
  </w:abstractNum>
  <w:abstractNum w:abstractNumId="322">
    <w:nsid w:val="2BB7929B"/>
    <w:multiLevelType w:val="hybridMultilevel"/>
    <w:lvl w:ilvl="0">
      <w:lvlJc w:val="left"/>
      <w:lvlText w:val="(%1)"/>
      <w:numFmt w:val="lowerLetter"/>
      <w:start w:val="2"/>
    </w:lvl>
  </w:abstractNum>
  <w:abstractNum w:abstractNumId="323">
    <w:nsid w:val="58A2A487"/>
    <w:multiLevelType w:val="hybridMultilevel"/>
    <w:lvl w:ilvl="0">
      <w:lvlJc w:val="left"/>
      <w:lvlText w:val="(%1)"/>
      <w:numFmt w:val="lowerLetter"/>
      <w:start w:val="5"/>
    </w:lvl>
  </w:abstractNum>
  <w:abstractNum w:abstractNumId="324">
    <w:nsid w:val="3A6F0E78"/>
    <w:multiLevelType w:val="hybridMultilevel"/>
    <w:lvl w:ilvl="0">
      <w:lvlJc w:val="left"/>
      <w:lvlText w:val="(%1)"/>
      <w:numFmt w:val="lowerLetter"/>
      <w:start w:val="1"/>
    </w:lvl>
  </w:abstractNum>
  <w:abstractNum w:abstractNumId="325">
    <w:nsid w:val="379A5B56"/>
    <w:multiLevelType w:val="hybridMultilevel"/>
    <w:lvl w:ilvl="0">
      <w:lvlJc w:val="left"/>
      <w:lvlText w:val="(%1)"/>
      <w:numFmt w:val="lowerLetter"/>
      <w:start w:val="2"/>
    </w:lvl>
  </w:abstractNum>
  <w:abstractNum w:abstractNumId="326">
    <w:nsid w:val="53B735D5"/>
    <w:multiLevelType w:val="hybridMultilevel"/>
    <w:lvl w:ilvl="0">
      <w:lvlJc w:val="left"/>
      <w:lvlText w:val="(%1)"/>
      <w:numFmt w:val="lowerLetter"/>
      <w:start w:val="1"/>
    </w:lvl>
  </w:abstractNum>
  <w:abstractNum w:abstractNumId="327">
    <w:nsid w:val="29784870"/>
    <w:multiLevelType w:val="hybridMultilevel"/>
    <w:lvl w:ilvl="0">
      <w:lvlJc w:val="left"/>
      <w:lvlText w:val="(%1)"/>
      <w:numFmt w:val="lowerLetter"/>
      <w:start w:val="2"/>
    </w:lvl>
  </w:abstractNum>
  <w:abstractNum w:abstractNumId="328">
    <w:nsid w:val="4CDCED4C"/>
    <w:multiLevelType w:val="hybridMultilevel"/>
    <w:lvl w:ilvl="0">
      <w:lvlJc w:val="left"/>
      <w:lvlText w:val="(%1)"/>
      <w:numFmt w:val="lowerLetter"/>
      <w:start w:val="1"/>
    </w:lvl>
  </w:abstractNum>
  <w:abstractNum w:abstractNumId="329">
    <w:nsid w:val="10A30D9C"/>
    <w:multiLevelType w:val="hybridMultilevel"/>
    <w:lvl w:ilvl="0">
      <w:lvlJc w:val="left"/>
      <w:lvlText w:val="(%1)"/>
      <w:numFmt w:val="lowerLetter"/>
      <w:start w:val="1"/>
    </w:lvl>
  </w:abstractNum>
  <w:abstractNum w:abstractNumId="330">
    <w:nsid w:val="A66E486"/>
    <w:multiLevelType w:val="hybridMultilevel"/>
    <w:lvl w:ilvl="0">
      <w:lvlJc w:val="left"/>
      <w:lvlText w:val="(%1)"/>
      <w:numFmt w:val="lowerRoman"/>
      <w:start w:val="1"/>
    </w:lvl>
  </w:abstractNum>
  <w:abstractNum w:abstractNumId="331">
    <w:nsid w:val="306235EA"/>
    <w:multiLevelType w:val="hybridMultilevel"/>
    <w:lvl w:ilvl="0">
      <w:lvlJc w:val="left"/>
      <w:lvlText w:val="(%1)"/>
      <w:numFmt w:val="lowerRoman"/>
      <w:start w:val="6"/>
    </w:lvl>
  </w:abstractNum>
  <w:abstractNum w:abstractNumId="332">
    <w:nsid w:val="1187C70F"/>
    <w:multiLevelType w:val="hybridMultilevel"/>
    <w:lvl w:ilvl="0">
      <w:lvlJc w:val="left"/>
      <w:lvlText w:val="(%1)"/>
      <w:numFmt w:val="lowerLetter"/>
      <w:start w:val="2"/>
    </w:lvl>
  </w:abstractNum>
  <w:abstractNum w:abstractNumId="333">
    <w:nsid w:val="5476DE98"/>
    <w:multiLevelType w:val="hybridMultilevel"/>
    <w:lvl w:ilvl="0">
      <w:lvlJc w:val="left"/>
      <w:lvlText w:val="(%1)"/>
      <w:numFmt w:val="lowerLetter"/>
      <w:start w:val="1"/>
    </w:lvl>
  </w:abstractNum>
  <w:abstractNum w:abstractNumId="334">
    <w:nsid w:val="EA697F2"/>
    <w:multiLevelType w:val="hybridMultilevel"/>
    <w:lvl w:ilvl="0">
      <w:lvlJc w:val="left"/>
      <w:lvlText w:val="(%1)"/>
      <w:numFmt w:val="lowerLetter"/>
      <w:start w:val="2"/>
    </w:lvl>
  </w:abstractNum>
  <w:abstractNum w:abstractNumId="335">
    <w:nsid w:val="70BA39EB"/>
    <w:multiLevelType w:val="hybridMultilevel"/>
    <w:lvl w:ilvl="0">
      <w:lvlJc w:val="left"/>
      <w:lvlText w:val="(%1)"/>
      <w:numFmt w:val="lowerLetter"/>
      <w:start w:val="1"/>
    </w:lvl>
  </w:abstractNum>
  <w:abstractNum w:abstractNumId="336">
    <w:nsid w:val="4A8DB59C"/>
    <w:multiLevelType w:val="hybridMultilevel"/>
    <w:lvl w:ilvl="0">
      <w:lvlJc w:val="left"/>
      <w:lvlText w:val="(%1)"/>
      <w:numFmt w:val="lowerLetter"/>
      <w:start w:val="3"/>
    </w:lvl>
  </w:abstractNum>
  <w:abstractNum w:abstractNumId="337">
    <w:nsid w:val="1AFD9053"/>
    <w:multiLevelType w:val="hybridMultilevel"/>
    <w:lvl w:ilvl="0">
      <w:lvlJc w:val="left"/>
      <w:lvlText w:val="(%1)"/>
      <w:numFmt w:val="decimal"/>
      <w:start w:val="5"/>
    </w:lvl>
  </w:abstractNum>
  <w:abstractNum w:abstractNumId="338">
    <w:nsid w:val="558BB10D"/>
    <w:multiLevelType w:val="hybridMultilevel"/>
    <w:lvl w:ilvl="0">
      <w:lvlJc w:val="left"/>
      <w:lvlText w:val="(%1)"/>
      <w:numFmt w:val="lowerLetter"/>
      <w:start w:val="5"/>
    </w:lvl>
  </w:abstractNum>
  <w:abstractNum w:abstractNumId="339">
    <w:nsid w:val="43B27FA7"/>
    <w:multiLevelType w:val="hybridMultilevel"/>
    <w:lvl w:ilvl="0">
      <w:lvlJc w:val="left"/>
      <w:lvlText w:val="(%1)"/>
      <w:numFmt w:val="lowerLetter"/>
      <w:start w:val="1"/>
    </w:lvl>
  </w:abstractNum>
  <w:abstractNum w:abstractNumId="340">
    <w:nsid w:val="27FADEFA"/>
    <w:multiLevelType w:val="hybridMultilevel"/>
    <w:lvl w:ilvl="0">
      <w:lvlJc w:val="left"/>
      <w:lvlText w:val="%1"/>
      <w:numFmt w:val="lowerLetter"/>
      <w:start w:val="1"/>
    </w:lvl>
    <w:lvl w:ilvl="1">
      <w:lvlJc w:val="left"/>
      <w:lvlText w:val="(%2)"/>
      <w:numFmt w:val="lowerLetter"/>
      <w:start w:val="2"/>
    </w:lvl>
  </w:abstractNum>
  <w:abstractNum w:abstractNumId="341">
    <w:nsid w:val="78BB805A"/>
    <w:multiLevelType w:val="hybridMultilevel"/>
    <w:lvl w:ilvl="0">
      <w:lvlJc w:val="left"/>
      <w:lvlText w:val="(%1)"/>
      <w:numFmt w:val="lowerLetter"/>
      <w:start w:val="35"/>
    </w:lvl>
    <w:lvl w:ilvl="1">
      <w:lvlJc w:val="left"/>
      <w:lvlText w:val="%2"/>
      <w:numFmt w:val="lowerLetter"/>
      <w:start w:val="1"/>
    </w:lvl>
  </w:abstractNum>
  <w:abstractNum w:abstractNumId="342">
    <w:nsid w:val="62548FD8"/>
    <w:multiLevelType w:val="hybridMultilevel"/>
    <w:lvl w:ilvl="0">
      <w:lvlJc w:val="left"/>
      <w:lvlText w:val="(%1)"/>
      <w:numFmt w:val="lowerLetter"/>
      <w:start w:val="8"/>
    </w:lvl>
  </w:abstractNum>
  <w:abstractNum w:abstractNumId="343">
    <w:nsid w:val="FA085B0"/>
    <w:multiLevelType w:val="hybridMultilevel"/>
    <w:lvl w:ilvl="0">
      <w:lvlJc w:val="left"/>
      <w:lvlText w:val="(%1)"/>
      <w:numFmt w:val="lowerLetter"/>
      <w:start w:val="1"/>
    </w:lvl>
  </w:abstractNum>
  <w:abstractNum w:abstractNumId="344">
    <w:nsid w:val="4E5DCB5"/>
    <w:multiLevelType w:val="hybridMultilevel"/>
    <w:lvl w:ilvl="0">
      <w:lvlJc w:val="left"/>
      <w:lvlText w:val="(%1)"/>
      <w:numFmt w:val="lowerLetter"/>
      <w:start w:val="1"/>
    </w:lvl>
  </w:abstractNum>
  <w:abstractNum w:abstractNumId="345">
    <w:nsid w:val="41E96BDB"/>
    <w:multiLevelType w:val="hybridMultilevel"/>
    <w:lvl w:ilvl="0">
      <w:lvlJc w:val="left"/>
      <w:lvlText w:val="(%1)"/>
      <w:numFmt w:val="lowerLetter"/>
      <w:start w:val="1"/>
    </w:lvl>
  </w:abstractNum>
  <w:abstractNum w:abstractNumId="346">
    <w:nsid w:val="331C4250"/>
    <w:multiLevelType w:val="hybridMultilevel"/>
    <w:lvl w:ilvl="0">
      <w:lvlJc w:val="left"/>
      <w:lvlText w:val="(%1)"/>
      <w:numFmt w:val="lowerLetter"/>
      <w:start w:val="2"/>
    </w:lvl>
  </w:abstractNum>
  <w:abstractNum w:abstractNumId="347">
    <w:nsid w:val="1B1493C2"/>
    <w:multiLevelType w:val="hybridMultilevel"/>
    <w:lvl w:ilvl="0">
      <w:lvlJc w:val="left"/>
      <w:lvlText w:val="%1"/>
      <w:numFmt w:val="lowerLetter"/>
      <w:start w:val="1"/>
    </w:lvl>
    <w:lvl w:ilvl="1">
      <w:lvlJc w:val="left"/>
      <w:lvlText w:val="(%2)"/>
      <w:numFmt w:val="lowerLetter"/>
      <w:start w:val="1"/>
    </w:lvl>
  </w:abstractNum>
  <w:abstractNum w:abstractNumId="348">
    <w:nsid w:val="39F06DFD"/>
    <w:multiLevelType w:val="hybridMultilevel"/>
    <w:lvl w:ilvl="0">
      <w:lvlJc w:val="left"/>
      <w:lvlText w:val="(%1)"/>
      <w:numFmt w:val="lowerLetter"/>
      <w:start w:val="9"/>
    </w:lvl>
    <w:lvl w:ilvl="1">
      <w:lvlJc w:val="left"/>
      <w:lvlText w:val="%2"/>
      <w:numFmt w:val="lowerLetter"/>
      <w:start w:val="1"/>
    </w:lvl>
  </w:abstractNum>
  <w:abstractNum w:abstractNumId="349">
    <w:nsid w:val="14802F5D"/>
    <w:multiLevelType w:val="hybridMultilevel"/>
    <w:lvl w:ilvl="0">
      <w:lvlJc w:val="left"/>
      <w:lvlText w:val="(%1)"/>
      <w:numFmt w:val="lowerLetter"/>
      <w:start w:val="2"/>
    </w:lvl>
  </w:abstractNum>
  <w:abstractNum w:abstractNumId="350">
    <w:nsid w:val="2774A209"/>
    <w:multiLevelType w:val="hybridMultilevel"/>
    <w:lvl w:ilvl="0">
      <w:lvlJc w:val="left"/>
      <w:lvlText w:val="(%1)"/>
      <w:numFmt w:val="lowerLetter"/>
      <w:start w:val="1"/>
    </w:lvl>
    <w:lvl w:ilvl="1">
      <w:lvlJc w:val="left"/>
      <w:lvlText w:val="(%2)"/>
      <w:numFmt w:val="lowerRoman"/>
      <w:start w:val="1"/>
    </w:lvl>
  </w:abstractNum>
  <w:abstractNum w:abstractNumId="351">
    <w:nsid w:val="3785655A"/>
    <w:multiLevelType w:val="hybridMultilevel"/>
    <w:lvl w:ilvl="0">
      <w:lvlJc w:val="left"/>
      <w:lvlText w:val="(%1)"/>
      <w:numFmt w:val="lowerRoman"/>
      <w:start w:val="2"/>
    </w:lvl>
  </w:abstractNum>
  <w:abstractNum w:abstractNumId="352">
    <w:nsid w:val="B2172A"/>
    <w:multiLevelType w:val="hybridMultilevel"/>
    <w:lvl w:ilvl="0">
      <w:lvlJc w:val="left"/>
      <w:lvlText w:val="(%1)"/>
      <w:numFmt w:val="lowerLetter"/>
      <w:start w:val="3"/>
    </w:lvl>
  </w:abstractNum>
  <w:abstractNum w:abstractNumId="353">
    <w:nsid w:val="532C34A5"/>
    <w:multiLevelType w:val="hybridMultilevel"/>
    <w:lvl w:ilvl="0">
      <w:lvlJc w:val="left"/>
      <w:lvlText w:val="(%1)"/>
      <w:numFmt w:val="lowerLetter"/>
      <w:start w:val="1"/>
    </w:lvl>
  </w:abstractNum>
  <w:abstractNum w:abstractNumId="354">
    <w:nsid w:val="102809E2"/>
    <w:multiLevelType w:val="hybridMultilevel"/>
    <w:lvl w:ilvl="0">
      <w:lvlJc w:val="left"/>
      <w:lvlText w:val="(%1)"/>
      <w:numFmt w:val="lowerLetter"/>
      <w:start w:val="1"/>
    </w:lvl>
  </w:abstractNum>
  <w:abstractNum w:abstractNumId="355">
    <w:nsid w:val="3B2125A3"/>
    <w:multiLevelType w:val="hybridMultilevel"/>
    <w:lvl w:ilvl="0">
      <w:lvlJc w:val="left"/>
      <w:lvlText w:val="(%1)"/>
      <w:numFmt w:val="lowerLetter"/>
      <w:start w:val="2"/>
    </w:lvl>
  </w:abstractNum>
  <w:abstractNum w:abstractNumId="356">
    <w:nsid w:val="AC68FFB"/>
    <w:multiLevelType w:val="hybridMultilevel"/>
    <w:lvl w:ilvl="0">
      <w:lvlJc w:val="left"/>
      <w:lvlText w:val="(%1)"/>
      <w:numFmt w:val="lowerLetter"/>
      <w:start w:val="1"/>
    </w:lvl>
  </w:abstractNum>
  <w:abstractNum w:abstractNumId="357">
    <w:nsid w:val="63DF3FB7"/>
    <w:multiLevelType w:val="hybridMultilevel"/>
    <w:lvl w:ilvl="0">
      <w:lvlJc w:val="left"/>
      <w:lvlText w:val="(%1)"/>
      <w:numFmt w:val="lowerLetter"/>
      <w:start w:val="3"/>
    </w:lvl>
  </w:abstractNum>
  <w:abstractNum w:abstractNumId="358">
    <w:nsid w:val="64996E13"/>
    <w:multiLevelType w:val="hybridMultilevel"/>
    <w:lvl w:ilvl="0">
      <w:lvlJc w:val="left"/>
      <w:lvlText w:val="(%1)"/>
      <w:numFmt w:val="lowerLetter"/>
      <w:start w:val="1"/>
    </w:lvl>
  </w:abstractNum>
  <w:abstractNum w:abstractNumId="359">
    <w:nsid w:val="57A37D47"/>
    <w:multiLevelType w:val="hybridMultilevel"/>
    <w:lvl w:ilvl="0">
      <w:lvlJc w:val="left"/>
      <w:lvlText w:val="(%1)"/>
      <w:numFmt w:val="lowerLetter"/>
      <w:start w:val="6"/>
    </w:lvl>
  </w:abstractNum>
  <w:abstractNum w:abstractNumId="360">
    <w:nsid w:val="74824D54"/>
    <w:multiLevelType w:val="hybridMultilevel"/>
    <w:lvl w:ilvl="0">
      <w:lvlJc w:val="left"/>
      <w:lvlText w:val="(%1)"/>
      <w:numFmt w:val="lowerLetter"/>
      <w:start w:val="11"/>
    </w:lvl>
  </w:abstractNum>
  <w:abstractNum w:abstractNumId="361">
    <w:nsid w:val="6F00529A"/>
    <w:multiLevelType w:val="hybridMultilevel"/>
    <w:lvl w:ilvl="0">
      <w:lvlJc w:val="left"/>
      <w:lvlText w:val="(%1)"/>
      <w:numFmt w:val="lowerLetter"/>
      <w:start w:val="1"/>
    </w:lvl>
  </w:abstractNum>
  <w:abstractNum w:abstractNumId="362">
    <w:nsid w:val="805B331"/>
    <w:multiLevelType w:val="hybridMultilevel"/>
    <w:lvl w:ilvl="0">
      <w:lvlJc w:val="left"/>
      <w:lvlText w:val="(%1)"/>
      <w:numFmt w:val="lowerLetter"/>
      <w:start w:val="2"/>
    </w:lvl>
  </w:abstractNum>
  <w:abstractNum w:abstractNumId="363">
    <w:nsid w:val="60A1463"/>
    <w:multiLevelType w:val="hybridMultilevel"/>
    <w:lvl w:ilvl="0">
      <w:lvlJc w:val="left"/>
      <w:lvlText w:val="(%1)"/>
      <w:numFmt w:val="lowerLetter"/>
      <w:start w:val="1"/>
    </w:lvl>
  </w:abstractNum>
  <w:abstractNum w:abstractNumId="364">
    <w:nsid w:val="43773132"/>
    <w:multiLevelType w:val="hybridMultilevel"/>
    <w:lvl w:ilvl="0">
      <w:lvlJc w:val="left"/>
      <w:lvlText w:val="(%1)"/>
      <w:numFmt w:val="lowerLetter"/>
      <w:start w:val="1"/>
    </w:lvl>
  </w:abstractNum>
  <w:abstractNum w:abstractNumId="365">
    <w:nsid w:val="16AC4B23"/>
    <w:multiLevelType w:val="hybridMultilevel"/>
    <w:lvl w:ilvl="0">
      <w:lvlJc w:val="left"/>
      <w:lvlText w:val="(%1)"/>
      <w:numFmt w:val="lowerLetter"/>
      <w:start w:val="2"/>
    </w:lvl>
  </w:abstractNum>
  <w:abstractNum w:abstractNumId="366">
    <w:nsid w:val="76C44E4E"/>
    <w:multiLevelType w:val="hybridMultilevel"/>
    <w:lvl w:ilvl="0">
      <w:lvlJc w:val="left"/>
      <w:lvlText w:val="(%1)"/>
      <w:numFmt w:val="lowerLetter"/>
      <w:start w:val="1"/>
    </w:lvl>
  </w:abstractNum>
  <w:abstractNum w:abstractNumId="367">
    <w:nsid w:val="E04E6CE"/>
    <w:multiLevelType w:val="hybridMultilevel"/>
    <w:lvl w:ilvl="0">
      <w:lvlJc w:val="left"/>
      <w:lvlText w:val="(%1)"/>
      <w:numFmt w:val="lowerLetter"/>
      <w:start w:val="4"/>
    </w:lvl>
  </w:abstractNum>
  <w:abstractNum w:abstractNumId="368">
    <w:nsid w:val="31A9DB76"/>
    <w:multiLevelType w:val="hybridMultilevel"/>
    <w:lvl w:ilvl="0">
      <w:lvlJc w:val="left"/>
      <w:lvlText w:val="(%1)"/>
      <w:numFmt w:val="lowerLetter"/>
      <w:start w:val="1"/>
    </w:lvl>
  </w:abstractNum>
  <w:abstractNum w:abstractNumId="369">
    <w:nsid w:val="4C4FFF5B"/>
    <w:multiLevelType w:val="hybridMultilevel"/>
    <w:lvl w:ilvl="0">
      <w:lvlJc w:val="left"/>
      <w:lvlText w:val="(%1)"/>
      <w:numFmt w:val="lowerLetter"/>
      <w:start w:val="2"/>
    </w:lvl>
  </w:abstractNum>
  <w:abstractNum w:abstractNumId="370">
    <w:nsid w:val="51B76675"/>
    <w:multiLevelType w:val="hybridMultilevel"/>
    <w:lvl w:ilvl="0">
      <w:lvlJc w:val="left"/>
      <w:lvlText w:val="(%1)"/>
      <w:numFmt w:val="lowerLetter"/>
      <w:start w:val="1"/>
    </w:lvl>
  </w:abstractNum>
  <w:abstractNum w:abstractNumId="371">
    <w:nsid w:val="59A4BA71"/>
    <w:multiLevelType w:val="hybridMultilevel"/>
    <w:lvl w:ilvl="0">
      <w:lvlJc w:val="left"/>
      <w:lvlText w:val="(%1)"/>
      <w:numFmt w:val="lowerLetter"/>
      <w:start w:val="4"/>
    </w:lvl>
  </w:abstractNum>
  <w:abstractNum w:abstractNumId="372">
    <w:nsid w:val="450B7FB6"/>
    <w:multiLevelType w:val="hybridMultilevel"/>
    <w:lvl w:ilvl="0">
      <w:lvlJc w:val="left"/>
      <w:lvlText w:val="(%1)"/>
      <w:numFmt w:val="lowerLetter"/>
      <w:start w:val="1"/>
    </w:lvl>
  </w:abstractNum>
  <w:abstractNum w:abstractNumId="373">
    <w:nsid w:val="340BF64D"/>
    <w:multiLevelType w:val="hybridMultilevel"/>
    <w:lvl w:ilvl="0">
      <w:lvlJc w:val="left"/>
      <w:lvlText w:val="(%1)"/>
      <w:numFmt w:val="lowerLetter"/>
      <w:start w:val="1"/>
    </w:lvl>
  </w:abstractNum>
  <w:abstractNum w:abstractNumId="374">
    <w:nsid w:val="69454021"/>
    <w:multiLevelType w:val="hybridMultilevel"/>
    <w:lvl w:ilvl="0">
      <w:lvlJc w:val="left"/>
      <w:lvlText w:val="(%1)"/>
      <w:numFmt w:val="lowerLetter"/>
      <w:start w:val="1"/>
    </w:lvl>
  </w:abstractNum>
  <w:abstractNum w:abstractNumId="375">
    <w:nsid w:val="49F15C6B"/>
    <w:multiLevelType w:val="hybridMultilevel"/>
    <w:lvl w:ilvl="0">
      <w:lvlJc w:val="left"/>
      <w:lvlText w:val="(%1)"/>
      <w:numFmt w:val="lowerLetter"/>
      <w:start w:val="1"/>
    </w:lvl>
    <w:lvl w:ilvl="1">
      <w:lvlJc w:val="left"/>
      <w:lvlText w:val="(%2)"/>
      <w:numFmt w:val="lowerRoman"/>
      <w:start w:val="1"/>
    </w:lvl>
  </w:abstractNum>
  <w:abstractNum w:abstractNumId="376">
    <w:nsid w:val="75F56228"/>
    <w:multiLevelType w:val="hybridMultilevel"/>
    <w:lvl w:ilvl="0">
      <w:lvlJc w:val="left"/>
      <w:lvlText w:val="(%1)"/>
      <w:numFmt w:val="lowerLetter"/>
      <w:start w:val="4"/>
    </w:lvl>
  </w:abstractNum>
  <w:abstractNum w:abstractNumId="377">
    <w:nsid w:val="1C618271"/>
    <w:multiLevelType w:val="hybridMultilevel"/>
    <w:lvl w:ilvl="0">
      <w:lvlJc w:val="left"/>
      <w:lvlText w:val="(%1)"/>
      <w:numFmt w:val="upperLetter"/>
      <w:start w:val="2"/>
    </w:lvl>
  </w:abstractNum>
  <w:abstractNum w:abstractNumId="378">
    <w:nsid w:val="6505F02E"/>
    <w:multiLevelType w:val="hybridMultilevel"/>
    <w:lvl w:ilvl="0">
      <w:lvlJc w:val="left"/>
      <w:lvlText w:val="(%1)"/>
      <w:numFmt w:val="decimal"/>
      <w:start w:val="95"/>
    </w:lvl>
  </w:abstractNum>
  <w:abstractNum w:abstractNumId="379">
    <w:nsid w:val="2FE5D025"/>
    <w:multiLevelType w:val="hybridMultilevel"/>
    <w:lvl w:ilvl="0">
      <w:lvlJc w:val="left"/>
      <w:lvlText w:val="*"/>
      <w:numFmt w:val="bullet"/>
      <w:start w:val="1"/>
    </w:lvl>
  </w:abstractNum>
  <w:abstractNum w:abstractNumId="380">
    <w:nsid w:val="30E1B1CF"/>
    <w:multiLevelType w:val="hybridMultilevel"/>
    <w:lvl w:ilvl="0">
      <w:lvlJc w:val="left"/>
      <w:lvlText w:val="%1."/>
      <w:numFmt w:val="decimal"/>
      <w:start w:val="1"/>
    </w:lvl>
  </w:abstractNum>
  <w:abstractNum w:abstractNumId="381">
    <w:nsid w:val="C7A9237"/>
    <w:multiLevelType w:val="hybridMultilevel"/>
    <w:lvl w:ilvl="0">
      <w:lvlJc w:val="left"/>
      <w:lvlText w:val="%1."/>
      <w:numFmt w:val="decimal"/>
      <w:start w:val="2"/>
    </w:lvl>
    <w:lvl w:ilvl="1">
      <w:lvlJc w:val="left"/>
      <w:lvlText w:val="(%2)"/>
      <w:numFmt w:val="lowerLetter"/>
      <w:start w:val="1"/>
    </w:lvl>
  </w:abstractNum>
  <w:abstractNum w:abstractNumId="382">
    <w:nsid w:val="676B3580"/>
    <w:multiLevelType w:val="hybridMultilevel"/>
    <w:lvl w:ilvl="0">
      <w:lvlJc w:val="left"/>
      <w:lvlText w:val="(%1)"/>
      <w:numFmt w:val="lowerLetter"/>
      <w:start w:val="2"/>
    </w:lvl>
  </w:abstractNum>
  <w:abstractNum w:abstractNumId="383">
    <w:nsid w:val="3193C8F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84">
    <w:nsid w:val="5FA6C6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5">
    <w:nsid w:val="77933F62"/>
    <w:multiLevelType w:val="hybridMultilevel"/>
    <w:lvl w:ilvl="0">
      <w:lvlJc w:val="left"/>
      <w:lvlText w:val="%1."/>
      <w:numFmt w:val="decimal"/>
      <w:start w:val="7"/>
    </w:lvl>
  </w:abstractNum>
  <w:abstractNum w:abstractNumId="386">
    <w:nsid w:val="6CB4EE9C"/>
    <w:multiLevelType w:val="hybridMultilevel"/>
    <w:lvl w:ilvl="0">
      <w:lvlJc w:val="left"/>
      <w:lvlText w:val="%1."/>
      <w:numFmt w:val="decimal"/>
      <w:start w:val="10"/>
    </w:lvl>
  </w:abstractNum>
  <w:abstractNum w:abstractNumId="387">
    <w:nsid w:val="6A6D56D7"/>
    <w:multiLevelType w:val="hybridMultilevel"/>
    <w:lvl w:ilvl="0">
      <w:lvlJc w:val="left"/>
      <w:lvlText w:val="%1."/>
      <w:numFmt w:val="decimal"/>
      <w:start w:val="11"/>
    </w:lvl>
  </w:abstractNum>
  <w:abstractNum w:abstractNumId="388">
    <w:nsid w:val="5B727F19"/>
    <w:multiLevelType w:val="hybridMultilevel"/>
    <w:lvl w:ilvl="0">
      <w:lvlJc w:val="left"/>
      <w:lvlText w:val="%1."/>
      <w:numFmt w:val="decimal"/>
      <w:start w:val="14"/>
    </w:lvl>
  </w:abstractNum>
  <w:abstractNum w:abstractNumId="389">
    <w:nsid w:val="514E5CB0"/>
    <w:multiLevelType w:val="hybridMultilevel"/>
    <w:lvl w:ilvl="0">
      <w:lvlJc w:val="left"/>
      <w:lvlText w:val="%1"/>
      <w:numFmt w:val="lowerLetter"/>
      <w:start w:val="1"/>
    </w:lvl>
    <w:lvl w:ilvl="1">
      <w:lvlJc w:val="left"/>
      <w:lvlText w:val="(%2)"/>
      <w:numFmt w:val="lowerLetter"/>
      <w:start w:val="1"/>
    </w:lvl>
  </w:abstractNum>
  <w:abstractNum w:abstractNumId="390">
    <w:nsid w:val="4210D41E"/>
    <w:multiLevelType w:val="hybridMultilevel"/>
    <w:lvl w:ilvl="0">
      <w:lvlJc w:val="left"/>
      <w:lvlText w:val="(%1)"/>
      <w:numFmt w:val="lowerLetter"/>
      <w:start w:val="35"/>
    </w:lvl>
    <w:lvl w:ilvl="1">
      <w:lvlJc w:val="left"/>
      <w:lvlText w:val="%2"/>
      <w:numFmt w:val="lowerLetter"/>
      <w:start w:val="1"/>
    </w:lvl>
  </w:abstractNum>
  <w:abstractNum w:abstractNumId="391">
    <w:nsid w:val="4FF4CC6D"/>
    <w:multiLevelType w:val="hybridMultilevel"/>
    <w:lvl w:ilvl="0">
      <w:lvlJc w:val="left"/>
      <w:lvlText w:val="(%1)"/>
      <w:numFmt w:val="lowerLetter"/>
      <w:start w:val="2"/>
    </w:lvl>
  </w:abstractNum>
  <w:abstractNum w:abstractNumId="392">
    <w:nsid w:val="404EAF4A"/>
    <w:multiLevelType w:val="hybridMultilevel"/>
    <w:lvl w:ilvl="0">
      <w:lvlJc w:val="left"/>
      <w:lvlText w:val="(%1)"/>
      <w:numFmt w:val="lowerLetter"/>
      <w:start w:val="1"/>
    </w:lvl>
  </w:abstractNum>
  <w:abstractNum w:abstractNumId="393">
    <w:nsid w:val="4A16874F"/>
    <w:multiLevelType w:val="hybridMultilevel"/>
    <w:lvl w:ilvl="0">
      <w:lvlJc w:val="left"/>
      <w:lvlText w:val="(%1)"/>
      <w:numFmt w:val="lowerLetter"/>
      <w:start w:val="4"/>
    </w:lvl>
  </w:abstractNum>
  <w:abstractNum w:abstractNumId="394">
    <w:nsid w:val="55FEE0D1"/>
    <w:multiLevelType w:val="hybridMultilevel"/>
    <w:lvl w:ilvl="0">
      <w:lvlJc w:val="left"/>
      <w:lvlText w:val="(%1)"/>
      <w:numFmt w:val="lowerRoman"/>
      <w:start w:val="1"/>
    </w:lvl>
  </w:abstractNum>
  <w:abstractNum w:abstractNumId="395">
    <w:nsid w:val="3C5E07C"/>
    <w:multiLevelType w:val="hybridMultilevel"/>
    <w:lvl w:ilvl="0">
      <w:lvlJc w:val="left"/>
      <w:lvlText w:val="(%1)"/>
      <w:numFmt w:val="lowerLetter"/>
      <w:start w:val="1"/>
    </w:lvl>
  </w:abstractNum>
  <w:abstractNum w:abstractNumId="396">
    <w:nsid w:val="60C2D273"/>
    <w:multiLevelType w:val="hybridMultilevel"/>
    <w:lvl w:ilvl="0">
      <w:lvlJc w:val="left"/>
      <w:lvlText w:val="(%1)"/>
      <w:numFmt w:val="lowerLetter"/>
      <w:start w:val="1"/>
    </w:lvl>
  </w:abstractNum>
  <w:abstractNum w:abstractNumId="397">
    <w:nsid w:val="4CC32F1F"/>
    <w:multiLevelType w:val="hybridMultilevel"/>
    <w:lvl w:ilvl="0">
      <w:lvlJc w:val="left"/>
      <w:lvlText w:val="(%1)"/>
      <w:numFmt w:val="lowerLetter"/>
      <w:start w:val="1"/>
    </w:lvl>
  </w:abstractNum>
  <w:abstractNum w:abstractNumId="398">
    <w:nsid w:val="11CAC74A"/>
    <w:multiLevelType w:val="hybridMultilevel"/>
    <w:lvl w:ilvl="0">
      <w:lvlJc w:val="left"/>
      <w:lvlText w:val="(%1)"/>
      <w:numFmt w:val="lowerRoman"/>
      <w:start w:val="1"/>
    </w:lvl>
  </w:abstractNum>
  <w:abstractNum w:abstractNumId="399">
    <w:nsid w:val="126CADE9"/>
    <w:multiLevelType w:val="hybridMultilevel"/>
    <w:lvl w:ilvl="0">
      <w:lvlJc w:val="left"/>
      <w:lvlText w:val="(%1)"/>
      <w:numFmt w:val="lowerRoman"/>
      <w:start w:val="2"/>
    </w:lvl>
  </w:abstractNum>
  <w:abstractNum w:abstractNumId="400">
    <w:nsid w:val="19132E7B"/>
    <w:multiLevelType w:val="hybridMultilevel"/>
    <w:lvl w:ilvl="0">
      <w:lvlJc w:val="left"/>
      <w:lvlText w:val="(%1)"/>
      <w:numFmt w:val="lowerLetter"/>
      <w:start w:val="1"/>
    </w:lvl>
  </w:abstractNum>
  <w:abstractNum w:abstractNumId="401">
    <w:nsid w:val="63822DC0"/>
    <w:multiLevelType w:val="hybridMultilevel"/>
    <w:lvl w:ilvl="0">
      <w:lvlJc w:val="left"/>
      <w:lvlText w:val="(%1)"/>
      <w:numFmt w:val="lowerLetter"/>
      <w:start w:val="2"/>
    </w:lvl>
  </w:abstractNum>
  <w:abstractNum w:abstractNumId="402">
    <w:nsid w:val="6C11685A"/>
    <w:multiLevelType w:val="hybridMultilevel"/>
    <w:lvl w:ilvl="0">
      <w:lvlJc w:val="left"/>
      <w:lvlText w:val="(%1)"/>
      <w:numFmt w:val="lowerLetter"/>
      <w:start w:val="1"/>
    </w:lvl>
    <w:lvl w:ilvl="1">
      <w:lvlJc w:val="left"/>
      <w:lvlText w:val="(%2)"/>
      <w:numFmt w:val="lowerRoman"/>
      <w:start w:val="1"/>
    </w:lvl>
  </w:abstractNum>
  <w:abstractNum w:abstractNumId="403">
    <w:nsid w:val="5E1EAE31"/>
    <w:multiLevelType w:val="hybridMultilevel"/>
    <w:lvl w:ilvl="0">
      <w:lvlJc w:val="left"/>
      <w:lvlText w:val="(%1)"/>
      <w:numFmt w:val="lowerLetter"/>
      <w:start w:val="3"/>
    </w:lvl>
  </w:abstractNum>
  <w:abstractNum w:abstractNumId="404">
    <w:nsid w:val="178E240D"/>
    <w:multiLevelType w:val="hybridMultilevel"/>
    <w:lvl w:ilvl="0">
      <w:lvlJc w:val="left"/>
      <w:lvlText w:val="(%1)"/>
      <w:numFmt w:val="lowerLetter"/>
      <w:start w:val="1"/>
    </w:lvl>
  </w:abstractNum>
  <w:abstractNum w:abstractNumId="405">
    <w:nsid w:val="5556A87B"/>
    <w:multiLevelType w:val="hybridMultilevel"/>
    <w:lvl w:ilvl="0">
      <w:lvlJc w:val="left"/>
      <w:lvlText w:val="(%1)"/>
      <w:numFmt w:val="lowerLetter"/>
      <w:start w:val="3"/>
    </w:lvl>
  </w:abstractNum>
  <w:abstractNum w:abstractNumId="406">
    <w:nsid w:val="28100A9C"/>
    <w:multiLevelType w:val="hybridMultilevel"/>
    <w:lvl w:ilvl="0">
      <w:lvlJc w:val="left"/>
      <w:lvlText w:val="(%1)"/>
      <w:numFmt w:val="lowerLetter"/>
      <w:start w:val="6"/>
    </w:lvl>
  </w:abstractNum>
  <w:abstractNum w:abstractNumId="407">
    <w:nsid w:val="D838636"/>
    <w:multiLevelType w:val="hybridMultilevel"/>
    <w:lvl w:ilvl="0">
      <w:lvlJc w:val="left"/>
      <w:lvlText w:val="(%1)"/>
      <w:numFmt w:val="lowerLetter"/>
      <w:start w:val="1"/>
    </w:lvl>
  </w:abstractNum>
  <w:abstractNum w:abstractNumId="408">
    <w:nsid w:val="71B82AED"/>
    <w:multiLevelType w:val="hybridMultilevel"/>
    <w:lvl w:ilvl="0">
      <w:lvlJc w:val="left"/>
      <w:lvlText w:val="(%1)"/>
      <w:numFmt w:val="lowerRoman"/>
      <w:start w:val="1"/>
    </w:lvl>
  </w:abstractNum>
  <w:abstractNum w:abstractNumId="409">
    <w:nsid w:val="D15FACA"/>
    <w:multiLevelType w:val="hybridMultilevel"/>
    <w:lvl w:ilvl="0">
      <w:lvlJc w:val="left"/>
      <w:lvlText w:val="(%1)"/>
      <w:numFmt w:val="lowerLetter"/>
      <w:start w:val="4"/>
    </w:lvl>
  </w:abstractNum>
  <w:abstractNum w:abstractNumId="410">
    <w:nsid w:val="3D69565B"/>
    <w:multiLevelType w:val="hybridMultilevel"/>
    <w:lvl w:ilvl="0">
      <w:lvlJc w:val="left"/>
      <w:lvlText w:val="(%1)"/>
      <w:numFmt w:val="lowerLetter"/>
      <w:start w:val="6"/>
    </w:lvl>
  </w:abstractNum>
  <w:abstractNum w:abstractNumId="411">
    <w:nsid w:val="2299DCBC"/>
    <w:multiLevelType w:val="hybridMultilevel"/>
    <w:lvl w:ilvl="0">
      <w:lvlJc w:val="left"/>
      <w:lvlText w:val="(%1)"/>
      <w:numFmt w:val="lowerLetter"/>
      <w:start w:val="1"/>
    </w:lvl>
  </w:abstractNum>
  <w:abstractNum w:abstractNumId="412">
    <w:nsid w:val="19908D02"/>
    <w:multiLevelType w:val="hybridMultilevel"/>
    <w:lvl w:ilvl="0">
      <w:lvlJc w:val="left"/>
      <w:lvlText w:val="(%1)"/>
      <w:numFmt w:val="lowerLetter"/>
      <w:start w:val="1"/>
    </w:lvl>
  </w:abstractNum>
  <w:abstractNum w:abstractNumId="413">
    <w:nsid w:val="24D48BDB"/>
    <w:multiLevelType w:val="hybridMultilevel"/>
    <w:lvl w:ilvl="0">
      <w:lvlJc w:val="left"/>
      <w:lvlText w:val="(%1)"/>
      <w:numFmt w:val="lowerLetter"/>
      <w:start w:val="1"/>
    </w:lvl>
  </w:abstractNum>
  <w:abstractNum w:abstractNumId="414">
    <w:nsid w:val="542DA5B5"/>
    <w:multiLevelType w:val="hybridMultilevel"/>
    <w:lvl w:ilvl="0">
      <w:lvlJc w:val="left"/>
      <w:lvlText w:val="(%1)"/>
      <w:numFmt w:val="lowerLetter"/>
      <w:start w:val="2"/>
    </w:lvl>
  </w:abstractNum>
  <w:abstractNum w:abstractNumId="415">
    <w:nsid w:val="793753DE"/>
    <w:multiLevelType w:val="hybridMultilevel"/>
    <w:lvl w:ilvl="0">
      <w:lvlJc w:val="left"/>
      <w:lvlText w:val="(%1)"/>
      <w:numFmt w:val="lowerLetter"/>
      <w:start w:val="1"/>
    </w:lvl>
    <w:lvl w:ilvl="1">
      <w:lvlJc w:val="left"/>
      <w:lvlText w:val="(%2)"/>
      <w:numFmt w:val="lowerRoman"/>
      <w:start w:val="1"/>
    </w:lvl>
  </w:abstractNum>
  <w:abstractNum w:abstractNumId="416">
    <w:nsid w:val="1C67CB3D"/>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417">
    <w:nsid w:val="40E2945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18">
    <w:nsid w:val="63A4AAB6"/>
    <w:multiLevelType w:val="hybridMultilevel"/>
    <w:lvl w:ilvl="0">
      <w:lvlJc w:val="left"/>
      <w:lvlText w:val="(%1)"/>
      <w:numFmt w:val="lowerRoman"/>
      <w:start w:val="3"/>
    </w:lvl>
  </w:abstractNum>
  <w:abstractNum w:abstractNumId="419">
    <w:nsid w:val="77DA4A57"/>
    <w:multiLevelType w:val="hybridMultilevel"/>
    <w:lvl w:ilvl="0">
      <w:lvlJc w:val="left"/>
      <w:lvlText w:val="(%1)"/>
      <w:numFmt w:val="lowerLetter"/>
      <w:start w:val="1"/>
    </w:lvl>
  </w:abstractNum>
  <w:abstractNum w:abstractNumId="420">
    <w:nsid w:val="1230F102"/>
    <w:multiLevelType w:val="hybridMultilevel"/>
    <w:lvl w:ilvl="0">
      <w:lvlJc w:val="left"/>
      <w:lvlText w:val="(%1)"/>
      <w:numFmt w:val="lowerLetter"/>
      <w:start w:val="1"/>
    </w:lvl>
  </w:abstractNum>
  <w:abstractNum w:abstractNumId="421">
    <w:nsid w:val="25B57ED4"/>
    <w:multiLevelType w:val="hybridMultilevel"/>
    <w:lvl w:ilvl="0">
      <w:lvlJc w:val="left"/>
      <w:lvlText w:val="(%1)"/>
      <w:numFmt w:val="lowerLetter"/>
      <w:start w:val="3"/>
    </w:lvl>
  </w:abstractNum>
  <w:abstractNum w:abstractNumId="422">
    <w:nsid w:val="47CF16C4"/>
    <w:multiLevelType w:val="hybridMultilevel"/>
    <w:lvl w:ilvl="0">
      <w:lvlJc w:val="left"/>
      <w:lvlText w:val="(%1)"/>
      <w:numFmt w:val="lowerLetter"/>
      <w:start w:val="1"/>
    </w:lvl>
  </w:abstractNum>
  <w:abstractNum w:abstractNumId="423">
    <w:nsid w:val="527FA04C"/>
    <w:multiLevelType w:val="hybridMultilevel"/>
    <w:lvl w:ilvl="0">
      <w:lvlJc w:val="left"/>
      <w:lvlText w:val="(%1)"/>
      <w:numFmt w:val="lowerLetter"/>
      <w:start w:val="1"/>
    </w:lvl>
    <w:lvl w:ilvl="1">
      <w:lvlJc w:val="left"/>
      <w:lvlText w:val="(%2)"/>
      <w:numFmt w:val="lowerRoman"/>
      <w:start w:val="2"/>
    </w:lvl>
  </w:abstractNum>
  <w:abstractNum w:abstractNumId="424">
    <w:nsid w:val="6FCC0624"/>
    <w:multiLevelType w:val="hybridMultilevel"/>
    <w:lvl w:ilvl="0">
      <w:lvlJc w:val="left"/>
      <w:lvlText w:val="(%1)"/>
      <w:numFmt w:val="lowerLetter"/>
      <w:start w:val="3"/>
    </w:lvl>
  </w:abstractNum>
  <w:abstractNum w:abstractNumId="425">
    <w:nsid w:val="1DCDF795"/>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abstractNum>
  <w:abstractNum w:abstractNumId="426">
    <w:nsid w:val="564580C8"/>
    <w:multiLevelType w:val="hybridMultilevel"/>
    <w:lvl w:ilvl="0">
      <w:lvlJc w:val="left"/>
      <w:lvlText w:val="(%1)"/>
      <w:numFmt w:val="lowerRoman"/>
      <w:start w:val="3"/>
    </w:lvl>
  </w:abstractNum>
  <w:abstractNum w:abstractNumId="427">
    <w:nsid w:val="508ED897"/>
    <w:multiLevelType w:val="hybridMultilevel"/>
    <w:lvl w:ilvl="0">
      <w:lvlJc w:val="left"/>
      <w:lvlText w:val="(%1)"/>
      <w:numFmt w:val="lowerLetter"/>
      <w:start w:val="7"/>
    </w:lvl>
  </w:abstractNum>
  <w:abstractNum w:abstractNumId="428">
    <w:nsid w:val="6A9126B5"/>
    <w:multiLevelType w:val="hybridMultilevel"/>
    <w:lvl w:ilvl="0">
      <w:lvlJc w:val="left"/>
      <w:lvlText w:val="(%1)"/>
      <w:numFmt w:val="lowerLetter"/>
      <w:start w:val="1"/>
    </w:lvl>
  </w:abstractNum>
  <w:abstractNum w:abstractNumId="429">
    <w:nsid w:val="68104812"/>
    <w:multiLevelType w:val="hybridMultilevel"/>
    <w:lvl w:ilvl="0">
      <w:lvlJc w:val="left"/>
      <w:lvlText w:val="(%1)"/>
      <w:numFmt w:val="lowerLetter"/>
      <w:start w:val="1"/>
    </w:lvl>
  </w:abstractNum>
  <w:abstractNum w:abstractNumId="430">
    <w:nsid w:val="62FB8680"/>
    <w:multiLevelType w:val="hybridMultilevel"/>
    <w:lvl w:ilvl="0">
      <w:lvlJc w:val="left"/>
      <w:lvlText w:val="(%1)"/>
      <w:numFmt w:val="lowerLetter"/>
      <w:start w:val="1"/>
    </w:lvl>
    <w:lvl w:ilvl="1">
      <w:lvlJc w:val="left"/>
      <w:lvlText w:val="(%2)"/>
      <w:numFmt w:val="lowerLetter"/>
      <w:start w:val="9"/>
    </w:lvl>
  </w:abstractNum>
  <w:abstractNum w:abstractNumId="431">
    <w:nsid w:val="3A45530"/>
    <w:multiLevelType w:val="hybridMultilevel"/>
    <w:lvl w:ilvl="0">
      <w:lvlJc w:val="left"/>
      <w:lvlText w:val="(%1)"/>
      <w:numFmt w:val="decimal"/>
      <w:start w:val="3"/>
    </w:lvl>
    <w:lvl w:ilvl="1">
      <w:lvlJc w:val="left"/>
      <w:lvlText w:val="(%2)"/>
      <w:numFmt w:val="lowerRoman"/>
      <w:start w:val="2"/>
    </w:lvl>
  </w:abstractNum>
  <w:abstractNum w:abstractNumId="432">
    <w:nsid w:val="4B9275D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lvl w:ilvl="3">
      <w:lvlJc w:val="left"/>
      <w:lvlText w:val="(%4)"/>
      <w:numFmt w:val="lowerRoman"/>
      <w:start w:val="11"/>
    </w:lvl>
  </w:abstractNum>
  <w:abstractNum w:abstractNumId="433">
    <w:nsid w:val="4F0CEED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13"/>
    </w:lvl>
  </w:abstractNum>
  <w:abstractNum w:abstractNumId="434">
    <w:nsid w:val="61C3036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15"/>
    </w:lvl>
  </w:abstractNum>
  <w:abstractNum w:abstractNumId="435">
    <w:nsid w:val="632099E0"/>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36">
    <w:nsid w:val="24639756"/>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4"/>
    </w:lvl>
  </w:abstractNum>
  <w:abstractNum w:abstractNumId="437">
    <w:nsid w:val="9D30DFD"/>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438">
    <w:nsid w:val="70A42016"/>
    <w:multiLevelType w:val="hybridMultilevel"/>
    <w:lvl w:ilvl="0">
      <w:lvlJc w:val="left"/>
      <w:lvlText w:val="(%1)"/>
      <w:numFmt w:val="lowerLetter"/>
      <w:start w:val="5"/>
    </w:lvl>
  </w:abstractNum>
  <w:abstractNum w:abstractNumId="439">
    <w:nsid w:val="161BC24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40">
    <w:nsid w:val="16E908C8"/>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441">
    <w:nsid w:val="2E0D7671"/>
    <w:multiLevelType w:val="hybridMultilevel"/>
    <w:lvl w:ilvl="0">
      <w:lvlJc w:val="left"/>
      <w:lvlText w:val="(%1)"/>
      <w:numFmt w:val="lowerLetter"/>
      <w:start w:val="1"/>
    </w:lvl>
    <w:lvl w:ilvl="1">
      <w:lvlJc w:val="left"/>
      <w:lvlText w:val="(%2)"/>
      <w:numFmt w:val="lowerRoman"/>
      <w:start w:val="1"/>
    </w:lvl>
  </w:abstractNum>
  <w:abstractNum w:abstractNumId="442">
    <w:nsid w:val="38B59EFF"/>
    <w:multiLevelType w:val="hybridMultilevel"/>
    <w:lvl w:ilvl="0">
      <w:lvlJc w:val="left"/>
      <w:lvlText w:val="(%1)"/>
      <w:numFmt w:val="lowerRoman"/>
      <w:start w:val="12"/>
    </w:lvl>
  </w:abstractNum>
  <w:abstractNum w:abstractNumId="443">
    <w:nsid w:val="307995CA"/>
    <w:multiLevelType w:val="hybridMultilevel"/>
    <w:lvl w:ilvl="0">
      <w:lvlJc w:val="left"/>
      <w:lvlText w:val="(%1)"/>
      <w:numFmt w:val="lowerLetter"/>
      <w:start w:val="2"/>
    </w:lvl>
  </w:abstractNum>
  <w:abstractNum w:abstractNumId="444">
    <w:nsid w:val="52E2024D"/>
    <w:multiLevelType w:val="hybridMultilevel"/>
    <w:lvl w:ilvl="0">
      <w:lvlJc w:val="left"/>
      <w:lvlText w:val="(%1)"/>
      <w:numFmt w:val="lowerLetter"/>
      <w:start w:val="1"/>
    </w:lvl>
  </w:abstractNum>
  <w:abstractNum w:abstractNumId="445">
    <w:nsid w:val="CE344B5"/>
    <w:multiLevelType w:val="hybridMultilevel"/>
    <w:lvl w:ilvl="0">
      <w:lvlJc w:val="left"/>
      <w:lvlText w:val="%1"/>
      <w:numFmt w:val="decimal"/>
      <w:start w:val="1"/>
    </w:lvl>
    <w:lvl w:ilvl="1">
      <w:lvlJc w:val="left"/>
      <w:lvlText w:val="(%2)"/>
      <w:numFmt w:val="lowerLetter"/>
      <w:start w:val="7"/>
    </w:lvl>
  </w:abstractNum>
  <w:abstractNum w:abstractNumId="446">
    <w:nsid w:val="29B0E9A8"/>
    <w:multiLevelType w:val="hybridMultilevel"/>
    <w:lvl w:ilvl="0">
      <w:lvlJc w:val="left"/>
      <w:lvlText w:val="(%1)"/>
      <w:numFmt w:val="decimal"/>
      <w:start w:val="7"/>
    </w:lvl>
    <w:lvl w:ilvl="1">
      <w:lvlJc w:val="left"/>
      <w:lvlText w:val="(%2)"/>
      <w:numFmt w:val="lowerLetter"/>
      <w:start w:val="12"/>
    </w:lvl>
  </w:abstractNum>
  <w:abstractNum w:abstractNumId="447">
    <w:nsid w:val="6F49CD8A"/>
    <w:multiLevelType w:val="hybridMultilevel"/>
    <w:lvl w:ilvl="0">
      <w:lvlJc w:val="left"/>
      <w:lvlText w:val="(%1)"/>
      <w:numFmt w:val="lowerLetter"/>
      <w:start w:val="1"/>
    </w:lvl>
  </w:abstractNum>
  <w:abstractNum w:abstractNumId="448">
    <w:nsid w:val="4DC5D907"/>
    <w:multiLevelType w:val="hybridMultilevel"/>
    <w:lvl w:ilvl="0">
      <w:lvlJc w:val="left"/>
      <w:lvlText w:val="(%1)"/>
      <w:numFmt w:val="lowerRoman"/>
      <w:start w:val="1"/>
    </w:lvl>
  </w:abstractNum>
  <w:abstractNum w:abstractNumId="449">
    <w:nsid w:val="D55945E"/>
    <w:multiLevelType w:val="hybridMultilevel"/>
    <w:lvl w:ilvl="0">
      <w:lvlJc w:val="left"/>
      <w:lvlText w:val="(%1)"/>
      <w:numFmt w:val="lowerLetter"/>
      <w:start w:val="1"/>
    </w:lvl>
  </w:abstractNum>
  <w:abstractNum w:abstractNumId="450">
    <w:nsid w:val="672417E1"/>
    <w:multiLevelType w:val="hybridMultilevel"/>
    <w:lvl w:ilvl="0">
      <w:lvlJc w:val="left"/>
      <w:lvlText w:val="(%1)"/>
      <w:numFmt w:val="lowerLetter"/>
      <w:start w:val="2"/>
    </w:lvl>
  </w:abstractNum>
  <w:abstractNum w:abstractNumId="451">
    <w:nsid w:val="5FF6CA09"/>
    <w:multiLevelType w:val="hybridMultilevel"/>
    <w:lvl w:ilvl="0">
      <w:lvlJc w:val="left"/>
      <w:lvlText w:val="(%1)"/>
      <w:numFmt w:val="lowerLetter"/>
      <w:start w:val="1"/>
    </w:lvl>
  </w:abstractNum>
  <w:abstractNum w:abstractNumId="452">
    <w:nsid w:val="330B1333"/>
    <w:multiLevelType w:val="hybridMultilevel"/>
    <w:lvl w:ilvl="0">
      <w:lvlJc w:val="left"/>
      <w:lvlText w:val="(%1)"/>
      <w:numFmt w:val="lowerLetter"/>
      <w:start w:val="6"/>
    </w:lvl>
  </w:abstractNum>
  <w:abstractNum w:abstractNumId="453">
    <w:nsid w:val="2EF32EA6"/>
    <w:multiLevelType w:val="hybridMultilevel"/>
    <w:lvl w:ilvl="0">
      <w:lvlJc w:val="left"/>
      <w:lvlText w:val="(%1)"/>
      <w:numFmt w:val="lowerLetter"/>
      <w:start w:val="1"/>
    </w:lvl>
  </w:abstractNum>
  <w:abstractNum w:abstractNumId="454">
    <w:nsid w:val="32766A55"/>
    <w:multiLevelType w:val="hybridMultilevel"/>
    <w:lvl w:ilvl="0">
      <w:lvlJc w:val="left"/>
      <w:lvlText w:val="(%1)"/>
      <w:numFmt w:val="lowerLetter"/>
      <w:start w:val="5"/>
    </w:lvl>
  </w:abstractNum>
  <w:abstractNum w:abstractNumId="455">
    <w:nsid w:val="22D71957"/>
    <w:multiLevelType w:val="hybridMultilevel"/>
    <w:lvl w:ilvl="0">
      <w:lvlJc w:val="left"/>
      <w:lvlText w:val="(%1)"/>
      <w:numFmt w:val="lowerLetter"/>
      <w:start w:val="1"/>
    </w:lvl>
  </w:abstractNum>
  <w:abstractNum w:abstractNumId="456">
    <w:nsid w:val="4CC1263B"/>
    <w:multiLevelType w:val="hybridMultilevel"/>
    <w:lvl w:ilvl="0">
      <w:lvlJc w:val="left"/>
      <w:lvlText w:val="(%1)"/>
      <w:numFmt w:val="lowerLetter"/>
      <w:start w:val="3"/>
    </w:lvl>
  </w:abstractNum>
  <w:abstractNum w:abstractNumId="457">
    <w:nsid w:val="8BBEB1D"/>
    <w:multiLevelType w:val="hybridMultilevel"/>
    <w:lvl w:ilvl="0">
      <w:lvlJc w:val="left"/>
      <w:lvlText w:val="%1"/>
      <w:numFmt w:val="lowerLetter"/>
      <w:start w:val="1"/>
    </w:lvl>
    <w:lvl w:ilvl="1">
      <w:lvlJc w:val="left"/>
      <w:lvlText w:val="(%2)"/>
      <w:numFmt w:val="lowerLetter"/>
      <w:start w:val="6"/>
    </w:lvl>
  </w:abstractNum>
  <w:abstractNum w:abstractNumId="458">
    <w:nsid w:val="7365F1EE"/>
    <w:multiLevelType w:val="hybridMultilevel"/>
    <w:lvl w:ilvl="0">
      <w:lvlJc w:val="left"/>
      <w:lvlText w:val="(%1)"/>
      <w:numFmt w:val="lowerLetter"/>
      <w:start w:val="35"/>
    </w:lvl>
    <w:lvl w:ilvl="1">
      <w:lvlJc w:val="left"/>
      <w:lvlText w:val="(%2)"/>
      <w:numFmt w:val="lowerLetter"/>
      <w:start w:val="8"/>
    </w:lvl>
  </w:abstractNum>
  <w:abstractNum w:abstractNumId="459">
    <w:nsid w:val="37524CF0"/>
    <w:multiLevelType w:val="hybridMultilevel"/>
    <w:lvl w:ilvl="0">
      <w:lvlJc w:val="left"/>
      <w:lvlText w:val="(%1)"/>
      <w:numFmt w:val="lowerLetter"/>
      <w:start w:val="10"/>
    </w:lvl>
  </w:abstractNum>
  <w:abstractNum w:abstractNumId="460">
    <w:nsid w:val="70CC332F"/>
    <w:multiLevelType w:val="hybridMultilevel"/>
    <w:lvl w:ilvl="0">
      <w:lvlJc w:val="left"/>
      <w:lvlText w:val="(%1)"/>
      <w:numFmt w:val="lowerLetter"/>
      <w:start w:val="1"/>
    </w:lvl>
  </w:abstractNum>
  <w:abstractNum w:abstractNumId="461">
    <w:nsid w:val="5661786E"/>
    <w:multiLevelType w:val="hybridMultilevel"/>
    <w:lvl w:ilvl="0">
      <w:lvlJc w:val="left"/>
      <w:lvlText w:val="(%1)"/>
      <w:numFmt w:val="lowerLetter"/>
      <w:start w:val="1"/>
    </w:lvl>
  </w:abstractNum>
  <w:abstractNum w:abstractNumId="462">
    <w:nsid w:val="3AF6A220"/>
    <w:multiLevelType w:val="hybridMultilevel"/>
    <w:lvl w:ilvl="0">
      <w:lvlJc w:val="left"/>
      <w:lvlText w:val="(%1)"/>
      <w:numFmt w:val="lowerLetter"/>
      <w:start w:val="3"/>
    </w:lvl>
  </w:abstractNum>
  <w:abstractNum w:abstractNumId="463">
    <w:nsid w:val="3C5EA902"/>
    <w:multiLevelType w:val="hybridMultilevel"/>
    <w:lvl w:ilvl="0">
      <w:lvlJc w:val="left"/>
      <w:lvlText w:val="(%1)"/>
      <w:numFmt w:val="lowerLetter"/>
      <w:start w:val="1"/>
    </w:lvl>
  </w:abstractNum>
  <w:abstractNum w:abstractNumId="464">
    <w:nsid w:val="256E6749"/>
    <w:multiLevelType w:val="hybridMultilevel"/>
    <w:lvl w:ilvl="0">
      <w:lvlJc w:val="left"/>
      <w:lvlText w:val="(%1)"/>
      <w:numFmt w:val="lowerLetter"/>
      <w:start w:val="1"/>
    </w:lvl>
  </w:abstractNum>
  <w:abstractNum w:abstractNumId="465">
    <w:nsid w:val="1CB9A581"/>
    <w:multiLevelType w:val="hybridMultilevel"/>
    <w:lvl w:ilvl="0">
      <w:lvlJc w:val="left"/>
      <w:lvlText w:val="(%1)"/>
      <w:numFmt w:val="lowerLetter"/>
      <w:start w:val="2"/>
    </w:lvl>
  </w:abstractNum>
  <w:abstractNum w:abstractNumId="466">
    <w:nsid w:val="1F7F42E2"/>
    <w:multiLevelType w:val="hybridMultilevel"/>
    <w:lvl w:ilvl="0">
      <w:lvlJc w:val="left"/>
      <w:lvlText w:val="(%1)"/>
      <w:numFmt w:val="lowerLetter"/>
      <w:start w:val="1"/>
    </w:lvl>
  </w:abstractNum>
  <w:abstractNum w:abstractNumId="467">
    <w:nsid w:val="49D1FEA0"/>
    <w:multiLevelType w:val="hybridMultilevel"/>
    <w:lvl w:ilvl="0">
      <w:lvlJc w:val="left"/>
      <w:lvlText w:val="(%1)"/>
      <w:numFmt w:val="lowerLetter"/>
      <w:start w:val="3"/>
    </w:lvl>
  </w:abstractNum>
  <w:abstractNum w:abstractNumId="468">
    <w:nsid w:val="268CB37F"/>
    <w:multiLevelType w:val="hybridMultilevel"/>
    <w:lvl w:ilvl="0">
      <w:lvlJc w:val="left"/>
      <w:lvlText w:val="(%1)"/>
      <w:numFmt w:val="lowerLetter"/>
      <w:start w:val="1"/>
    </w:lvl>
  </w:abstractNum>
  <w:abstractNum w:abstractNumId="469">
    <w:nsid w:val="102362F8"/>
    <w:multiLevelType w:val="hybridMultilevel"/>
    <w:lvl w:ilvl="0">
      <w:lvlJc w:val="left"/>
      <w:lvlText w:val="(%1)"/>
      <w:numFmt w:val="lowerLetter"/>
      <w:start w:val="2"/>
    </w:lvl>
  </w:abstractNum>
  <w:abstractNum w:abstractNumId="470">
    <w:nsid w:val="5FEDC0E3"/>
    <w:multiLevelType w:val="hybridMultilevel"/>
    <w:lvl w:ilvl="0">
      <w:lvlJc w:val="left"/>
      <w:lvlText w:val="(%1)"/>
      <w:numFmt w:val="lowerLetter"/>
      <w:start w:val="1"/>
    </w:lvl>
    <w:lvl w:ilvl="1">
      <w:lvlJc w:val="left"/>
      <w:lvlText w:val="(%2)"/>
      <w:numFmt w:val="lowerLetter"/>
      <w:start w:val="9"/>
    </w:lvl>
  </w:abstractNum>
  <w:abstractNum w:abstractNumId="471">
    <w:nsid w:val="3D75BC47"/>
    <w:multiLevelType w:val="hybridMultilevel"/>
    <w:lvl w:ilvl="0">
      <w:lvlJc w:val="left"/>
      <w:lvlText w:val="%1"/>
      <w:numFmt w:val="lowerLetter"/>
      <w:start w:val="1"/>
    </w:lvl>
    <w:lvl w:ilvl="1">
      <w:lvlJc w:val="left"/>
      <w:lvlText w:val="(%2)"/>
      <w:numFmt w:val="lowerRoman"/>
      <w:start w:val="2"/>
    </w:lvl>
  </w:abstractNum>
  <w:abstractNum w:abstractNumId="472">
    <w:nsid w:val="3E30D969"/>
    <w:multiLevelType w:val="hybridMultilevel"/>
    <w:lvl w:ilvl="0">
      <w:lvlJc w:val="left"/>
      <w:lvlText w:val="(%1)"/>
      <w:numFmt w:val="lowerLetter"/>
      <w:start w:val="3"/>
    </w:lvl>
    <w:lvl w:ilvl="1">
      <w:lvlJc w:val="left"/>
      <w:lvlText w:val="%2"/>
      <w:numFmt w:val="lowerRoman"/>
      <w:start w:val="1"/>
    </w:lvl>
  </w:abstractNum>
  <w:abstractNum w:abstractNumId="473">
    <w:nsid w:val="18A35FE3"/>
    <w:multiLevelType w:val="hybridMultilevel"/>
    <w:lvl w:ilvl="0">
      <w:lvlJc w:val="left"/>
      <w:lvlText w:val="(%1)"/>
      <w:numFmt w:val="lowerLetter"/>
      <w:start w:val="4"/>
    </w:lvl>
    <w:lvl w:ilvl="1">
      <w:lvlJc w:val="left"/>
      <w:lvlText w:val="(%2)"/>
      <w:numFmt w:val="lowerRoman"/>
      <w:start w:val="1"/>
    </w:lvl>
  </w:abstractNum>
  <w:abstractNum w:abstractNumId="474">
    <w:nsid w:val="6DEF5211"/>
    <w:multiLevelType w:val="hybridMultilevel"/>
    <w:lvl w:ilvl="0">
      <w:lvlJc w:val="left"/>
      <w:lvlText w:val="(%1)"/>
      <w:numFmt w:val="lowerRoman"/>
      <w:start w:val="1"/>
    </w:lvl>
  </w:abstractNum>
  <w:abstractNum w:abstractNumId="475">
    <w:nsid w:val="1112DBB6"/>
    <w:multiLevelType w:val="hybridMultilevel"/>
    <w:lvl w:ilvl="0">
      <w:lvlJc w:val="left"/>
      <w:lvlText w:val="(%1)"/>
      <w:numFmt w:val="lowerLetter"/>
      <w:start w:val="1"/>
    </w:lvl>
  </w:abstractNum>
  <w:abstractNum w:abstractNumId="476">
    <w:nsid w:val="2586A498"/>
    <w:multiLevelType w:val="hybridMultilevel"/>
    <w:lvl w:ilvl="0">
      <w:lvlJc w:val="left"/>
      <w:lvlText w:val="(%1)"/>
      <w:numFmt w:val="lowerLetter"/>
      <w:start w:val="5"/>
    </w:lvl>
    <w:lvl w:ilvl="1">
      <w:lvlJc w:val="left"/>
      <w:lvlText w:val="(%2)"/>
      <w:numFmt w:val="lowerRoman"/>
      <w:start w:val="1"/>
    </w:lvl>
  </w:abstractNum>
  <w:abstractNum w:abstractNumId="477">
    <w:nsid w:val="17A03BB9"/>
    <w:multiLevelType w:val="hybridMultilevel"/>
    <w:lvl w:ilvl="0">
      <w:lvlJc w:val="left"/>
      <w:lvlText w:val="(%1)"/>
      <w:numFmt w:val="lowerLetter"/>
      <w:start w:val="1"/>
    </w:lvl>
  </w:abstractNum>
  <w:abstractNum w:abstractNumId="478">
    <w:nsid w:val="5CA941"/>
    <w:multiLevelType w:val="hybridMultilevel"/>
    <w:lvl w:ilvl="0">
      <w:lvlJc w:val="left"/>
      <w:lvlText w:val="(%1)"/>
      <w:numFmt w:val="lowerLetter"/>
      <w:start w:val="2"/>
    </w:lvl>
  </w:abstractNum>
  <w:abstractNum w:abstractNumId="479">
    <w:nsid w:val="734C7D9F"/>
    <w:multiLevelType w:val="hybridMultilevel"/>
    <w:lvl w:ilvl="0">
      <w:lvlJc w:val="left"/>
      <w:lvlText w:val="(%1)"/>
      <w:numFmt w:val="lowerLetter"/>
      <w:start w:val="1"/>
    </w:lvl>
  </w:abstractNum>
  <w:abstractNum w:abstractNumId="480">
    <w:nsid w:val="24F5D018"/>
    <w:multiLevelType w:val="hybridMultilevel"/>
    <w:lvl w:ilvl="0">
      <w:lvlJc w:val="left"/>
      <w:lvlText w:val="(%1)"/>
      <w:numFmt w:val="lowerLetter"/>
      <w:start w:val="1"/>
    </w:lvl>
  </w:abstractNum>
  <w:abstractNum w:abstractNumId="481">
    <w:nsid w:val="6780C122"/>
    <w:multiLevelType w:val="hybridMultilevel"/>
    <w:lvl w:ilvl="0">
      <w:lvlJc w:val="left"/>
      <w:lvlText w:val="(%1)"/>
      <w:numFmt w:val="lowerLetter"/>
      <w:start w:val="2"/>
    </w:lvl>
  </w:abstractNum>
  <w:abstractNum w:abstractNumId="482">
    <w:nsid w:val="534347A8"/>
    <w:multiLevelType w:val="hybridMultilevel"/>
    <w:lvl w:ilvl="0">
      <w:lvlJc w:val="left"/>
      <w:lvlText w:val="%1."/>
      <w:numFmt w:val="decimal"/>
      <w:start w:val="1"/>
    </w:lvl>
  </w:abstractNum>
  <w:abstractNum w:abstractNumId="483">
    <w:nsid w:val="5800E34B"/>
    <w:multiLevelType w:val="hybridMultilevel"/>
    <w:lvl w:ilvl="0">
      <w:lvlJc w:val="left"/>
      <w:lvlText w:val="%1."/>
      <w:numFmt w:val="decimal"/>
      <w:start w:val="5"/>
    </w:lvl>
  </w:abstractNum>
  <w:abstractNum w:abstractNumId="484">
    <w:nsid w:val="1673EFC8"/>
    <w:multiLevelType w:val="hybridMultilevel"/>
    <w:lvl w:ilvl="0">
      <w:lvlJc w:val="left"/>
      <w:lvlText w:val="%1."/>
      <w:numFmt w:val="decimal"/>
      <w:start w:val="15"/>
    </w:lvl>
  </w:abstractNum>
  <w:abstractNum w:abstractNumId="485">
    <w:nsid w:val="5B9B1FD"/>
    <w:multiLevelType w:val="hybridMultilevel"/>
    <w:lvl w:ilvl="0">
      <w:lvlJc w:val="left"/>
      <w:lvlText w:val="%1."/>
      <w:numFmt w:val="decimal"/>
      <w:start w:val="20"/>
    </w:lvl>
  </w:abstractNum>
  <w:abstractNum w:abstractNumId="486">
    <w:nsid w:val="7AD7FCA2"/>
    <w:multiLevelType w:val="hybridMultilevel"/>
    <w:lvl w:ilvl="0">
      <w:lvlJc w:val="left"/>
      <w:lvlText w:val="%1."/>
      <w:numFmt w:val="decimal"/>
      <w:start w:val="24"/>
    </w:lvl>
    <w:lvl w:ilvl="1">
      <w:lvlJc w:val="left"/>
      <w:lvlText w:val="%2."/>
      <w:numFmt w:val="upperLetter"/>
      <w:start w:val="1"/>
    </w:lvl>
  </w:abstractNum>
  <w:abstractNum w:abstractNumId="487">
    <w:nsid w:val="63351604"/>
    <w:multiLevelType w:val="hybridMultilevel"/>
    <w:lvl w:ilvl="0">
      <w:lvlJc w:val="left"/>
      <w:lvlText w:val="%1."/>
      <w:numFmt w:val="decimal"/>
      <w:start w:val="29"/>
    </w:lvl>
  </w:abstractNum>
  <w:abstractNum w:abstractNumId="488">
    <w:nsid w:val="E759D1A"/>
    <w:multiLevelType w:val="hybridMultilevel"/>
    <w:lvl w:ilvl="0">
      <w:lvlJc w:val="left"/>
      <w:lvlText w:val="%1."/>
      <w:numFmt w:val="decimal"/>
      <w:start w:val="30"/>
    </w:lvl>
  </w:abstractNum>
  <w:abstractNum w:abstractNumId="489">
    <w:nsid w:val="6E3DEE90"/>
    <w:multiLevelType w:val="hybridMultilevel"/>
    <w:lvl w:ilvl="0">
      <w:lvlJc w:val="left"/>
      <w:lvlText w:val="%1."/>
      <w:numFmt w:val="decimal"/>
      <w:start w:val="36"/>
    </w:lvl>
  </w:abstractNum>
  <w:abstractNum w:abstractNumId="490">
    <w:nsid w:val="1A8762F4"/>
    <w:multiLevelType w:val="hybridMultilevel"/>
    <w:lvl w:ilvl="0">
      <w:lvlJc w:val="left"/>
      <w:lvlText w:val="%1."/>
      <w:numFmt w:val="decimal"/>
      <w:start w:val="1"/>
    </w:lvl>
    <w:lvl w:ilvl="1">
      <w:lvlJc w:val="left"/>
      <w:lvlText w:val="(%2)"/>
      <w:numFmt w:val="lowerLetter"/>
      <w:start w:val="1"/>
    </w:lvl>
  </w:abstractNum>
  <w:abstractNum w:abstractNumId="491">
    <w:nsid w:val="7F41D049"/>
    <w:multiLevelType w:val="hybridMultilevel"/>
    <w:lvl w:ilvl="0">
      <w:lvlJc w:val="left"/>
      <w:lvlText w:val="%1."/>
      <w:numFmt w:val="decimal"/>
      <w:start w:val="1"/>
    </w:lvl>
    <w:lvl w:ilvl="1">
      <w:lvlJc w:val="left"/>
      <w:lvlText w:val="(%2)"/>
      <w:numFmt w:val="lowerLetter"/>
      <w:start w:val="1"/>
    </w:lvl>
  </w:abstractNum>
  <w:abstractNum w:abstractNumId="492">
    <w:nsid w:val="449F66FE"/>
    <w:multiLevelType w:val="hybridMultilevel"/>
    <w:lvl w:ilvl="0">
      <w:lvlJc w:val="left"/>
      <w:lvlText w:val="(%1)"/>
      <w:numFmt w:val="decimal"/>
      <w:start w:val="1"/>
    </w:lvl>
  </w:abstractNum>
  <w:abstractNum w:abstractNumId="493">
    <w:nsid w:val="557E051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jpeg"/><Relationship Id="rId634" Type="http://schemas.openxmlformats.org/officeDocument/2006/relationships/image" Target="media/image615.png"/><Relationship Id="rId635" Type="http://schemas.openxmlformats.org/officeDocument/2006/relationships/image" Target="media/image616.jpeg"/><Relationship Id="rId636" Type="http://schemas.openxmlformats.org/officeDocument/2006/relationships/image" Target="media/image617.png"/><Relationship Id="rId637" Type="http://schemas.openxmlformats.org/officeDocument/2006/relationships/image" Target="media/image618.jpeg"/><Relationship Id="rId638" Type="http://schemas.openxmlformats.org/officeDocument/2006/relationships/image" Target="media/image619.png"/><Relationship Id="rId639" Type="http://schemas.openxmlformats.org/officeDocument/2006/relationships/image" Target="media/image620.jpeg"/><Relationship Id="rId640" Type="http://schemas.openxmlformats.org/officeDocument/2006/relationships/image" Target="media/image621.png"/><Relationship Id="rId641" Type="http://schemas.openxmlformats.org/officeDocument/2006/relationships/image" Target="media/image622.jpe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100" Type="http://schemas.openxmlformats.org/officeDocument/2006/relationships/hyperlink" Target="https://www.sec.gov/Archives/edgar/data/1580864/000095017021002077/vrm-ex2_1.htm" TargetMode="External"/><Relationship Id="rId101" Type="http://schemas.openxmlformats.org/officeDocument/2006/relationships/hyperlink" Target="https://www.sec.gov/Archives/edgar/data/1580864/000095017025005647/vrm-ex2_1.htm" TargetMode="External"/><Relationship Id="rId102" Type="http://schemas.openxmlformats.org/officeDocument/2006/relationships/hyperlink" Target="https://www.sec.gov/Archives/edgar/data/1580864/000095017025037265/vrm-ex3_2.htm" TargetMode="External"/><Relationship Id="rId103" Type="http://schemas.openxmlformats.org/officeDocument/2006/relationships/hyperlink" Target="https://www.sec.gov/Archives/edgar/data/1580864/000095017025037265/vrm-ex3_1.htm" TargetMode="External"/><Relationship Id="rId104" Type="http://schemas.openxmlformats.org/officeDocument/2006/relationships/hyperlink" Target="https://www.sec.gov/Archives/edgar/data/1580864/000156459020039778/vrm-ex32_234.htm" TargetMode="External"/><Relationship Id="rId105" Type="http://schemas.openxmlformats.org/officeDocument/2006/relationships/hyperlink" Target="https://www.sec.gov/Archives/edgar/data/1580864/000119312520145219/d801274dex42.htm" TargetMode="External"/><Relationship Id="rId106" Type="http://schemas.openxmlformats.org/officeDocument/2006/relationships/hyperlink" Target="https://www.sec.gov/Archives/edgar/data/1580864/000095017025037265/vrm-ex10_7.htm" TargetMode="External"/><Relationship Id="rId107" Type="http://schemas.openxmlformats.org/officeDocument/2006/relationships/hyperlink" Target="https://www.sec.gov/Archives/edgar/data/1580864/000095017025005647/vrm-ex10_1.htm" TargetMode="External"/><Relationship Id="rId108" Type="http://schemas.openxmlformats.org/officeDocument/2006/relationships/hyperlink" Target="https://www.sec.gov/Archives/edgar/data/1580864/000095017025037265/vrm-ex10_35.htm" TargetMode="External"/><Relationship Id="rId109" Type="http://schemas.openxmlformats.org/officeDocument/2006/relationships/hyperlink" Target="https://www.sec.gov/Archives/edgar/data/1580864/000095017025037265/vrm-ex10_36.htm" TargetMode="External"/><Relationship Id="rId118" Type="http://schemas.openxmlformats.org/officeDocument/2006/relationships/hyperlink" Target="https://www.sec.gov/Archives/edgar/data/1580864/000095017025037265/vrm-ex10_40.htm" TargetMode="External"/><Relationship Id="rId119" Type="http://schemas.openxmlformats.org/officeDocument/2006/relationships/hyperlink" Target="https://www.sec.gov/Archives/edgar/data/1580864/000101376225002784/ea023519203ex10-25_vro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2025-05-14T15:47:30Z</dcterms:created>
  <dcterms:modified xsi:type="dcterms:W3CDTF">2025-05-14T15:47:30Z</dcterms:modified>
</cp:coreProperties>
</file>