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rm-20260611.htm"/>
      <w:bookmarkStart w:id="1" w:name="ksvrm20260611"/>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6" w:space="1" w:color="000000"/>
        </w:pBdr>
        <w:bidi w:val="0"/>
        <w:spacing w:before="0" w:after="40"/>
        <w:jc w:val="left"/>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4"/>
        </w:rPr>
        <w:t>Date of report (Date of earliest event reported): June 11, 2026</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48"/>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5410" w:type="dxa"/>
        <w:jc w:val="left"/>
        <w:tblInd w:w="0" w:type="dxa"/>
        <w:tblLayout w:type="fixed"/>
        <w:tblCellMar>
          <w:top w:w="28" w:type="dxa"/>
          <w:left w:w="28" w:type="dxa"/>
          <w:bottom w:w="28" w:type="dxa"/>
          <w:right w:w="28" w:type="dxa"/>
        </w:tblCellMar>
      </w:tblPr>
      <w:tblGrid>
        <w:gridCol w:w="2566"/>
        <w:gridCol w:w="146"/>
        <w:gridCol w:w="1066"/>
        <w:gridCol w:w="146"/>
        <w:gridCol w:w="148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001-39315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90-1112566</w:t>
            </w:r>
          </w:p>
        </w:tc>
      </w:tr>
      <w:tr>
        <w:trPr/>
        <w:tc>
          <w:tcPr>
            <w:tcW w:w="25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4700 Mercantile Dr.</w:t>
        <w:br/>
        <w:t>Fort Worth, Texas</w:t>
      </w:r>
      <w:r>
        <w:rPr>
          <w:rFonts w:ascii="Times New Roman" w:hAnsi="Times New Roman"/>
          <w:color w:val="000000"/>
          <w:sz w:val="20"/>
        </w:rPr>
        <w:t xml:space="preserve"> </w:t>
      </w:r>
      <w:r>
        <w:rPr>
          <w:rFonts w:ascii="Times New Roman" w:hAnsi="Times New Roman"/>
          <w:b/>
          <w:color w:val="000000"/>
          <w:sz w:val="20"/>
        </w:rPr>
        <w:t>76137</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(Zip Code)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(518)</w:t>
      </w:r>
      <w:r>
        <w:rPr>
          <w:rFonts w:ascii="Times New Roman" w:hAnsi="Times New Roman"/>
          <w:color w:val="000000"/>
          <w:sz w:val="20"/>
        </w:rPr>
        <w:t xml:space="preserve"> </w:t>
      </w:r>
      <w:r>
        <w:rPr>
          <w:rFonts w:ascii="Times New Roman" w:hAnsi="Times New Roman"/>
          <w:b/>
          <w:color w:val="000000"/>
          <w:sz w:val="20"/>
        </w:rPr>
        <w:t>535-9125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N/A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817" w:type="dxa"/>
        <w:jc w:val="left"/>
        <w:tblInd w:w="0" w:type="dxa"/>
        <w:tblLayout w:type="fixed"/>
        <w:tblCellMar>
          <w:top w:w="28" w:type="dxa"/>
          <w:left w:w="28" w:type="dxa"/>
          <w:bottom w:w="28" w:type="dxa"/>
          <w:right w:w="28" w:type="dxa"/>
        </w:tblCellMar>
      </w:tblPr>
      <w:tblGrid>
        <w:gridCol w:w="331"/>
        <w:gridCol w:w="7486"/>
      </w:tblGrid>
      <w:tr>
        <w:trPr/>
        <w:tc>
          <w:tcPr>
            <w:tcW w:w="331" w:type="dxa"/>
            <w:tcBorders/>
            <w:vAlign w:val="center"/>
          </w:tcPr>
          <w:p>
            <w:pPr>
              <w:pStyle w:val="TableContents"/>
              <w:bidi w:val="0"/>
              <w:spacing w:before="0" w:after="283"/>
              <w:jc w:val="left"/>
              <w:rPr>
                <w:sz w:val="4"/>
                <w:szCs w:val="4"/>
              </w:rPr>
            </w:pPr>
            <w:r>
              <w:rPr>
                <w:sz w:val="4"/>
                <w:szCs w:val="4"/>
              </w:rPr>
            </w:r>
          </w:p>
        </w:tc>
        <w:tc>
          <w:tcPr>
            <w:tcW w:w="74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bl>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bl>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9123" w:type="dxa"/>
        <w:jc w:val="left"/>
        <w:tblInd w:w="0" w:type="dxa"/>
        <w:tblLayout w:type="fixed"/>
        <w:tblCellMar>
          <w:top w:w="28" w:type="dxa"/>
          <w:left w:w="28" w:type="dxa"/>
          <w:bottom w:w="28" w:type="dxa"/>
          <w:right w:w="28" w:type="dxa"/>
        </w:tblCellMar>
      </w:tblPr>
      <w:tblGrid>
        <w:gridCol w:w="3601"/>
        <w:gridCol w:w="169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69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VRM</w:t>
            </w:r>
          </w:p>
        </w:tc>
        <w:tc>
          <w:tcPr>
            <w:tcW w:w="382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|US-DOCS\160615061.2||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552" w:type="dxa"/>
        <w:jc w:val="left"/>
        <w:tblInd w:w="0" w:type="dxa"/>
        <w:tblLayout w:type="fixed"/>
        <w:tblCellMar>
          <w:top w:w="28" w:type="dxa"/>
          <w:left w:w="28" w:type="dxa"/>
          <w:bottom w:w="28" w:type="dxa"/>
          <w:right w:w="28" w:type="dxa"/>
        </w:tblCellMar>
      </w:tblPr>
      <w:tblGrid>
        <w:gridCol w:w="961"/>
        <w:gridCol w:w="4591"/>
      </w:tblGrid>
      <w:tr>
        <w:trPr/>
        <w:tc>
          <w:tcPr>
            <w:tcW w:w="961" w:type="dxa"/>
            <w:tcBorders/>
            <w:vAlign w:val="center"/>
          </w:tcPr>
          <w:p>
            <w:pPr>
              <w:pStyle w:val="TableContents"/>
              <w:bidi w:val="0"/>
              <w:spacing w:before="0" w:after="283"/>
              <w:jc w:val="left"/>
              <w:rPr>
                <w:sz w:val="4"/>
                <w:szCs w:val="4"/>
              </w:rPr>
            </w:pPr>
            <w:r>
              <w:rPr>
                <w:sz w:val="4"/>
                <w:szCs w:val="4"/>
              </w:rPr>
            </w:r>
          </w:p>
        </w:tc>
        <w:tc>
          <w:tcPr>
            <w:tcW w:w="459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5.07.</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Submission of Matters to a Vote of Security Holders.</w:t>
            </w:r>
            <w:r>
              <w:rPr>
                <w:rFonts w:ascii="Times New Roman" w:hAnsi="Times New Roman"/>
                <w:color w:val="000000"/>
                <w:sz w:val="20"/>
              </w:rPr>
              <w:t xml:space="preserve"> </w:t>
            </w:r>
          </w:p>
        </w:tc>
      </w:tr>
    </w:tbl>
    <w:p>
      <w:pPr>
        <w:pStyle w:val="TextBody"/>
        <w:bidi w:val="0"/>
        <w:jc w:val="left"/>
        <w:rPr>
          <w:rFonts w:ascii="Times New Roman" w:hAnsi="Times New Roman"/>
          <w:color w:val="000000"/>
          <w:sz w:val="20"/>
        </w:rPr>
      </w:pPr>
      <w:r>
        <w:rPr>
          <w:rFonts w:ascii="Times New Roman" w:hAnsi="Times New Roman"/>
          <w:color w:val="000000"/>
          <w:sz w:val="20"/>
        </w:rPr>
        <w:t>On June 11, 2026, Vroom, Inc. (the “Company”) held its Annual Meeting of Stockholders (the “Meeting”). A total of 4,277,509 shares of the Company’s common stock, $0.001 par value per share (the “Common Stock”), were present in person or represented by proxy at the Meeting, representing approximately 82.15 percent of the Company’s outstanding Common Stock as of the April 16, 2026 record date. The following are the voting results for the proposals considered and voted upon at the Meeting, each of which were described in the Company’s Definitive Proxy Statement on Schedule 14A filed with the Securities and Exchange Commission on April 28,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Item 1 — Election of seven directors for a term of office ending at the annual meeting of stockholders to be held in 2027. </w:t>
      </w:r>
    </w:p>
    <w:p>
      <w:pPr>
        <w:pStyle w:val="TextBody"/>
        <w:bidi w:val="0"/>
        <w:jc w:val="left"/>
        <w:rPr/>
      </w:pPr>
      <w:r>
        <w:rPr/>
        <w:t> </w:t>
      </w:r>
    </w:p>
    <w:tbl>
      <w:tblPr>
        <w:tblW w:w="6139" w:type="dxa"/>
        <w:jc w:val="left"/>
        <w:tblInd w:w="0" w:type="dxa"/>
        <w:tblLayout w:type="fixed"/>
        <w:tblCellMar>
          <w:top w:w="28" w:type="dxa"/>
          <w:left w:w="28" w:type="dxa"/>
          <w:bottom w:w="28" w:type="dxa"/>
          <w:right w:w="28" w:type="dxa"/>
        </w:tblCellMar>
      </w:tblPr>
      <w:tblGrid>
        <w:gridCol w:w="1906"/>
        <w:gridCol w:w="991"/>
        <w:gridCol w:w="1621"/>
        <w:gridCol w:w="1621"/>
      </w:tblGrid>
      <w:tr>
        <w:trPr/>
        <w:tc>
          <w:tcPr>
            <w:tcW w:w="190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Votes FOR</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Votes WITHHELD</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Broker Non-Votes</w:t>
            </w:r>
          </w:p>
        </w:tc>
      </w:tr>
      <w:tr>
        <w:trPr/>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Robert J. Mylod, Jr.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4,215,679</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7,264</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54,566</w:t>
            </w:r>
          </w:p>
        </w:tc>
      </w:tr>
      <w:tr>
        <w:trPr/>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Timothy M. Crow</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4,143,514</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79,429</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54,566</w:t>
            </w:r>
          </w:p>
        </w:tc>
      </w:tr>
      <w:tr>
        <w:trPr/>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J. Farello</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4,065,689</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157,254</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54,566</w:t>
            </w:r>
          </w:p>
        </w:tc>
      </w:tr>
      <w:tr>
        <w:trPr/>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R. Krakowiak</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4,216,757</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6,186</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54,566</w:t>
            </w:r>
          </w:p>
        </w:tc>
      </w:tr>
      <w:tr>
        <w:trPr/>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Matthew J. Pietroforte</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4,216,915</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6,028</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54,566</w:t>
            </w:r>
          </w:p>
        </w:tc>
      </w:tr>
      <w:tr>
        <w:trPr/>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Nikul Patel</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4,216,125</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6,818</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54,566</w:t>
            </w:r>
          </w:p>
        </w:tc>
      </w:tr>
      <w:tr>
        <w:trPr/>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H. Shortt</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4,217,142</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5,801</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54,566</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Item 2 — Ratification of the appointment of RSM US LLP as the Company’s independent registered public accounting firm for the year ending December 31, 2026. </w:t>
      </w:r>
    </w:p>
    <w:tbl>
      <w:tblPr>
        <w:tblW w:w="5908" w:type="dxa"/>
        <w:jc w:val="left"/>
        <w:tblInd w:w="0" w:type="dxa"/>
        <w:tblLayout w:type="fixed"/>
        <w:tblCellMar>
          <w:top w:w="28" w:type="dxa"/>
          <w:left w:w="28" w:type="dxa"/>
          <w:bottom w:w="28" w:type="dxa"/>
          <w:right w:w="28" w:type="dxa"/>
        </w:tblCellMar>
      </w:tblPr>
      <w:tblGrid>
        <w:gridCol w:w="1006"/>
        <w:gridCol w:w="109"/>
        <w:gridCol w:w="465"/>
        <w:gridCol w:w="466"/>
        <w:gridCol w:w="109"/>
        <w:gridCol w:w="109"/>
        <w:gridCol w:w="848"/>
        <w:gridCol w:w="848"/>
        <w:gridCol w:w="109"/>
        <w:gridCol w:w="109"/>
        <w:gridCol w:w="788"/>
        <w:gridCol w:w="788"/>
        <w:gridCol w:w="154"/>
      </w:tblGrid>
      <w:tr>
        <w:trPr/>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Votes FOR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Votes</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AGAINST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Votes ABSTAINED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Broker Non-Votes</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4,266,723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Item 3 — Approval, on an advisory (non-binding) basis, of the compensation of the Company’s named executive officers. </w:t>
      </w:r>
    </w:p>
    <w:tbl>
      <w:tblPr>
        <w:tblW w:w="5817" w:type="dxa"/>
        <w:jc w:val="left"/>
        <w:tblInd w:w="0" w:type="dxa"/>
        <w:tblLayout w:type="fixed"/>
        <w:tblCellMar>
          <w:top w:w="28" w:type="dxa"/>
          <w:left w:w="28" w:type="dxa"/>
          <w:bottom w:w="28" w:type="dxa"/>
          <w:right w:w="28" w:type="dxa"/>
        </w:tblCellMar>
      </w:tblPr>
      <w:tblGrid>
        <w:gridCol w:w="1006"/>
        <w:gridCol w:w="109"/>
        <w:gridCol w:w="719"/>
        <w:gridCol w:w="721"/>
        <w:gridCol w:w="109"/>
        <w:gridCol w:w="109"/>
        <w:gridCol w:w="848"/>
        <w:gridCol w:w="848"/>
        <w:gridCol w:w="109"/>
        <w:gridCol w:w="109"/>
        <w:gridCol w:w="488"/>
        <w:gridCol w:w="488"/>
        <w:gridCol w:w="154"/>
      </w:tblGrid>
      <w:tr>
        <w:trPr/>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Votes FOR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Votes AGAINST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Votes ABSTAINED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Broker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Non-Votes</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4,180,240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40,286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54,566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Based on the foregoing votes, the director nominees listed under Item 1 were elected and Items 2 and 3 were approved.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|US-DOCS\160615061.2||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SIGNATURES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4376" w:type="dxa"/>
        <w:jc w:val="left"/>
        <w:tblInd w:w="0" w:type="dxa"/>
        <w:tblLayout w:type="fixed"/>
        <w:tblCellMar>
          <w:top w:w="28" w:type="dxa"/>
          <w:left w:w="28" w:type="dxa"/>
          <w:bottom w:w="28" w:type="dxa"/>
          <w:right w:w="28" w:type="dxa"/>
        </w:tblCellMar>
      </w:tblPr>
      <w:tblGrid>
        <w:gridCol w:w="1741"/>
        <w:gridCol w:w="109"/>
        <w:gridCol w:w="406"/>
        <w:gridCol w:w="109"/>
        <w:gridCol w:w="201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VROOM, INC.</w:t>
            </w:r>
          </w:p>
          <w:p>
            <w:pPr>
              <w:pStyle w:val="TableContents"/>
              <w:bidi w:val="0"/>
              <w:jc w:val="left"/>
              <w:rPr/>
            </w:pPr>
            <w:r>
              <w:rPr/>
              <w:t> </w:t>
            </w:r>
          </w:p>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2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12,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Jonathan Sandison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Sandison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|US-DOCS\160615061.2||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3435</Characters>
  <CharactersWithSpaces>4023</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