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vrm-20260630.htm"/>
        <w:bookmarkStart w:id="1" w:name="ksvrm202606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sz w:val="20"/>
        </w:rPr>
      </w:pPr>
      <w:r>
        <w:rPr>
          <w:rFonts w:ascii="Arial" w:hAnsi="Arial"/>
          <w:b/>
          <w:color w:val="000000"/>
          <w:sz w:val="32"/>
        </w:rPr>
        <w:t>FORM</w:t>
      </w:r>
      <w:r>
        <w:rPr>
          <w:rFonts w:ascii="Times New Roman" w:hAnsi="Times New Roman"/>
          <w:color w:val="000000"/>
          <w:sz w:val="20"/>
        </w:rPr>
        <w:t xml:space="preserve"> </w:t>
      </w:r>
      <w:r>
        <w:rPr>
          <w:rFonts w:ascii="Arial" w:hAnsi="Arial"/>
          <w:b/>
          <w:color w:val="000000"/>
          <w:sz w:val="32"/>
        </w:rPr>
        <w:t>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pPr>
      <w:r>
        <w:rPr>
          <w:color w:val="000000"/>
        </w:rPr>
        <w:t xml:space="preserve">☒ </w:t>
      </w:r>
      <w:r>
        <w:rPr>
          <w:rFonts w:ascii="Arial" w:hAnsi="Arial"/>
          <w:b/>
          <w:color w:val="000000"/>
          <w:sz w:val="18"/>
        </w:rPr>
        <w:t>QUARTERLY REPORT PURSUANT TO SECTION 13 OR 15(d) OF THE SECURITIES EXCHANGE ACT OF 1934</w:t>
      </w:r>
    </w:p>
    <w:p>
      <w:pPr>
        <w:pStyle w:val="TextBody"/>
        <w:bidi w:val="0"/>
        <w:spacing w:before="60" w:after="283"/>
        <w:jc w:val="center"/>
        <w:rPr>
          <w:rFonts w:ascii="Arial" w:hAnsi="Arial"/>
          <w:b/>
          <w:color w:val="000000"/>
          <w:sz w:val="20"/>
        </w:rPr>
      </w:pPr>
      <w:r>
        <w:rPr>
          <w:rFonts w:ascii="Arial" w:hAnsi="Arial"/>
          <w:b/>
          <w:color w:val="000000"/>
          <w:sz w:val="20"/>
        </w:rPr>
        <w:t>For the quarterly period ended June 30, 2026</w:t>
      </w:r>
    </w:p>
    <w:p>
      <w:pPr>
        <w:pStyle w:val="TextBody"/>
        <w:bidi w:val="0"/>
        <w:spacing w:before="60" w:after="283"/>
        <w:jc w:val="center"/>
        <w:rPr>
          <w:rFonts w:ascii="Arial" w:hAnsi="Arial"/>
          <w:b/>
          <w:color w:val="000000"/>
          <w:sz w:val="20"/>
        </w:rPr>
      </w:pPr>
      <w:r>
        <w:rPr>
          <w:rFonts w:ascii="Arial" w:hAnsi="Arial"/>
          <w:b/>
          <w:color w:val="000000"/>
          <w:sz w:val="20"/>
        </w:rPr>
        <w:t>or</w:t>
      </w:r>
    </w:p>
    <w:p>
      <w:pPr>
        <w:pStyle w:val="TextBody"/>
        <w:bidi w:val="0"/>
        <w:spacing w:before="60" w:after="283"/>
        <w:jc w:val="left"/>
        <w:rPr/>
      </w:pPr>
      <w:r>
        <w:rPr>
          <w:color w:val="000000"/>
        </w:rPr>
        <w:t xml:space="preserve">☐ </w:t>
      </w:r>
      <w:r>
        <w:rPr>
          <w:rFonts w:ascii="Arial" w:hAnsi="Arial"/>
          <w:b/>
          <w:color w:val="000000"/>
          <w:sz w:val="18"/>
        </w:rPr>
        <w:t>TRANSITION REPORT PURSUANT TO SECTION 13 OR 15(d) OF THE SECURITIES EXCHANGE ACT OF 1934</w:t>
      </w:r>
    </w:p>
    <w:p>
      <w:pPr>
        <w:pStyle w:val="TextBody"/>
        <w:bidi w:val="0"/>
        <w:spacing w:before="60" w:after="283"/>
        <w:jc w:val="center"/>
        <w:rPr>
          <w:rFonts w:ascii="Times New Roman" w:hAnsi="Times New Roman"/>
          <w:sz w:val="20"/>
        </w:rPr>
      </w:pPr>
      <w:r>
        <w:rPr>
          <w:rFonts w:ascii="Arial" w:hAnsi="Arial"/>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Commission file number:</w:t>
      </w:r>
      <w:r>
        <w:rPr>
          <w:rFonts w:ascii="Times New Roman" w:hAnsi="Times New Roman"/>
          <w:color w:val="000000"/>
          <w:sz w:val="20"/>
        </w:rPr>
        <w:t xml:space="preserve"> </w:t>
      </w:r>
      <w:r>
        <w:rPr>
          <w:rFonts w:ascii="Arial" w:hAnsi="Arial"/>
          <w:b/>
          <w:color w:val="000000"/>
          <w:sz w:val="20"/>
        </w:rPr>
        <w:t>001-39315</w:t>
      </w:r>
    </w:p>
    <w:p>
      <w:pPr>
        <w:pStyle w:val="TextBody"/>
        <w:pBdr>
          <w:bottom w:val="single" w:sz="4" w:space="1" w:color="000000"/>
        </w:pBdr>
        <w:bidi w:val="0"/>
        <w:jc w:val="center"/>
        <w:rPr/>
      </w:pPr>
      <w:r>
        <w:rPr/>
        <w:t> </w:t>
      </w:r>
    </w:p>
    <w:p>
      <w:pPr>
        <w:pStyle w:val="TextBody"/>
        <w:bidi w:val="0"/>
        <w:spacing w:before="60" w:after="283"/>
        <w:jc w:val="center"/>
        <w:rPr>
          <w:rFonts w:ascii="Arial" w:hAnsi="Arial"/>
          <w:b/>
          <w:color w:val="000000"/>
          <w:sz w:val="40"/>
        </w:rPr>
      </w:pPr>
      <w:r>
        <w:rPr>
          <w:rFonts w:ascii="Arial" w:hAnsi="Arial"/>
          <w:b/>
          <w:color w:val="000000"/>
          <w:sz w:val="40"/>
        </w:rPr>
        <w:t>VROOM, INC.</w:t>
      </w:r>
    </w:p>
    <w:p>
      <w:pPr>
        <w:pStyle w:val="TextBody"/>
        <w:bidi w:val="0"/>
        <w:jc w:val="center"/>
        <w:rPr>
          <w:rFonts w:ascii="Arial" w:hAnsi="Arial"/>
          <w:b/>
          <w:color w:val="000000"/>
          <w:sz w:val="16"/>
        </w:rPr>
      </w:pPr>
      <w:r>
        <w:rPr>
          <w:rFonts w:ascii="Arial" w:hAnsi="Arial"/>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236" w:type="dxa"/>
        <w:jc w:val="left"/>
        <w:tblInd w:w="0" w:type="dxa"/>
        <w:tblLayout w:type="fixed"/>
        <w:tblCellMar>
          <w:top w:w="28" w:type="dxa"/>
          <w:left w:w="28" w:type="dxa"/>
          <w:bottom w:w="28" w:type="dxa"/>
          <w:right w:w="28" w:type="dxa"/>
        </w:tblCellMar>
      </w:tblPr>
      <w:tblGrid>
        <w:gridCol w:w="2551"/>
        <w:gridCol w:w="109"/>
        <w:gridCol w:w="1576"/>
      </w:tblGrid>
      <w:tr>
        <w:trPr/>
        <w:tc>
          <w:tcPr>
            <w:tcW w:w="2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901112566</w:t>
            </w:r>
          </w:p>
        </w:tc>
      </w:tr>
      <w:tr>
        <w:trPr/>
        <w:tc>
          <w:tcPr>
            <w:tcW w:w="2551"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83"/>
              <w:jc w:val="center"/>
              <w:rPr>
                <w:rFonts w:ascii="Arial" w:hAnsi="Arial"/>
                <w:b/>
                <w:color w:val="000000"/>
                <w:sz w:val="16"/>
              </w:rPr>
            </w:pPr>
            <w:r>
              <w:rPr>
                <w:rFonts w:ascii="Arial" w:hAnsi="Arial"/>
                <w:b/>
                <w:color w:val="000000"/>
                <w:sz w:val="16"/>
              </w:rPr>
              <w:t>Identification No.)</w:t>
            </w:r>
          </w:p>
        </w:tc>
      </w:tr>
    </w:tbl>
    <w:p>
      <w:pPr>
        <w:pStyle w:val="TextBody"/>
        <w:bidi w:val="0"/>
        <w:jc w:val="center"/>
        <w:rPr>
          <w:rFonts w:ascii="Arial" w:hAnsi="Arial"/>
          <w:b/>
          <w:color w:val="000000"/>
          <w:sz w:val="16"/>
        </w:rPr>
      </w:pPr>
      <w:r>
        <w:rPr>
          <w:rFonts w:ascii="Arial" w:hAnsi="Arial"/>
          <w:b/>
          <w:color w:val="000000"/>
          <w:sz w:val="16"/>
        </w:rPr>
        <w:t>4700 Mercantile Dr.</w:t>
      </w:r>
    </w:p>
    <w:p>
      <w:pPr>
        <w:pStyle w:val="TextBody"/>
        <w:bidi w:val="0"/>
        <w:jc w:val="center"/>
        <w:rPr>
          <w:rFonts w:ascii="Times New Roman" w:hAnsi="Times New Roman"/>
          <w:sz w:val="20"/>
        </w:rPr>
      </w:pPr>
      <w:r>
        <w:rPr>
          <w:rFonts w:ascii="Arial" w:hAnsi="Arial"/>
          <w:b/>
          <w:color w:val="000000"/>
          <w:sz w:val="16"/>
        </w:rPr>
        <w:t>Fort Worth, TX</w:t>
      </w:r>
      <w:r>
        <w:rPr>
          <w:rFonts w:ascii="Times New Roman" w:hAnsi="Times New Roman"/>
          <w:color w:val="000000"/>
          <w:sz w:val="20"/>
        </w:rPr>
        <w:t xml:space="preserve"> </w:t>
      </w:r>
      <w:r>
        <w:rPr>
          <w:rFonts w:ascii="Arial" w:hAnsi="Arial"/>
          <w:b/>
          <w:color w:val="000000"/>
          <w:sz w:val="16"/>
        </w:rPr>
        <w:t>76137</w:t>
      </w:r>
    </w:p>
    <w:p>
      <w:pPr>
        <w:pStyle w:val="TextBody"/>
        <w:bidi w:val="0"/>
        <w:jc w:val="center"/>
        <w:rPr>
          <w:rFonts w:ascii="Arial" w:hAnsi="Arial"/>
          <w:b/>
          <w:color w:val="000000"/>
          <w:sz w:val="16"/>
        </w:rPr>
      </w:pPr>
      <w:r>
        <w:rPr>
          <w:rFonts w:ascii="Arial" w:hAnsi="Arial"/>
          <w:b/>
          <w:color w:val="000000"/>
          <w:sz w:val="16"/>
        </w:rPr>
        <w:t>(Address of principal executive offices) (Zip code)</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16"/>
        </w:rPr>
        <w:t>(518)</w:t>
      </w:r>
      <w:r>
        <w:rPr>
          <w:rFonts w:ascii="Times New Roman" w:hAnsi="Times New Roman"/>
          <w:color w:val="000000"/>
          <w:sz w:val="20"/>
        </w:rPr>
        <w:t xml:space="preserve"> </w:t>
      </w:r>
      <w:r>
        <w:rPr>
          <w:rFonts w:ascii="Arial" w:hAnsi="Arial"/>
          <w:b/>
          <w:color w:val="000000"/>
          <w:sz w:val="16"/>
        </w:rPr>
        <w:t>535-9125</w:t>
      </w:r>
    </w:p>
    <w:p>
      <w:pPr>
        <w:pStyle w:val="TextBody"/>
        <w:bidi w:val="0"/>
        <w:jc w:val="center"/>
        <w:rPr>
          <w:rFonts w:ascii="Arial" w:hAnsi="Arial"/>
          <w:b/>
          <w:color w:val="000000"/>
          <w:sz w:val="16"/>
        </w:rPr>
      </w:pPr>
      <w:r>
        <w:rPr>
          <w:rFonts w:ascii="Arial" w:hAnsi="Arial"/>
          <w:b/>
          <w:color w:val="000000"/>
          <w:sz w:val="16"/>
        </w:rPr>
        <w:t>(Registrant's telephone number, including area code)</w:t>
      </w:r>
    </w:p>
    <w:p>
      <w:pPr>
        <w:pStyle w:val="TextBody"/>
        <w:bidi w:val="0"/>
        <w:jc w:val="center"/>
        <w:rPr/>
      </w:pPr>
      <w:r>
        <w:rPr/>
        <w:t> </w:t>
      </w:r>
    </w:p>
    <w:p>
      <w:pPr>
        <w:pStyle w:val="TextBody"/>
        <w:pBdr>
          <w:bottom w:val="single" w:sz="4" w:space="1" w:color="000000"/>
        </w:pBdr>
        <w:bidi w:val="0"/>
        <w:jc w:val="center"/>
        <w:rPr/>
      </w:pPr>
      <w:r>
        <w:rPr/>
        <w:t> </w:t>
      </w:r>
    </w:p>
    <w:p>
      <w:pPr>
        <w:pStyle w:val="TextBody"/>
        <w:bidi w:val="0"/>
        <w:jc w:val="left"/>
        <w:rPr>
          <w:rFonts w:ascii="Arial" w:hAnsi="Arial"/>
          <w:color w:val="000000"/>
          <w:sz w:val="18"/>
        </w:rPr>
      </w:pPr>
      <w:r>
        <w:rPr>
          <w:rFonts w:ascii="Arial" w:hAnsi="Arial"/>
          <w:color w:val="000000"/>
          <w:sz w:val="18"/>
        </w:rPr>
        <w:t>Securities registered pursuant to Section 12(b) of the Act:</w:t>
      </w:r>
    </w:p>
    <w:p>
      <w:pPr>
        <w:pStyle w:val="TextBody"/>
        <w:bidi w:val="0"/>
        <w:jc w:val="left"/>
        <w:rPr/>
      </w:pPr>
      <w:r>
        <w:rPr/>
        <w:t> </w:t>
      </w:r>
    </w:p>
    <w:tbl>
      <w:tblPr>
        <w:tblW w:w="8395" w:type="dxa"/>
        <w:jc w:val="left"/>
        <w:tblInd w:w="0" w:type="dxa"/>
        <w:tblLayout w:type="fixed"/>
        <w:tblCellMar>
          <w:top w:w="28" w:type="dxa"/>
          <w:left w:w="28" w:type="dxa"/>
          <w:bottom w:w="28" w:type="dxa"/>
          <w:right w:w="28" w:type="dxa"/>
        </w:tblCellMar>
      </w:tblPr>
      <w:tblGrid>
        <w:gridCol w:w="2866"/>
        <w:gridCol w:w="116"/>
        <w:gridCol w:w="1606"/>
        <w:gridCol w:w="116"/>
        <w:gridCol w:w="3691"/>
      </w:tblGrid>
      <w:tr>
        <w:trPr/>
        <w:tc>
          <w:tcPr>
            <w:tcW w:w="286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86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Title of each class</w:t>
            </w:r>
          </w:p>
        </w:tc>
        <w:tc>
          <w:tcPr>
            <w:tcW w:w="116" w:type="dxa"/>
            <w:tcBorders>
              <w:bottom w:val="single" w:sz="6" w:space="0" w:color="FFFFFF"/>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0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Trading Symbol(s)</w:t>
            </w:r>
          </w:p>
        </w:tc>
        <w:tc>
          <w:tcPr>
            <w:tcW w:w="116" w:type="dxa"/>
            <w:tcBorders>
              <w:bottom w:val="single" w:sz="6" w:space="0" w:color="FFFFFF"/>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Name of each exchange on which registered</w:t>
            </w:r>
          </w:p>
        </w:tc>
      </w:tr>
      <w:tr>
        <w:trPr/>
        <w:tc>
          <w:tcPr>
            <w:tcW w:w="286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Arial" w:hAnsi="Arial"/>
                <w:color w:val="000000"/>
                <w:sz w:val="18"/>
              </w:rPr>
            </w:pPr>
            <w:r>
              <w:rPr>
                <w:rFonts w:ascii="Arial" w:hAnsi="Arial"/>
                <w:color w:val="000000"/>
                <w:sz w:val="18"/>
              </w:rPr>
              <w:t>Common Stock, $0.001 par value</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Arial" w:hAnsi="Arial"/>
                <w:color w:val="000000"/>
                <w:sz w:val="18"/>
              </w:rPr>
            </w:pPr>
            <w:r>
              <w:rPr>
                <w:rFonts w:ascii="Arial" w:hAnsi="Arial"/>
                <w:color w:val="000000"/>
                <w:sz w:val="18"/>
              </w:rPr>
              <w:t>VRM</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sz w:val="20"/>
              </w:rPr>
            </w:pPr>
            <w:r>
              <w:rPr>
                <w:rFonts w:ascii="Arial" w:hAnsi="Arial"/>
                <w:color w:val="000000"/>
                <w:sz w:val="18"/>
              </w:rPr>
              <w:t>Nasdaq</w:t>
            </w:r>
            <w:r>
              <w:rPr>
                <w:rFonts w:ascii="Times New Roman" w:hAnsi="Times New Roman"/>
                <w:color w:val="000000"/>
                <w:sz w:val="20"/>
              </w:rPr>
              <w:t> </w:t>
            </w:r>
            <w:r>
              <w:rPr>
                <w:rFonts w:ascii="Arial" w:hAnsi="Arial"/>
                <w:color w:val="000000"/>
                <w:sz w:val="18"/>
              </w:rPr>
              <w:t>Global Market</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hAnsi="Arial"/>
          <w:caps/>
          <w:color w:val="000000"/>
          <w:sz w:val="18"/>
        </w:rPr>
        <w:t>Yes</w:t>
      </w:r>
      <w:r>
        <w:rPr>
          <w:rFonts w:ascii="Times New Roman" w:hAnsi="Times New Roman"/>
          <w:color w:val="000000"/>
          <w:sz w:val="20"/>
        </w:rPr>
        <w:t xml:space="preserve"> ☒ </w:t>
      </w:r>
      <w:r>
        <w:rPr>
          <w:rFonts w:ascii="Arial" w:hAnsi="Arial"/>
          <w:caps/>
          <w:color w:val="000000"/>
          <w:sz w:val="18"/>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hAnsi="Arial"/>
          <w:caps/>
          <w:color w:val="000000"/>
          <w:sz w:val="18"/>
        </w:rPr>
        <w:t>Yes</w:t>
      </w:r>
      <w:r>
        <w:rPr>
          <w:rFonts w:ascii="Times New Roman" w:hAnsi="Times New Roman"/>
          <w:color w:val="000000"/>
          <w:sz w:val="20"/>
        </w:rPr>
        <w:t xml:space="preserve"> ☒ </w:t>
      </w:r>
      <w:r>
        <w:rPr>
          <w:rFonts w:ascii="Arial" w:hAnsi="Arial"/>
          <w:caps/>
          <w:color w:val="000000"/>
          <w:sz w:val="18"/>
        </w:rPr>
        <w:t>No</w:t>
      </w:r>
      <w:r>
        <w:rPr>
          <w:rFonts w:ascii="Times New Roman" w:hAnsi="Times New Roman"/>
          <w:color w:val="000000"/>
          <w:sz w:val="20"/>
        </w:rPr>
        <w:t xml:space="preserve"> ☐</w:t>
      </w:r>
    </w:p>
    <w:p>
      <w:pPr>
        <w:pStyle w:val="TextBody"/>
        <w:bidi w:val="0"/>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39" w:type="dxa"/>
        <w:jc w:val="left"/>
        <w:tblInd w:w="0" w:type="dxa"/>
        <w:tblLayout w:type="fixed"/>
        <w:tblCellMar>
          <w:top w:w="28" w:type="dxa"/>
          <w:left w:w="28" w:type="dxa"/>
          <w:bottom w:w="28" w:type="dxa"/>
          <w:right w:w="28" w:type="dxa"/>
        </w:tblCellMar>
      </w:tblPr>
      <w:tblGrid>
        <w:gridCol w:w="1951"/>
        <w:gridCol w:w="316"/>
        <w:gridCol w:w="2311"/>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w:t>
      </w:r>
      <w:r>
        <w:rPr>
          <w:rFonts w:ascii="Arial" w:hAnsi="Arial"/>
          <w:caps/>
          <w:color w:val="000000"/>
          <w:sz w:val="18"/>
        </w:rPr>
        <w:t>Yes</w:t>
      </w:r>
      <w:r>
        <w:rPr>
          <w:rFonts w:ascii="Times New Roman" w:hAnsi="Times New Roman"/>
          <w:color w:val="000000"/>
          <w:sz w:val="20"/>
        </w:rPr>
        <w:t xml:space="preserve"> ☐ </w:t>
      </w:r>
      <w:r>
        <w:rPr>
          <w:rFonts w:ascii="Arial" w:hAnsi="Arial"/>
          <w:caps/>
          <w:color w:val="000000"/>
          <w:sz w:val="18"/>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Times New Roman" w:hAnsi="Times New Roman"/>
          <w:color w:val="000000"/>
          <w:sz w:val="20"/>
        </w:rPr>
        <w:t xml:space="preserve">☒ </w:t>
      </w:r>
      <w:r>
        <w:rPr>
          <w:rFonts w:ascii="Arial" w:hAnsi="Arial"/>
          <w:color w:val="000000"/>
          <w:sz w:val="18"/>
        </w:rPr>
        <w:t>No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As of August 3, 2026, 5,234,356 shares of the registrant's common stock were outstanding.</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2" w:name="toc_page"/>
      <w:bookmarkEnd w:id="2"/>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2"/>
        <w:gridCol w:w="8876"/>
        <w:gridCol w:w="617"/>
      </w:tblGrid>
      <w:tr>
        <w:trPr/>
        <w:tc>
          <w:tcPr>
            <w:tcW w:w="712" w:type="dxa"/>
            <w:tcBorders/>
            <w:vAlign w:val="center"/>
          </w:tcPr>
          <w:p>
            <w:pPr>
              <w:pStyle w:val="TableContents"/>
              <w:bidi w:val="0"/>
              <w:spacing w:before="0" w:after="283"/>
              <w:jc w:val="left"/>
              <w:rPr>
                <w:sz w:val="4"/>
                <w:szCs w:val="4"/>
              </w:rPr>
            </w:pPr>
            <w:r>
              <w:rPr>
                <w:sz w:val="4"/>
                <w:szCs w:val="4"/>
              </w:rPr>
            </w:r>
          </w:p>
        </w:tc>
        <w:tc>
          <w:tcPr>
            <w:tcW w:w="887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Page</w:t>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88" w:type="dxa"/>
            <w:gridSpan w:val="2"/>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Arial" w:hAnsi="Arial"/>
                  <w:color w:val="0000FF"/>
                  <w:sz w:val="20"/>
                  <w:u w:val="single"/>
                </w:rPr>
                <w:t>Part I - Financial Information</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1.</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item_1_fs">
              <w:r>
                <w:rPr>
                  <w:rStyle w:val="InternetLink"/>
                  <w:rFonts w:ascii="Arial" w:hAnsi="Arial"/>
                  <w:color w:val="0000FF"/>
                  <w:sz w:val="20"/>
                  <w:u w:val="single"/>
                </w:rPr>
                <w:t>Financial Statements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Arial" w:hAnsi="Arial"/>
                  <w:color w:val="0000FF"/>
                  <w:sz w:val="20"/>
                  <w:u w:val="single"/>
                </w:rPr>
                <w:t>Condensed Consolidated Balance Sheets as of June 30, 2026 and December 31, 2025 (unaudited)</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income_statement">
              <w:r>
                <w:rPr>
                  <w:rStyle w:val="InternetLink"/>
                  <w:rFonts w:ascii="Arial" w:hAnsi="Arial"/>
                  <w:color w:val="0000FF"/>
                  <w:sz w:val="20"/>
                  <w:u w:val="single"/>
                </w:rPr>
                <w:t>Condensed Consolidated Statements of Operations for the Three and Six Months Ended June 30, 2026 and 2025 (unaudited)</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Arial" w:hAnsi="Arial"/>
                  <w:color w:val="0000FF"/>
                  <w:sz w:val="20"/>
                  <w:u w:val="single"/>
                </w:rPr>
                <w:t>Condensed Consolidated Statements of Changes in Mezzanine Equity and Stockholders' Equity for the Three and Six Months Ended June 30, 2026 and 2025 (unaudited)</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scf">
              <w:r>
                <w:rPr>
                  <w:rStyle w:val="InternetLink"/>
                  <w:rFonts w:ascii="Arial" w:hAnsi="Arial"/>
                  <w:color w:val="0000FF"/>
                  <w:sz w:val="20"/>
                  <w:u w:val="single"/>
                </w:rPr>
                <w:t>Condensed Consolidated Statements of Cash Flows for the Six Months Ended June 30, 2026 and 2025 (unaudited)</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notes_financial_statements">
              <w:r>
                <w:rPr>
                  <w:rStyle w:val="InternetLink"/>
                  <w:rFonts w:ascii="Arial" w:hAnsi="Arial"/>
                  <w:color w:val="0000FF"/>
                  <w:sz w:val="20"/>
                  <w:u w:val="single"/>
                </w:rPr>
                <w:t>Notes to Condensed Consolidated Financial Statements (unaudited)</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2.</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Arial" w:hAnsi="Arial"/>
                  <w:color w:val="0000FF"/>
                  <w:sz w:val="20"/>
                  <w:u w:val="single"/>
                </w:rPr>
                <w:t>Management’s Discussion and Analysis of Financial Condition and Results of Operations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3.</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qualitative_quantitative_disclosure">
              <w:r>
                <w:rPr>
                  <w:rStyle w:val="InternetLink"/>
                  <w:rFonts w:ascii="Arial" w:hAnsi="Arial"/>
                  <w:color w:val="0000FF"/>
                  <w:sz w:val="20"/>
                  <w:u w:val="single"/>
                </w:rPr>
                <w:t>Quantitative and Qualitative Disclosure About Market Risk</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4.</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controls_procedures">
              <w:r>
                <w:rPr>
                  <w:rStyle w:val="InternetLink"/>
                  <w:rFonts w:ascii="Arial" w:hAnsi="Arial"/>
                  <w:color w:val="0000FF"/>
                  <w:sz w:val="20"/>
                  <w:u w:val="single"/>
                </w:rPr>
                <w:t>Controls and Procedures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88" w:type="dxa"/>
            <w:gridSpan w:val="2"/>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Arial" w:hAnsi="Arial"/>
                  <w:color w:val="0000FF"/>
                  <w:sz w:val="20"/>
                  <w:u w:val="single"/>
                </w:rPr>
                <w:t>Part II - Other information</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1.</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Arial" w:hAnsi="Arial"/>
                  <w:color w:val="0000FF"/>
                  <w:sz w:val="20"/>
                  <w:u w:val="single"/>
                </w:rPr>
                <w:t>Legal Proceedings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1A.</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Arial" w:hAnsi="Arial"/>
                  <w:color w:val="0000FF"/>
                  <w:sz w:val="20"/>
                  <w:u w:val="single"/>
                </w:rPr>
                <w:t>Risk Factors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2.</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Arial" w:hAnsi="Arial"/>
                  <w:color w:val="0000FF"/>
                  <w:sz w:val="20"/>
                  <w:u w:val="single"/>
                </w:rPr>
                <w:t>Unregistered Sales of Equity Securities and Use of Proceeds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u w:val="single"/>
              </w:rPr>
              <w:t>Item 3.</w:t>
            </w:r>
            <w:r>
              <w:rPr>
                <w:rFonts w:ascii="Times New Roman" w:hAnsi="Times New Roman"/>
                <w:color w:val="000000"/>
                <w:sz w:val="20"/>
              </w:rPr>
              <w:t xml:space="preserve"> </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defaults_senior_securities">
              <w:r>
                <w:rPr>
                  <w:rStyle w:val="InternetLink"/>
                  <w:rFonts w:ascii="Arial" w:hAnsi="Arial"/>
                  <w:color w:val="0000FF"/>
                  <w:sz w:val="20"/>
                  <w:u w:val="single"/>
                </w:rPr>
                <w:t>Defaults Upon Senior Securities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4.</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mine_safety">
              <w:r>
                <w:rPr>
                  <w:rStyle w:val="InternetLink"/>
                  <w:rFonts w:ascii="Arial" w:hAnsi="Arial"/>
                  <w:color w:val="0000FF"/>
                  <w:sz w:val="20"/>
                  <w:u w:val="single"/>
                </w:rPr>
                <w:t>Mine Safety Disclosures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5.</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Arial" w:hAnsi="Arial"/>
                  <w:color w:val="0000FF"/>
                  <w:sz w:val="20"/>
                  <w:u w:val="single"/>
                </w:rPr>
                <w:t>Other Information</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6.</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exhibits_and_financial_statement_schedul">
              <w:r>
                <w:rPr>
                  <w:rStyle w:val="InternetLink"/>
                  <w:rFonts w:ascii="Arial" w:hAnsi="Arial"/>
                  <w:color w:val="0000FF"/>
                  <w:sz w:val="20"/>
                  <w:u w:val="single"/>
                </w:rPr>
                <w:t>Exhibits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Arial" w:hAnsi="Arial"/>
                  <w:color w:val="0000FF"/>
                  <w:sz w:val="20"/>
                  <w:u w:val="single"/>
                </w:rPr>
                <w:t>Signatures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SPECIAL NOTE REGARDING FORWARD-LOOKING STATEMENTS</w:t>
      </w:r>
    </w:p>
    <w:p>
      <w:pPr>
        <w:pStyle w:val="TextBody"/>
        <w:bidi w:val="0"/>
        <w:spacing w:before="240" w:after="283"/>
        <w:jc w:val="left"/>
        <w:rPr>
          <w:rFonts w:ascii="Times New Roman" w:hAnsi="Times New Roman"/>
          <w:sz w:val="20"/>
        </w:rPr>
      </w:pPr>
      <w:r>
        <w:rPr>
          <w:rFonts w:ascii="Arial" w:hAnsi="Arial"/>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the impact of macroeconomic and geopolitical factors including tariffs and other trade restrictions, inflation, interest rates, Federal Reserve monetary policy, vehicle depreciation, international conflicts, energy price and supply chain disruptions, our ability to continue as a going concern and the sufficiency of our existing cash, our future results of operations and financial condition, business strategy, and plans and objectives of management for future operations, including our Value Maximization Plan (as defined herein) and the ongoing activities of and potential growth of our UACC and CarStory businesses, our Long-Term Strategic Plan (as defined herein), the amendment and renewal of the Warehouse Credit Facilities (as defined herein), availability and maturity of the Delayed Draw Facility, the Delayed Draw Notes and the 2030 Notes (each as defined herein, which were exchanged for the "2032 Notes" (as defined herein) pursuant to the Exchange and Subscription Agreement), the Vroom Automotive Preferred Units (as defined herein), including distributions, conversion rights and redemption, our plans to optimize our dealer network and grow our automotive financing business, including through our Near-Prime Program, our technology initiatives, including our automated underwriting decision engine, custom credit-scoring model, Fast Lane dealer portal and AI-powered servicing tools, regulatory matters, seasonal fluctuations in our results of operations, our ability to reduce operating expenses and achieve profitability at UACC, CarStory revenue expectations, and the timing of any of the foregoing are forward-looking statements. In some cases, forward-looking statements may be identified by words such as "anticipate," "believe," "contemplate," "continue," "could," "design," "estimate," "expect," "intend," "may," "plan," "potentially," "predict," "project," "should,"</w:t>
      </w:r>
      <w:r>
        <w:rPr>
          <w:rFonts w:ascii="Times New Roman" w:hAnsi="Times New Roman"/>
          <w:color w:val="000000"/>
          <w:sz w:val="20"/>
        </w:rPr>
        <w:t xml:space="preserve"> </w:t>
      </w:r>
      <w:r>
        <w:rPr>
          <w:rFonts w:ascii="sans-serif" w:hAnsi="sans-serif"/>
          <w:color w:val="000000"/>
          <w:sz w:val="22"/>
        </w:rPr>
        <w:t>"</w:t>
      </w:r>
      <w:r>
        <w:rPr>
          <w:rFonts w:ascii="Arial" w:hAnsi="Arial"/>
          <w:color w:val="000000"/>
          <w:sz w:val="20"/>
        </w:rPr>
        <w:t>target," "will,"</w:t>
      </w:r>
      <w:r>
        <w:rPr>
          <w:rFonts w:ascii="Times New Roman" w:hAnsi="Times New Roman"/>
          <w:color w:val="000000"/>
          <w:sz w:val="20"/>
        </w:rPr>
        <w:t xml:space="preserve"> </w:t>
      </w:r>
      <w:r>
        <w:rPr>
          <w:rFonts w:ascii="sans-serif" w:hAnsi="sans-serif"/>
          <w:color w:val="000000"/>
          <w:sz w:val="22"/>
        </w:rPr>
        <w:t>"</w:t>
      </w:r>
      <w:r>
        <w:rPr>
          <w:rFonts w:ascii="Arial" w:hAnsi="Arial"/>
          <w:color w:val="000000"/>
          <w:sz w:val="20"/>
        </w:rPr>
        <w:t>would," or the negative of these terms or other similar terms or expressions, although not all forward-looking statements contain these identifying words.</w:t>
      </w:r>
    </w:p>
    <w:p>
      <w:pPr>
        <w:pStyle w:val="TextBody"/>
        <w:bidi w:val="0"/>
        <w:spacing w:before="240" w:after="283"/>
        <w:jc w:val="left"/>
        <w:rPr>
          <w:rFonts w:ascii="Times New Roman" w:hAnsi="Times New Roman"/>
          <w:sz w:val="20"/>
        </w:rPr>
      </w:pPr>
      <w:r>
        <w:rPr>
          <w:rFonts w:ascii="Arial" w:hAnsi="Arial"/>
          <w:color w:val="000000"/>
          <w:sz w:val="20"/>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emerged from the Prepackaged Chapter 11 Case, (as defined herein) on January 14, 2025, which previously consumed a substantial portion of time and attention of our management and could continue to subject us to risks and uncertainties;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while we have completed the Ecommerce Wind-Down (as defined herein), there remain risks associated with the discontinuance of our ecommerce operations and wind-down of our used vehicle dealership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Long-Term Strategic Plan may not be successful, and may not lead to growth and enhanced profitability for our UACC or CarStory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generate sufficient liquidity to operate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business and economic conditions and risks related to the larger automotive ecosystem, including consumer demand;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have a history of losses and we may not achieve or maintain profitability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indebtedness and liabilities could limit the cash flow available for our operations, expose us to risks that could adversely affect our business, financial condition, and results of operations and impair our ability to satisfy our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geographic concentration of UACC's borrowers or dealerships creates an exposure to local and regional downturns or severe weather or catastrophic occurrences that may materially and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satisfy a Nasdaq listing rule or that of another national securities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UACC may be unable to continue to access or renew funding sources and obtain capital needed to maintain and grow its business;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UACC may be unable to sell automotive finance receivables and generate gains on sales of those finance receivables, which could harm our business, results of operations, and financial condition;</w:t>
      </w:r>
      <w:r>
        <w:rPr>
          <w:color w:val="00000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UACC's securitizations may expose it to financing and other risks, and there can be no assurance that it will be able to access the securitization market in the future, which may require it to seek more costly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UACC is currently experiencing increasing credit losses in interests it holds in automotive finance receivables, and its credit scoring systems may not effectively forecast its automotive receivables loss rates. Higher than anticipated credit losses or prepayments or the inability to effectively forecast loss rates may negatively impact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UACC loses servicing rights on its automobile contracts, our results of operations would be negatively impacted;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operate in a highly regulated industry and are subject to a wide range of federal, state and local laws and regulations, and failure to comply with these laws and regulations could have a material adverse effect on our business, financial condition and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actual operating results may differ significantly from our guidance;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risks described in the section titled "Risk Factors" in our Annual Report on Form 10-K for the year ended December 31, 2025.</w:t>
      </w:r>
    </w:p>
    <w:p>
      <w:pPr>
        <w:pStyle w:val="TextBody"/>
        <w:bidi w:val="0"/>
        <w:spacing w:before="240" w:after="283"/>
        <w:jc w:val="left"/>
        <w:rPr>
          <w:rFonts w:ascii="Arial" w:hAnsi="Arial"/>
          <w:color w:val="000000"/>
          <w:sz w:val="20"/>
        </w:rPr>
      </w:pPr>
      <w:r>
        <w:rPr>
          <w:rFonts w:ascii="Arial" w:hAnsi="Arial"/>
          <w:color w:val="000000"/>
          <w:sz w:val="20"/>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before="240" w:after="283"/>
        <w:jc w:val="left"/>
        <w:rPr>
          <w:rFonts w:ascii="Arial" w:hAnsi="Arial"/>
          <w:color w:val="000000"/>
          <w:sz w:val="20"/>
        </w:rPr>
      </w:pPr>
      <w:r>
        <w:rPr>
          <w:rFonts w:ascii="Arial" w:hAnsi="Arial"/>
          <w:color w:val="000000"/>
          <w:sz w:val="20"/>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before="240" w:after="283"/>
        <w:jc w:val="left"/>
        <w:rPr>
          <w:rFonts w:ascii="Arial" w:hAnsi="Arial"/>
          <w:color w:val="000000"/>
          <w:sz w:val="20"/>
        </w:rPr>
      </w:pPr>
      <w:r>
        <w:rPr>
          <w:rFonts w:ascii="Arial" w:hAnsi="Arial"/>
          <w:color w:val="000000"/>
          <w:sz w:val="20"/>
        </w:rPr>
        <w:t>As used in this Quarterly Report on Form 10-Q, “Prepackaged Chapter 11 Case” refers to our filing of the voluntary proceeding under the Bankruptcy Code to be commenced by us in the United States Bankruptcy Court for the Southern District of Texas.</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3" w:name="part_i"/>
      <w:bookmarkEnd w:id="3"/>
      <w:r>
        <w:rPr>
          <w:rFonts w:ascii="Arial" w:hAnsi="Arial"/>
          <w:b/>
          <w:color w:val="000000"/>
          <w:sz w:val="20"/>
        </w:rPr>
        <w:t>PART I – FINANCIAL INFORMATION</w:t>
      </w:r>
    </w:p>
    <w:p>
      <w:pPr>
        <w:pStyle w:val="TextBody"/>
        <w:bidi w:val="0"/>
        <w:jc w:val="left"/>
        <w:rPr>
          <w:rFonts w:ascii="Arial" w:hAnsi="Arial"/>
          <w:b/>
          <w:color w:val="000000"/>
          <w:sz w:val="20"/>
        </w:rPr>
      </w:pPr>
      <w:bookmarkStart w:id="4" w:name="item_1_fs"/>
      <w:bookmarkEnd w:id="4"/>
      <w:r>
        <w:rPr>
          <w:rFonts w:ascii="Arial" w:hAnsi="Arial"/>
          <w:b/>
          <w:color w:val="000000"/>
          <w:sz w:val="20"/>
        </w:rPr>
        <w:t>Item 1. Financial Statements</w:t>
      </w:r>
    </w:p>
    <w:p>
      <w:pPr>
        <w:pStyle w:val="TextBody"/>
        <w:bidi w:val="0"/>
        <w:jc w:val="center"/>
        <w:rPr>
          <w:rFonts w:ascii="Arial" w:hAnsi="Arial"/>
          <w:b/>
          <w:color w:val="000000"/>
          <w:sz w:val="20"/>
        </w:rPr>
      </w:pPr>
      <w:r>
        <w:rPr>
          <w:rFonts w:ascii="Arial" w:hAnsi="Arial"/>
          <w:b/>
          <w:color w:val="000000"/>
          <w:sz w:val="20"/>
        </w:rPr>
        <w:t>VROOM, INC.</w:t>
      </w:r>
    </w:p>
    <w:p>
      <w:pPr>
        <w:pStyle w:val="TextBody"/>
        <w:bidi w:val="0"/>
        <w:jc w:val="center"/>
        <w:rPr>
          <w:rFonts w:ascii="Times New Roman" w:hAnsi="Times New Roman"/>
          <w:sz w:val="20"/>
        </w:rPr>
      </w:pPr>
      <w:bookmarkStart w:id="5" w:name="balance_sheet"/>
      <w:bookmarkEnd w:id="5"/>
      <w:r>
        <w:rPr>
          <w:rFonts w:ascii="Arial" w:hAnsi="Arial"/>
          <w:b/>
          <w:color w:val="000000"/>
          <w:sz w:val="20"/>
        </w:rPr>
        <w:t>CONDENSED CONSOLIDATED</w:t>
      </w:r>
      <w:r>
        <w:rPr>
          <w:rFonts w:ascii="Times New Roman" w:hAnsi="Times New Roman"/>
          <w:color w:val="000000"/>
          <w:sz w:val="20"/>
        </w:rPr>
        <w:t xml:space="preserve"> </w:t>
      </w:r>
      <w:r>
        <w:rPr>
          <w:rFonts w:ascii="Arial" w:hAnsi="Arial"/>
          <w:b/>
          <w:color w:val="000000"/>
          <w:sz w:val="20"/>
        </w:rPr>
        <w:t>BALANCE SHEETS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94"/>
        <w:gridCol w:w="146"/>
        <w:gridCol w:w="211"/>
        <w:gridCol w:w="781"/>
        <w:gridCol w:w="166"/>
        <w:gridCol w:w="146"/>
        <w:gridCol w:w="223"/>
        <w:gridCol w:w="826"/>
        <w:gridCol w:w="212"/>
      </w:tblGrid>
      <w:tr>
        <w:trPr/>
        <w:tc>
          <w:tcPr>
            <w:tcW w:w="7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December 31,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10,384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Restricted cash (including restricted cash of consolidated VIEs of $58.8</w:t>
            </w:r>
            <w:r>
              <w:rPr>
                <w:rFonts w:ascii="Times New Roman" w:hAnsi="Times New Roman"/>
                <w:color w:val="000000"/>
                <w:sz w:val="20"/>
              </w:rPr>
              <w:t> </w:t>
            </w:r>
            <w:r>
              <w:rPr>
                <w:rFonts w:ascii="Arial" w:hAnsi="Arial"/>
                <w:color w:val="000000"/>
                <w:sz w:val="18"/>
              </w:rPr>
              <w:t>million and $55.8</w:t>
            </w:r>
            <w:r>
              <w:rPr>
                <w:rFonts w:ascii="Times New Roman" w:hAnsi="Times New Roman"/>
                <w:color w:val="000000"/>
                <w:sz w:val="20"/>
              </w:rPr>
              <w:t> </w:t>
            </w:r>
            <w:r>
              <w:rPr>
                <w:rFonts w:ascii="Arial" w:hAnsi="Arial"/>
                <w:color w:val="000000"/>
                <w:sz w:val="18"/>
              </w:rPr>
              <w:t>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55,914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Finance receivables at fair value (including finance receivables of consolidated VIEs of $785.6</w:t>
            </w:r>
            <w:r>
              <w:rPr>
                <w:rFonts w:ascii="Times New Roman" w:hAnsi="Times New Roman"/>
                <w:color w:val="000000"/>
                <w:sz w:val="20"/>
              </w:rPr>
              <w:t> </w:t>
            </w:r>
            <w:r>
              <w:rPr>
                <w:rFonts w:ascii="Arial" w:hAnsi="Arial"/>
                <w:color w:val="000000"/>
                <w:sz w:val="18"/>
              </w:rPr>
              <w:t>million and $777.0</w:t>
            </w:r>
            <w:r>
              <w:rPr>
                <w:rFonts w:ascii="Times New Roman" w:hAnsi="Times New Roman"/>
                <w:color w:val="000000"/>
                <w:sz w:val="20"/>
              </w:rPr>
              <w:t> </w:t>
            </w:r>
            <w:r>
              <w:rPr>
                <w:rFonts w:ascii="Arial" w:hAnsi="Arial"/>
                <w:color w:val="000000"/>
                <w:sz w:val="18"/>
              </w:rPr>
              <w:t>million,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807,665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808,636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Interest receivable (including interest receivables of consolidated VIEs of $11.7</w:t>
            </w:r>
            <w:r>
              <w:rPr>
                <w:rFonts w:ascii="Times New Roman" w:hAnsi="Times New Roman"/>
                <w:color w:val="000000"/>
                <w:sz w:val="20"/>
              </w:rPr>
              <w:t> </w:t>
            </w:r>
            <w:r>
              <w:rPr>
                <w:rFonts w:ascii="Arial" w:hAnsi="Arial"/>
                <w:color w:val="000000"/>
                <w:sz w:val="18"/>
              </w:rPr>
              <w:t>million and $12.4</w:t>
            </w:r>
            <w:r>
              <w:rPr>
                <w:rFonts w:ascii="Times New Roman" w:hAnsi="Times New Roman"/>
                <w:color w:val="000000"/>
                <w:sz w:val="20"/>
              </w:rPr>
              <w:t> </w:t>
            </w:r>
            <w:r>
              <w:rPr>
                <w:rFonts w:ascii="Arial" w:hAnsi="Arial"/>
                <w:color w:val="000000"/>
                <w:sz w:val="18"/>
              </w:rPr>
              <w:t>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12,834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6,744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12,370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5,792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Other assets (including other assets of consolidated VIEs of $10.0</w:t>
            </w:r>
            <w:r>
              <w:rPr>
                <w:rFonts w:ascii="Times New Roman" w:hAnsi="Times New Roman"/>
                <w:color w:val="000000"/>
                <w:sz w:val="20"/>
              </w:rPr>
              <w:t> </w:t>
            </w:r>
            <w:r>
              <w:rPr>
                <w:rFonts w:ascii="Arial" w:hAnsi="Arial"/>
                <w:color w:val="000000"/>
                <w:sz w:val="18"/>
              </w:rPr>
              <w:t>million and $9.8</w:t>
            </w:r>
            <w:r>
              <w:rPr>
                <w:rFonts w:ascii="Times New Roman" w:hAnsi="Times New Roman"/>
                <w:color w:val="000000"/>
                <w:sz w:val="20"/>
              </w:rPr>
              <w:t> </w:t>
            </w:r>
            <w:r>
              <w:rPr>
                <w:rFonts w:ascii="Arial" w:hAnsi="Arial"/>
                <w:color w:val="000000"/>
                <w:sz w:val="18"/>
              </w:rPr>
              <w:t>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24,665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Assets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937,385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MEZZANINE EQUITY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Warehouse credit facilities of consolidated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318,655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Related party line of credit (Note 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Long-term debt (including securitization debt of consolidated VIEs of $465.2</w:t>
            </w:r>
            <w:r>
              <w:rPr>
                <w:rFonts w:ascii="Times New Roman" w:hAnsi="Times New Roman"/>
                <w:color w:val="000000"/>
                <w:sz w:val="20"/>
              </w:rPr>
              <w:t> </w:t>
            </w:r>
            <w:r>
              <w:rPr>
                <w:rFonts w:ascii="Arial" w:hAnsi="Arial"/>
                <w:color w:val="000000"/>
                <w:sz w:val="18"/>
              </w:rPr>
              <w:t>million and $393.2</w:t>
            </w:r>
            <w:r>
              <w:rPr>
                <w:rFonts w:ascii="Times New Roman" w:hAnsi="Times New Roman"/>
                <w:color w:val="000000"/>
                <w:sz w:val="20"/>
              </w:rPr>
              <w:t> </w:t>
            </w:r>
            <w:r>
              <w:rPr>
                <w:rFonts w:ascii="Arial" w:hAnsi="Arial"/>
                <w:color w:val="000000"/>
                <w:sz w:val="18"/>
              </w:rPr>
              <w:t>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423,197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Related party note (Note 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Other liabilities (including other liabilities of consolidated VIEs of $16.0</w:t>
            </w:r>
            <w:r>
              <w:rPr>
                <w:rFonts w:ascii="Times New Roman" w:hAnsi="Times New Roman"/>
                <w:color w:val="000000"/>
                <w:sz w:val="20"/>
              </w:rPr>
              <w:t> </w:t>
            </w:r>
            <w:r>
              <w:rPr>
                <w:rFonts w:ascii="Arial" w:hAnsi="Arial"/>
                <w:color w:val="000000"/>
                <w:sz w:val="18"/>
              </w:rPr>
              <w:t>million and $15.7</w:t>
            </w:r>
            <w:r>
              <w:rPr>
                <w:rFonts w:ascii="Times New Roman" w:hAnsi="Times New Roman"/>
                <w:color w:val="000000"/>
                <w:sz w:val="20"/>
              </w:rPr>
              <w:t> </w:t>
            </w:r>
            <w:r>
              <w:rPr>
                <w:rFonts w:ascii="Arial" w:hAnsi="Arial"/>
                <w:color w:val="000000"/>
                <w:sz w:val="18"/>
              </w:rPr>
              <w:t>million,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41,149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820,767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Mezzanine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Preferred units, no</w:t>
            </w:r>
            <w:r>
              <w:rPr>
                <w:rFonts w:ascii="Times New Roman" w:hAnsi="Times New Roman"/>
                <w:color w:val="000000"/>
                <w:sz w:val="20"/>
              </w:rPr>
              <w:t> </w:t>
            </w:r>
            <w:r>
              <w:rPr>
                <w:rFonts w:ascii="Arial" w:hAnsi="Arial"/>
                <w:color w:val="000000"/>
                <w:sz w:val="18"/>
              </w:rPr>
              <w:t>par value, 15,000</w:t>
            </w:r>
            <w:r>
              <w:rPr>
                <w:rFonts w:ascii="Times New Roman" w:hAnsi="Times New Roman"/>
                <w:color w:val="000000"/>
                <w:sz w:val="20"/>
              </w:rPr>
              <w:t> </w:t>
            </w:r>
            <w:r>
              <w:rPr>
                <w:rFonts w:ascii="Arial" w:hAnsi="Arial"/>
                <w:color w:val="000000"/>
                <w:sz w:val="18"/>
              </w:rPr>
              <w:t>series A units and 7,500</w:t>
            </w:r>
            <w:r>
              <w:rPr>
                <w:rFonts w:ascii="Times New Roman" w:hAnsi="Times New Roman"/>
                <w:color w:val="000000"/>
                <w:sz w:val="20"/>
              </w:rPr>
              <w:t> </w:t>
            </w:r>
            <w:r>
              <w:rPr>
                <w:rFonts w:ascii="Arial" w:hAnsi="Arial"/>
                <w:color w:val="000000"/>
                <w:sz w:val="18"/>
              </w:rPr>
              <w:t>series B units authorized and issued to noncontrolling interests of subsidiary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Common stock, $0.001</w:t>
            </w:r>
            <w:r>
              <w:rPr>
                <w:rFonts w:ascii="Times New Roman" w:hAnsi="Times New Roman"/>
                <w:color w:val="000000"/>
                <w:sz w:val="20"/>
              </w:rPr>
              <w:t> </w:t>
            </w:r>
            <w:r>
              <w:rPr>
                <w:rFonts w:ascii="Arial" w:hAnsi="Arial"/>
                <w:color w:val="000000"/>
                <w:sz w:val="18"/>
              </w:rPr>
              <w:t>par value; 250,000,000</w:t>
            </w:r>
            <w:r>
              <w:rPr>
                <w:rFonts w:ascii="Times New Roman" w:hAnsi="Times New Roman"/>
                <w:color w:val="000000"/>
                <w:sz w:val="20"/>
              </w:rPr>
              <w:t> </w:t>
            </w:r>
            <w:r>
              <w:rPr>
                <w:rFonts w:ascii="Arial" w:hAnsi="Arial"/>
                <w:color w:val="000000"/>
                <w:sz w:val="18"/>
              </w:rPr>
              <w:t>shares authorized as of June 30, 2026 and December 31, 2025, respectively; 5,234,353</w:t>
            </w:r>
            <w:r>
              <w:rPr>
                <w:rFonts w:ascii="Times New Roman" w:hAnsi="Times New Roman"/>
                <w:color w:val="000000"/>
                <w:sz w:val="20"/>
              </w:rPr>
              <w:t> </w:t>
            </w:r>
            <w:r>
              <w:rPr>
                <w:rFonts w:ascii="Arial" w:hAnsi="Arial"/>
                <w:color w:val="000000"/>
                <w:sz w:val="18"/>
              </w:rPr>
              <w:t>and 5,199,641</w:t>
            </w:r>
            <w:r>
              <w:rPr>
                <w:rFonts w:ascii="Times New Roman" w:hAnsi="Times New Roman"/>
                <w:color w:val="000000"/>
                <w:sz w:val="20"/>
              </w:rPr>
              <w:t> </w:t>
            </w:r>
            <w:r>
              <w:rPr>
                <w:rFonts w:ascii="Arial" w:hAnsi="Arial"/>
                <w:color w:val="000000"/>
                <w:sz w:val="18"/>
              </w:rPr>
              <w:t>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169,663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(53,050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116,618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mezzanine equity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937,385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See accompanying</w:t>
      </w:r>
      <w:r>
        <w:rPr>
          <w:rFonts w:ascii="Times New Roman" w:hAnsi="Times New Roman"/>
          <w:color w:val="000000"/>
          <w:sz w:val="20"/>
        </w:rPr>
        <w:t xml:space="preserve"> </w:t>
      </w:r>
      <w:r>
        <w:rPr>
          <w:rFonts w:ascii="Arial" w:hAnsi="Arial"/>
          <w:i/>
          <w:color w:val="000000"/>
          <w:sz w:val="20"/>
        </w:rPr>
        <w:t>notes to these unaudited condensed consolidated financial statements</w:t>
      </w:r>
      <w:r>
        <w:rPr>
          <w:rFonts w:ascii="Arial" w:hAnsi="Arial"/>
          <w:color w:val="000000"/>
          <w:sz w:val="20"/>
        </w:rPr>
        <w: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6" w:name="income_statement"/>
      <w:bookmarkEnd w:id="6"/>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52"/>
        <w:gridCol w:w="146"/>
        <w:gridCol w:w="211"/>
        <w:gridCol w:w="931"/>
        <w:gridCol w:w="166"/>
        <w:gridCol w:w="146"/>
        <w:gridCol w:w="211"/>
        <w:gridCol w:w="931"/>
        <w:gridCol w:w="311"/>
      </w:tblGrid>
      <w:tr>
        <w:trPr/>
        <w:tc>
          <w:tcPr>
            <w:tcW w:w="7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9,883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13,142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32,606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13,106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8,817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21,091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30,796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from continuing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(Benefit) provision for income taxes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attributable to controlling interest and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loss per share attributable to common stockholders, continuing operations,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income per share attributable to common stockholders, discontinued operations,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Total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Weighted-average number of shares outstanding used to compute 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5,214,021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5,174,381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11"/>
        <w:gridCol w:w="322"/>
        <w:gridCol w:w="1125"/>
        <w:gridCol w:w="166"/>
        <w:gridCol w:w="146"/>
        <w:gridCol w:w="415"/>
        <w:gridCol w:w="1447"/>
        <w:gridCol w:w="166"/>
        <w:gridCol w:w="146"/>
        <w:gridCol w:w="146"/>
        <w:gridCol w:w="475"/>
        <w:gridCol w:w="1526"/>
        <w:gridCol w:w="314"/>
      </w:tblGrid>
      <w:tr>
        <w:trPr/>
        <w:tc>
          <w:tcPr>
            <w:tcW w:w="381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7,183</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4,988</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6,792</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 after losses and recoveries</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(1,804</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1,044</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5,181</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continuing operations before reorganization items and provision for income taxes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(5,941</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Reorganization items, net</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income from continuing operations before provision for income taxes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Provision for income taxes from continuing operations</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from continuing operations</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45,090</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discontinued operations</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attributable to controlling interest and common shareholders</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(Continued on following page)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OPERATIONS (continued)</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74"/>
        <w:gridCol w:w="266"/>
        <w:gridCol w:w="1175"/>
        <w:gridCol w:w="166"/>
        <w:gridCol w:w="146"/>
        <w:gridCol w:w="320"/>
        <w:gridCol w:w="1413"/>
        <w:gridCol w:w="166"/>
        <w:gridCol w:w="146"/>
        <w:gridCol w:w="146"/>
        <w:gridCol w:w="327"/>
        <w:gridCol w:w="1446"/>
        <w:gridCol w:w="314"/>
      </w:tblGrid>
      <w:tr>
        <w:trPr/>
        <w:tc>
          <w:tcPr>
            <w:tcW w:w="417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(loss) income per share attributable to common stockholders, basic:</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Continuing operations</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24.74</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Discontinued operations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Basic</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24.74</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(loss) income per share attributable to common stockholders, diluted:</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Continuing operations</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23.89</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Discontinued operations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Diluted</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23.89</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Weighted-average number of shares outstanding used to compute net (loss) income per share attributable to common stockholders:</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Basic</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5,207,963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5,169,251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1,822,541</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Diluted</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5,207,963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5,169,251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1,887,370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See accompanying notes to these unaudited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7" w:name="stockholders_equity"/>
      <w:bookmarkEnd w:id="7"/>
      <w:r>
        <w:rPr>
          <w:rFonts w:ascii="Arial" w:hAnsi="Arial"/>
          <w:b/>
          <w:color w:val="000000"/>
          <w:sz w:val="17"/>
        </w:rPr>
        <w:t>VROOM, INC.</w:t>
      </w:r>
      <w:r>
        <w:rPr>
          <w:rFonts w:ascii="Times New Roman" w:hAnsi="Times New Roman"/>
          <w:color w:val="000000"/>
          <w:sz w:val="20"/>
        </w:rPr>
        <w:t xml:space="preserve"> </w:t>
      </w:r>
    </w:p>
    <w:p>
      <w:pPr>
        <w:pStyle w:val="TextBody"/>
        <w:bidi w:val="0"/>
        <w:jc w:val="center"/>
        <w:rPr>
          <w:rFonts w:ascii="Arial" w:hAnsi="Arial"/>
          <w:b/>
          <w:color w:val="000000"/>
          <w:sz w:val="17"/>
        </w:rPr>
      </w:pPr>
      <w:r>
        <w:rPr>
          <w:rFonts w:ascii="Arial" w:hAnsi="Arial"/>
          <w:b/>
          <w:color w:val="000000"/>
          <w:sz w:val="17"/>
        </w:rPr>
        <w:t>CONDENSED CONSOLIDATED STATEMENTS OF CHANGES IN MEZZANINE EQUITY AND STOCKHOLDERS’ EQUITY</w:t>
      </w:r>
    </w:p>
    <w:p>
      <w:pPr>
        <w:pStyle w:val="TextBody"/>
        <w:bidi w:val="0"/>
        <w:jc w:val="center"/>
        <w:rPr>
          <w:rFonts w:ascii="Arial" w:hAnsi="Arial"/>
          <w:b/>
          <w:color w:val="000000"/>
          <w:sz w:val="17"/>
        </w:rPr>
      </w:pPr>
      <w:r>
        <w:rPr>
          <w:rFonts w:ascii="Arial" w:hAnsi="Arial"/>
          <w:b/>
          <w:color w:val="000000"/>
          <w:sz w:val="17"/>
        </w:rPr>
        <w:t>(in thousands, except share amounts)</w:t>
      </w:r>
    </w:p>
    <w:p>
      <w:pPr>
        <w:pStyle w:val="TextBody"/>
        <w:bidi w:val="0"/>
        <w:jc w:val="center"/>
        <w:rPr>
          <w:rFonts w:ascii="Arial" w:hAnsi="Arial"/>
          <w:b/>
          <w:color w:val="000000"/>
          <w:sz w:val="17"/>
        </w:rPr>
      </w:pPr>
      <w:r>
        <w:rPr>
          <w:rFonts w:ascii="Arial" w:hAnsi="Arial"/>
          <w:b/>
          <w:color w:val="000000"/>
          <w:sz w:val="17"/>
        </w:rPr>
        <w:t>(unaudited)</w:t>
      </w:r>
    </w:p>
    <w:tbl>
      <w:tblPr>
        <w:tblW w:w="10828" w:type="dxa"/>
        <w:jc w:val="left"/>
        <w:tblInd w:w="0" w:type="dxa"/>
        <w:tblLayout w:type="fixed"/>
        <w:tblCellMar>
          <w:top w:w="28" w:type="dxa"/>
          <w:left w:w="28" w:type="dxa"/>
          <w:bottom w:w="28" w:type="dxa"/>
          <w:right w:w="28" w:type="dxa"/>
        </w:tblCellMar>
      </w:tblPr>
      <w:tblGrid>
        <w:gridCol w:w="1291"/>
        <w:gridCol w:w="146"/>
        <w:gridCol w:w="146"/>
        <w:gridCol w:w="676"/>
        <w:gridCol w:w="146"/>
        <w:gridCol w:w="146"/>
        <w:gridCol w:w="211"/>
        <w:gridCol w:w="676"/>
        <w:gridCol w:w="146"/>
        <w:gridCol w:w="146"/>
        <w:gridCol w:w="146"/>
        <w:gridCol w:w="146"/>
        <w:gridCol w:w="991"/>
        <w:gridCol w:w="166"/>
        <w:gridCol w:w="146"/>
        <w:gridCol w:w="284"/>
        <w:gridCol w:w="467"/>
        <w:gridCol w:w="166"/>
        <w:gridCol w:w="146"/>
        <w:gridCol w:w="211"/>
        <w:gridCol w:w="991"/>
        <w:gridCol w:w="166"/>
        <w:gridCol w:w="146"/>
        <w:gridCol w:w="211"/>
        <w:gridCol w:w="991"/>
        <w:gridCol w:w="166"/>
        <w:gridCol w:w="146"/>
        <w:gridCol w:w="273"/>
        <w:gridCol w:w="928"/>
        <w:gridCol w:w="211"/>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Mezzanine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December 31, 2024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1,822,532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2,094,889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(2,125,836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Elimination of Predecessor equity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(1,822,558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(2,095,033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2,080,750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successor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5,163,109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January 14, 2025 (Predecessor)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5,163,109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January 15, 2025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5,163,109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March 31, 2025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5,183,023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158,627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June 30, 2025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5,199,568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166,809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151,944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Mezzanine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 Equity</w:t>
            </w:r>
          </w:p>
        </w:tc>
        <w:tc>
          <w:tcPr>
            <w:tcW w:w="21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1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December 31, 2025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5,199,641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169,663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116,618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units issued to noncontrolling interests of subsidiary,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March 31, 2026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5,206,492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(72,679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98,416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June 30, 2026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5,234,353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(72,742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99,792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Arial" w:hAnsi="Arial"/>
          <w:i/>
          <w:color w:val="000000"/>
          <w:sz w:val="17"/>
        </w:rPr>
        <w:t>See accompanying</w:t>
      </w:r>
      <w:r>
        <w:rPr>
          <w:rFonts w:ascii="Times New Roman" w:hAnsi="Times New Roman"/>
          <w:color w:val="000000"/>
          <w:sz w:val="20"/>
        </w:rPr>
        <w:t xml:space="preserve"> </w:t>
      </w:r>
      <w:r>
        <w:rPr>
          <w:rFonts w:ascii="Arial" w:hAnsi="Arial"/>
          <w:i/>
          <w:color w:val="000000"/>
          <w:sz w:val="17"/>
        </w:rPr>
        <w:t>notes to these unaudited condensed consolidated financial statements</w:t>
      </w:r>
      <w:r>
        <w:rPr>
          <w:rFonts w:ascii="Arial" w:hAnsi="Arial"/>
          <w:color w:val="000000"/>
          <w:sz w:val="17"/>
        </w:rPr>
        <w: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8" w:name="scf"/>
      <w:bookmarkEnd w:id="8"/>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08"/>
        <w:gridCol w:w="146"/>
        <w:gridCol w:w="301"/>
        <w:gridCol w:w="1157"/>
        <w:gridCol w:w="166"/>
        <w:gridCol w:w="146"/>
        <w:gridCol w:w="389"/>
        <w:gridCol w:w="1494"/>
        <w:gridCol w:w="166"/>
        <w:gridCol w:w="146"/>
        <w:gridCol w:w="146"/>
        <w:gridCol w:w="462"/>
        <w:gridCol w:w="1562"/>
        <w:gridCol w:w="316"/>
      </w:tblGrid>
      <w:tr>
        <w:trPr/>
        <w:tc>
          <w:tcPr>
            <w:tcW w:w="3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Adjustments to reconcile net (loss)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Losses on finance receivables and securitization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Losses on Warranties and GAP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Amortization of unearned discounts on finance receivables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Non-cash reorganization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Finance receivables,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Originations of finance receivables,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(14,337</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Principal payments received on finance receivables,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6,481</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operating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operating activities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Finance receivables, held for investment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Originations of finance receivables, held for investment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Principal payments received on finance receivables, held for investment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Principal payments received on beneficial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provided by investing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investing activities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borrowings under secured financing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307,780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Principal repayment under secured financing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financing of beneficial interests in securitizations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Principal repayments of financing of beneficial interests in securitizations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warehouse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Repayments of warehouse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(260,289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(8,094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preferred units issued to noncontrolling interests of subsidiary,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preferred stock dividends attributable to noncontrolling interests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issuance of related party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27,445</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8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9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37,496</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56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(13,898</w:t>
            </w:r>
          </w:p>
        </w:tc>
        <w:tc>
          <w:tcPr>
            <w:tcW w:w="3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cash equivalents and restricted cash at the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78,369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cash equivalents and restricted cash at the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61,441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Arial" w:hAnsi="Arial"/>
          <w:i/>
          <w:color w:val="000000"/>
          <w:sz w:val="20"/>
        </w:rPr>
        <w:t>(Continued on following page)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CONDENSED CONSOLIDATED STATEMENTS OF CASH FLOWS (continued)</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17"/>
        <w:gridCol w:w="146"/>
        <w:gridCol w:w="196"/>
        <w:gridCol w:w="601"/>
        <w:gridCol w:w="166"/>
        <w:gridCol w:w="146"/>
        <w:gridCol w:w="196"/>
        <w:gridCol w:w="601"/>
        <w:gridCol w:w="146"/>
        <w:gridCol w:w="146"/>
        <w:gridCol w:w="146"/>
        <w:gridCol w:w="196"/>
        <w:gridCol w:w="511"/>
        <w:gridCol w:w="191"/>
      </w:tblGrid>
      <w:tr>
        <w:trPr/>
        <w:tc>
          <w:tcPr>
            <w:tcW w:w="6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reorganization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Accrued and unpaid preferred stock dividends attributable to noncontrolling interests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Exchange of outstanding debt for 2032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See accompanying</w:t>
      </w:r>
      <w:r>
        <w:rPr>
          <w:rFonts w:ascii="Times New Roman" w:hAnsi="Times New Roman"/>
          <w:color w:val="000000"/>
          <w:sz w:val="20"/>
        </w:rPr>
        <w:t xml:space="preserve"> </w:t>
      </w:r>
      <w:r>
        <w:rPr>
          <w:rFonts w:ascii="Arial" w:hAnsi="Arial"/>
          <w:i/>
          <w:color w:val="000000"/>
          <w:sz w:val="20"/>
        </w:rPr>
        <w:t>notes to these unaudited condensed consolidated financial statements</w:t>
      </w:r>
      <w:r>
        <w:rPr>
          <w:rFonts w:ascii="Arial" w:hAnsi="Arial"/>
          <w:color w:val="000000"/>
          <w:sz w:val="20"/>
        </w:rPr>
        <w: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bookmarkStart w:id="9" w:name="notes_financial_statements"/>
      <w:bookmarkEnd w:id="9"/>
      <w:r>
        <w:rPr>
          <w:rFonts w:ascii="Arial" w:hAnsi="Arial"/>
          <w:b/>
          <w:color w:val="000000"/>
          <w:sz w:val="20"/>
        </w:rPr>
        <w:t>1. Description of Business and Basis of Presentation</w:t>
      </w:r>
    </w:p>
    <w:p>
      <w:pPr>
        <w:pStyle w:val="TextBody"/>
        <w:bidi w:val="0"/>
        <w:jc w:val="left"/>
        <w:rPr>
          <w:rFonts w:ascii="Times New Roman" w:hAnsi="Times New Roman"/>
          <w:sz w:val="20"/>
        </w:rPr>
      </w:pPr>
      <w:r>
        <w:rPr>
          <w:rFonts w:ascii="Arial" w:hAnsi="Arial"/>
          <w:b/>
          <w:i/>
          <w:color w:val="000000"/>
          <w:sz w:val="20"/>
        </w:rPr>
        <w:t>Description of Business and Organization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Vroom, Inc. is a holding company that conducts its operations through its subsidiaries. Unless the context otherwise requires, references herein to “Vroom”, the "Company”, “we”, “us” or “our” refer to Vroom and its consolidated subsidiaries.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was incorporated in Delaware on January 31, 2012, under the name BCM Partners III, Corp. On June 25, 2013, the Company changed its name to Auto America, Inc., and on July 9, 2015, the Company changed its name to Vroom, Inc.</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color w:val="000000"/>
          <w:sz w:val="20"/>
        </w:rPr>
        <w:t>In January 2021, the Company completed the acquisition of Vast Holdings, Inc. (d/b/a CarStory) ("CarStory"). In February 2022 (the "Acquisition Date"), the Company completed the acquisition of Unitas Holdings Corp. (now known as Vroom Finance Corporation), including its wholly owned subsidiaries United PanAm Financial Corp. (now known as Vroom Automotive Financial Corporation) and United Auto Credit Corporation ("UACC").</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UACC, a leading automotive finance company, offers vehicle financing to consumers through third-party dealers under the UACC brand, and CarStory, is an AI-powered analytics and digital services platform for automotive retail. The UACC and CarStory businesses continue to serve their third-party customers, with their operations substantially unaffected by the Ecommerce Wind-Down (as defined herein).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previously operated an end-to-end ecommerce platform to buy and sell used vehicles through its subsidiary Vroom Automotive, LLC. On January 22, 2024, the Company announced that its Board of Directors (“Board”) had approved a value maximization plan, pursuant to which the Company wound down its used vehicle dealership business in order to preserve liquidity and enable the Company to maximize stakeholder value through its remaining businesses (the “Value Maximization Plan”). As of March 29, 2024, the Company substantially completed the wind-down of its ecommerce operations and used vehicle dealership business (the “Ecommerce Wind-Down”).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accounting requirements for reporting the Company's ecommerce operations and used vehicle dealership business as a discontinued operation were met as of March 29, 2024. Accordingly, the condensed consolidated financial statements and notes to the condensed consolidated financial statements reflect the results of the Company's ecommerce operations and used vehicle dealership business as a discontinued operation for the periods presented. Refer to Note 5 — Discontinued Operations for further detail. The Company is now organized into two</w:t>
      </w:r>
      <w:r>
        <w:rPr>
          <w:rFonts w:ascii="Times New Roman" w:hAnsi="Times New Roman"/>
          <w:color w:val="000000"/>
          <w:sz w:val="20"/>
        </w:rPr>
        <w:t xml:space="preserve"> </w:t>
      </w:r>
      <w:r>
        <w:rPr>
          <w:rFonts w:ascii="Arial" w:hAnsi="Arial"/>
          <w:color w:val="000000"/>
          <w:sz w:val="20"/>
        </w:rPr>
        <w:t>reportable segments: UACC and CarStory. The UACC reportable segment represents UACC’s operations with its network of third-party dealership customers, including the purchase and servicing of vehicle retail installment sales contracts. Prior to the Ecommerce Wind-Down, UACC also offered vehicle financing to Vroom’s customers through its ecommerce platform; the UACC reportable segment also includes the runoff of these previously originated contracts. The CarStory reportable segment represents sales of AI-powered analytics and digital services to automotive dealers, automotive financial services companies and others in the automotive industry. Refer to Note 16 — Segment Information for further details.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The Prepackaged Chapter 11 Case</w:t>
      </w:r>
    </w:p>
    <w:p>
      <w:pPr>
        <w:pStyle w:val="TextBody"/>
        <w:bidi w:val="0"/>
        <w:jc w:val="left"/>
        <w:rPr>
          <w:rFonts w:ascii="Times New Roman" w:hAnsi="Times New Roman"/>
          <w:sz w:val="20"/>
        </w:rPr>
      </w:pPr>
      <w:r>
        <w:rPr>
          <w:rFonts w:ascii="Arial" w:hAnsi="Arial"/>
          <w:color w:val="000000"/>
          <w:sz w:val="20"/>
        </w:rPr>
        <w:t>On November 12, 2024, the Company (in the context of the Prepackaged Chapter 11 Case, the “Debtor”) entered into a Restructuring Support Agreement (together with all exhibits and schedules thereto, the “RSA”) with creditors holding the overwhelming majority of the aggregate outstanding principal amount of the unsecured Convertible Senior Notes due 2026 (the “2026 Notes”) and the largest shareholder. The RSA contemplated a comprehensive restructuring of the Company’s debt obligations and capital structure to be implemented through a prepackaged plan of reorganization (the “Plan”) to be implemented through the filing of the Prepackaged Chapter 11 Case (as defined below). Capitalized terms used in this section but not defined herein have the meanings ascribed to them in the RSA.</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On November 13, 2024, the Company commenced a voluntary proceeding (the “Prepackaged Chapter 11 Case”) under Chapter 11 of the United States Code, 11 U.S.C. §§ 101-1532, as amended from time to time (the “Bankruptcy Code”) in the United States Bankruptcy Court for the Southern District of Texas (the “Bankruptcy Court”) under the name “In re Vroom, Inc.” Case No. 24-90571 (CML). None of Vroom, Inc.’s subsidiaries were debtors in the Chapter 11 proceedings.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January 14, 2025 (the “Effective Date”), the conditions to the effectiveness of the Plan were satisfied or waived and the Plan became effective. The Company emerged from the Prepackaged Chapter 11 Case on January 14, 2025.</w:t>
      </w:r>
    </w:p>
    <w:p>
      <w:pPr>
        <w:pStyle w:val="TextBody"/>
        <w:bidi w:val="0"/>
        <w:jc w:val="left"/>
        <w:rPr>
          <w:rFonts w:ascii="Arial" w:hAnsi="Arial"/>
          <w:b/>
          <w:i/>
          <w:color w:val="000000"/>
          <w:sz w:val="20"/>
        </w:rPr>
      </w:pPr>
      <w:r>
        <w:rPr>
          <w:rFonts w:ascii="Arial" w:hAnsi="Arial"/>
          <w:b/>
          <w:i/>
          <w:color w:val="000000"/>
          <w:sz w:val="20"/>
        </w:rPr>
        <w:t>Conversion of Common Stock</w:t>
      </w:r>
    </w:p>
    <w:p>
      <w:pPr>
        <w:pStyle w:val="TextBody"/>
        <w:bidi w:val="0"/>
        <w:jc w:val="left"/>
        <w:rPr>
          <w:rFonts w:ascii="Times New Roman" w:hAnsi="Times New Roman"/>
          <w:sz w:val="20"/>
        </w:rPr>
      </w:pPr>
      <w:r>
        <w:rPr>
          <w:rFonts w:ascii="Arial" w:hAnsi="Arial"/>
          <w:color w:val="000000"/>
          <w:sz w:val="20"/>
        </w:rPr>
        <w:t>Immediately prior to the Effective Date, there were 1,822,577</w:t>
      </w:r>
      <w:r>
        <w:rPr>
          <w:rFonts w:ascii="Times New Roman" w:hAnsi="Times New Roman"/>
          <w:color w:val="000000"/>
          <w:sz w:val="20"/>
        </w:rPr>
        <w:t xml:space="preserve"> </w:t>
      </w:r>
      <w:r>
        <w:rPr>
          <w:rFonts w:ascii="Arial" w:hAnsi="Arial"/>
          <w:color w:val="000000"/>
          <w:sz w:val="20"/>
        </w:rPr>
        <w:t>outstanding shares of the Company’s common stock, $0.001</w:t>
      </w:r>
      <w:r>
        <w:rPr>
          <w:rFonts w:ascii="Times New Roman" w:hAnsi="Times New Roman"/>
          <w:color w:val="000000"/>
          <w:sz w:val="20"/>
        </w:rPr>
        <w:t xml:space="preserve"> </w:t>
      </w:r>
      <w:r>
        <w:rPr>
          <w:rFonts w:ascii="Arial" w:hAnsi="Arial"/>
          <w:color w:val="000000"/>
          <w:sz w:val="20"/>
        </w:rPr>
        <w:t>par value per share. The Company has adopted an Amended and Restated Certificate of Incorporation (the “Certificate of Incorporation”) to, among other changes to the Company’s prior amended and restated certificate of incorporation, effect an automatic conversion of the common stock at a ratio of 1-for-5. As a result of the automatic conversion and the issuance of shares of common stock pursuant to the Plan, there were approximately 5,163,109</w:t>
      </w:r>
      <w:r>
        <w:rPr>
          <w:rFonts w:ascii="Times New Roman" w:hAnsi="Times New Roman"/>
          <w:color w:val="000000"/>
          <w:sz w:val="20"/>
        </w:rPr>
        <w:t xml:space="preserve"> </w:t>
      </w:r>
      <w:r>
        <w:rPr>
          <w:rFonts w:ascii="Arial" w:hAnsi="Arial"/>
          <w:color w:val="000000"/>
          <w:sz w:val="20"/>
        </w:rPr>
        <w:t>outstanding shares of newly issued common stock as of the Effective Date (the "Common Stock").</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Warrants to Purchase Common Stock</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the Effective Date, the Company entered into a warrant agreement (the “Warrant Agreement”) with Equiniti Trust Company LLC, as warrant agent. In accordance with the Plan and pursuant to the Warrant Agreement, on the Effective Date, the Company issued warrants (the “Warrants”) to purchase an aggregate of 364,516</w:t>
      </w:r>
      <w:r>
        <w:rPr>
          <w:rFonts w:ascii="Times New Roman" w:hAnsi="Times New Roman"/>
          <w:color w:val="000000"/>
          <w:sz w:val="20"/>
        </w:rPr>
        <w:t xml:space="preserve"> </w:t>
      </w:r>
      <w:r>
        <w:rPr>
          <w:rFonts w:ascii="Arial" w:hAnsi="Arial"/>
          <w:color w:val="000000"/>
          <w:sz w:val="20"/>
        </w:rPr>
        <w:t>shares of the Common Stock, at an exercise price of $60.95</w:t>
      </w:r>
      <w:r>
        <w:rPr>
          <w:rFonts w:ascii="Times New Roman" w:hAnsi="Times New Roman"/>
          <w:color w:val="000000"/>
          <w:sz w:val="20"/>
        </w:rPr>
        <w:t xml:space="preserve"> </w:t>
      </w:r>
      <w:r>
        <w:rPr>
          <w:rFonts w:ascii="Arial" w:hAnsi="Arial"/>
          <w:color w:val="000000"/>
          <w:sz w:val="20"/>
        </w:rPr>
        <w:t>per share, to stockholders of the Predecessor in accordance with the Prepackaged Chapter 11 Case. Each Warrant was immediately exercisable upon the issuance date and will expire five years</w:t>
      </w:r>
      <w:r>
        <w:rPr>
          <w:rFonts w:ascii="Times New Roman" w:hAnsi="Times New Roman"/>
          <w:color w:val="000000"/>
          <w:sz w:val="20"/>
        </w:rPr>
        <w:t xml:space="preserve"> </w:t>
      </w:r>
      <w:r>
        <w:rPr>
          <w:rFonts w:ascii="Arial" w:hAnsi="Arial"/>
          <w:color w:val="000000"/>
          <w:sz w:val="20"/>
        </w:rPr>
        <w:t>from the issuance date. On July 7, 2025, the Company's Warrants commenced trading on the OTCQX Best Market under the symbol "VRMWW".</w:t>
      </w:r>
    </w:p>
    <w:p>
      <w:pPr>
        <w:pStyle w:val="TextBody"/>
        <w:bidi w:val="0"/>
        <w:jc w:val="left"/>
        <w:rPr>
          <w:rFonts w:ascii="Times New Roman" w:hAnsi="Times New Roman"/>
          <w:sz w:val="20"/>
        </w:rPr>
      </w:pPr>
      <w:r>
        <w:rPr>
          <w:rFonts w:ascii="Arial" w:hAnsi="Arial"/>
          <w:b/>
          <w:i/>
          <w:color w:val="000000"/>
          <w:sz w:val="20"/>
        </w:rPr>
        <w:t>Basis of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condensed consolidated financial statements of the Company have been prepared in accordance with U.S. generally accepted accounting principles (“U.S. GAAP”) and applicable rules and regulations of the U.S. Securities and Exchange Commission regarding interim financial reporting. The consolidated balance sheet as of December 31, 2025,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audited consolidated financial statements and notes included in the Annual Report on Form 10-K for the year ended December 31,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Upon emergence from the Prepackaged Chapter 11 Case, the Company adopted fresh start accounting in accordance with FASB Codification Topic 852, Reorganizations ("ASC 852") and became a new entity for financial reporting purposes. As a result, the condensed consolidated financial statements after the Effective Date are not comparable with the condensed consolidated financial statements on or before that date as indicated by the “black line” division in the financial statements and footnote tables. References to “Successor” relate to the Company's financial position and results of operations after the Effective Date. References to “Predecessor” refer to the Company's financial position and results of operations on or before the Effective Date. Refer to Note 6 — Fresh Start Accounting</w:t>
      </w:r>
      <w:r>
        <w:rPr>
          <w:rFonts w:ascii="Times New Roman" w:hAnsi="Times New Roman"/>
          <w:color w:val="000000"/>
          <w:sz w:val="20"/>
        </w:rPr>
        <w:t xml:space="preserve"> </w:t>
      </w:r>
      <w:r>
        <w:rPr>
          <w:rFonts w:ascii="Arial" w:hAnsi="Arial"/>
          <w:color w:val="000000"/>
          <w:sz w:val="20"/>
        </w:rPr>
        <w:t>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unaudited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June 30, 2026, and its results of operations for the periods presented. The results for the period from January 1, 2025 to January 14, 2025, and from January 15, 2025 to June 30, 2025, are not necessarily indicative of the results expected for the current fiscal year or any other future periods.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Principles of Consolidation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accompanying condensed consolidated financial statements include the accounts of the Company and its wholly owned subsidiaries. All intercompany accounts and transactions have been eliminated in consolidation.</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2. Summary of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Use of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preparation of condensed consolidated financial statements in accordance with U.S. GAAP requires management to make estimates, assumptions and judgments that affect the reported amounts of assets, liabilities, revenue, expenses and related disclosures. On an ongoing basis, the Company evaluates its estimates, including, among others, those related to finance receivables, income taxes, stock-based compensation, contingencies, warranties and GAP (as defined below) income-related reserves, fair value measurements and useful lives of property and equipment and intangible assets. The Company bases its estimates on historical experience, market conditions, and on various other assumptions that are believed to be reasonable. Actual results may differ from these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Comprehensive Income and Loss</w:t>
      </w:r>
    </w:p>
    <w:p>
      <w:pPr>
        <w:pStyle w:val="TextBody"/>
        <w:bidi w:val="0"/>
        <w:jc w:val="left"/>
        <w:rPr>
          <w:rFonts w:ascii="Times New Roman" w:hAnsi="Times New Roman"/>
          <w:sz w:val="20"/>
        </w:rPr>
      </w:pPr>
      <w:r>
        <w:rPr>
          <w:rFonts w:ascii="Arial" w:hAnsi="Arial"/>
          <w:color w:val="000000"/>
          <w:sz w:val="20"/>
        </w:rPr>
        <w:t>The Company did not have any other comprehensive income or loss for the periods presented. Accordingly, net income and loss and comprehensive income and loss are the same for the periods presented.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Restricted Cash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Restricted cash primarily includes UACC restricted cash. UACC collects and services finance receivables under the securitization transactions and warehouse credit facilities. These collections are restricted for use until properly remitted each month under the terms of the servicing agreement. UACC also maintains a reserve account for each securitization and warehouse credit facility to provide additional collateral for the borrowings. Refer to Note 10 — Warehouse Credit Facilities of Consolidated VIEs and Note 11 — Long Term Debt 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Finance Receivables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Finance receivables consist of retail installment sale contracts purchased or acquired by UACC from its existing network of third-party dealership customers at a discount as well as retail installment sale contracts UACC offered to Vroom’s customers through its ecommerce platform prior to the Ecommerce Wind-Down.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finance receivables are generally secured by the vehicles being financed.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Finance receivables over 90 days delinquent are considered nonaccrual finance receivables. Interest income is subsequently recognized only to the extent cash payments are received until the consumer is able to make periodic interest and principal payments in accordance with the finance receivable terms.</w:t>
        <w:br/>
        <w:br/>
      </w:r>
      <w:r>
        <w:rPr>
          <w:rFonts w:ascii="Arial" w:hAnsi="Arial"/>
          <w:b/>
          <w:i/>
          <w:color w:val="000000"/>
          <w:sz w:val="20"/>
        </w:rPr>
        <w:t>Finance Receivables at Fair Value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Finance receivables for which the fair value option was elected under ASC 825 are classified as finance receivables at fair value.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aggregate principal balance and the fair value of the finance receivables held for investment was $898.5</w:t>
      </w:r>
      <w:r>
        <w:rPr>
          <w:rFonts w:ascii="Times New Roman" w:hAnsi="Times New Roman"/>
          <w:color w:val="000000"/>
          <w:sz w:val="20"/>
        </w:rPr>
        <w:t xml:space="preserve"> </w:t>
      </w:r>
      <w:r>
        <w:rPr>
          <w:rFonts w:ascii="Arial" w:hAnsi="Arial"/>
          <w:color w:val="000000"/>
          <w:sz w:val="20"/>
        </w:rPr>
        <w:t>million and $807.7</w:t>
      </w:r>
      <w:r>
        <w:rPr>
          <w:rFonts w:ascii="Times New Roman" w:hAnsi="Times New Roman"/>
          <w:color w:val="000000"/>
          <w:sz w:val="20"/>
        </w:rPr>
        <w:t xml:space="preserve"> </w:t>
      </w:r>
      <w:r>
        <w:rPr>
          <w:rFonts w:ascii="Arial" w:hAnsi="Arial"/>
          <w:color w:val="000000"/>
          <w:sz w:val="20"/>
        </w:rPr>
        <w:t>million, respectively, as of June 30, 2026, and $909.9</w:t>
      </w:r>
      <w:r>
        <w:rPr>
          <w:rFonts w:ascii="Times New Roman" w:hAnsi="Times New Roman"/>
          <w:color w:val="000000"/>
          <w:sz w:val="20"/>
        </w:rPr>
        <w:t xml:space="preserve"> </w:t>
      </w:r>
      <w:r>
        <w:rPr>
          <w:rFonts w:ascii="Arial" w:hAnsi="Arial"/>
          <w:color w:val="000000"/>
          <w:sz w:val="20"/>
        </w:rPr>
        <w:t>million and $808.6</w:t>
      </w:r>
      <w:r>
        <w:rPr>
          <w:rFonts w:ascii="Times New Roman" w:hAnsi="Times New Roman"/>
          <w:color w:val="000000"/>
          <w:sz w:val="20"/>
        </w:rPr>
        <w:t xml:space="preserve"> </w:t>
      </w:r>
      <w:r>
        <w:rPr>
          <w:rFonts w:ascii="Arial" w:hAnsi="Arial"/>
          <w:color w:val="000000"/>
          <w:sz w:val="20"/>
        </w:rPr>
        <w:t>million, respectively, as of December 31,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reassesses the estimate for fair value at each reporting period with any changes reflected as a fair value adjustment and recorded in "Realized and unrealized losses, net of recoveries" in the condensed consolidated statements of operations. For all finance receivables at fair value, the Company recognizes the fees it charges to dealers upon acquisition as other income at the time of issuance of the finance receivables and recognizes the acquisition costs to underwrite the finance receivables as an expense in the period incurred. For finance receivables held for investment at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fair value, any discounts are amortized over the contractual life of the underlying finance receivables and is recognized in realized and unrealized loss, net of recoveries on the condensed consolidated statement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Refer to Note 15 —</w:t>
      </w:r>
      <w:r>
        <w:rPr>
          <w:rFonts w:ascii="Times New Roman" w:hAnsi="Times New Roman"/>
          <w:color w:val="000000"/>
          <w:sz w:val="20"/>
        </w:rPr>
        <w:t xml:space="preserve"> </w:t>
      </w:r>
      <w:r>
        <w:rPr>
          <w:rFonts w:ascii="Arial" w:hAnsi="Arial"/>
          <w:color w:val="000000"/>
          <w:sz w:val="20"/>
        </w:rPr>
        <w:t>Financial Instruments and Fair Value Measurements 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Consolidated CFEs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securitization transactions are consolidated collateralized financing entities (CFEs) that are VIEs. Refer to Note 4 —</w:t>
      </w:r>
      <w:r>
        <w:rPr>
          <w:rFonts w:ascii="Times New Roman" w:hAnsi="Times New Roman"/>
          <w:color w:val="000000"/>
          <w:sz w:val="20"/>
        </w:rPr>
        <w:t xml:space="preserve"> </w:t>
      </w:r>
      <w:r>
        <w:rPr>
          <w:rFonts w:ascii="Arial" w:hAnsi="Arial"/>
          <w:color w:val="000000"/>
          <w:sz w:val="20"/>
        </w:rPr>
        <w:t>Variable Interest Entities and Securitizations for further details. The Company recognized the following revenue and expenses associated with these CFEs in the condensed consolidated statements of operations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07"/>
        <w:gridCol w:w="146"/>
        <w:gridCol w:w="217"/>
        <w:gridCol w:w="711"/>
        <w:gridCol w:w="170"/>
        <w:gridCol w:w="150"/>
        <w:gridCol w:w="217"/>
        <w:gridCol w:w="773"/>
        <w:gridCol w:w="166"/>
        <w:gridCol w:w="146"/>
        <w:gridCol w:w="276"/>
        <w:gridCol w:w="985"/>
        <w:gridCol w:w="166"/>
        <w:gridCol w:w="146"/>
        <w:gridCol w:w="332"/>
        <w:gridCol w:w="1182"/>
        <w:gridCol w:w="166"/>
        <w:gridCol w:w="146"/>
        <w:gridCol w:w="146"/>
        <w:gridCol w:w="403"/>
        <w:gridCol w:w="1236"/>
        <w:gridCol w:w="218"/>
      </w:tblGrid>
      <w:tr>
        <w:trPr/>
        <w:tc>
          <w:tcPr>
            <w:tcW w:w="2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30,585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(8,666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1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Realized and unrealized losses,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(8,959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Noninterest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Reorganization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assets and liabilities of the CFEs are presented as part of "Restricted cash", “Finance receivables at fair value”, "Interest receivable", "Other Assets", "Long term debt", and "Other liabilities", respectively, on the consolidated balance sheets. Refer to Note 4 — Variable Interest Entities and Securitizations and Note 15 —</w:t>
      </w:r>
      <w:r>
        <w:rPr>
          <w:rFonts w:ascii="Times New Roman" w:hAnsi="Times New Roman"/>
          <w:color w:val="000000"/>
          <w:sz w:val="20"/>
        </w:rPr>
        <w:t xml:space="preserve"> </w:t>
      </w:r>
      <w:r>
        <w:rPr>
          <w:rFonts w:ascii="Arial" w:hAnsi="Arial"/>
          <w:color w:val="000000"/>
          <w:sz w:val="20"/>
        </w:rPr>
        <w:t>Financial Instruments and Fair Value Measurements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Concentration of Credit Risk and Significant Customers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principal financial instruments subject to potential concentration of credit risk are cash and cash equivalents and finance receivables.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government securities. Concentration of credit risk with respect to finance receivables is generally mitigated by a large consumer base.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UACC’s customers, in this instance, are the third-party automotive dealers through which it purchases or acquires retail installment sale contracts for consumers. CarStory’s customers are dealers, automotive financial services companies and others in the automotive industry who purchase CarStory’s digital retailing services. For the periods presented, no customer represented 10% or more of the Company’s income and no customer represented more than 10% of the Company’s finance receivables as of June 30, 2026, and December 31,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Liquidity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January 14, 2025, the Company emerged from the Prepackaged Chapter 11 Case, as discussed in Note 1 — Description of Business and Basis of Presentation. On the Effective Date, each holder of the 2026 Notes received a pro rata share of 92.94% of the Common Stock (subject to dilution) and all of the Company’s outstanding obligations under the 2026 Notes and the Indenture were deemed fully satisfied and discharged.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2026, the Company had cash and cash equivalents of $16.4</w:t>
      </w:r>
      <w:r>
        <w:rPr>
          <w:rFonts w:ascii="Times New Roman" w:hAnsi="Times New Roman"/>
          <w:color w:val="000000"/>
          <w:sz w:val="20"/>
        </w:rPr>
        <w:t xml:space="preserve"> </w:t>
      </w:r>
      <w:r>
        <w:rPr>
          <w:rFonts w:ascii="Arial" w:hAnsi="Arial"/>
          <w:color w:val="000000"/>
          <w:sz w:val="20"/>
        </w:rPr>
        <w:t>million and restricted cash of $58.9</w:t>
      </w:r>
      <w:r>
        <w:rPr>
          <w:rFonts w:ascii="Times New Roman" w:hAnsi="Times New Roman"/>
          <w:color w:val="000000"/>
          <w:sz w:val="20"/>
        </w:rPr>
        <w:t xml:space="preserve"> </w:t>
      </w:r>
      <w:r>
        <w:rPr>
          <w:rFonts w:ascii="Arial" w:hAnsi="Arial"/>
          <w:color w:val="000000"/>
          <w:sz w:val="20"/>
        </w:rPr>
        <w:t>million. Restricted cash primarily includes restricted cash required under UACC's securitization transactions and Warehouse Credit Facilities (as defined below) of $58.8</w:t>
      </w:r>
      <w:r>
        <w:rPr>
          <w:rFonts w:ascii="Times New Roman" w:hAnsi="Times New Roman"/>
          <w:color w:val="000000"/>
          <w:sz w:val="20"/>
        </w:rPr>
        <w:t xml:space="preserve"> </w:t>
      </w:r>
      <w:r>
        <w:rPr>
          <w:rFonts w:ascii="Arial" w:hAnsi="Arial"/>
          <w:color w:val="000000"/>
          <w:sz w:val="20"/>
        </w:rPr>
        <w:t>million. Additionally, the Company had excess borrowing capacity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of $10.5</w:t>
      </w:r>
      <w:r>
        <w:rPr>
          <w:rFonts w:ascii="Times New Roman" w:hAnsi="Times New Roman"/>
          <w:color w:val="000000"/>
          <w:sz w:val="20"/>
        </w:rPr>
        <w:t xml:space="preserve"> </w:t>
      </w:r>
      <w:r>
        <w:rPr>
          <w:rFonts w:ascii="Arial" w:hAnsi="Arial"/>
          <w:color w:val="000000"/>
          <w:sz w:val="20"/>
        </w:rPr>
        <w:t>million under UACC's Warehouse Credit Facilities as of June 30, 2026, $10.0</w:t>
      </w:r>
      <w:r>
        <w:rPr>
          <w:rFonts w:ascii="Times New Roman" w:hAnsi="Times New Roman"/>
          <w:color w:val="000000"/>
          <w:sz w:val="20"/>
        </w:rPr>
        <w:t xml:space="preserve"> </w:t>
      </w:r>
      <w:r>
        <w:rPr>
          <w:rFonts w:ascii="Arial" w:hAnsi="Arial"/>
          <w:color w:val="000000"/>
          <w:sz w:val="20"/>
        </w:rPr>
        <w:t>million available under our 2032 Notes (as defined below), and $27.0</w:t>
      </w:r>
      <w:r>
        <w:rPr>
          <w:rFonts w:ascii="Times New Roman" w:hAnsi="Times New Roman"/>
          <w:color w:val="000000"/>
          <w:sz w:val="20"/>
        </w:rPr>
        <w:t xml:space="preserve"> </w:t>
      </w:r>
      <w:r>
        <w:rPr>
          <w:rFonts w:ascii="Arial" w:hAnsi="Arial"/>
          <w:color w:val="000000"/>
          <w:sz w:val="20"/>
        </w:rPr>
        <w:t>million available under our Delayed Draw Facility (as defined below). The Company has historically had negative cash flows and generated losses from operations and the Company’s primary source of liquidity has been cash generated through financing activities.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2026, UACC has three</w:t>
      </w:r>
      <w:r>
        <w:rPr>
          <w:rFonts w:ascii="Times New Roman" w:hAnsi="Times New Roman"/>
          <w:color w:val="000000"/>
          <w:sz w:val="20"/>
        </w:rPr>
        <w:t xml:space="preserve"> </w:t>
      </w:r>
      <w:r>
        <w:rPr>
          <w:rFonts w:ascii="Arial" w:hAnsi="Arial"/>
          <w:color w:val="000000"/>
          <w:sz w:val="20"/>
        </w:rPr>
        <w:t>warehouse credit facilities with an aggregate borrowing limit of $600.0</w:t>
      </w:r>
      <w:r>
        <w:rPr>
          <w:rFonts w:ascii="Times New Roman" w:hAnsi="Times New Roman"/>
          <w:color w:val="000000"/>
          <w:sz w:val="20"/>
        </w:rPr>
        <w:t xml:space="preserve"> </w:t>
      </w:r>
      <w:r>
        <w:rPr>
          <w:rFonts w:ascii="Arial" w:hAnsi="Arial"/>
          <w:color w:val="000000"/>
          <w:sz w:val="20"/>
        </w:rPr>
        <w:t>million and outstanding borrowings of $240.8</w:t>
      </w:r>
      <w:r>
        <w:rPr>
          <w:rFonts w:ascii="Times New Roman" w:hAnsi="Times New Roman"/>
          <w:color w:val="000000"/>
          <w:sz w:val="20"/>
        </w:rPr>
        <w:t xml:space="preserve"> </w:t>
      </w:r>
      <w:r>
        <w:rPr>
          <w:rFonts w:ascii="Arial" w:hAnsi="Arial"/>
          <w:color w:val="000000"/>
          <w:sz w:val="20"/>
        </w:rPr>
        <w:t>million. On June 30, 2026, the Company renewed Facility One, now expiring June 2027. The amendment modifies certain financial covenants by (i) increasing the maximum permitted leverage ratio, (ii) simplifying and reducing the minimum tangible net worth threshold, (iii) updating the performance trigger framework, and (iv) updating the dynamic advance rate mechanism, thereby increasing the maximum advance rate. The aggregate borrowing limit and other material terms remain unchanged. The Company is in ongoing discussions with the remaining warehouse lenders to extend the terms beyond the current expiration dates and expects facilities to be amended and renewed at sufficient borrowing capacity. The remaining Warehouse Credit Facilities have expiration dates in August 2026 and April 2027, respectively. As of June 30, 2026, the Company was in compliance with all covenants related to the Warehouse Credit Facilities. Refer to Note 10 — Warehouse Credit Facilities of Consolidated VIEs for further details.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Failure to secure warehouse borrowing capacity beyond their expiration or failure to satisfy the covenants therein and or any other requirements contained within the agreements would restrict access to the Warehouse Credit Facilities and would have a material adverse effect on the financial condition, results of operations and liquidity of the Company. Certain breaches of covenants may also result in acceleration of the repayment of borrowings prior to the scheduled maturity. Refer to Note 10 — Warehouse Credit Facilities of Consolidated VIEs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March 8, 2025, Vroom, Inc., UACC and its indirect subsidiary Darkwater Funding LLC, as co-borrowers, entered into a credit agreement for a delayed draw term loan facility (“Delayed Draw Facility”), which was amended in July 2026 and now matures on December 31, 2027, with Mudrick Capital Management, L.P. (“Lender”), who was a 76.5% shareholder of the Company, and as of January 14, 2025, became a related party. On October 9, 2025 the maximum facility amount was amended from $25.0</w:t>
      </w:r>
      <w:r>
        <w:rPr>
          <w:rFonts w:ascii="Times New Roman" w:hAnsi="Times New Roman"/>
          <w:color w:val="000000"/>
          <w:sz w:val="20"/>
        </w:rPr>
        <w:t xml:space="preserve"> </w:t>
      </w:r>
      <w:r>
        <w:rPr>
          <w:rFonts w:ascii="Arial" w:hAnsi="Arial"/>
          <w:color w:val="000000"/>
          <w:sz w:val="20"/>
        </w:rPr>
        <w:t>million to $35.0</w:t>
      </w:r>
      <w:r>
        <w:rPr>
          <w:rFonts w:ascii="Times New Roman" w:hAnsi="Times New Roman"/>
          <w:color w:val="000000"/>
          <w:sz w:val="20"/>
        </w:rPr>
        <w:t xml:space="preserve"> </w:t>
      </w:r>
      <w:r>
        <w:rPr>
          <w:rFonts w:ascii="Arial" w:hAnsi="Arial"/>
          <w:color w:val="000000"/>
          <w:sz w:val="20"/>
        </w:rPr>
        <w:t>million effective as of September 30, 2025. As of June 30, 2026, we have $27.0</w:t>
      </w:r>
      <w:r>
        <w:rPr>
          <w:rFonts w:ascii="Times New Roman" w:hAnsi="Times New Roman"/>
          <w:color w:val="000000"/>
          <w:sz w:val="20"/>
        </w:rPr>
        <w:t xml:space="preserve"> </w:t>
      </w:r>
      <w:r>
        <w:rPr>
          <w:rFonts w:ascii="Arial" w:hAnsi="Arial"/>
          <w:color w:val="000000"/>
          <w:sz w:val="20"/>
        </w:rPr>
        <w:t>million available under the Delayed Draw Facility. Refer to Note 19 — Related Party Transactions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14, 2026, the Company entered into an Exchange and Subscription Agreement (the “Exchange Agreement”) pursuant to which the Company agreed to co-issue up to $50.0</w:t>
      </w:r>
      <w:r>
        <w:rPr>
          <w:rFonts w:ascii="Times New Roman" w:hAnsi="Times New Roman"/>
          <w:color w:val="000000"/>
          <w:sz w:val="20"/>
        </w:rPr>
        <w:t xml:space="preserve"> </w:t>
      </w:r>
      <w:r>
        <w:rPr>
          <w:rFonts w:ascii="Arial" w:hAnsi="Arial"/>
          <w:color w:val="000000"/>
          <w:sz w:val="20"/>
        </w:rPr>
        <w:t>million aggregate principal amount of Senior Secured Delayed Draw Convertible Notes due 2032 (the “2032 Notes”). At closing, certain investors exchanged $28.5</w:t>
      </w:r>
      <w:r>
        <w:rPr>
          <w:rFonts w:ascii="Times New Roman" w:hAnsi="Times New Roman"/>
          <w:color w:val="000000"/>
          <w:sz w:val="20"/>
        </w:rPr>
        <w:t xml:space="preserve"> </w:t>
      </w:r>
      <w:r>
        <w:rPr>
          <w:rFonts w:ascii="Arial" w:hAnsi="Arial"/>
          <w:color w:val="000000"/>
          <w:sz w:val="20"/>
        </w:rPr>
        <w:t>million aggregate principal amount of outstanding notes of the Company, together with accrued and unpaid interest thereon through the closing date, for the 2032 Notes. The outstanding notes exchanged consisted of $10.0</w:t>
      </w:r>
      <w:r>
        <w:rPr>
          <w:rFonts w:ascii="Times New Roman" w:hAnsi="Times New Roman"/>
          <w:color w:val="000000"/>
          <w:sz w:val="20"/>
        </w:rPr>
        <w:t xml:space="preserve"> </w:t>
      </w:r>
      <w:r>
        <w:rPr>
          <w:rFonts w:ascii="Arial" w:hAnsi="Arial"/>
          <w:color w:val="000000"/>
          <w:sz w:val="20"/>
        </w:rPr>
        <w:t>million of 5.000% Convertible Senior Notes due 2030, $10.5</w:t>
      </w:r>
      <w:r>
        <w:rPr>
          <w:rFonts w:ascii="Times New Roman" w:hAnsi="Times New Roman"/>
          <w:color w:val="000000"/>
          <w:sz w:val="20"/>
        </w:rPr>
        <w:t xml:space="preserve"> </w:t>
      </w:r>
      <w:r>
        <w:rPr>
          <w:rFonts w:ascii="Arial" w:hAnsi="Arial"/>
          <w:color w:val="000000"/>
          <w:sz w:val="20"/>
        </w:rPr>
        <w:t>million of Senior Secured Delayed Draw Notes due 2026 and $8.0</w:t>
      </w:r>
      <w:r>
        <w:rPr>
          <w:rFonts w:ascii="Times New Roman" w:hAnsi="Times New Roman"/>
          <w:color w:val="000000"/>
          <w:sz w:val="20"/>
        </w:rPr>
        <w:t xml:space="preserve"> </w:t>
      </w:r>
      <w:r>
        <w:rPr>
          <w:rFonts w:ascii="Arial" w:hAnsi="Arial"/>
          <w:color w:val="000000"/>
          <w:sz w:val="20"/>
        </w:rPr>
        <w:t>million of notes outstanding under the Delayed Draw Facility. On May 29, 2026 the Company drew an additional $11.5</w:t>
      </w:r>
      <w:r>
        <w:rPr>
          <w:rFonts w:ascii="Times New Roman" w:hAnsi="Times New Roman"/>
          <w:color w:val="000000"/>
          <w:sz w:val="20"/>
        </w:rPr>
        <w:t xml:space="preserve"> </w:t>
      </w:r>
      <w:r>
        <w:rPr>
          <w:rFonts w:ascii="Arial" w:hAnsi="Arial"/>
          <w:color w:val="000000"/>
          <w:sz w:val="20"/>
        </w:rPr>
        <w:t>million, leaving $10.0</w:t>
      </w:r>
      <w:r>
        <w:rPr>
          <w:rFonts w:ascii="Times New Roman" w:hAnsi="Times New Roman"/>
          <w:color w:val="000000"/>
          <w:sz w:val="20"/>
        </w:rPr>
        <w:t xml:space="preserve"> </w:t>
      </w:r>
      <w:r>
        <w:rPr>
          <w:rFonts w:ascii="Arial" w:hAnsi="Arial"/>
          <w:color w:val="000000"/>
          <w:sz w:val="20"/>
        </w:rPr>
        <w:t>million of remaining delayed draw commitments under the 2032 Notes. Refer to Note 19 — Related Party Transactions to our condensed consolidated financial statements included elsewhere in this Quarterly Report on Form 10-Q.</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15, 2026, the Company entered into an equity distribution agreement with Virtu Americas LLC to sell shares of the Company’s common stock, par value $0.001</w:t>
      </w:r>
      <w:r>
        <w:rPr>
          <w:rFonts w:ascii="Times New Roman" w:hAnsi="Times New Roman"/>
          <w:color w:val="000000"/>
          <w:sz w:val="20"/>
        </w:rPr>
        <w:t xml:space="preserve"> </w:t>
      </w:r>
      <w:r>
        <w:rPr>
          <w:rFonts w:ascii="Arial" w:hAnsi="Arial"/>
          <w:color w:val="000000"/>
          <w:sz w:val="20"/>
        </w:rPr>
        <w:t>per share, with aggregate gross sales proceeds of up to $6.0</w:t>
      </w:r>
      <w:r>
        <w:rPr>
          <w:rFonts w:ascii="Times New Roman" w:hAnsi="Times New Roman"/>
          <w:color w:val="000000"/>
          <w:sz w:val="20"/>
        </w:rPr>
        <w:t xml:space="preserve"> </w:t>
      </w:r>
      <w:r>
        <w:rPr>
          <w:rFonts w:ascii="Arial" w:hAnsi="Arial"/>
          <w:color w:val="000000"/>
          <w:sz w:val="20"/>
        </w:rPr>
        <w:t>million, from time to time, through an “at-the-market” equity offering program (the "ATM offering"). As of June 30, 2026, the Company has up to $6.0</w:t>
      </w:r>
      <w:r>
        <w:rPr>
          <w:rFonts w:ascii="Times New Roman" w:hAnsi="Times New Roman"/>
          <w:color w:val="000000"/>
          <w:sz w:val="20"/>
        </w:rPr>
        <w:t xml:space="preserve"> </w:t>
      </w:r>
      <w:r>
        <w:rPr>
          <w:rFonts w:ascii="Arial" w:hAnsi="Arial"/>
          <w:color w:val="000000"/>
          <w:sz w:val="20"/>
        </w:rPr>
        <w:t>million remaining in aggregate gross proceeds that can be issued through the ATM offering. The Company has sold 444</w:t>
      </w:r>
      <w:r>
        <w:rPr>
          <w:rFonts w:ascii="Times New Roman" w:hAnsi="Times New Roman"/>
          <w:color w:val="000000"/>
          <w:sz w:val="20"/>
        </w:rPr>
        <w:t xml:space="preserve"> </w:t>
      </w:r>
      <w:r>
        <w:rPr>
          <w:rFonts w:ascii="Arial" w:hAnsi="Arial"/>
          <w:color w:val="000000"/>
          <w:sz w:val="20"/>
        </w:rPr>
        <w:t>shares for gross proceeds of approximately $5</w:t>
      </w:r>
      <w:r>
        <w:rPr>
          <w:rFonts w:ascii="Times New Roman" w:hAnsi="Times New Roman"/>
          <w:color w:val="000000"/>
          <w:sz w:val="20"/>
        </w:rPr>
        <w:t xml:space="preserve"> </w:t>
      </w:r>
      <w:r>
        <w:rPr>
          <w:rFonts w:ascii="Arial" w:hAnsi="Arial"/>
          <w:color w:val="000000"/>
          <w:sz w:val="20"/>
        </w:rPr>
        <w:t>thousand as of June 30, 2026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January 16, 2026, Vroom Automotive, LLC issued to SPE Holdings 15,000</w:t>
      </w:r>
      <w:r>
        <w:rPr>
          <w:rFonts w:ascii="Times New Roman" w:hAnsi="Times New Roman"/>
          <w:color w:val="000000"/>
          <w:sz w:val="20"/>
        </w:rPr>
        <w:t xml:space="preserve"> </w:t>
      </w:r>
      <w:r>
        <w:rPr>
          <w:rFonts w:ascii="Arial" w:hAnsi="Arial"/>
          <w:color w:val="000000"/>
          <w:sz w:val="20"/>
        </w:rPr>
        <w:t>newly issued Series A preferred units and 7,500</w:t>
      </w:r>
      <w:r>
        <w:rPr>
          <w:rFonts w:ascii="Times New Roman" w:hAnsi="Times New Roman"/>
          <w:color w:val="000000"/>
          <w:sz w:val="20"/>
        </w:rPr>
        <w:t xml:space="preserve"> </w:t>
      </w:r>
      <w:r>
        <w:rPr>
          <w:rFonts w:ascii="Arial" w:hAnsi="Arial"/>
          <w:color w:val="000000"/>
          <w:sz w:val="20"/>
        </w:rPr>
        <w:t>newly issued Series B preferred units for aggregate gross proceeds of $22.5</w:t>
      </w:r>
      <w:r>
        <w:rPr>
          <w:rFonts w:ascii="Times New Roman" w:hAnsi="Times New Roman"/>
          <w:color w:val="000000"/>
          <w:sz w:val="20"/>
        </w:rPr>
        <w:t xml:space="preserve"> </w:t>
      </w:r>
      <w:r>
        <w:rPr>
          <w:rFonts w:ascii="Arial" w:hAnsi="Arial"/>
          <w:color w:val="000000"/>
          <w:sz w:val="20"/>
        </w:rPr>
        <w:t>million.</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accompanying consolidated financial statements have been prepared on the basis that the Company will continue to operate as a going concern, which contemplates that it will be able to realize assets and settle liabilities and commitments in the normal course of business for twelve months following the issuance date.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future capital requirements will depend on many factors, including the ability to realize the intended benefits of the Prepackaged Chapter 11 Case and Long-Term Strategic Plan, available advance rates on and the renewal of the Warehouse Credit Facilities, the ability to complete additional securitization transactions on terms favorable to the Company, and future credit losses. The Company anticipates that existing cash and cash equivalents, the 2032 Notes, the Delayed Draw Facility, and UACC's Warehouse Credit Facilities will be sufficient to support the Company’s ongoing operations and obligations, for at least the next twelve months from the date of issuance of the condensed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Accounting Standards Adopted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November 2023, the FASB issued ASU 2023-07, Segment Reporting (Topic 280): Improvements to Reportable Segment Disclosures, which requires disclosure of incremental segment information on an annual and interim basis, primarily through enhanced disclosures of significant segment expenses. The Company adopted</w:t>
      </w:r>
      <w:r>
        <w:rPr>
          <w:rFonts w:ascii="Times New Roman" w:hAnsi="Times New Roman"/>
          <w:color w:val="000000"/>
          <w:sz w:val="20"/>
        </w:rPr>
        <w:t xml:space="preserve"> </w:t>
      </w:r>
      <w:r>
        <w:rPr>
          <w:rFonts w:ascii="Arial" w:hAnsi="Arial"/>
          <w:color w:val="000000"/>
          <w:sz w:val="20"/>
        </w:rPr>
        <w:t>the guidance for fiscal year beginning January 1, 2024, on a retroactive basis, which did not have a material impact on the Company's consolidated financial statements and related disclosures. Refer to Note 16 — Segment Information.</w:t>
      </w:r>
    </w:p>
    <w:p>
      <w:pPr>
        <w:pStyle w:val="TextBody"/>
        <w:bidi w:val="0"/>
        <w:jc w:val="left"/>
        <w:rPr>
          <w:rFonts w:ascii="Times New Roman" w:hAnsi="Times New Roman"/>
          <w:sz w:val="20"/>
        </w:rPr>
      </w:pPr>
      <w:r>
        <w:rPr>
          <w:rFonts w:ascii="Arial" w:hAnsi="Arial"/>
          <w:color w:val="000000"/>
          <w:sz w:val="20"/>
        </w:rPr>
        <w:t>In December 2023, the FASB issued ASU 2023-09, Income Taxes (Topic 740): Improvements to Income Tax Disclosures, which requires disclosure of incremental income tax information within the rate reconciliation and expanded disclosures of income taxes paid, among other disclosure requirements. The Company adopted</w:t>
      </w:r>
      <w:r>
        <w:rPr>
          <w:rFonts w:ascii="Times New Roman" w:hAnsi="Times New Roman"/>
          <w:color w:val="000000"/>
          <w:sz w:val="20"/>
        </w:rPr>
        <w:t xml:space="preserve"> </w:t>
      </w:r>
      <w:r>
        <w:rPr>
          <w:rFonts w:ascii="Arial" w:hAnsi="Arial"/>
          <w:color w:val="000000"/>
          <w:sz w:val="20"/>
        </w:rPr>
        <w:t>the guidance for fiscal year beginning January 1, 2025, on a retroactive basis, which did not have a material impact on the Company's consolidated financial statements and related disclosures. Refer to Note 17 — Income Taxes.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Accounting Standards Issued but Not Yet Adopted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November 2024, the FASB issued ASU 2024-03, </w:t>
      </w:r>
      <w:r>
        <w:rPr>
          <w:rFonts w:ascii="Arial" w:hAnsi="Arial"/>
          <w:i/>
          <w:color w:val="000000"/>
          <w:sz w:val="20"/>
        </w:rPr>
        <w:t>Disaggregation of Income Statement Expenses (DISE)</w:t>
      </w:r>
      <w:r>
        <w:rPr>
          <w:rFonts w:ascii="Arial" w:hAnsi="Arial"/>
          <w:color w:val="000000"/>
          <w:sz w:val="20"/>
        </w:rPr>
        <w:t>, which requires additional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as well as disclosures about selling expenses. The guidance will be effective for annual reporting periods beginning after December 15, 2026, and interim reporting periods beginning after December 15, 2027. The requirements will be applied prospectively with the option for retrospective application. Early adoption is permitted. The Company is currently evaluating the impact that the adoption of this guidance will have on its consolidated financial statements and related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September 2025, the FASB issued ASU 2025-06, </w:t>
      </w:r>
      <w:r>
        <w:rPr>
          <w:rFonts w:ascii="Arial" w:hAnsi="Arial"/>
          <w:i/>
          <w:color w:val="000000"/>
          <w:sz w:val="20"/>
        </w:rPr>
        <w:t>Intangibles - Goodwill and Other - Internal-Use Software (Subtopic 350-40): Targeted Improvements to the Accounting for Internal-Use Software</w:t>
      </w:r>
      <w:r>
        <w:rPr>
          <w:rFonts w:ascii="Arial" w:hAnsi="Arial"/>
          <w:color w:val="000000"/>
          <w:sz w:val="20"/>
        </w:rPr>
        <w:t>. The amendments modernize the recognition and disclosure framework for internal-use software costs, removing the previous “development stage” model and introducing a more judgment-based approach. ASU 2025-06 is effective for fiscal years beginning after December 15, 2027, and for interim periods within those annual reporting periods, with early adoption permitted. The Company is currently evaluating the impact of ASU 2025-06 on the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April 2026, the FASB issued ASU 2026-01, Initial Measurement of </w:t>
      </w:r>
      <w:r>
        <w:rPr>
          <w:rFonts w:ascii="Arial" w:hAnsi="Arial"/>
          <w:i/>
          <w:color w:val="000000"/>
          <w:sz w:val="20"/>
        </w:rPr>
        <w:t>Paid-in-Kind Dividends on Equity-Classified Preferred Stock</w:t>
      </w:r>
      <w:r>
        <w:rPr>
          <w:rFonts w:ascii="Arial" w:hAnsi="Arial"/>
          <w:color w:val="000000"/>
          <w:sz w:val="20"/>
        </w:rPr>
        <w:t>. The amendments in this update improve GAAP by providing authoritative guidance for the initial measurement of PIK dividends on equity-classified preferred stock. Specifically, the amendments improve the decision usefulness of the financial reporting information provided to investors by (1) enhancing the comparability of financial information reported among entities that issue PIK dividends on equity-classified preferred stock and (2) providing additional information about the liquidation value of the preferred stock, which helps investors to understand the amount and preference of relative claims on an entity. The amendments also provide clear, cost-effective guidance that will</w:t>
        <w:br/>
        <w:t>reduce complexity. ASU 2026-01 is effective for fiscal years beginning after December 15, 2026, and for interim periods within those annual reporting periods, with early adoption permitted. The Company is currently evaluating the impact of ASU 2026-01 on the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3. Revenue Recognition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revenue is disaggregated within the condensed consolidated statements of operations and is generated from consumers throughout the United States.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interest income is related to finance receivables originated by UACC for its network of third-party dealership customers and vehicle financing UACC offered to Vroom’s customers through its ecommerce platform prior to the Ecommerce Wind-down.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emergence from the Prepackaged Chapter 11 Case, and application of fresh start accounting, the Company made an accounting policy election to recognize discount income on finance receivables held for investment at fair value as a component of "Realized and unrealized losses, net of recoveries". In the Predecessor periods discount income on finance receivables held for investment at fair value was recognized as a component of interest income on the Company’s condensed consolidated statement of operations. The discount income represents the amortization of unearned acquisition discounts over the contractual life of the underlying finance receivables using the interest method. Interest income on each automotive finance receivable is calculated based on the finance receivable’s outstanding principal balance multiplied by the contractual interest rate.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An account is considered delinquent if a scheduled payment has not been received by the date such payment was contractually due. Interest income deemed uncollectible is reversed at the time the finance receivable is charged off. Finance receivables over 90 days delinquent are considered nonaccrual finance receivables. Income is subsequently recognized only to the extent cash payments are received until the borrower is able to make periodic interest and principal payments in accordance with the finance receivable terms.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Servicing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Servicing income represents the annual fees earned on the outstanding principal balance of the finance receivables serviced as well as late charges, collection payments, and other fees. Fees are earned monthly at an annual rate of approximately 4%, for the 2022-1 securitization transaction, of the outstanding principal balance of the finance receivables serviced. Late charges and other permitted fees are assessed in accordance with contractual terms and applicable state law, generally at the maximum allowable amounts or as a percentage of overdue finance receivable balances and are recorded on a cash basis. Refer to Note 4 </w:t>
      </w:r>
      <w:r>
        <w:rPr>
          <w:rFonts w:ascii="Times New Roman" w:hAnsi="Times New Roman"/>
          <w:color w:val="000000"/>
          <w:sz w:val="20"/>
        </w:rPr>
        <w:t xml:space="preserve">— </w:t>
      </w:r>
      <w:r>
        <w:rPr>
          <w:rFonts w:ascii="Arial" w:hAnsi="Arial"/>
          <w:color w:val="000000"/>
          <w:sz w:val="20"/>
        </w:rPr>
        <w:t>Variable Interest Entities and Securitizations for further details.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 net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Prior to the Ecommerce Wind-Down, the Company offered third-party financing and third-party value-added products such as vehicle service contracts, guaranteed asset protection (“GAP”) and tire and wheel coverage, to its used vehicle customers pursuant to arrangements with the third parties that sell and administer these products and are responsible for their fulfillment.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also offers third-party vehicle service contracts and United Auto Credit GAP to consumers who obtain financing through UACC. United Auto Credit GAP is a debt waiver product that is underwritten directly by UACC. It provides protection for consumers who purchase the product by waiving the difference between the actual cash value of the consumer’s vehicle and the balance of the consumer’s contract, subject to the terms and conditions of the United Auto Credit GAP, in the event of a total loss resulting from collision or theft. The total fees are earned over the contractual life of the related finance receivables on straight-line basis.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concluded that it is an agent for any transactions with third-parties because it does not control the products before they are transferred to the consumer. The Company recognizes revenue on a net basis when the consumer enters into an arrangement for the products.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 portion of the fees earned on third-party financing and value-added products are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June 30, 2026, and December 31, 2025, the Company’s reserve for chargebacks was $7.0</w:t>
      </w:r>
      <w:r>
        <w:rPr>
          <w:rFonts w:ascii="Times New Roman" w:hAnsi="Times New Roman"/>
          <w:color w:val="000000"/>
          <w:sz w:val="20"/>
        </w:rPr>
        <w:t xml:space="preserve"> </w:t>
      </w:r>
      <w:r>
        <w:rPr>
          <w:rFonts w:ascii="Arial" w:hAnsi="Arial"/>
          <w:color w:val="000000"/>
          <w:sz w:val="20"/>
        </w:rPr>
        <w:t>million and $7.3</w:t>
      </w:r>
      <w:r>
        <w:rPr>
          <w:rFonts w:ascii="Times New Roman" w:hAnsi="Times New Roman"/>
          <w:color w:val="000000"/>
          <w:sz w:val="20"/>
        </w:rPr>
        <w:t xml:space="preserve"> </w:t>
      </w:r>
      <w:r>
        <w:rPr>
          <w:rFonts w:ascii="Arial" w:hAnsi="Arial"/>
          <w:color w:val="000000"/>
          <w:sz w:val="20"/>
        </w:rPr>
        <w:t>million, respectively, which are included within “Other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warranties and GAP income in the period identified. As of June 30, 2026, and December 31, 2025, the Company recognized $10.6</w:t>
      </w:r>
      <w:r>
        <w:rPr>
          <w:rFonts w:ascii="Times New Roman" w:hAnsi="Times New Roman"/>
          <w:color w:val="000000"/>
          <w:sz w:val="20"/>
        </w:rPr>
        <w:t xml:space="preserve"> </w:t>
      </w:r>
      <w:r>
        <w:rPr>
          <w:rFonts w:ascii="Arial" w:hAnsi="Arial"/>
          <w:color w:val="000000"/>
          <w:sz w:val="20"/>
        </w:rPr>
        <w:t>million and $9.9</w:t>
      </w:r>
      <w:r>
        <w:rPr>
          <w:rFonts w:ascii="Times New Roman" w:hAnsi="Times New Roman"/>
          <w:color w:val="000000"/>
          <w:sz w:val="20"/>
        </w:rPr>
        <w:t xml:space="preserve"> </w:t>
      </w:r>
      <w:r>
        <w:rPr>
          <w:rFonts w:ascii="Arial" w:hAnsi="Arial"/>
          <w:color w:val="000000"/>
          <w:sz w:val="20"/>
        </w:rPr>
        <w:t>million, respectively, related to cumulative profit-sharing payments to which it expects to be entitled, which are included within “Other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CarStory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CarStory generates advertiser, publisher and other user service revenue. The Company recognizes revenue when persuasive evidence of an arrangement exists, delivery has occurred or services have been performed, collection of the fees is reasonably assured, the fees are fixed or determinable, and no significant obligations by the Company remain. Generally, this results in revenues billed and recorded monthly in the month that services were performed and earned.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Deferred revenue includes advances received from customers in excess of revenue recognized.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may collect sales taxes and other taxes and government fees from customers on behalf of governmental authorities at the time of sale as required. These taxes are accounted for on a net basis and are not included in revenues or cost of sales.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4. Variable Interest Entities and Securitizations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 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has the power to direct significant activities of its VIEs when it has the ability to exercise discretion in the servicing of financial assets or control investment decisions. UACC generally retains a portion of the economic interests in UACC-sponsored asset-backed securitization transactions, which could be retained in the form of a portion of the senior interests, the subordinated interests, residual interests, or servicing rights.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securitization trusts established in connection with asset-backed securitization transactions are VIEs. For each VIE that UACC establishes in its role as sponsor of securitization transactions, the Company performs an analysis to determine if it is the primary beneficiary of the VIE.</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February 5, 2026, UACC completed the 2026-1 securitization transaction, in which it issued approximately $225.0</w:t>
      </w:r>
      <w:r>
        <w:rPr>
          <w:rFonts w:ascii="Times New Roman" w:hAnsi="Times New Roman"/>
          <w:color w:val="000000"/>
          <w:sz w:val="20"/>
        </w:rPr>
        <w:t xml:space="preserve"> </w:t>
      </w:r>
      <w:r>
        <w:rPr>
          <w:rFonts w:ascii="Arial" w:hAnsi="Arial"/>
          <w:color w:val="000000"/>
          <w:sz w:val="20"/>
        </w:rPr>
        <w:t>million of rated asset-backed securities in an auto finance receivable securitization transaction from a securitization trust, established and sponsored by UACC for proceeds of $224.1</w:t>
      </w:r>
      <w:r>
        <w:rPr>
          <w:rFonts w:ascii="Times New Roman" w:hAnsi="Times New Roman"/>
          <w:color w:val="000000"/>
          <w:sz w:val="20"/>
        </w:rPr>
        <w:t xml:space="preserve"> </w:t>
      </w:r>
      <w:r>
        <w:rPr>
          <w:rFonts w:ascii="Arial" w:hAnsi="Arial"/>
          <w:color w:val="000000"/>
          <w:sz w:val="20"/>
        </w:rPr>
        <w:t>million. The trust is collateralized by finance receivables with an aggregate principal balance of $274.9</w:t>
      </w:r>
      <w:r>
        <w:rPr>
          <w:rFonts w:ascii="Times New Roman" w:hAnsi="Times New Roman"/>
          <w:color w:val="000000"/>
          <w:sz w:val="20"/>
        </w:rPr>
        <w:t xml:space="preserve"> </w:t>
      </w:r>
      <w:r>
        <w:rPr>
          <w:rFonts w:ascii="Arial" w:hAnsi="Arial"/>
          <w:color w:val="000000"/>
          <w:sz w:val="20"/>
        </w:rPr>
        <w:t>million as of February 5, 2026. These finance receivables are serviced by UACC and UACC receives an "at market" servicing fee. UACC retained the residual interests, which required us to account for the 2026-1 securitization as secured borrowings and the assets and liabilities of the trust remain on balance sheet.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March 12, 2025, UACC completed the 2025-1 securitization transaction, in which it sold approximately $307.8</w:t>
      </w:r>
      <w:r>
        <w:rPr>
          <w:rFonts w:ascii="Times New Roman" w:hAnsi="Times New Roman"/>
          <w:color w:val="000000"/>
          <w:sz w:val="20"/>
        </w:rPr>
        <w:t xml:space="preserve"> </w:t>
      </w:r>
      <w:r>
        <w:rPr>
          <w:rFonts w:ascii="Arial" w:hAnsi="Arial"/>
          <w:color w:val="000000"/>
          <w:sz w:val="20"/>
        </w:rPr>
        <w:t>million of rated asset-backed securities in an auto finance receivable securitization transaction from a securitization trust, established and sponsored by UACC for proceeds of $306.5</w:t>
      </w:r>
      <w:r>
        <w:rPr>
          <w:rFonts w:ascii="Times New Roman" w:hAnsi="Times New Roman"/>
          <w:color w:val="000000"/>
          <w:sz w:val="20"/>
        </w:rPr>
        <w:t xml:space="preserve"> </w:t>
      </w:r>
      <w:r>
        <w:rPr>
          <w:rFonts w:ascii="Arial" w:hAnsi="Arial"/>
          <w:color w:val="000000"/>
          <w:sz w:val="20"/>
        </w:rPr>
        <w:t>million. The trust is collateralized by finance receivables with an aggregate principal balance of $382.1</w:t>
      </w:r>
      <w:r>
        <w:rPr>
          <w:rFonts w:ascii="Times New Roman" w:hAnsi="Times New Roman"/>
          <w:color w:val="000000"/>
          <w:sz w:val="20"/>
        </w:rPr>
        <w:t xml:space="preserve"> </w:t>
      </w:r>
      <w:r>
        <w:rPr>
          <w:rFonts w:ascii="Arial" w:hAnsi="Arial"/>
          <w:color w:val="000000"/>
          <w:sz w:val="20"/>
        </w:rPr>
        <w:t>million as of March 12, 2025. These finance receivables are serviced by UACC and UACC receives an "at market" servicing fee. The Company retained the residual interests, which required the Company to account for the 2025-1 securitization as secured borrowings and the assets and liabilities of the trust remain on balance sheet.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is the primary beneficiary of all securitization trusts, excluding 2022-1, as it has both the power to direct the activities that most significantly impact the entity’s economic performance and the obligation to absorb losses or the right to receive benefits from the entity that could potentially be significant to the VIE. UACC also retained a portion of the economic interests in the asset-backed securitization transactions in accordance with Regulation RR of the Dodd-Frank Wall Street Reform and Consumer Protection Act of 2010 (the "Risk Retention Rules"). The Risk Retention Rules require the Company to retain at least 5% of the beneficial interests issued by the securitization trusts.</w:t>
      </w:r>
      <w:r>
        <w:rPr>
          <w:rFonts w:ascii="Times New Roman" w:hAnsi="Times New Roman"/>
          <w:color w:val="000000"/>
          <w:sz w:val="20"/>
        </w:rPr>
        <w:t xml:space="preserve"> </w:t>
      </w:r>
      <w:r>
        <w:rPr>
          <w:rFonts w:ascii="Arial" w:hAnsi="Arial"/>
          <w:color w:val="000000"/>
          <w:sz w:val="20"/>
        </w:rPr>
        <w:t>Refer to Note 11 — Long Term Debt 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third-party financial liabilities in earnings and attributes those earnings to the controlling equity interest in the condensed consolidated income statement. All of the consolidated securitization trusts meet the definition of a CFE and the Company has elected to apply the measurement alternative when consolidating these VIEs. Refer to Note 15 — Financial Instruments and Fair Value Measurements for further details.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has three senior secured warehouse credit facilities as of June 30, 2026.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 These trusts are consolidated VIEs. Refer to Note 10 — Warehouse Credit Facilities of Consolidated VIEs for further details.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the Company's variable interests in consolidated VIEs, as classified in the condensed consolidated balance sheets (in thousands):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tbl>
      <w:tblPr>
        <w:tblW w:w="7809" w:type="dxa"/>
        <w:jc w:val="left"/>
        <w:tblInd w:w="0" w:type="dxa"/>
        <w:tblLayout w:type="fixed"/>
        <w:tblCellMar>
          <w:top w:w="28" w:type="dxa"/>
          <w:left w:w="28" w:type="dxa"/>
          <w:bottom w:w="28" w:type="dxa"/>
          <w:right w:w="28" w:type="dxa"/>
        </w:tblCellMar>
      </w:tblPr>
      <w:tblGrid>
        <w:gridCol w:w="2941"/>
        <w:gridCol w:w="146"/>
        <w:gridCol w:w="398"/>
        <w:gridCol w:w="1507"/>
        <w:gridCol w:w="146"/>
        <w:gridCol w:w="146"/>
        <w:gridCol w:w="217"/>
        <w:gridCol w:w="818"/>
        <w:gridCol w:w="146"/>
        <w:gridCol w:w="146"/>
        <w:gridCol w:w="211"/>
        <w:gridCol w:w="796"/>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Vehicles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Warehouse </w:t>
              <w:br/>
              <w:t>Facilities</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58,847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785,555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584,523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281,520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866,043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465,174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Warehouse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240,766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473,614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721,910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Vehicles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Warehouse </w:t>
              <w:br/>
              <w:t>Facilities</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493,968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855,102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393,244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Warehouse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318,655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15,690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399,017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328,572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727,589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1 Refer to Note 10 – Warehouse Credit Facilities of Consolidated VIEs for further details.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5. Discontinued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discussed in Note 1 — Description of Business and Basis of Presentation, the Ecommerce Wind-Down was substantially completed as of March 29, 2024. The Company's ecommerce operations were previously a reportable segment and the exit represents a strategic shift that had a major effect on the Company's operations and financial results. Therefore, in accordance with ASC 205, as of and for the three months ended March 31, 2024, the Company reported the ecommerce operations and used vehicle dealership business as discontinued operations.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summarizes the major income and expense line items from discontinued operations as reported in the condensed consolidated statements of operations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05"/>
        <w:gridCol w:w="146"/>
        <w:gridCol w:w="146"/>
        <w:gridCol w:w="289"/>
        <w:gridCol w:w="515"/>
        <w:gridCol w:w="227"/>
        <w:gridCol w:w="199"/>
        <w:gridCol w:w="289"/>
        <w:gridCol w:w="659"/>
        <w:gridCol w:w="166"/>
        <w:gridCol w:w="146"/>
        <w:gridCol w:w="607"/>
        <w:gridCol w:w="1087"/>
        <w:gridCol w:w="166"/>
        <w:gridCol w:w="146"/>
        <w:gridCol w:w="730"/>
        <w:gridCol w:w="1667"/>
        <w:gridCol w:w="215"/>
      </w:tblGrid>
      <w:tr>
        <w:trPr/>
        <w:tc>
          <w:tcPr>
            <w:tcW w:w="2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15 through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Retail vehicle,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Wholesale vehicle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Product,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Retail vehicle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Wholesale vehicle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gross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 (loss) on disposal of long 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income (loss) from discontinued operations for the period from January 1, 2025, to January 14, 2025, was not material.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summarizes the major classes of assets and liabilities from discontinued operations as reported in the condensed consolidated balance sheets (in thousands):</w:t>
      </w:r>
      <w:r>
        <w:rPr>
          <w:rFonts w:ascii="Times New Roman" w:hAnsi="Times New Roman"/>
          <w:color w:val="000000"/>
          <w:sz w:val="20"/>
        </w:rPr>
        <w:t xml:space="preserve"> </w:t>
      </w:r>
    </w:p>
    <w:p>
      <w:pPr>
        <w:pStyle w:val="TextBody"/>
        <w:bidi w:val="0"/>
        <w:jc w:val="left"/>
        <w:rPr/>
      </w:pPr>
      <w:r>
        <w:rPr/>
        <w:t> </w:t>
      </w:r>
    </w:p>
    <w:tbl>
      <w:tblPr>
        <w:tblW w:w="6352" w:type="dxa"/>
        <w:jc w:val="left"/>
        <w:tblInd w:w="0" w:type="dxa"/>
        <w:tblLayout w:type="fixed"/>
        <w:tblCellMar>
          <w:top w:w="28" w:type="dxa"/>
          <w:left w:w="28" w:type="dxa"/>
          <w:bottom w:w="28" w:type="dxa"/>
          <w:right w:w="28" w:type="dxa"/>
        </w:tblCellMar>
      </w:tblPr>
      <w:tblGrid>
        <w:gridCol w:w="3496"/>
        <w:gridCol w:w="146"/>
        <w:gridCol w:w="146"/>
        <w:gridCol w:w="255"/>
        <w:gridCol w:w="510"/>
        <w:gridCol w:w="146"/>
        <w:gridCol w:w="146"/>
        <w:gridCol w:w="389"/>
        <w:gridCol w:w="781"/>
        <w:gridCol w:w="146"/>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6. Fresh Start Accounting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discussed in Note 1 — Description of Business and Basis of Presentation, on November 13, 2024, the Company commenced the Prepackaged Chapter 11 Case. On January 14, 2025, the Effective Date, the conditions to the effectiveness of the Plan were satisfied or waived and the Plan became effective. On January 14, 2025, the Company emerged from the Prepackaged Chapter 11 Case. On the Effective Date, each holder of the 2026 Notes received a pro rata share of 92.94% of the Common Stock, as defined below, (subject to dilution) and all of the Company’s outstanding obligations under the 2026 Notes and the Indenture were deemed fully satisfied and discharged. There were no other creditors of the Company impaired in connection with the Prepackaged Chapter 11 Case.</w:t>
      </w:r>
    </w:p>
    <w:p>
      <w:pPr>
        <w:pStyle w:val="TextBody"/>
        <w:bidi w:val="0"/>
        <w:jc w:val="left"/>
        <w:rPr>
          <w:rFonts w:ascii="Times New Roman" w:hAnsi="Times New Roman"/>
          <w:sz w:val="20"/>
        </w:rPr>
      </w:pPr>
      <w:r>
        <w:rPr>
          <w:rFonts w:ascii="Arial" w:hAnsi="Arial"/>
          <w:color w:val="000000"/>
          <w:sz w:val="20"/>
        </w:rPr>
        <w:t>The Company adopted an Amended and Restated Certificate of Incorporation (the “Certificate of Incorporation”) to, among other changes to its prior amended and restated certificate of incorporation, effect an automatic conversion of the Common Stock at a ratio of 1-for-5. As a result of the automatic conversion and the issuance of shares of Common Stock pursuant to the Plan, there were approximately 5,163,109</w:t>
      </w:r>
      <w:r>
        <w:rPr>
          <w:rFonts w:ascii="Times New Roman" w:hAnsi="Times New Roman"/>
          <w:color w:val="000000"/>
          <w:sz w:val="20"/>
        </w:rPr>
        <w:t xml:space="preserve"> </w:t>
      </w:r>
      <w:r>
        <w:rPr>
          <w:rFonts w:ascii="Arial" w:hAnsi="Arial"/>
          <w:color w:val="000000"/>
          <w:sz w:val="20"/>
        </w:rPr>
        <w:t>outstanding shares of newly issued Common Stock as of the Effective Date.</w:t>
      </w:r>
    </w:p>
    <w:p>
      <w:pPr>
        <w:pStyle w:val="TextBody"/>
        <w:bidi w:val="0"/>
        <w:jc w:val="left"/>
        <w:rPr>
          <w:rFonts w:ascii="Times New Roman" w:hAnsi="Times New Roman"/>
          <w:sz w:val="20"/>
        </w:rPr>
      </w:pPr>
      <w:r>
        <w:rPr>
          <w:rFonts w:ascii="Arial" w:hAnsi="Arial"/>
          <w:color w:val="000000"/>
          <w:sz w:val="20"/>
        </w:rPr>
        <w:t>On the Effective Date, the Company entered into a warrant agreement (the “Warrant Agreement”) with Equiniti Trust Company LLC, as warrant agent. In accordance with the Plan and pursuant to the Warrant Agreement, on the Effective Date, the Company issued warrants (the “Warrants”) to purchase an aggregate of 364,516</w:t>
      </w:r>
      <w:r>
        <w:rPr>
          <w:rFonts w:ascii="Times New Roman" w:hAnsi="Times New Roman"/>
          <w:color w:val="000000"/>
          <w:sz w:val="20"/>
        </w:rPr>
        <w:t xml:space="preserve"> </w:t>
      </w:r>
      <w:r>
        <w:rPr>
          <w:rFonts w:ascii="Arial" w:hAnsi="Arial"/>
          <w:color w:val="000000"/>
          <w:sz w:val="20"/>
        </w:rPr>
        <w:t>shares of the Common Stock, at an exercise price of $60.95</w:t>
      </w:r>
      <w:r>
        <w:rPr>
          <w:rFonts w:ascii="Times New Roman" w:hAnsi="Times New Roman"/>
          <w:color w:val="000000"/>
          <w:sz w:val="20"/>
        </w:rPr>
        <w:t xml:space="preserve"> </w:t>
      </w:r>
      <w:r>
        <w:rPr>
          <w:rFonts w:ascii="Arial" w:hAnsi="Arial"/>
          <w:color w:val="000000"/>
          <w:sz w:val="20"/>
        </w:rPr>
        <w:t>per share, to stockholders of the Predecessor in accordance with the Prepackaged Chapter 11 Case. Each Warrant was immediately exercisable upon the issuance date and will expire five years</w:t>
      </w:r>
      <w:r>
        <w:rPr>
          <w:rFonts w:ascii="Times New Roman" w:hAnsi="Times New Roman"/>
          <w:color w:val="000000"/>
          <w:sz w:val="20"/>
        </w:rPr>
        <w:t xml:space="preserve"> </w:t>
      </w:r>
      <w:r>
        <w:rPr>
          <w:rFonts w:ascii="Arial" w:hAnsi="Arial"/>
          <w:color w:val="000000"/>
          <w:sz w:val="20"/>
        </w:rPr>
        <w:t xml:space="preserve">from the issuance date. </w:t>
      </w:r>
    </w:p>
    <w:p>
      <w:pPr>
        <w:pStyle w:val="TextBody"/>
        <w:bidi w:val="0"/>
        <w:jc w:val="left"/>
        <w:rPr>
          <w:rFonts w:ascii="Arial" w:hAnsi="Arial"/>
          <w:color w:val="000000"/>
          <w:sz w:val="20"/>
        </w:rPr>
      </w:pPr>
      <w:r>
        <w:rPr>
          <w:rFonts w:ascii="Arial" w:hAnsi="Arial"/>
          <w:color w:val="000000"/>
          <w:sz w:val="20"/>
        </w:rPr>
        <w:t>In connection with the emergence from the Prepackaged Chapter 11 Case and in accordance with ASC Topic 852, the Company qualified for and adopted fresh start accounting on the Effective Date. The Company was required to adopt fresh start accounting because (i) the holders of existing voting shares of the Predecessor received less than 50% of the voting shares of the Successor Company, and (ii) the reorganization value of the assets immediately prior to confirmation of the Plan was less than the post-petition liabilities and allowed claims. In accordance with ASC Topic 852, with the application of fresh start accounting, the Company allocated its equity value to its individual assets and liabilities based on their estimated fair values. As a result of the application of fresh start accounting and the effects of the implementation of the Plan, the condensed consolidated financial statements after January 14, 2025, are not comparable with the condensed consolidated financial statements as of or prior to that date.</w:t>
      </w:r>
    </w:p>
    <w:p>
      <w:pPr>
        <w:pStyle w:val="TextBody"/>
        <w:bidi w:val="0"/>
        <w:spacing w:before="120" w:after="283"/>
        <w:jc w:val="both"/>
        <w:rPr>
          <w:rFonts w:ascii="Arial" w:hAnsi="Arial"/>
          <w:b/>
          <w:i/>
          <w:color w:val="000000"/>
          <w:sz w:val="20"/>
        </w:rPr>
      </w:pPr>
      <w:r>
        <w:rPr>
          <w:rFonts w:ascii="Arial" w:hAnsi="Arial"/>
          <w:b/>
          <w:i/>
          <w:color w:val="000000"/>
          <w:sz w:val="20"/>
        </w:rPr>
        <w:t>Reorganization Value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accordance with ASC Topic 852, with the application of fresh start accounting, the Company allocated the equity value to its individual assets and liabilities based on their estimated fair values in conformity with ASC Topic 820, Fair Value.</w:t>
      </w:r>
    </w:p>
    <w:p>
      <w:pPr>
        <w:pStyle w:val="TextBody"/>
        <w:bidi w:val="0"/>
        <w:spacing w:before="120" w:after="283"/>
        <w:jc w:val="both"/>
        <w:rPr>
          <w:rFonts w:ascii="Times New Roman" w:hAnsi="Times New Roman"/>
          <w:sz w:val="20"/>
        </w:rPr>
      </w:pPr>
      <w:r>
        <w:rPr>
          <w:rFonts w:ascii="Arial" w:hAnsi="Arial"/>
          <w:color w:val="000000"/>
          <w:sz w:val="20"/>
        </w:rPr>
        <w:t>As set forth in the Plan and the disclosure statement, the value of the Successor Company was assigned to its equity and estimated to be between $115.6</w:t>
      </w:r>
      <w:r>
        <w:rPr>
          <w:rFonts w:ascii="Times New Roman" w:hAnsi="Times New Roman"/>
          <w:color w:val="000000"/>
          <w:sz w:val="20"/>
        </w:rPr>
        <w:t xml:space="preserve"> </w:t>
      </w:r>
      <w:r>
        <w:rPr>
          <w:rFonts w:ascii="Arial" w:hAnsi="Arial"/>
          <w:color w:val="000000"/>
          <w:sz w:val="20"/>
        </w:rPr>
        <w:t>million and $179.4</w:t>
      </w:r>
      <w:r>
        <w:rPr>
          <w:rFonts w:ascii="Times New Roman" w:hAnsi="Times New Roman"/>
          <w:color w:val="000000"/>
          <w:sz w:val="20"/>
        </w:rPr>
        <w:t xml:space="preserve"> </w:t>
      </w:r>
      <w:r>
        <w:rPr>
          <w:rFonts w:ascii="Arial" w:hAnsi="Arial"/>
          <w:color w:val="000000"/>
          <w:sz w:val="20"/>
        </w:rPr>
        <w:t>million. The Company estimated the enterprise value and corresponding equity value utilizing two valuation methods: a comparable public company analysis, and a discounted cash flow (“DCF”) method.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DCF analysis is a forward-looking enterprise valuation methodology that estimates fair value by calculating the present value of expected future cash flows to be generated plus a present value of the estimated terminal value. The Company established an estimate of future cash flows through December 31, 2029, based on the financial projections and assumptions utilized in the Company’s disclosure statement to the Plan, which were derived from earnings forecasts and assumptions regarding growth and profit projections. A terminal value was calculated using the constant growth method based on the projected cash flows for the final year of the forecast period. The cash flow assumptions used in the DCF analysis reflected the Company’s best estimates at the time the analysis was prepared.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selected public companies analysis is based on the enterprise values of selected publicly traded companies that have operating and financial characteristics comparable in certain respects to the Company. Under this methodology, certain financial multiples that measure financial performance and value are calculated for the selected company. A reference range was determined utilizing such multiples and is applied to certain of the Company's financial metrics to imply an estimated equity value for the business.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Based on the estimates and assumptions discussed below, the Company estimated the Successor’s equity value to be $164.5</w:t>
      </w:r>
      <w:r>
        <w:rPr>
          <w:rFonts w:ascii="Times New Roman" w:hAnsi="Times New Roman"/>
          <w:color w:val="000000"/>
          <w:sz w:val="20"/>
        </w:rPr>
        <w:t xml:space="preserve"> </w:t>
      </w:r>
      <w:r>
        <w:rPr>
          <w:rFonts w:ascii="Arial" w:hAnsi="Arial"/>
          <w:color w:val="000000"/>
          <w:sz w:val="20"/>
        </w:rPr>
        <w:t>million for financial reporting purposes, which is within the range of equity value per the Plan. The following table reconciles the enterprise value to the estimated fair value of the Successor Common Stock as of the Effective Date (in thousands, except per share data):</w:t>
      </w:r>
    </w:p>
    <w:p>
      <w:pPr>
        <w:pStyle w:val="TextBody"/>
        <w:bidi w:val="0"/>
        <w:jc w:val="left"/>
        <w:rPr/>
      </w:pPr>
      <w:r>
        <w:rPr/>
        <w:t> </w:t>
      </w:r>
    </w:p>
    <w:tbl>
      <w:tblPr>
        <w:tblW w:w="6080" w:type="dxa"/>
        <w:jc w:val="left"/>
        <w:tblInd w:w="0" w:type="dxa"/>
        <w:tblLayout w:type="fixed"/>
        <w:tblCellMar>
          <w:top w:w="28" w:type="dxa"/>
          <w:left w:w="28" w:type="dxa"/>
          <w:bottom w:w="28" w:type="dxa"/>
          <w:right w:w="28" w:type="dxa"/>
        </w:tblCellMar>
      </w:tblPr>
      <w:tblGrid>
        <w:gridCol w:w="4431"/>
        <w:gridCol w:w="146"/>
        <w:gridCol w:w="211"/>
        <w:gridCol w:w="961"/>
        <w:gridCol w:w="331"/>
      </w:tblGrid>
      <w:tr>
        <w:trPr/>
        <w:tc>
          <w:tcPr>
            <w:tcW w:w="4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Enterprise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832,727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35,352</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Warehouse credit facilities of consolidated VIEs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363,718</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365,963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of Successor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164,487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Successor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of Successor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161,662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issued upon emergence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5,163,109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 share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reconciliation of the Company’s enterprise value to reorganization value as of the Effective Date is as follows: (in thousands):</w:t>
      </w:r>
    </w:p>
    <w:p>
      <w:pPr>
        <w:pStyle w:val="TextBody"/>
        <w:bidi w:val="0"/>
        <w:jc w:val="left"/>
        <w:rPr/>
      </w:pPr>
      <w:r>
        <w:rPr/>
        <w:t> </w:t>
      </w:r>
    </w:p>
    <w:tbl>
      <w:tblPr>
        <w:tblW w:w="5280" w:type="dxa"/>
        <w:jc w:val="left"/>
        <w:tblInd w:w="0" w:type="dxa"/>
        <w:tblLayout w:type="fixed"/>
        <w:tblCellMar>
          <w:top w:w="28" w:type="dxa"/>
          <w:left w:w="28" w:type="dxa"/>
          <w:bottom w:w="28" w:type="dxa"/>
          <w:right w:w="28" w:type="dxa"/>
        </w:tblCellMar>
      </w:tblPr>
      <w:tblGrid>
        <w:gridCol w:w="3796"/>
        <w:gridCol w:w="146"/>
        <w:gridCol w:w="211"/>
        <w:gridCol w:w="796"/>
        <w:gridCol w:w="33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Enterprise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832,727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35,352</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26,089</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61,536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Reorganization value of Successor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955,704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enterprise value and corresponding equity value are dependent upon achieving the future financial results set forth in the Company’s projections, as well as the realization of certain other assumptions. All estimates, assumptions, valuations and financial projections, including the fair value adjustments, the financial projections, the enterprise value and equity value projections, are inherently subject to significant uncertainties and the resolution of contingencies beyond the Company’s control. Accordingly, the Company cannot assure that the estimates, assumptions, valuations or financial projections will be realized and actual results could vary materially.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results of the Company's analysis indicated that the principal assets requiring fair value adjustments on the Effective Date include finance receivables held for sale, identified intangible assets and leased assets. Further detail regarding the valuation process is described below.</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Finance receivables held for sale, net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the Effective Date, the finance receivables held for sale, net were reclassified to finance receivables at fair value, refer to Note 2 — Summary of Significant Accounting Policies for further details. To estimate the fair value of the finance receivables the Company utilized the valuation methodologies which are used to value finance receivables at fair value on a recurring basis. Refer to the Fair Value of Financial Instruments Not Carried at Fair Value section in</w:t>
      </w:r>
      <w:r>
        <w:rPr>
          <w:rFonts w:ascii="Times New Roman" w:hAnsi="Times New Roman"/>
          <w:color w:val="000000"/>
          <w:sz w:val="20"/>
        </w:rPr>
        <w:t xml:space="preserve"> </w:t>
      </w:r>
      <w:r>
        <w:rPr>
          <w:rFonts w:ascii="Arial" w:hAnsi="Arial"/>
          <w:color w:val="000000"/>
          <w:sz w:val="20"/>
        </w:rPr>
        <w:t>Note 15 — Financial Instruments and Fair Value Measurements for further details.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Intangible Assets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identified intangible assets of $14.2</w:t>
      </w:r>
      <w:r>
        <w:rPr>
          <w:rFonts w:ascii="Times New Roman" w:hAnsi="Times New Roman"/>
          <w:color w:val="000000"/>
          <w:sz w:val="20"/>
        </w:rPr>
        <w:t xml:space="preserve"> </w:t>
      </w:r>
      <w:r>
        <w:rPr>
          <w:rFonts w:ascii="Arial" w:hAnsi="Arial"/>
          <w:color w:val="000000"/>
          <w:sz w:val="20"/>
        </w:rPr>
        <w:t>million, which principally consisted of technology, trade names and trademarks, and customer relationships were estimated based on either the cost approach, relief from royalty or multi-period excess earnings methods. Significant assumptions for identified intangibles included royalty rates, discount rates, margins, attrition rates, revenue growth rates, and economic lives. Such fair value measurement of intangible assets is considered Level 3 of the fair value hierarchy.</w:t>
      </w:r>
    </w:p>
    <w:p>
      <w:pPr>
        <w:pStyle w:val="TextBody"/>
        <w:bidi w:val="0"/>
        <w:jc w:val="left"/>
        <w:rPr>
          <w:rFonts w:ascii="Times New Roman" w:hAnsi="Times New Roman"/>
          <w:sz w:val="20"/>
        </w:rPr>
      </w:pPr>
      <w:r>
        <w:rPr>
          <w:rFonts w:ascii="Arial" w:hAnsi="Arial"/>
          <w:color w:val="000000"/>
          <w:sz w:val="20"/>
        </w:rPr>
        <w:t>For the technology-based intangibles that were valued using the relief from royalty income approach, the royalty rate was estimated to be 5.0% and the discount rate 25%. For the technology-based intangibles that were valued using the cost approach, the margin was estimated to be 8.5%. For trade names and trademarks valued under the relief from royalty income approach, the royalty rate was estimated to be 0.5% and the discount rate 25%. For customer-related intangible assets that were valued using the multi-period excess earnings method, the attrition rate was estimated to be 10% and the discount rate 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Lease Liabilities and Right of Use Assets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present value of lease liabilities was measured as the present value of the remaining lease payments, as if the leases were new leases as of the Effective Date. The Company used its incremental borrowing rate (“IBR”) as the discount rate in determining the present value of the remaining lease payments using a fundamental credit rating analysis. Based upon the corresponding lease terms, the IBRs ranged between approximately 6.2% - 7.6%. Right of use asset values were estimated based on the lease liability.</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Consolidated Balance Sheet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adjustments set forth in the following condensed consolidated balance sheet as of January 14, 2025 reflect the effects of the transactions contemplated by the Plan and executed on the Effective date (reflected in the column “Reorganization Adjustments”), and fair value and other required accounting adjustments resulting from the adoption of fresh start accounting (reflected in the column “Fresh Start Accounting Adjustments”), (in thousands):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6"/>
        <w:gridCol w:w="146"/>
        <w:gridCol w:w="211"/>
        <w:gridCol w:w="991"/>
        <w:gridCol w:w="166"/>
        <w:gridCol w:w="146"/>
        <w:gridCol w:w="211"/>
        <w:gridCol w:w="991"/>
        <w:gridCol w:w="166"/>
        <w:gridCol w:w="146"/>
        <w:gridCol w:w="466"/>
        <w:gridCol w:w="146"/>
        <w:gridCol w:w="269"/>
        <w:gridCol w:w="1075"/>
        <w:gridCol w:w="166"/>
        <w:gridCol w:w="146"/>
        <w:gridCol w:w="466"/>
        <w:gridCol w:w="146"/>
        <w:gridCol w:w="211"/>
        <w:gridCol w:w="781"/>
        <w:gridCol w:w="193"/>
      </w:tblGrid>
      <w:tr>
        <w:trPr/>
        <w:tc>
          <w:tcPr>
            <w:tcW w:w="2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January 14,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Reorganization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Fresh Start Accounting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Successor</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35,352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26,089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825,012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held for sale,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11,027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27,833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Assets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758</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1,040,930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955,704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Warehouse credit facilities of consolidated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363,718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365,963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11,027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46,875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 subject to compromise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1,078,386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791,217</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paid-in-capital -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2,095,033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(2,095,033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paid-in-capital -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161,657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Warrants - 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(2,132,491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2,220,179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(deficit)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164,487</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1,040,930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955,704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Reorganization adjustments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1. Represents write-off of prepaid asset related to predecessor directors and officers insurance tail policy.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2. Represents the settlement of the Company's pre-petition Convertible Notes, as of the Effective date, which is calculated as follows (in thousands):</w:t>
      </w:r>
    </w:p>
    <w:tbl>
      <w:tblPr>
        <w:tblW w:w="8815" w:type="dxa"/>
        <w:jc w:val="left"/>
        <w:tblInd w:w="0" w:type="dxa"/>
        <w:tblLayout w:type="fixed"/>
        <w:tblCellMar>
          <w:top w:w="28" w:type="dxa"/>
          <w:left w:w="28" w:type="dxa"/>
          <w:bottom w:w="28" w:type="dxa"/>
          <w:right w:w="28" w:type="dxa"/>
        </w:tblCellMar>
      </w:tblPr>
      <w:tblGrid>
        <w:gridCol w:w="7486"/>
        <w:gridCol w:w="146"/>
        <w:gridCol w:w="211"/>
        <w:gridCol w:w="781"/>
        <w:gridCol w:w="191"/>
      </w:tblGrid>
      <w:tr>
        <w:trPr/>
        <w:tc>
          <w:tcPr>
            <w:tcW w:w="7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290,488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interest on convertible senior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 subject to compromise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291,668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Issuance of 92.94% of Successor common shares to prepetition convertible note holders </w:t>
            </w:r>
            <w:r>
              <w:rPr>
                <w:rFonts w:ascii="Arial" w:hAnsi="Arial"/>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150,249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 on settlement of liabilities subject to compromise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141,419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Arial" w:hAnsi="Arial"/>
          <w:color w:val="1D1C1D"/>
          <w:sz w:val="13"/>
        </w:rPr>
        <w:t>(1)</w:t>
      </w:r>
      <w:r>
        <w:rPr>
          <w:rFonts w:ascii="Times New Roman" w:hAnsi="Times New Roman"/>
          <w:color w:val="1D1C1D"/>
          <w:sz w:val="20"/>
        </w:rPr>
        <w:t xml:space="preserve"> </w:t>
      </w:r>
      <w:r>
        <w:rPr>
          <w:rFonts w:ascii="Arial" w:hAnsi="Arial"/>
          <w:color w:val="1D1C1D"/>
          <w:sz w:val="18"/>
        </w:rPr>
        <w:t>Note the total issuances of Successor equity in the amount of $164.4</w:t>
      </w:r>
      <w:r>
        <w:rPr>
          <w:rFonts w:ascii="Times New Roman" w:hAnsi="Times New Roman"/>
          <w:color w:val="1D1C1D"/>
          <w:sz w:val="20"/>
        </w:rPr>
        <w:t xml:space="preserve"> </w:t>
      </w:r>
      <w:r>
        <w:rPr>
          <w:rFonts w:ascii="Arial" w:hAnsi="Arial"/>
          <w:color w:val="1D1C1D"/>
          <w:sz w:val="18"/>
        </w:rPr>
        <w:t>million was issued to Predecessor note holders in the amount of $150.2</w:t>
      </w:r>
      <w:r>
        <w:rPr>
          <w:rFonts w:ascii="Times New Roman" w:hAnsi="Times New Roman"/>
          <w:color w:val="1D1C1D"/>
          <w:sz w:val="20"/>
        </w:rPr>
        <w:t xml:space="preserve"> </w:t>
      </w:r>
      <w:r>
        <w:rPr>
          <w:rFonts w:ascii="Arial" w:hAnsi="Arial"/>
          <w:color w:val="1D1C1D"/>
          <w:sz w:val="18"/>
        </w:rPr>
        <w:t>million and Predecessor equity holders in the amount of $14.2</w:t>
      </w:r>
      <w:r>
        <w:rPr>
          <w:rFonts w:ascii="Times New Roman" w:hAnsi="Times New Roman"/>
          <w:color w:val="1D1C1D"/>
          <w:sz w:val="20"/>
        </w:rPr>
        <w:t xml:space="preserve"> </w:t>
      </w:r>
      <w:r>
        <w:rPr>
          <w:rFonts w:ascii="Arial" w:hAnsi="Arial"/>
          <w:color w:val="1D1C1D"/>
          <w:sz w:val="18"/>
        </w:rPr>
        <w:t>million. The total issuance to the Predecessor equity holders of $14.2</w:t>
      </w:r>
      <w:r>
        <w:rPr>
          <w:rFonts w:ascii="Times New Roman" w:hAnsi="Times New Roman"/>
          <w:color w:val="1D1C1D"/>
          <w:sz w:val="20"/>
        </w:rPr>
        <w:t xml:space="preserve"> </w:t>
      </w:r>
      <w:r>
        <w:rPr>
          <w:rFonts w:ascii="Arial" w:hAnsi="Arial"/>
          <w:color w:val="1D1C1D"/>
          <w:sz w:val="18"/>
        </w:rPr>
        <w:t>million included warrants of $2.8</w:t>
      </w:r>
      <w:r>
        <w:rPr>
          <w:rFonts w:ascii="Times New Roman" w:hAnsi="Times New Roman"/>
          <w:color w:val="1D1C1D"/>
          <w:sz w:val="20"/>
        </w:rPr>
        <w:t xml:space="preserve"> </w:t>
      </w:r>
      <w:r>
        <w:rPr>
          <w:rFonts w:ascii="Arial" w:hAnsi="Arial"/>
          <w:color w:val="1D1C1D"/>
          <w:sz w:val="18"/>
        </w:rPr>
        <w:t>million and 7.06%</w:t>
      </w:r>
      <w:r>
        <w:rPr>
          <w:rFonts w:ascii="Times New Roman" w:hAnsi="Times New Roman"/>
          <w:color w:val="1D1C1D"/>
          <w:sz w:val="20"/>
        </w:rPr>
        <w:t xml:space="preserve"> </w:t>
      </w:r>
      <w:r>
        <w:rPr>
          <w:rFonts w:ascii="Arial" w:hAnsi="Arial"/>
          <w:color w:val="1D1C1D"/>
          <w:sz w:val="18"/>
        </w:rPr>
        <w:t>of Successor common shares totaling $11.4</w:t>
      </w:r>
      <w:r>
        <w:rPr>
          <w:rFonts w:ascii="Times New Roman" w:hAnsi="Times New Roman"/>
          <w:color w:val="1D1C1D"/>
          <w:sz w:val="20"/>
        </w:rPr>
        <w:t xml:space="preserve"> </w:t>
      </w:r>
      <w:r>
        <w:rPr>
          <w:rFonts w:ascii="Arial" w:hAnsi="Arial"/>
          <w:color w:val="1D1C1D"/>
          <w:sz w:val="18"/>
        </w:rPr>
        <w:t>million.</w:t>
      </w:r>
    </w:p>
    <w:p>
      <w:pPr>
        <w:pStyle w:val="TextBody"/>
        <w:bidi w:val="0"/>
        <w:jc w:val="left"/>
        <w:rPr>
          <w:rFonts w:ascii="Arial" w:hAnsi="Arial"/>
          <w:color w:val="000000"/>
          <w:sz w:val="20"/>
        </w:rPr>
      </w:pPr>
      <w:r>
        <w:rPr>
          <w:rFonts w:ascii="Arial" w:hAnsi="Arial"/>
          <w:color w:val="000000"/>
          <w:sz w:val="20"/>
        </w:rPr>
        <w:t>3. Represents the cancellation of Predecessor common stock.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4. Represents the issuance of Successor common stock.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5. Represents the cancellation of Predecessor additional paid-in capital.</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6. Represents the fair value of 5,163,109</w:t>
      </w:r>
      <w:r>
        <w:rPr>
          <w:rFonts w:ascii="Times New Roman" w:hAnsi="Times New Roman"/>
          <w:color w:val="000000"/>
          <w:sz w:val="20"/>
        </w:rPr>
        <w:t xml:space="preserve"> </w:t>
      </w:r>
      <w:r>
        <w:rPr>
          <w:rFonts w:ascii="Arial" w:hAnsi="Arial"/>
          <w:color w:val="000000"/>
          <w:sz w:val="20"/>
        </w:rPr>
        <w:t>Successor common shares totaling $161.7</w:t>
      </w:r>
      <w:r>
        <w:rPr>
          <w:rFonts w:ascii="Times New Roman" w:hAnsi="Times New Roman"/>
          <w:color w:val="000000"/>
          <w:sz w:val="20"/>
        </w:rPr>
        <w:t xml:space="preserve"> </w:t>
      </w:r>
      <w:r>
        <w:rPr>
          <w:rFonts w:ascii="Arial" w:hAnsi="Arial"/>
          <w:color w:val="000000"/>
          <w:sz w:val="20"/>
        </w:rPr>
        <w:t>million and 364,516</w:t>
      </w:r>
      <w:r>
        <w:rPr>
          <w:rFonts w:ascii="Times New Roman" w:hAnsi="Times New Roman"/>
          <w:color w:val="000000"/>
          <w:sz w:val="20"/>
        </w:rPr>
        <w:t xml:space="preserve"> </w:t>
      </w:r>
      <w:r>
        <w:rPr>
          <w:rFonts w:ascii="Arial" w:hAnsi="Arial"/>
          <w:color w:val="000000"/>
          <w:sz w:val="20"/>
        </w:rPr>
        <w:t>Successor warrants totaling $2.8</w:t>
      </w:r>
      <w:r>
        <w:rPr>
          <w:rFonts w:ascii="Times New Roman" w:hAnsi="Times New Roman"/>
          <w:color w:val="000000"/>
          <w:sz w:val="20"/>
        </w:rPr>
        <w:t xml:space="preserve"> </w:t>
      </w:r>
      <w:r>
        <w:rPr>
          <w:rFonts w:ascii="Arial" w:hAnsi="Arial"/>
          <w:color w:val="000000"/>
          <w:sz w:val="20"/>
        </w:rPr>
        <w:t>million. This results in total Successor equity in the amount of $164.5</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Fresh Start Adjustments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7. Represents reclassification of finance receivables held for sale to finance receivables at fair value due to a change in Accounting Policy in accordance with fresh start accounting. Upon reclassification, the finance receivables were adjusted to fair value.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8. Represents a fair value adjustment to property, plant and equipment,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9. Represents a fair value adjustment to intangible assets,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10. Represents a fair value adjustment to record the initial measurement of the operating lease right-of-use assets to the amount of the operating lease liabilities in accordance with fresh start accounting.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11. Represents a fair value adjustment to other assets, which includes the write-off of debt issuance costs of warehouse credit facilities.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1D1C1D"/>
          <w:sz w:val="20"/>
        </w:rPr>
        <w:t>12. Represents an adjustment to long-term debt, which includes the write-off of debt issuance costs of $2.9</w:t>
      </w:r>
      <w:r>
        <w:rPr>
          <w:rFonts w:ascii="Times New Roman" w:hAnsi="Times New Roman"/>
          <w:color w:val="1D1C1D"/>
          <w:sz w:val="20"/>
        </w:rPr>
        <w:t xml:space="preserve"> </w:t>
      </w:r>
      <w:r>
        <w:rPr>
          <w:rFonts w:ascii="Arial" w:hAnsi="Arial"/>
          <w:color w:val="1D1C1D"/>
          <w:sz w:val="20"/>
        </w:rPr>
        <w:t>million and an adjustment related to the fair value option election for the 2024-1 securitization debt, which resulted in a fair value adjustment to the securitization debt of $1.6</w:t>
      </w:r>
      <w:r>
        <w:rPr>
          <w:rFonts w:ascii="Times New Roman" w:hAnsi="Times New Roman"/>
          <w:color w:val="1D1C1D"/>
          <w:sz w:val="20"/>
        </w:rPr>
        <w:t xml:space="preserve"> </w:t>
      </w:r>
      <w:r>
        <w:rPr>
          <w:rFonts w:ascii="Arial" w:hAnsi="Arial"/>
          <w:color w:val="1D1C1D"/>
          <w:sz w:val="20"/>
        </w:rPr>
        <w:t>million</w:t>
      </w:r>
      <w:r>
        <w:rPr>
          <w:rFonts w:ascii="Arial" w:hAnsi="Arial"/>
          <w:color w:val="000000"/>
          <w:sz w:val="20"/>
        </w:rPr>
        <w:t>. The fair value of the debt was determined using a non-binding quote from broker dealers.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13. Represents the cumulative impact, as of the Effective Date, to accumulated deficit from the reorganization adjustments and fresh start accounting adjustments. The cumulative impact to accumulated deficit from the reorganization adjustments is calculated, as follows (in thousands):</w:t>
      </w:r>
    </w:p>
    <w:p>
      <w:pPr>
        <w:pStyle w:val="TextBody"/>
        <w:bidi w:val="0"/>
        <w:jc w:val="left"/>
        <w:rPr/>
      </w:pPr>
      <w:r>
        <w:rPr/>
        <w:t> </w:t>
      </w:r>
    </w:p>
    <w:tbl>
      <w:tblPr>
        <w:tblW w:w="7455" w:type="dxa"/>
        <w:jc w:val="left"/>
        <w:tblInd w:w="0" w:type="dxa"/>
        <w:tblLayout w:type="fixed"/>
        <w:tblCellMar>
          <w:top w:w="28" w:type="dxa"/>
          <w:left w:w="28" w:type="dxa"/>
          <w:bottom w:w="28" w:type="dxa"/>
          <w:right w:w="28" w:type="dxa"/>
        </w:tblCellMar>
      </w:tblPr>
      <w:tblGrid>
        <w:gridCol w:w="5956"/>
        <w:gridCol w:w="146"/>
        <w:gridCol w:w="211"/>
        <w:gridCol w:w="931"/>
        <w:gridCol w:w="2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 to Predecessor common stock and 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2,095,035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 on settlement of liabilities subject to compromise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141,419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Warrants and common stock issued to Predecessor equity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Reorganization adjustment to 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Cumulative impact to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2,220,179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Arial" w:hAnsi="Arial"/>
          <w:b/>
          <w:i/>
          <w:color w:val="000000"/>
          <w:sz w:val="20"/>
        </w:rPr>
      </w:pPr>
      <w:r>
        <w:rPr>
          <w:rFonts w:ascii="Arial" w:hAnsi="Arial"/>
          <w:b/>
          <w:i/>
          <w:color w:val="000000"/>
          <w:sz w:val="20"/>
        </w:rPr>
        <w:t>Reorganization items, net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applied ASC 852 in preparing the condensed consolidated financial statements starting on the Prepackaged Chapter 11 Case petition date. ASC 852 requires the financial statements, for the periods subsequent to the petition date and up to and including the Effective Date, to distinguish transactions and events that are directly associated with the reorganization from the ongoing operations of the business. Accordingly, certain charges incurred during the bankruptcy proceedings, such as legal and professional fees incurred directly as a result of the bankruptcy proceeding, the write-off of deferred financing costs and discount on debt subject to compromise and other related charges are recorded as Reorganization items, net in the Condensed Consolidated Statements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Certain expenses resulting from and recognized during the Company's bankruptcy proceedings, gains on the settlement of liabilities under the Plan and the net impact of fresh start accounting adjustments are</w:t>
      </w:r>
      <w:r>
        <w:rPr>
          <w:rFonts w:ascii="Times New Roman" w:hAnsi="Times New Roman"/>
          <w:color w:val="000000"/>
          <w:sz w:val="20"/>
        </w:rPr>
        <w:t xml:space="preserve"> </w:t>
      </w:r>
      <w:r>
        <w:rPr>
          <w:rFonts w:ascii="Arial" w:hAnsi="Arial"/>
          <w:color w:val="000000"/>
          <w:sz w:val="20"/>
        </w:rPr>
        <w:t>recorded 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Reorganization items, net in the Company's Condensed Consolidated Statements of Operations. Reorganization items, net consisted of the following (in thousands):</w:t>
      </w:r>
    </w:p>
    <w:p>
      <w:pPr>
        <w:pStyle w:val="TextBody"/>
        <w:bidi w:val="0"/>
        <w:jc w:val="left"/>
        <w:rPr/>
      </w:pPr>
      <w:r>
        <w:rPr/>
        <w:t> </w:t>
      </w:r>
    </w:p>
    <w:tbl>
      <w:tblPr>
        <w:tblW w:w="8754" w:type="dxa"/>
        <w:jc w:val="left"/>
        <w:tblInd w:w="0" w:type="dxa"/>
        <w:tblLayout w:type="fixed"/>
        <w:tblCellMar>
          <w:top w:w="28" w:type="dxa"/>
          <w:left w:w="28" w:type="dxa"/>
          <w:bottom w:w="28" w:type="dxa"/>
          <w:right w:w="28" w:type="dxa"/>
        </w:tblCellMar>
      </w:tblPr>
      <w:tblGrid>
        <w:gridCol w:w="4771"/>
        <w:gridCol w:w="146"/>
        <w:gridCol w:w="146"/>
        <w:gridCol w:w="727"/>
        <w:gridCol w:w="2753"/>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gain on settlement of debt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141,419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on fresh start adjustments</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(87,688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on reorganization adjustment of other assets</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Debt valuation adjustments</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fees</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reorganization items, net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7. Property and Equipment,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Property and equipment, net consisted of the following (in thousands):</w:t>
      </w:r>
      <w:r>
        <w:rPr>
          <w:rFonts w:ascii="Times New Roman" w:hAnsi="Times New Roman"/>
          <w:color w:val="000000"/>
          <w:sz w:val="20"/>
        </w:rPr>
        <w:t xml:space="preserve"> </w:t>
      </w:r>
    </w:p>
    <w:p>
      <w:pPr>
        <w:pStyle w:val="TextBody"/>
        <w:bidi w:val="0"/>
        <w:jc w:val="left"/>
        <w:rPr/>
      </w:pPr>
      <w:r>
        <w:rPr/>
        <w:t> </w:t>
      </w:r>
    </w:p>
    <w:tbl>
      <w:tblPr>
        <w:tblW w:w="6612" w:type="dxa"/>
        <w:jc w:val="left"/>
        <w:tblInd w:w="0" w:type="dxa"/>
        <w:tblLayout w:type="fixed"/>
        <w:tblCellMar>
          <w:top w:w="28" w:type="dxa"/>
          <w:left w:w="28" w:type="dxa"/>
          <w:bottom w:w="28" w:type="dxa"/>
          <w:right w:w="28" w:type="dxa"/>
        </w:tblCellMar>
      </w:tblPr>
      <w:tblGrid>
        <w:gridCol w:w="3871"/>
        <w:gridCol w:w="146"/>
        <w:gridCol w:w="211"/>
        <w:gridCol w:w="691"/>
        <w:gridCol w:w="166"/>
        <w:gridCol w:w="146"/>
        <w:gridCol w:w="287"/>
        <w:gridCol w:w="883"/>
        <w:gridCol w:w="2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emergence from the Prepackaged Chapter 11 Case, and application of fresh start accounting, the Company recorded property and equipment at fair value as of the Effective Date, as discussed in Note 6 — Fresh Start Accounting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Depreciation and amortization expense was $1.0</w:t>
      </w:r>
      <w:r>
        <w:rPr>
          <w:rFonts w:ascii="Times New Roman" w:hAnsi="Times New Roman"/>
          <w:color w:val="000000"/>
          <w:sz w:val="20"/>
        </w:rPr>
        <w:t xml:space="preserve"> </w:t>
      </w:r>
      <w:r>
        <w:rPr>
          <w:rFonts w:ascii="Arial" w:hAnsi="Arial"/>
          <w:color w:val="000000"/>
          <w:sz w:val="20"/>
        </w:rPr>
        <w:t>million and $0.3</w:t>
      </w:r>
      <w:r>
        <w:rPr>
          <w:rFonts w:ascii="Times New Roman" w:hAnsi="Times New Roman"/>
          <w:color w:val="000000"/>
          <w:sz w:val="20"/>
        </w:rPr>
        <w:t xml:space="preserve"> </w:t>
      </w:r>
      <w:r>
        <w:rPr>
          <w:rFonts w:ascii="Arial" w:hAnsi="Arial"/>
          <w:color w:val="000000"/>
          <w:sz w:val="20"/>
        </w:rPr>
        <w:t>million for the three months ended June 30, 2026 and 2025, respectively, $1.9</w:t>
      </w:r>
      <w:r>
        <w:rPr>
          <w:rFonts w:ascii="Times New Roman" w:hAnsi="Times New Roman"/>
          <w:color w:val="000000"/>
          <w:sz w:val="20"/>
        </w:rPr>
        <w:t xml:space="preserve"> </w:t>
      </w:r>
      <w:r>
        <w:rPr>
          <w:rFonts w:ascii="Arial" w:hAnsi="Arial"/>
          <w:color w:val="000000"/>
          <w:sz w:val="20"/>
        </w:rPr>
        <w:t>million for the six months ended June 30, 2026, and $0.5</w:t>
      </w:r>
      <w:r>
        <w:rPr>
          <w:rFonts w:ascii="Times New Roman" w:hAnsi="Times New Roman"/>
          <w:color w:val="000000"/>
          <w:sz w:val="20"/>
        </w:rPr>
        <w:t xml:space="preserve"> </w:t>
      </w:r>
      <w:r>
        <w:rPr>
          <w:rFonts w:ascii="Arial" w:hAnsi="Arial"/>
          <w:color w:val="000000"/>
          <w:sz w:val="20"/>
        </w:rPr>
        <w:t>million for the period from January 15, 2025 to June 30, 2025. Depreciation and amortization expense for the period from January 1, 2025, to January 14, 2025, was not material.</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8. Intangible Assets,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Intangible assets, net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3"/>
        <w:gridCol w:w="146"/>
        <w:gridCol w:w="252"/>
        <w:gridCol w:w="828"/>
        <w:gridCol w:w="146"/>
        <w:gridCol w:w="146"/>
        <w:gridCol w:w="315"/>
        <w:gridCol w:w="967"/>
        <w:gridCol w:w="166"/>
        <w:gridCol w:w="146"/>
        <w:gridCol w:w="226"/>
        <w:gridCol w:w="742"/>
        <w:gridCol w:w="146"/>
        <w:gridCol w:w="146"/>
        <w:gridCol w:w="252"/>
        <w:gridCol w:w="828"/>
        <w:gridCol w:w="146"/>
        <w:gridCol w:w="146"/>
        <w:gridCol w:w="315"/>
        <w:gridCol w:w="967"/>
        <w:gridCol w:w="166"/>
        <w:gridCol w:w="146"/>
        <w:gridCol w:w="226"/>
        <w:gridCol w:w="742"/>
        <w:gridCol w:w="196"/>
      </w:tblGrid>
      <w:tr>
        <w:trPr/>
        <w:tc>
          <w:tcPr>
            <w:tcW w:w="1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Carrying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Developed and purchased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8,453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Trademarks and 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0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12,370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Amortization expense for intangible assets was $0.5</w:t>
      </w:r>
      <w:r>
        <w:rPr>
          <w:rFonts w:ascii="Times New Roman" w:hAnsi="Times New Roman"/>
          <w:color w:val="000000"/>
          <w:sz w:val="20"/>
        </w:rPr>
        <w:t xml:space="preserve"> </w:t>
      </w:r>
      <w:r>
        <w:rPr>
          <w:rFonts w:ascii="Arial" w:hAnsi="Arial"/>
          <w:color w:val="000000"/>
          <w:sz w:val="20"/>
        </w:rPr>
        <w:t>million for the three months ended June 30, 2026 and 2025, respectively, $1.0</w:t>
      </w:r>
      <w:r>
        <w:rPr>
          <w:rFonts w:ascii="Times New Roman" w:hAnsi="Times New Roman"/>
          <w:color w:val="000000"/>
          <w:sz w:val="20"/>
        </w:rPr>
        <w:t xml:space="preserve"> </w:t>
      </w:r>
      <w:r>
        <w:rPr>
          <w:rFonts w:ascii="Arial" w:hAnsi="Arial"/>
          <w:color w:val="000000"/>
          <w:sz w:val="20"/>
        </w:rPr>
        <w:t>million for the six months ended June 30, 2026, $0.9</w:t>
      </w:r>
      <w:r>
        <w:rPr>
          <w:rFonts w:ascii="Times New Roman" w:hAnsi="Times New Roman"/>
          <w:color w:val="000000"/>
          <w:sz w:val="20"/>
        </w:rPr>
        <w:t xml:space="preserve"> </w:t>
      </w:r>
      <w:r>
        <w:rPr>
          <w:rFonts w:ascii="Arial" w:hAnsi="Arial"/>
          <w:color w:val="000000"/>
          <w:sz w:val="20"/>
        </w:rPr>
        <w:t>million for the period from January 15, 2025 to June 30, 2025, and $1.0</w:t>
      </w:r>
      <w:r>
        <w:rPr>
          <w:rFonts w:ascii="Times New Roman" w:hAnsi="Times New Roman"/>
          <w:color w:val="000000"/>
          <w:sz w:val="20"/>
        </w:rPr>
        <w:t xml:space="preserve"> </w:t>
      </w:r>
      <w:r>
        <w:rPr>
          <w:rFonts w:ascii="Arial" w:hAnsi="Arial"/>
          <w:color w:val="000000"/>
          <w:sz w:val="20"/>
        </w:rPr>
        <w:t>million for the period from January 1, 2025 to January 14, 2025.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estimated amortization expense for intangible assets subsequent to June 30, 2026, consists of the following (in thousands):</w:t>
      </w:r>
    </w:p>
    <w:p>
      <w:pPr>
        <w:pStyle w:val="TextBody"/>
        <w:bidi w:val="0"/>
        <w:jc w:val="left"/>
        <w:rPr/>
      </w:pPr>
      <w:r>
        <w:rPr/>
        <w:t> </w:t>
      </w:r>
    </w:p>
    <w:tbl>
      <w:tblPr>
        <w:tblW w:w="3445" w:type="dxa"/>
        <w:jc w:val="left"/>
        <w:tblInd w:w="0" w:type="dxa"/>
        <w:tblLayout w:type="fixed"/>
        <w:tblCellMar>
          <w:top w:w="28" w:type="dxa"/>
          <w:left w:w="28" w:type="dxa"/>
          <w:bottom w:w="28" w:type="dxa"/>
          <w:right w:w="28" w:type="dxa"/>
        </w:tblCellMar>
      </w:tblPr>
      <w:tblGrid>
        <w:gridCol w:w="2206"/>
        <w:gridCol w:w="146"/>
        <w:gridCol w:w="211"/>
        <w:gridCol w:w="69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 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9. Other Liabilities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other liabilities consisted of the following (in thousands):</w:t>
      </w:r>
      <w:r>
        <w:rPr>
          <w:rFonts w:ascii="Times New Roman" w:hAnsi="Times New Roman"/>
          <w:color w:val="000000"/>
          <w:sz w:val="20"/>
        </w:rPr>
        <w:t xml:space="preserve"> </w:t>
      </w:r>
    </w:p>
    <w:tbl>
      <w:tblPr>
        <w:tblW w:w="5942" w:type="dxa"/>
        <w:jc w:val="left"/>
        <w:tblInd w:w="0" w:type="dxa"/>
        <w:tblLayout w:type="fixed"/>
        <w:tblCellMar>
          <w:top w:w="28" w:type="dxa"/>
          <w:left w:w="28" w:type="dxa"/>
          <w:bottom w:w="28" w:type="dxa"/>
          <w:right w:w="28" w:type="dxa"/>
        </w:tblCellMar>
      </w:tblPr>
      <w:tblGrid>
        <w:gridCol w:w="3241"/>
        <w:gridCol w:w="146"/>
        <w:gridCol w:w="211"/>
        <w:gridCol w:w="691"/>
        <w:gridCol w:w="146"/>
        <w:gridCol w:w="146"/>
        <w:gridCol w:w="273"/>
        <w:gridCol w:w="897"/>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Warranty and GAP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Dealer related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software and IT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Insurance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10. Warehouse Credit Facilities of Consolidated VIEs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has three senior secured warehouse facility agreements (the “Warehouse Credit Facilities”), through consolidated VIEs, with banking institutions as of June 30, 2026. The Warehouse Credit Facilities are collateralized by eligible finance receivables and available borrowings are computed based on a percentage of eligible finance receivables. As of June 30, 2026</w:t>
      </w:r>
      <w:r>
        <w:rPr>
          <w:rFonts w:ascii="Times New Roman" w:hAnsi="Times New Roman"/>
          <w:color w:val="000000"/>
          <w:sz w:val="20"/>
        </w:rPr>
        <w:t xml:space="preserve"> </w:t>
      </w:r>
      <w:r>
        <w:rPr>
          <w:rFonts w:ascii="Arial" w:hAnsi="Arial"/>
          <w:color w:val="000000"/>
          <w:sz w:val="20"/>
        </w:rPr>
        <w:t>and December 31, 2025, the Company had excess borrowing capacity of $10.5</w:t>
      </w:r>
      <w:r>
        <w:rPr>
          <w:rFonts w:ascii="Times New Roman" w:hAnsi="Times New Roman"/>
          <w:color w:val="000000"/>
          <w:sz w:val="20"/>
        </w:rPr>
        <w:t xml:space="preserve"> </w:t>
      </w:r>
      <w:r>
        <w:rPr>
          <w:rFonts w:ascii="Arial" w:hAnsi="Arial"/>
          <w:color w:val="000000"/>
          <w:sz w:val="20"/>
        </w:rPr>
        <w:t>million and $11.3</w:t>
      </w:r>
      <w:r>
        <w:rPr>
          <w:rFonts w:ascii="Times New Roman" w:hAnsi="Times New Roman"/>
          <w:color w:val="000000"/>
          <w:sz w:val="20"/>
        </w:rPr>
        <w:t xml:space="preserve"> </w:t>
      </w:r>
      <w:r>
        <w:rPr>
          <w:rFonts w:ascii="Arial" w:hAnsi="Arial"/>
          <w:color w:val="000000"/>
          <w:sz w:val="20"/>
        </w:rPr>
        <w:t>million on UACC's Warehouse Credit Facilities,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terms of the Warehouse Credit Facilities include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90"/>
        <w:gridCol w:w="146"/>
        <w:gridCol w:w="326"/>
        <w:gridCol w:w="1233"/>
        <w:gridCol w:w="146"/>
        <w:gridCol w:w="146"/>
        <w:gridCol w:w="287"/>
        <w:gridCol w:w="1084"/>
        <w:gridCol w:w="146"/>
        <w:gridCol w:w="146"/>
        <w:gridCol w:w="326"/>
        <w:gridCol w:w="1233"/>
        <w:gridCol w:w="196"/>
      </w:tblGrid>
      <w:tr>
        <w:trPr/>
        <w:tc>
          <w:tcPr>
            <w:tcW w:w="4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One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Two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Three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Execution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November 19, 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July 11,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November 18, 2022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 termination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June 30,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August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April 12, 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borrowings limit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principal balance of finance receivables pledged as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225,858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199,870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8,667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principal balance of finance receivables pledged as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224,874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199,856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2026, and December 31, 2025, the Company's weighted average interest rate on the Warehouse Credit Facilities borrowings was approximately 5.36% and 5.55%,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June 30, 2026, the Company renewed Facility One, now expiring June 2027. The amendment modifies certain financial covenants by (i) increasing the maximum permitted leverage ratio, (ii) simplifying and reducing the minimum tangible net worth threshold, (iii) updating the performance trigger framework, and (iv) updating the dynamic advance rate mechanism, thereby increasing the maximum advance rate. The aggregate borrowing limit and other material terms remain unchanged.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ability to utilize its Warehouse Credit Facilities is primarily conditioned on the satisfaction of certain legal, operating, administrative and financial covenants contained within the agreements. These include covenants that require UACC to maintain a minimum tangible net worth, minimum liquidity levels, specified leverage ratios and certain indebtedness levels. Failure to satisfy these or any other requirements contained within the agreements would restrict access to the Warehouse Credit Facilities. Certain breaches of covenants may also result in acceleration of the repayment of borrowings prior to the scheduled maturity. As of June 30, 2026, and December 31, 2025, the Company was in compliance with all covenants related to the Warehouse Credit Facilities.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11. Long Term Debt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Debt instruments, excluding warehouse credit facilities of consolidated VIEs, which are discussed in Note 10 — Warehouse Credit Facilities of Consolidated VIEs, consisted of the following (in thousands):</w:t>
      </w:r>
    </w:p>
    <w:p>
      <w:pPr>
        <w:pStyle w:val="TextBody"/>
        <w:bidi w:val="0"/>
        <w:jc w:val="left"/>
        <w:rPr/>
      </w:pPr>
      <w:r>
        <w:rPr/>
        <w:t> </w:t>
      </w:r>
    </w:p>
    <w:tbl>
      <w:tblPr>
        <w:tblW w:w="7502" w:type="dxa"/>
        <w:jc w:val="left"/>
        <w:tblInd w:w="0" w:type="dxa"/>
        <w:tblLayout w:type="fixed"/>
        <w:tblCellMar>
          <w:top w:w="28" w:type="dxa"/>
          <w:left w:w="28" w:type="dxa"/>
          <w:bottom w:w="28" w:type="dxa"/>
          <w:right w:w="28" w:type="dxa"/>
        </w:tblCellMar>
      </w:tblPr>
      <w:tblGrid>
        <w:gridCol w:w="4696"/>
        <w:gridCol w:w="146"/>
        <w:gridCol w:w="211"/>
        <w:gridCol w:w="796"/>
        <w:gridCol w:w="146"/>
        <w:gridCol w:w="146"/>
        <w:gridCol w:w="245"/>
        <w:gridCol w:w="925"/>
        <w:gridCol w:w="1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 of consolidated VIEs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393,244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Financing of beneficial interest in securitizations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Junior subordinated debentures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489,370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423,197</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Securitization Debt of Consolidated VIEs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securitization debt was issued under UACC's securitization program. The Company elected to account for the securitization debt under the fair value option using the measurement alternative. Fair value adjustments are recorded in "Realized and unrealized losses, net of recoveries" in the condensed consolidated statements of operations. Refer to Note 15 — Financial Instruments and Fair Value Measurements. For all securitization transactions, excluding 2022-1, the Company consolidated the VIEs and accounted for these transactions as secured borrowings. Refer to Note 4 — Variable Interest Entities and Securitizations for further discussion.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retained the residual interests in all securitization transactions, excluding 2022-1 and 2022-2. UACC also retains the servicing rights for all finance receivables that were securitized; therefore, it is responsible for the administration and collection of the amounts owed under the contracts. In the first quarter of 2023, UACC waived its servicing fees related to the 2022-2 securitization and subsequently consolidated the 2022-2 trust. The securitization agreements also require certain funds to be held in restricted cash accounts to provide additional collateral for the borrowings or to be applied to make payments on the securitization debt. Restricted cash under the various agreements totaled approximately $48.4</w:t>
      </w:r>
      <w:r>
        <w:rPr>
          <w:rFonts w:ascii="Times New Roman" w:hAnsi="Times New Roman"/>
          <w:color w:val="000000"/>
          <w:sz w:val="20"/>
        </w:rPr>
        <w:t xml:space="preserve"> </w:t>
      </w:r>
      <w:r>
        <w:rPr>
          <w:rFonts w:ascii="Arial" w:hAnsi="Arial"/>
          <w:color w:val="000000"/>
          <w:sz w:val="20"/>
        </w:rPr>
        <w:t>million and $39.7</w:t>
      </w:r>
      <w:r>
        <w:rPr>
          <w:rFonts w:ascii="Times New Roman" w:hAnsi="Times New Roman"/>
          <w:color w:val="000000"/>
          <w:sz w:val="20"/>
        </w:rPr>
        <w:t xml:space="preserve"> </w:t>
      </w:r>
      <w:r>
        <w:rPr>
          <w:rFonts w:ascii="Arial" w:hAnsi="Arial"/>
          <w:color w:val="000000"/>
          <w:sz w:val="20"/>
        </w:rPr>
        <w:t>million as of June 30, 2026, and December 31, 2025, respectively.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securitization debt issued is included in "Long-term debt" on the condensed consolidated balance sheet. The securitization debt of consolidated VIEs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7"/>
        <w:gridCol w:w="146"/>
        <w:gridCol w:w="1840"/>
        <w:gridCol w:w="146"/>
        <w:gridCol w:w="241"/>
        <w:gridCol w:w="909"/>
        <w:gridCol w:w="146"/>
        <w:gridCol w:w="146"/>
        <w:gridCol w:w="1600"/>
        <w:gridCol w:w="286"/>
        <w:gridCol w:w="314"/>
        <w:gridCol w:w="1191"/>
        <w:gridCol w:w="146"/>
        <w:gridCol w:w="146"/>
        <w:gridCol w:w="211"/>
        <w:gridCol w:w="796"/>
        <w:gridCol w:w="194"/>
      </w:tblGrid>
      <w:tr>
        <w:trPr/>
        <w:tc>
          <w:tcPr>
            <w:tcW w:w="1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011"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June 30, 2026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Final Scheduled 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Initial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 Interest Rate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January 10,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April 10,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12,560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September 10,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23,747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November 12,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44,245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November 12,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38,422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February 10,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33,097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10,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32,647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10,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51,034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10,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32,907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2026-1-A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12,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64,460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2026-1-B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10,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39,877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2026-1-C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10,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25,767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2026-1-D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10,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39,496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2026-1-E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December 10,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18,325</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rated notes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609,418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482,867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465,174</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7"/>
        <w:gridCol w:w="146"/>
        <w:gridCol w:w="1840"/>
        <w:gridCol w:w="146"/>
        <w:gridCol w:w="241"/>
        <w:gridCol w:w="909"/>
        <w:gridCol w:w="146"/>
        <w:gridCol w:w="146"/>
        <w:gridCol w:w="1600"/>
        <w:gridCol w:w="286"/>
        <w:gridCol w:w="314"/>
        <w:gridCol w:w="1191"/>
        <w:gridCol w:w="146"/>
        <w:gridCol w:w="146"/>
        <w:gridCol w:w="211"/>
        <w:gridCol w:w="796"/>
        <w:gridCol w:w="194"/>
      </w:tblGrid>
      <w:tr>
        <w:trPr/>
        <w:tc>
          <w:tcPr>
            <w:tcW w:w="1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011"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Final Scheduled 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Initial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 Interest Rate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January 10,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April 10,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20,340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September 10,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10,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23,721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November 12,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52,953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November 12,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39,263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10,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37,324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February 10,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50,642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10,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32,849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10,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51,166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10,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35,805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rated notes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557,908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393,244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final scheduled payment date represents legal maturity of the remaining balance sheet securitization debt. Securitization debt is expected to become due and to be paid prior to those dates, based on amortization of the finance receivables pledged to the Trusts. Expected payments, which will depend on the performance of such receivables, as to which there can be no assurance, are $116.5</w:t>
      </w:r>
      <w:r>
        <w:rPr>
          <w:rFonts w:ascii="Times New Roman" w:hAnsi="Times New Roman"/>
          <w:color w:val="000000"/>
          <w:sz w:val="20"/>
        </w:rPr>
        <w:t xml:space="preserve"> </w:t>
      </w:r>
      <w:r>
        <w:rPr>
          <w:rFonts w:ascii="Arial" w:hAnsi="Arial"/>
          <w:color w:val="000000"/>
          <w:sz w:val="20"/>
        </w:rPr>
        <w:t>million in 2026, $189.6</w:t>
      </w:r>
      <w:r>
        <w:rPr>
          <w:rFonts w:ascii="Times New Roman" w:hAnsi="Times New Roman"/>
          <w:color w:val="000000"/>
          <w:sz w:val="20"/>
        </w:rPr>
        <w:t xml:space="preserve"> </w:t>
      </w:r>
      <w:r>
        <w:rPr>
          <w:rFonts w:ascii="Arial" w:hAnsi="Arial"/>
          <w:color w:val="000000"/>
          <w:sz w:val="20"/>
        </w:rPr>
        <w:t>million in 2027, $127.3</w:t>
      </w:r>
      <w:r>
        <w:rPr>
          <w:rFonts w:ascii="Times New Roman" w:hAnsi="Times New Roman"/>
          <w:color w:val="000000"/>
          <w:sz w:val="20"/>
        </w:rPr>
        <w:t xml:space="preserve"> </w:t>
      </w:r>
      <w:r>
        <w:rPr>
          <w:rFonts w:ascii="Arial" w:hAnsi="Arial"/>
          <w:color w:val="000000"/>
          <w:sz w:val="20"/>
        </w:rPr>
        <w:t>million in 2028, $43.0</w:t>
      </w:r>
      <w:r>
        <w:rPr>
          <w:rFonts w:ascii="Times New Roman" w:hAnsi="Times New Roman"/>
          <w:color w:val="000000"/>
          <w:sz w:val="20"/>
        </w:rPr>
        <w:t xml:space="preserve"> </w:t>
      </w:r>
      <w:r>
        <w:rPr>
          <w:rFonts w:ascii="Arial" w:hAnsi="Arial"/>
          <w:color w:val="000000"/>
          <w:sz w:val="20"/>
        </w:rPr>
        <w:t>million in 2029, and $6.5</w:t>
      </w:r>
      <w:r>
        <w:rPr>
          <w:rFonts w:ascii="Times New Roman" w:hAnsi="Times New Roman"/>
          <w:color w:val="000000"/>
          <w:sz w:val="20"/>
        </w:rPr>
        <w:t xml:space="preserve"> </w:t>
      </w:r>
      <w:r>
        <w:rPr>
          <w:rFonts w:ascii="Arial" w:hAnsi="Arial"/>
          <w:color w:val="000000"/>
          <w:sz w:val="20"/>
        </w:rPr>
        <w:t>million in 2030.</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aggregate principal balance and the net carrying value of finance receivables pledged to the securitization debt consists of the following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2"/>
        <w:gridCol w:w="146"/>
        <w:gridCol w:w="387"/>
        <w:gridCol w:w="1462"/>
        <w:gridCol w:w="146"/>
        <w:gridCol w:w="146"/>
        <w:gridCol w:w="307"/>
        <w:gridCol w:w="1162"/>
        <w:gridCol w:w="146"/>
        <w:gridCol w:w="146"/>
        <w:gridCol w:w="387"/>
        <w:gridCol w:w="1462"/>
        <w:gridCol w:w="146"/>
        <w:gridCol w:w="146"/>
        <w:gridCol w:w="307"/>
        <w:gridCol w:w="1162"/>
        <w:gridCol w:w="195"/>
      </w:tblGrid>
      <w:tr>
        <w:trPr/>
        <w:tc>
          <w:tcPr>
            <w:tcW w:w="2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Net Carrying Value </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Net Carrying Value </w:t>
            </w:r>
            <w:r>
              <w:rPr>
                <w:rFonts w:ascii="Arial" w:hAnsi="Arial"/>
                <w:b/>
                <w:color w:val="000000"/>
                <w:sz w:val="11"/>
              </w:rPr>
              <w:t>(1)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25,869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44,224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134,903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236,088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234,580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212,687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finance receivables of CFEs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584,336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520,862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490,303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441,084</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10"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1"/>
              </w:rPr>
              <w:t>(1)</w:t>
            </w:r>
            <w:r>
              <w:rPr>
                <w:rFonts w:ascii="Times New Roman" w:hAnsi="Times New Roman"/>
                <w:color w:val="000000"/>
                <w:sz w:val="16"/>
              </w:rPr>
              <w:t> </w:t>
            </w:r>
            <w:r>
              <w:rPr>
                <w:rFonts w:ascii="Arial" w:hAnsi="Arial"/>
                <w:color w:val="000000"/>
                <w:sz w:val="16"/>
              </w:rPr>
              <w:t>For the Successor period, net carrying value is equal to fair value.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Financing of Beneficial Interests in Securitizations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3, 2023, UACC entered into a Risk Retention Financing Facility enabling it to finance a portion of its asset-backed securities issued in its securitization transactions and held by UACC, pursuant to applicable Risk Retention Rules. Under this facility, UACC sells such retained interests and agrees to repurchase them on a future date. As of June 30, 2026, UACC pledged $18.5</w:t>
      </w:r>
      <w:r>
        <w:rPr>
          <w:rFonts w:ascii="Times New Roman" w:hAnsi="Times New Roman"/>
          <w:color w:val="000000"/>
          <w:sz w:val="20"/>
        </w:rPr>
        <w:t xml:space="preserve"> </w:t>
      </w:r>
      <w:r>
        <w:rPr>
          <w:rFonts w:ascii="Arial" w:hAnsi="Arial"/>
          <w:color w:val="000000"/>
          <w:sz w:val="20"/>
        </w:rPr>
        <w:t>million of its retained beneficial interests as collateral, and the outstanding borrowings related to this risk retention financing facility were $14.0</w:t>
      </w:r>
      <w:r>
        <w:rPr>
          <w:rFonts w:ascii="Times New Roman" w:hAnsi="Times New Roman"/>
          <w:color w:val="000000"/>
          <w:sz w:val="20"/>
        </w:rPr>
        <w:t xml:space="preserve"> </w:t>
      </w:r>
      <w:r>
        <w:rPr>
          <w:rFonts w:ascii="Arial" w:hAnsi="Arial"/>
          <w:color w:val="000000"/>
          <w:sz w:val="20"/>
        </w:rPr>
        <w:t>million, with expected repurchase dates ranging from January 2028</w:t>
      </w:r>
      <w:r>
        <w:rPr>
          <w:rFonts w:ascii="Times New Roman" w:hAnsi="Times New Roman"/>
          <w:color w:val="000000"/>
          <w:sz w:val="20"/>
        </w:rPr>
        <w:t xml:space="preserve"> </w:t>
      </w:r>
      <w:r>
        <w:rPr>
          <w:rFonts w:ascii="Arial" w:hAnsi="Arial"/>
          <w:color w:val="000000"/>
          <w:sz w:val="20"/>
        </w:rPr>
        <w:t>to October 2031. The securitization trusts will distribute payments related to UACC's pledged beneficial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interests in securitizations directly to the lender, which will reduce the beneficial interests in securitizations and the related debt balance. Pledged collateral levels are monitored and are generally maintained at an agreed-upon percentage of the fair value of the amounts borrowed during the life of the transactions. In the event of a decline in the fair value of the pledged collateral, UACC may be required to transfer cash or additional securities as pledged under this facility. At the termination of this agreement, UACC is obligated to return the amounts borrowed. </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color w:val="000000"/>
          <w:sz w:val="20"/>
        </w:rPr>
        <w:t>The outstanding balance of this facility, net of unamortized debt issuance costs, was $13.9 million and $19.6 million as of June 30, 2026 and December 31, 2025, respectively, and is included in "Long-term debt" on the condensed consolidated balance sheet. As of June 30, 2026 and December 31, 2025, the fair value of the collateral pledged under this facility was $14.0 million and $20.0 million,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Junior Subordinated Debentures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July 31, 2003, UACC issued junior subordinated debentures (trust preferred securities) of $10.0</w:t>
      </w:r>
      <w:r>
        <w:rPr>
          <w:rFonts w:ascii="Times New Roman" w:hAnsi="Times New Roman"/>
          <w:color w:val="000000"/>
          <w:sz w:val="20"/>
        </w:rPr>
        <w:t xml:space="preserve"> </w:t>
      </w:r>
      <w:r>
        <w:rPr>
          <w:rFonts w:ascii="Arial" w:hAnsi="Arial"/>
          <w:color w:val="000000"/>
          <w:sz w:val="20"/>
        </w:rPr>
        <w:t>million through a subsidiary, UPFC Trust I. The trust issuer is a 100</w:t>
      </w:r>
      <w:r>
        <w:rPr>
          <w:rFonts w:ascii="Times New Roman" w:hAnsi="Times New Roman"/>
          <w:color w:val="000000"/>
          <w:sz w:val="20"/>
        </w:rPr>
        <w:t xml:space="preserve"> </w:t>
      </w:r>
      <w:r>
        <w:rPr>
          <w:rFonts w:ascii="Arial" w:hAnsi="Arial"/>
          <w:color w:val="000000"/>
          <w:sz w:val="20"/>
        </w:rPr>
        <w:t>percent owned finance subsidiary and the securities are fully and unconditionally guaranteed by Vroom Automotive Finance Corporation. The interest is paid quarterly at a variable rate, equal to SOFR</w:t>
      </w:r>
      <w:r>
        <w:rPr>
          <w:rFonts w:ascii="Times New Roman" w:hAnsi="Times New Roman"/>
          <w:color w:val="000000"/>
          <w:sz w:val="20"/>
        </w:rPr>
        <w:t xml:space="preserve"> </w:t>
      </w:r>
      <w:r>
        <w:rPr>
          <w:rFonts w:ascii="Arial" w:hAnsi="Arial"/>
          <w:color w:val="000000"/>
          <w:sz w:val="20"/>
        </w:rPr>
        <w:t>+ 3.05%. The final maturity of these securities is on October 7, 2033; however, they can be called at par any time at the Company’s discretion.</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12. Commitments and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Litigation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previously disclosed, the Company has been subject to audits, requests for information, investigations and other inquiries from its regulators.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 additional limitations on the Company's business activities and further reputational damage, although to date such expenses have not had a material adverse effect on the Company’s financial condition, cash flows, or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Other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13. Preferred Stock and Stockholders’ Equity</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January 14, 2025, the Company amended its certificate of incorporation to authorize the issuance of up to 5,000,000</w:t>
      </w:r>
      <w:r>
        <w:rPr>
          <w:rFonts w:ascii="Times New Roman" w:hAnsi="Times New Roman"/>
          <w:color w:val="000000"/>
          <w:sz w:val="20"/>
        </w:rPr>
        <w:t xml:space="preserve"> </w:t>
      </w:r>
      <w:r>
        <w:rPr>
          <w:rFonts w:ascii="Arial" w:hAnsi="Arial"/>
          <w:color w:val="000000"/>
          <w:sz w:val="20"/>
        </w:rPr>
        <w:t>shares of Preferred Stock, $0.001</w:t>
      </w:r>
      <w:r>
        <w:rPr>
          <w:rFonts w:ascii="Times New Roman" w:hAnsi="Times New Roman"/>
          <w:color w:val="000000"/>
          <w:sz w:val="20"/>
        </w:rPr>
        <w:t xml:space="preserve"> </w:t>
      </w:r>
      <w:r>
        <w:rPr>
          <w:rFonts w:ascii="Arial" w:hAnsi="Arial"/>
          <w:color w:val="000000"/>
          <w:sz w:val="20"/>
        </w:rPr>
        <w:t>par value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2026, and December 31, 2025, there was no</w:t>
      </w:r>
      <w:r>
        <w:rPr>
          <w:rFonts w:ascii="Times New Roman" w:hAnsi="Times New Roman"/>
          <w:color w:val="000000"/>
          <w:sz w:val="20"/>
        </w:rPr>
        <w:t xml:space="preserve"> </w:t>
      </w:r>
      <w:r>
        <w:rPr>
          <w:rFonts w:ascii="Arial" w:hAnsi="Arial"/>
          <w:color w:val="000000"/>
          <w:sz w:val="20"/>
        </w:rPr>
        <w:t>preferred stock issued or outstanding. The Vroom Automotive Preferred Units described below are preferred equity interests of a subsidiary classified as mezzanine equity and are not preferred stock of Vroom, Inc.</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Effective as of January 14, 2025, the Company amended its certificate of incorporation to authorize the issuance of up to 250,000,000</w:t>
      </w:r>
      <w:r>
        <w:rPr>
          <w:rFonts w:ascii="Times New Roman" w:hAnsi="Times New Roman"/>
          <w:color w:val="000000"/>
          <w:sz w:val="20"/>
        </w:rPr>
        <w:t xml:space="preserve"> </w:t>
      </w:r>
      <w:r>
        <w:rPr>
          <w:rFonts w:ascii="Arial" w:hAnsi="Arial"/>
          <w:color w:val="000000"/>
          <w:sz w:val="20"/>
        </w:rPr>
        <w:t>shares of Common Stock, $0.001</w:t>
      </w:r>
      <w:r>
        <w:rPr>
          <w:rFonts w:ascii="Times New Roman" w:hAnsi="Times New Roman"/>
          <w:color w:val="000000"/>
          <w:sz w:val="20"/>
        </w:rPr>
        <w:t xml:space="preserve"> </w:t>
      </w:r>
      <w:r>
        <w:rPr>
          <w:rFonts w:ascii="Arial" w:hAnsi="Arial"/>
          <w:color w:val="000000"/>
          <w:sz w:val="20"/>
        </w:rPr>
        <w:t>par value per share as well as effect an automatic conversion of the Common Stock at a ratio of 1-for-5.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At-the-market Offering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15, 2026, the Company entered into an equity distribution agreement with Virtu Americas LLC to sell shares of the Company’s common stock, par value $0.001</w:t>
      </w:r>
      <w:r>
        <w:rPr>
          <w:rFonts w:ascii="Times New Roman" w:hAnsi="Times New Roman"/>
          <w:color w:val="000000"/>
          <w:sz w:val="20"/>
        </w:rPr>
        <w:t xml:space="preserve"> </w:t>
      </w:r>
      <w:r>
        <w:rPr>
          <w:rFonts w:ascii="Arial" w:hAnsi="Arial"/>
          <w:color w:val="000000"/>
          <w:sz w:val="20"/>
        </w:rPr>
        <w:t>per share, with aggregate gross sales proceeds of up to $6.0</w:t>
      </w:r>
      <w:r>
        <w:rPr>
          <w:rFonts w:ascii="Times New Roman" w:hAnsi="Times New Roman"/>
          <w:color w:val="000000"/>
          <w:sz w:val="20"/>
        </w:rPr>
        <w:t xml:space="preserve"> </w:t>
      </w:r>
      <w:r>
        <w:rPr>
          <w:rFonts w:ascii="Arial" w:hAnsi="Arial"/>
          <w:color w:val="000000"/>
          <w:sz w:val="20"/>
        </w:rPr>
        <w:t>million, from time to time, through an ATM offering. As of June 30, 2026, the Company has up to $6.0</w:t>
      </w:r>
      <w:r>
        <w:rPr>
          <w:rFonts w:ascii="Times New Roman" w:hAnsi="Times New Roman"/>
          <w:color w:val="000000"/>
          <w:sz w:val="20"/>
        </w:rPr>
        <w:t xml:space="preserve"> </w:t>
      </w:r>
      <w:r>
        <w:rPr>
          <w:rFonts w:ascii="Arial" w:hAnsi="Arial"/>
          <w:color w:val="000000"/>
          <w:sz w:val="20"/>
        </w:rPr>
        <w:t>million remaining in aggregate gross proceeds that can be issued through the ATM offering. The Company has sold 444</w:t>
      </w:r>
      <w:r>
        <w:rPr>
          <w:rFonts w:ascii="Times New Roman" w:hAnsi="Times New Roman"/>
          <w:color w:val="000000"/>
          <w:sz w:val="20"/>
        </w:rPr>
        <w:t xml:space="preserve"> </w:t>
      </w:r>
      <w:r>
        <w:rPr>
          <w:rFonts w:ascii="Arial" w:hAnsi="Arial"/>
          <w:color w:val="000000"/>
          <w:sz w:val="20"/>
        </w:rPr>
        <w:t>shares for gross proceeds of approximately $5</w:t>
      </w:r>
      <w:r>
        <w:rPr>
          <w:rFonts w:ascii="Times New Roman" w:hAnsi="Times New Roman"/>
          <w:color w:val="000000"/>
          <w:sz w:val="20"/>
        </w:rPr>
        <w:t xml:space="preserve"> </w:t>
      </w:r>
      <w:r>
        <w:rPr>
          <w:rFonts w:ascii="Arial" w:hAnsi="Arial"/>
          <w:color w:val="000000"/>
          <w:sz w:val="20"/>
        </w:rPr>
        <w:t>thousand as of June 30, 2026.</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Vroom Automotive Redeemable 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January 16, 2026, Vroom Automotive, LLC, a Delaware limited liability company and an indirect subsidiary of Vroom, Inc., holding intellectual property licenses and other financial assets, authorized and issued to SPE Holdings 2026-1, a Delaware statutory trust (“SPE Holdings”), 15,000</w:t>
      </w:r>
      <w:r>
        <w:rPr>
          <w:rFonts w:ascii="Times New Roman" w:hAnsi="Times New Roman"/>
          <w:color w:val="000000"/>
          <w:sz w:val="20"/>
        </w:rPr>
        <w:t xml:space="preserve"> </w:t>
      </w:r>
      <w:r>
        <w:rPr>
          <w:rFonts w:ascii="Arial" w:hAnsi="Arial"/>
          <w:color w:val="000000"/>
          <w:sz w:val="20"/>
        </w:rPr>
        <w:t>newly issued Series A preferred units and 7,500</w:t>
      </w:r>
      <w:r>
        <w:rPr>
          <w:rFonts w:ascii="Times New Roman" w:hAnsi="Times New Roman"/>
          <w:color w:val="000000"/>
          <w:sz w:val="20"/>
        </w:rPr>
        <w:t xml:space="preserve"> </w:t>
      </w:r>
      <w:r>
        <w:rPr>
          <w:rFonts w:ascii="Arial" w:hAnsi="Arial"/>
          <w:color w:val="000000"/>
          <w:sz w:val="20"/>
        </w:rPr>
        <w:t>newly issued Series B preferred units (collectively, the "Vroom Automotive Preferred Units") for aggregate gross proceeds of $22.5</w:t>
      </w:r>
      <w:r>
        <w:rPr>
          <w:rFonts w:ascii="Times New Roman" w:hAnsi="Times New Roman"/>
          <w:color w:val="000000"/>
          <w:sz w:val="20"/>
        </w:rPr>
        <w:t xml:space="preserve"> </w:t>
      </w:r>
      <w:r>
        <w:rPr>
          <w:rFonts w:ascii="Arial" w:hAnsi="Arial"/>
          <w:color w:val="000000"/>
          <w:sz w:val="20"/>
        </w:rPr>
        <w:t>million, pursuant to a Preferred Unit Purchase Agreement by and among the Company, Vroom Automotive, LLC and SPE Holdings. Vroom Automotive's Second Amended and Restated Limited Liability Company Agreement, dated as of January 16, 2026, amends and restates the existing LLC agreement and establishes the terms of the Vroom Automotive Preferred Units.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As a result of the transaction, Vroom Inc. holds 63% ownership interest in Vroom Automotive and SPE Holdings holds 37% ownership interest in Vroom Automotive as of June 30, 2026. </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color w:val="000000"/>
          <w:sz w:val="20"/>
        </w:rPr>
        <w:t>The Vroom Automotive Preferred Units will be entitled to receive a quarterly preferential distribution, equal to the liquidation preference of such Vroom Automotive Preferred Units multiplied by a variable distribution rate, which will reset on each quarterly distribution date in an amount equal to the ninety (90) day average of the Secured Overnight Financing Rate (SOFR) plus a spread of 8.25% for Series A Preferred Units and 9% for Series B Preferred Units.</w:t>
      </w:r>
      <w:r>
        <w:rPr>
          <w:rFonts w:ascii="Times New Roman" w:hAnsi="Times New Roman"/>
          <w:color w:val="000000"/>
          <w:sz w:val="20"/>
        </w:rPr>
        <w:t xml:space="preserve"> </w:t>
      </w:r>
      <w:r>
        <w:rPr>
          <w:rFonts w:ascii="Arial" w:hAnsi="Arial"/>
          <w:color w:val="000000"/>
          <w:sz w:val="20"/>
        </w:rPr>
        <w:t>Dividends paid on the Vroom Automotive Preferred Units are deducted from net income attributable to controlling interests to derive net income attributable to common shareholders. For the six months ended June 30, 2026</w:t>
      </w:r>
      <w:r>
        <w:rPr>
          <w:rFonts w:ascii="Times New Roman" w:hAnsi="Times New Roman"/>
          <w:color w:val="000000"/>
          <w:sz w:val="20"/>
        </w:rPr>
        <w:t xml:space="preserve"> </w:t>
      </w:r>
      <w:r>
        <w:rPr>
          <w:rFonts w:ascii="Arial" w:hAnsi="Arial"/>
          <w:color w:val="000000"/>
          <w:sz w:val="20"/>
        </w:rPr>
        <w:t>dividends of $1.3</w:t>
      </w:r>
      <w:r>
        <w:rPr>
          <w:rFonts w:ascii="Times New Roman" w:hAnsi="Times New Roman"/>
          <w:color w:val="000000"/>
          <w:sz w:val="20"/>
        </w:rPr>
        <w:t xml:space="preserve"> </w:t>
      </w:r>
      <w:r>
        <w:rPr>
          <w:rFonts w:ascii="Arial" w:hAnsi="Arial"/>
          <w:color w:val="000000"/>
          <w:sz w:val="20"/>
        </w:rPr>
        <w:t>million were declared and authorized.</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color w:val="000000"/>
          <w:sz w:val="20"/>
        </w:rPr>
        <w:t>The Series B Preferred Units are convertible into common units of Vroom Automotive at the option of the Counterparty at any time. The Series A Preferred Units are not convertible. The Vroom Automotive Preferred Units are redeemable at the holder’s option by providing written notice at least ninety days prior to the applicable redemption dates. The Series A Redemption Date is March 16, 2027, and each anniversary thereafter. The Series B Mandatory Redemption Date is January 16, 2031, and each anniversary thereafter. As of June 30, 2026, the carrying value for both Series A and B preferred units was $21.2</w:t>
      </w:r>
      <w:r>
        <w:rPr>
          <w:rFonts w:ascii="Times New Roman" w:hAnsi="Times New Roman"/>
          <w:color w:val="000000"/>
          <w:sz w:val="20"/>
        </w:rPr>
        <w:t xml:space="preserve"> </w:t>
      </w:r>
      <w:r>
        <w:rPr>
          <w:rFonts w:ascii="Arial" w:hAnsi="Arial"/>
          <w:color w:val="000000"/>
          <w:sz w:val="20"/>
        </w:rPr>
        <w:t>million, which is equal to the redemption value of $22.5</w:t>
      </w:r>
      <w:r>
        <w:rPr>
          <w:rFonts w:ascii="Times New Roman" w:hAnsi="Times New Roman"/>
          <w:color w:val="000000"/>
          <w:sz w:val="20"/>
        </w:rPr>
        <w:t xml:space="preserve"> </w:t>
      </w:r>
      <w:r>
        <w:rPr>
          <w:rFonts w:ascii="Arial" w:hAnsi="Arial"/>
          <w:color w:val="000000"/>
          <w:sz w:val="20"/>
        </w:rPr>
        <w:t>million less stock issuance costs of $1.3</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holders of each unit of the Series B Preferred Units are entitled to one</w:t>
      </w:r>
      <w:r>
        <w:rPr>
          <w:rFonts w:ascii="Times New Roman" w:hAnsi="Times New Roman"/>
          <w:color w:val="000000"/>
          <w:sz w:val="20"/>
        </w:rPr>
        <w:t xml:space="preserve"> </w:t>
      </w:r>
      <w:r>
        <w:rPr>
          <w:rFonts w:ascii="Arial" w:hAnsi="Arial"/>
          <w:color w:val="000000"/>
          <w:sz w:val="20"/>
        </w:rPr>
        <w:t>vote for each unit of common units into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which such preferred stock is convertible at the time of the vote. The Series A preferred units have no</w:t>
      </w:r>
      <w:r>
        <w:rPr>
          <w:rFonts w:ascii="Times New Roman" w:hAnsi="Times New Roman"/>
          <w:color w:val="000000"/>
          <w:sz w:val="20"/>
        </w:rPr>
        <w:t xml:space="preserve"> </w:t>
      </w:r>
      <w:r>
        <w:rPr>
          <w:rFonts w:ascii="Arial" w:hAnsi="Arial"/>
          <w:color w:val="000000"/>
          <w:sz w:val="20"/>
        </w:rPr>
        <w:t>voting rights.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the event of a liquidation, dissolution or winding up of Vroom Automotive LLC, either voluntary or involuntary, or in the event of a deemed liquidation event, Series A Preferred Units are paid their respective full liquidation amount in preference to the holders of Series B Preferred Units or common units. After payment in full of the Liquidation Amount to the holders of Series A Preferred Units, holders of Series B Preferred Units are entitled to receive, in preference to all holders of common units, their respective full liquidation amount. After payment in full of the liquidation preferences of the Vroom Automotive Preferred Units, any remaining assets shall be distributed ratably to the holders of common units.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classifies the Vroom Automotive Preferred Units as mezzanine equity within the Company’s consolidated balance sheets because the instruments contain redemption rights and liquidation features, including a liquidation preference in the event of a deemed liquidation event, that are not solely within the Company’s control.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14. Stock-based Compensation</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color w:val="000000"/>
          <w:sz w:val="20"/>
        </w:rPr>
        <w:t>On May 28, 2020, the Company adopted the 2020 Incentive Award Plan (the '2020 Plan”), which authorized the issuance of (i) up to 37,739</w:t>
      </w:r>
      <w:r>
        <w:rPr>
          <w:rFonts w:ascii="Times New Roman" w:hAnsi="Times New Roman"/>
          <w:color w:val="000000"/>
          <w:sz w:val="20"/>
        </w:rPr>
        <w:t xml:space="preserve"> </w:t>
      </w:r>
      <w:r>
        <w:rPr>
          <w:rFonts w:ascii="Arial" w:hAnsi="Arial"/>
          <w:color w:val="000000"/>
          <w:sz w:val="20"/>
        </w:rPr>
        <w:t>shares of the Company’s common stock, (ii) an annual increase on the first day of each year beginning on January 1, 2022 and ending on January 1, 2030 of up to 4% of the shares of common stock outstanding on an as-converted basis on the last day of the immediately preceding fiscal year, and (iii) any shares of the Company’s common stock subject to awards under the 2014 Plan which are forfeited or lapse unexercised and which following the effective date are not issued under the 2014 Plan. Awards may be issued in the form of restricted stock units, restricted stock, stock appreciation rights, and stock options. Effective as of June 13, 2024, the stockholders approved an amendment to the 2020 Plan to increase the number of authorized shares by 350,000</w:t>
      </w:r>
      <w:r>
        <w:rPr>
          <w:rFonts w:ascii="Times New Roman" w:hAnsi="Times New Roman"/>
          <w:color w:val="000000"/>
          <w:sz w:val="20"/>
        </w:rPr>
        <w:t xml:space="preserve"> </w:t>
      </w:r>
      <w:r>
        <w:rPr>
          <w:rFonts w:ascii="Arial" w:hAnsi="Arial"/>
          <w:color w:val="000000"/>
          <w:sz w:val="20"/>
        </w:rPr>
        <w:t>shares.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0"/>
        </w:rPr>
        <w:t>Pursuant to the Plan, the 2020 Plan was further amended on January 14, 2025, to increase the number of shares reserved for issuance under the 2020 Plan to account for the proposed post-emergence management incentive program, which accounts for 15% of the fully-diluted shares of Common Stock as of immediately following the Effective Date, inclusive of the Warrants, the management incentive program and the converted existing equity awards: 10% will be allocated for awards of restricted stock units and 5% will be allocated for awards of stock options. The amended and restated 2020 Plan authorizes the issuance of: (i) 1,166,880</w:t>
      </w:r>
      <w:r>
        <w:rPr>
          <w:rFonts w:ascii="Times New Roman" w:hAnsi="Times New Roman"/>
          <w:color w:val="000000"/>
          <w:sz w:val="20"/>
        </w:rPr>
        <w:t xml:space="preserve"> </w:t>
      </w:r>
      <w:r>
        <w:rPr>
          <w:rFonts w:ascii="Arial" w:hAnsi="Arial"/>
          <w:color w:val="000000"/>
          <w:sz w:val="20"/>
        </w:rPr>
        <w:t>shares of common stock, (ii) any shares which are subject to awards under the 2014 Plan or any other prior plans which are forfeited or lapse unexercised and are not issued under the prior plans; and (iii) an annual increase on the first day of each calendar year beginning on January 1, 2022, and ending on and including January 1, 2030, equal to the lesser of (A) 4% of the shares outstanding (on an as</w:t>
        <w:noBreakHyphen/>
        <w:t>converted basis) on the last day of the immediately preceding fiscal year and (B) such smaller number of shares as determined by the Board of Directors or the Compensation Committee. As of June 30, 2026, there were 15,223</w:t>
      </w:r>
      <w:r>
        <w:rPr>
          <w:rFonts w:ascii="Times New Roman" w:hAnsi="Times New Roman"/>
          <w:color w:val="000000"/>
          <w:sz w:val="20"/>
        </w:rPr>
        <w:t xml:space="preserve"> </w:t>
      </w:r>
      <w:r>
        <w:rPr>
          <w:rFonts w:ascii="Arial" w:hAnsi="Arial"/>
          <w:color w:val="000000"/>
          <w:sz w:val="20"/>
        </w:rPr>
        <w:t>shares available for future issuance under the 2020 Plan.</w:t>
      </w:r>
    </w:p>
    <w:p>
      <w:pPr>
        <w:pStyle w:val="TextBody"/>
        <w:bidi w:val="0"/>
        <w:jc w:val="left"/>
        <w:rPr>
          <w:rFonts w:ascii="Times New Roman" w:hAnsi="Times New Roman"/>
          <w:sz w:val="20"/>
        </w:rPr>
      </w:pPr>
      <w:r>
        <w:rPr>
          <w:rFonts w:ascii="Arial" w:hAnsi="Arial"/>
          <w:color w:val="000000"/>
          <w:sz w:val="20"/>
        </w:rPr>
        <w:t>On May 20, 2022, the Company adopted the 2022 Inducement Award Plan (the “Inducement Award Plan”). Awards under the Inducement Award Plan may only be granted to a newly hired employee who has not previously been an employee or a member of the Board or an employee who is being rehired following a bona fide period of non-employment by the Company, in each case as a material inducement to the employee’s entering into employment. An aggregate of 7,500</w:t>
      </w:r>
      <w:r>
        <w:rPr>
          <w:rFonts w:ascii="Times New Roman" w:hAnsi="Times New Roman"/>
          <w:color w:val="000000"/>
          <w:sz w:val="20"/>
        </w:rPr>
        <w:t xml:space="preserve"> </w:t>
      </w:r>
      <w:r>
        <w:rPr>
          <w:rFonts w:ascii="Arial" w:hAnsi="Arial"/>
          <w:color w:val="000000"/>
          <w:sz w:val="20"/>
        </w:rPr>
        <w:t>shares of the Company’s common stock are reserved for issuance under the Inducement Award Plan. The Inducement Award Plan continues to govern awards granted and outstanding under that plan but no new awards may be granted under that plan.</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left"/>
        <w:rPr>
          <w:rFonts w:ascii="Arial" w:hAnsi="Arial"/>
          <w:b/>
          <w:i/>
          <w:color w:val="000000"/>
          <w:sz w:val="20"/>
        </w:rPr>
      </w:pPr>
      <w:r>
        <w:rPr>
          <w:rFonts w:ascii="Arial" w:hAnsi="Arial"/>
          <w:b/>
          <w:i/>
          <w:color w:val="000000"/>
          <w:sz w:val="20"/>
        </w:rPr>
        <w:t>Stock Options</w:t>
      </w:r>
    </w:p>
    <w:p>
      <w:pPr>
        <w:pStyle w:val="TextBody"/>
        <w:bidi w:val="0"/>
        <w:spacing w:before="0" w:after="160"/>
        <w:jc w:val="left"/>
        <w:rPr>
          <w:rFonts w:ascii="Times New Roman" w:hAnsi="Times New Roman"/>
          <w:sz w:val="20"/>
        </w:rPr>
      </w:pPr>
      <w:r>
        <w:rPr>
          <w:rFonts w:ascii="Arial" w:hAnsi="Arial"/>
          <w:color w:val="000000"/>
          <w:sz w:val="20"/>
        </w:rPr>
        <w:t>The stock-based compensation expense related to stock options was $0.2</w:t>
      </w:r>
      <w:r>
        <w:rPr>
          <w:rFonts w:ascii="Times New Roman" w:hAnsi="Times New Roman"/>
          <w:color w:val="000000"/>
          <w:sz w:val="20"/>
        </w:rPr>
        <w:t xml:space="preserve"> </w:t>
      </w:r>
      <w:r>
        <w:rPr>
          <w:rFonts w:ascii="Arial" w:hAnsi="Arial"/>
          <w:color w:val="000000"/>
          <w:sz w:val="20"/>
        </w:rPr>
        <w:t>million and $0.1</w:t>
      </w:r>
      <w:r>
        <w:rPr>
          <w:rFonts w:ascii="Times New Roman" w:hAnsi="Times New Roman"/>
          <w:color w:val="000000"/>
          <w:sz w:val="20"/>
        </w:rPr>
        <w:t xml:space="preserve"> </w:t>
      </w:r>
      <w:r>
        <w:rPr>
          <w:rFonts w:ascii="Arial" w:hAnsi="Arial"/>
          <w:color w:val="000000"/>
          <w:sz w:val="20"/>
        </w:rPr>
        <w:t>million for the three months ended June 30, 2026 and 2025, respectively, and $0.5</w:t>
      </w:r>
      <w:r>
        <w:rPr>
          <w:rFonts w:ascii="Times New Roman" w:hAnsi="Times New Roman"/>
          <w:color w:val="000000"/>
          <w:sz w:val="20"/>
        </w:rPr>
        <w:t xml:space="preserve"> </w:t>
      </w:r>
      <w:r>
        <w:rPr>
          <w:rFonts w:ascii="Arial" w:hAnsi="Arial"/>
          <w:color w:val="000000"/>
          <w:sz w:val="20"/>
        </w:rPr>
        <w:t>million for the six months ended June 30, 2026, and for the period from January 15, 2025 to June 30, 2025, respectively. Stock-based compensation expense for the period from January 1, 2025 to January 14, 2025 was not material. As of June 30, 2026, the Company had $2.2</w:t>
      </w:r>
      <w:r>
        <w:rPr>
          <w:rFonts w:ascii="Times New Roman" w:hAnsi="Times New Roman"/>
          <w:color w:val="000000"/>
          <w:sz w:val="20"/>
        </w:rPr>
        <w:t xml:space="preserve"> </w:t>
      </w:r>
      <w:r>
        <w:rPr>
          <w:rFonts w:ascii="Arial" w:hAnsi="Arial"/>
          <w:color w:val="000000"/>
          <w:sz w:val="20"/>
        </w:rPr>
        <w:t>million of unrecognized stock-based compensation expense related to stock options that is expected to be recognized over a weighted-average period of 2.5</w:t>
      </w:r>
      <w:r>
        <w:rPr>
          <w:rFonts w:ascii="Times New Roman" w:hAnsi="Times New Roman"/>
          <w:color w:val="000000"/>
          <w:sz w:val="20"/>
        </w:rPr>
        <w:t xml:space="preserve"> </w:t>
      </w:r>
      <w:r>
        <w:rPr>
          <w:rFonts w:ascii="Arial" w:hAnsi="Arial"/>
          <w:color w:val="000000"/>
          <w:sz w:val="20"/>
        </w:rPr>
        <w:t>years. As of December 31, 2025, the Company had $2.7</w:t>
      </w:r>
      <w:r>
        <w:rPr>
          <w:rFonts w:ascii="Times New Roman" w:hAnsi="Times New Roman"/>
          <w:color w:val="000000"/>
          <w:sz w:val="20"/>
        </w:rPr>
        <w:t xml:space="preserve"> </w:t>
      </w:r>
      <w:r>
        <w:rPr>
          <w:rFonts w:ascii="Arial" w:hAnsi="Arial"/>
          <w:color w:val="000000"/>
          <w:sz w:val="20"/>
        </w:rPr>
        <w:t>million of unrecognized stock-based compensation expense related to stock options that is expected to be recognized over a weighted-average period of 3.0</w:t>
      </w:r>
      <w:r>
        <w:rPr>
          <w:rFonts w:ascii="Times New Roman" w:hAnsi="Times New Roman"/>
          <w:color w:val="000000"/>
          <w:sz w:val="20"/>
        </w:rPr>
        <w:t xml:space="preserve"> </w:t>
      </w:r>
      <w:r>
        <w:rPr>
          <w:rFonts w:ascii="Arial" w:hAnsi="Arial"/>
          <w:color w:val="000000"/>
          <w:sz w:val="20"/>
        </w:rPr>
        <w:t>years.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color w:val="000000"/>
          <w:sz w:val="20"/>
        </w:rPr>
        <w:t>On March 12, 2025, 259,400</w:t>
      </w:r>
      <w:r>
        <w:rPr>
          <w:rFonts w:ascii="Times New Roman" w:hAnsi="Times New Roman"/>
          <w:color w:val="000000"/>
          <w:sz w:val="20"/>
        </w:rPr>
        <w:t xml:space="preserve"> </w:t>
      </w:r>
      <w:r>
        <w:rPr>
          <w:rFonts w:ascii="Arial" w:hAnsi="Arial"/>
          <w:color w:val="000000"/>
          <w:sz w:val="20"/>
        </w:rPr>
        <w:t>stock options were granted to the CEO whereby 129,700</w:t>
      </w:r>
      <w:r>
        <w:rPr>
          <w:rFonts w:ascii="Times New Roman" w:hAnsi="Times New Roman"/>
          <w:color w:val="000000"/>
          <w:sz w:val="20"/>
        </w:rPr>
        <w:t xml:space="preserve"> </w:t>
      </w:r>
      <w:r>
        <w:rPr>
          <w:rFonts w:ascii="Arial" w:hAnsi="Arial"/>
          <w:color w:val="000000"/>
          <w:sz w:val="20"/>
        </w:rPr>
        <w:t>have a fair value of $11.25</w:t>
      </w:r>
      <w:r>
        <w:rPr>
          <w:rFonts w:ascii="Times New Roman" w:hAnsi="Times New Roman"/>
          <w:color w:val="000000"/>
          <w:sz w:val="20"/>
        </w:rPr>
        <w:t xml:space="preserve"> </w:t>
      </w:r>
      <w:r>
        <w:rPr>
          <w:rFonts w:ascii="Arial" w:hAnsi="Arial"/>
          <w:color w:val="000000"/>
          <w:sz w:val="20"/>
        </w:rPr>
        <w:t>per share and an exercise price of $45.70</w:t>
      </w:r>
      <w:r>
        <w:rPr>
          <w:rFonts w:ascii="Times New Roman" w:hAnsi="Times New Roman"/>
          <w:color w:val="000000"/>
          <w:sz w:val="20"/>
        </w:rPr>
        <w:t xml:space="preserve"> </w:t>
      </w:r>
      <w:r>
        <w:rPr>
          <w:rFonts w:ascii="Arial" w:hAnsi="Arial"/>
          <w:color w:val="000000"/>
          <w:sz w:val="20"/>
        </w:rPr>
        <w:t>per share, and the remaining 129,700</w:t>
      </w:r>
      <w:r>
        <w:rPr>
          <w:rFonts w:ascii="Times New Roman" w:hAnsi="Times New Roman"/>
          <w:color w:val="000000"/>
          <w:sz w:val="20"/>
        </w:rPr>
        <w:t xml:space="preserve"> </w:t>
      </w:r>
      <w:r>
        <w:rPr>
          <w:rFonts w:ascii="Arial" w:hAnsi="Arial"/>
          <w:color w:val="000000"/>
          <w:sz w:val="20"/>
        </w:rPr>
        <w:t>have a fair value of $9.62</w:t>
      </w:r>
      <w:r>
        <w:rPr>
          <w:rFonts w:ascii="Times New Roman" w:hAnsi="Times New Roman"/>
          <w:color w:val="000000"/>
          <w:sz w:val="20"/>
        </w:rPr>
        <w:t xml:space="preserve"> </w:t>
      </w:r>
      <w:r>
        <w:rPr>
          <w:rFonts w:ascii="Arial" w:hAnsi="Arial"/>
          <w:color w:val="000000"/>
          <w:sz w:val="20"/>
        </w:rPr>
        <w:t>per share and an exercise price of $60.95</w:t>
      </w:r>
      <w:r>
        <w:rPr>
          <w:rFonts w:ascii="Times New Roman" w:hAnsi="Times New Roman"/>
          <w:color w:val="000000"/>
          <w:sz w:val="20"/>
        </w:rPr>
        <w:t xml:space="preserve"> </w:t>
      </w:r>
      <w:r>
        <w:rPr>
          <w:rFonts w:ascii="Arial" w:hAnsi="Arial"/>
          <w:color w:val="000000"/>
          <w:sz w:val="20"/>
        </w:rPr>
        <w:t>per share. Additionally, on March 12, 2025, an aggregate of 65,000</w:t>
      </w:r>
      <w:r>
        <w:rPr>
          <w:rFonts w:ascii="Times New Roman" w:hAnsi="Times New Roman"/>
          <w:color w:val="000000"/>
          <w:sz w:val="20"/>
        </w:rPr>
        <w:t xml:space="preserve"> </w:t>
      </w:r>
      <w:r>
        <w:rPr>
          <w:rFonts w:ascii="Arial" w:hAnsi="Arial"/>
          <w:color w:val="000000"/>
          <w:sz w:val="20"/>
        </w:rPr>
        <w:t>stock options were granted to certain members of key management whereby 32,500</w:t>
      </w:r>
      <w:r>
        <w:rPr>
          <w:rFonts w:ascii="Times New Roman" w:hAnsi="Times New Roman"/>
          <w:color w:val="000000"/>
          <w:sz w:val="20"/>
        </w:rPr>
        <w:t xml:space="preserve"> </w:t>
      </w:r>
      <w:r>
        <w:rPr>
          <w:rFonts w:ascii="Arial" w:hAnsi="Arial"/>
          <w:color w:val="000000"/>
          <w:sz w:val="20"/>
        </w:rPr>
        <w:t>have a fair value of $11.25</w:t>
      </w:r>
      <w:r>
        <w:rPr>
          <w:rFonts w:ascii="Times New Roman" w:hAnsi="Times New Roman"/>
          <w:color w:val="000000"/>
          <w:sz w:val="20"/>
        </w:rPr>
        <w:t xml:space="preserve"> </w:t>
      </w:r>
      <w:r>
        <w:rPr>
          <w:rFonts w:ascii="Arial" w:hAnsi="Arial"/>
          <w:color w:val="000000"/>
          <w:sz w:val="20"/>
        </w:rPr>
        <w:t>per share and an exercise price of $45.70</w:t>
      </w:r>
      <w:r>
        <w:rPr>
          <w:rFonts w:ascii="Times New Roman" w:hAnsi="Times New Roman"/>
          <w:color w:val="000000"/>
          <w:sz w:val="20"/>
        </w:rPr>
        <w:t xml:space="preserve"> </w:t>
      </w:r>
      <w:r>
        <w:rPr>
          <w:rFonts w:ascii="Arial" w:hAnsi="Arial"/>
          <w:color w:val="000000"/>
          <w:sz w:val="20"/>
        </w:rPr>
        <w:t>per share, and the remaining 32,500</w:t>
      </w:r>
      <w:r>
        <w:rPr>
          <w:rFonts w:ascii="Times New Roman" w:hAnsi="Times New Roman"/>
          <w:color w:val="000000"/>
          <w:sz w:val="20"/>
        </w:rPr>
        <w:t xml:space="preserve"> </w:t>
      </w:r>
      <w:r>
        <w:rPr>
          <w:rFonts w:ascii="Arial" w:hAnsi="Arial"/>
          <w:color w:val="000000"/>
          <w:sz w:val="20"/>
        </w:rPr>
        <w:t>have a fair value of $9.62</w:t>
      </w:r>
      <w:r>
        <w:rPr>
          <w:rFonts w:ascii="Times New Roman" w:hAnsi="Times New Roman"/>
          <w:color w:val="000000"/>
          <w:sz w:val="20"/>
        </w:rPr>
        <w:t xml:space="preserve"> </w:t>
      </w:r>
      <w:r>
        <w:rPr>
          <w:rFonts w:ascii="Arial" w:hAnsi="Arial"/>
          <w:color w:val="000000"/>
          <w:sz w:val="20"/>
        </w:rPr>
        <w:t>per share and an exercise price of $60.95</w:t>
      </w:r>
      <w:r>
        <w:rPr>
          <w:rFonts w:ascii="Times New Roman" w:hAnsi="Times New Roman"/>
          <w:color w:val="000000"/>
          <w:sz w:val="20"/>
        </w:rPr>
        <w:t xml:space="preserve"> </w:t>
      </w:r>
      <w:r>
        <w:rPr>
          <w:rFonts w:ascii="Arial" w:hAnsi="Arial"/>
          <w:color w:val="000000"/>
          <w:sz w:val="20"/>
        </w:rPr>
        <w:t>per share. The stock options vest ratably over a four-year</w:t>
      </w:r>
      <w:r>
        <w:rPr>
          <w:rFonts w:ascii="Times New Roman" w:hAnsi="Times New Roman"/>
          <w:color w:val="000000"/>
          <w:sz w:val="20"/>
        </w:rPr>
        <w:t xml:space="preserve"> </w:t>
      </w:r>
      <w:r>
        <w:rPr>
          <w:rFonts w:ascii="Arial" w:hAnsi="Arial"/>
          <w:color w:val="000000"/>
          <w:sz w:val="20"/>
        </w:rPr>
        <w:t>period subject to continued employment through each applicable vesting date.</w:t>
      </w:r>
    </w:p>
    <w:p>
      <w:pPr>
        <w:pStyle w:val="TextBody"/>
        <w:bidi w:val="0"/>
        <w:spacing w:before="0" w:after="160"/>
        <w:jc w:val="left"/>
        <w:rPr>
          <w:rFonts w:ascii="Times New Roman" w:hAnsi="Times New Roman"/>
          <w:sz w:val="20"/>
        </w:rPr>
      </w:pPr>
      <w:r>
        <w:rPr>
          <w:rFonts w:ascii="Arial" w:hAnsi="Arial"/>
          <w:b/>
          <w:i/>
          <w:color w:val="000000"/>
          <w:sz w:val="20"/>
        </w:rPr>
        <w:t>RSUs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0"/>
        </w:rPr>
        <w:t>The stock-based compensation expense related to RSUs was $1.2</w:t>
      </w:r>
      <w:r>
        <w:rPr>
          <w:rFonts w:ascii="Times New Roman" w:hAnsi="Times New Roman"/>
          <w:color w:val="000000"/>
          <w:sz w:val="20"/>
        </w:rPr>
        <w:t xml:space="preserve"> </w:t>
      </w:r>
      <w:r>
        <w:rPr>
          <w:rFonts w:ascii="Arial" w:hAnsi="Arial"/>
          <w:color w:val="000000"/>
          <w:sz w:val="20"/>
        </w:rPr>
        <w:t>million and $1.5</w:t>
      </w:r>
      <w:r>
        <w:rPr>
          <w:rFonts w:ascii="Times New Roman" w:hAnsi="Times New Roman"/>
          <w:color w:val="000000"/>
          <w:sz w:val="20"/>
        </w:rPr>
        <w:t xml:space="preserve"> </w:t>
      </w:r>
      <w:r>
        <w:rPr>
          <w:rFonts w:ascii="Arial" w:hAnsi="Arial"/>
          <w:color w:val="000000"/>
          <w:sz w:val="20"/>
        </w:rPr>
        <w:t>million for the three months ended June 30, 2026 and 2025, respectively, $2.4</w:t>
      </w:r>
      <w:r>
        <w:rPr>
          <w:rFonts w:ascii="Times New Roman" w:hAnsi="Times New Roman"/>
          <w:color w:val="000000"/>
          <w:sz w:val="20"/>
        </w:rPr>
        <w:t xml:space="preserve"> </w:t>
      </w:r>
      <w:r>
        <w:rPr>
          <w:rFonts w:ascii="Arial" w:hAnsi="Arial"/>
          <w:color w:val="000000"/>
          <w:sz w:val="20"/>
        </w:rPr>
        <w:t>million for the six months ended June 30, 2026, $1.9</w:t>
      </w:r>
      <w:r>
        <w:rPr>
          <w:rFonts w:ascii="Times New Roman" w:hAnsi="Times New Roman"/>
          <w:color w:val="000000"/>
          <w:sz w:val="20"/>
        </w:rPr>
        <w:t xml:space="preserve"> </w:t>
      </w:r>
      <w:r>
        <w:rPr>
          <w:rFonts w:ascii="Arial" w:hAnsi="Arial"/>
          <w:color w:val="000000"/>
          <w:sz w:val="20"/>
        </w:rPr>
        <w:t>million for the period from January 15, 2025 to June 30, 2025, and $0.1</w:t>
      </w:r>
      <w:r>
        <w:rPr>
          <w:rFonts w:ascii="Times New Roman" w:hAnsi="Times New Roman"/>
          <w:color w:val="000000"/>
          <w:sz w:val="20"/>
        </w:rPr>
        <w:t xml:space="preserve"> </w:t>
      </w:r>
      <w:r>
        <w:rPr>
          <w:rFonts w:ascii="Arial" w:hAnsi="Arial"/>
          <w:color w:val="000000"/>
          <w:sz w:val="20"/>
        </w:rPr>
        <w:t>million for the period from January 1, 2025 to January 14, 2025. As of June 30, 2026, the Company had $12.5</w:t>
      </w:r>
      <w:r>
        <w:rPr>
          <w:rFonts w:ascii="Times New Roman" w:hAnsi="Times New Roman"/>
          <w:color w:val="000000"/>
          <w:sz w:val="20"/>
        </w:rPr>
        <w:t xml:space="preserve"> </w:t>
      </w:r>
      <w:r>
        <w:rPr>
          <w:rFonts w:ascii="Arial" w:hAnsi="Arial"/>
          <w:color w:val="000000"/>
          <w:sz w:val="20"/>
        </w:rPr>
        <w:t>million of unrecognized stock-based compensation expense that is expected to be recognized over a weighted-average period of 2.4</w:t>
      </w:r>
      <w:r>
        <w:rPr>
          <w:rFonts w:ascii="Times New Roman" w:hAnsi="Times New Roman"/>
          <w:color w:val="000000"/>
          <w:sz w:val="20"/>
        </w:rPr>
        <w:t xml:space="preserve"> </w:t>
      </w:r>
      <w:r>
        <w:rPr>
          <w:rFonts w:ascii="Arial" w:hAnsi="Arial"/>
          <w:color w:val="000000"/>
          <w:sz w:val="20"/>
        </w:rPr>
        <w:t>years. As of December 31, 2025, the Company had $13.2</w:t>
      </w:r>
      <w:r>
        <w:rPr>
          <w:rFonts w:ascii="Times New Roman" w:hAnsi="Times New Roman"/>
          <w:color w:val="000000"/>
          <w:sz w:val="20"/>
        </w:rPr>
        <w:t xml:space="preserve"> </w:t>
      </w:r>
      <w:r>
        <w:rPr>
          <w:rFonts w:ascii="Arial" w:hAnsi="Arial"/>
          <w:color w:val="000000"/>
          <w:sz w:val="20"/>
        </w:rPr>
        <w:t>million of unrecognized stock-based compensation expense that is expected to be recognized over a weighted-average period of 3.0</w:t>
      </w:r>
      <w:r>
        <w:rPr>
          <w:rFonts w:ascii="Times New Roman" w:hAnsi="Times New Roman"/>
          <w:color w:val="000000"/>
          <w:sz w:val="20"/>
        </w:rPr>
        <w:t xml:space="preserve"> </w:t>
      </w:r>
      <w:r>
        <w:rPr>
          <w:rFonts w:ascii="Arial" w:hAnsi="Arial"/>
          <w:color w:val="000000"/>
          <w:sz w:val="20"/>
        </w:rPr>
        <w:t>years.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0"/>
        </w:rPr>
        <w:t>Certain of the Company’s RSU grants are subject to acceleration upon a change of control and termination within 12</w:t>
      </w:r>
      <w:r>
        <w:rPr>
          <w:rFonts w:ascii="Times New Roman" w:hAnsi="Times New Roman"/>
          <w:color w:val="000000"/>
          <w:sz w:val="20"/>
        </w:rPr>
        <w:t xml:space="preserve"> </w:t>
      </w:r>
      <w:r>
        <w:rPr>
          <w:rFonts w:ascii="Arial" w:hAnsi="Arial"/>
          <w:color w:val="000000"/>
          <w:sz w:val="20"/>
        </w:rPr>
        <w:t>months, and upon death, disability and certain other “good leaver” circumstances.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15. Financial Instruments and Fair Value Measurements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Level 1—Quoted prices in active markets for identical assets or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Level 3—Unobservable inputs that are supported by little or no market activity and that are significant to the fair value of the assets or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Items Measured at Fair Value on a Recurring Basis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holds certain financial assets that are required to be measured at fair value on a recurring basis. Additionally, the Company elected the fair value option for the financial assets and liabilities of UACC’s consolidated CFEs, beneficial interests in the 2022-1 securitization transaction and certain other finance receivables. Upon emergence from the Prepackaged Chapter 11 Case, and application of fresh start accounting, the Company made an accounting policy election to elect the fair value option for all finance receivables on a prospective basis.</w:t>
      </w:r>
      <w:r>
        <w:rPr>
          <w:rFonts w:ascii="Times New Roman" w:hAnsi="Times New Roman"/>
          <w:color w:val="000000"/>
          <w:sz w:val="20"/>
        </w:rPr>
        <w:t xml:space="preserve"> </w:t>
      </w:r>
      <w:r>
        <w:rPr>
          <w:rFonts w:ascii="Arial" w:hAnsi="Arial"/>
          <w:color w:val="000000"/>
          <w:sz w:val="20"/>
        </w:rPr>
        <w:t>Under the fair value option allowable under ASC 825, “Financial Instruments” (“ASC 825”), the Company may elect to measure at fair value financial assets and liabilities that are not otherwise required to be carried at fair value. Subsequent changes in fair value for designated items are reported in earnings.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tables present the Company’s financial assets and liabilities measured at fair value on a recurring basis (in thousands):</w:t>
      </w:r>
      <w:r>
        <w:rPr>
          <w:rFonts w:ascii="Times New Roman" w:hAnsi="Times New Roman"/>
          <w:color w:val="000000"/>
          <w:sz w:val="20"/>
        </w:rPr>
        <w:t xml:space="preserve"> </w:t>
      </w:r>
    </w:p>
    <w:tbl>
      <w:tblPr>
        <w:tblW w:w="9762" w:type="dxa"/>
        <w:jc w:val="left"/>
        <w:tblInd w:w="0" w:type="dxa"/>
        <w:tblLayout w:type="fixed"/>
        <w:tblCellMar>
          <w:top w:w="28" w:type="dxa"/>
          <w:left w:w="28" w:type="dxa"/>
          <w:bottom w:w="28" w:type="dxa"/>
          <w:right w:w="28" w:type="dxa"/>
        </w:tblCellMar>
      </w:tblPr>
      <w:tblGrid>
        <w:gridCol w:w="4591"/>
        <w:gridCol w:w="146"/>
        <w:gridCol w:w="211"/>
        <w:gridCol w:w="586"/>
        <w:gridCol w:w="146"/>
        <w:gridCol w:w="146"/>
        <w:gridCol w:w="211"/>
        <w:gridCol w:w="796"/>
        <w:gridCol w:w="146"/>
        <w:gridCol w:w="146"/>
        <w:gridCol w:w="211"/>
        <w:gridCol w:w="796"/>
        <w:gridCol w:w="146"/>
        <w:gridCol w:w="146"/>
        <w:gridCol w:w="211"/>
        <w:gridCol w:w="796"/>
        <w:gridCol w:w="33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CFE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Finance receivables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520,862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286,803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(beneficial interests in securitizations)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807,665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812,645</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CFE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Securitization debt of consolidated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419,707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465,174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465,174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CFE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Finance receivables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441,084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367,552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(beneficial interests in securitizations)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812,116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CFE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Securitization debt of consolidated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393,244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393,244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Valuation Methodologies of Financial Instruments Measured at Fair Value on a Recurring Basis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Money Market Funds:</w:t>
      </w:r>
      <w:r>
        <w:rPr>
          <w:rFonts w:ascii="Times New Roman" w:hAnsi="Times New Roman"/>
          <w:color w:val="000000"/>
          <w:sz w:val="20"/>
        </w:rPr>
        <w:t xml:space="preserve"> </w:t>
      </w:r>
      <w:r>
        <w:rPr>
          <w:rFonts w:ascii="Arial" w:hAnsi="Arial"/>
          <w:color w:val="000000"/>
          <w:sz w:val="20"/>
        </w:rPr>
        <w:t>Money market funds primarily consist of investments in highly liquid U.S. treasury securities, with original maturities of three months or less and are classified as Level 1. The Company determines the fair value of cash equivalents based on quoted prices in active markets.</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Financial assets and liabilities of CFEs:</w:t>
      </w:r>
      <w:r>
        <w:rPr>
          <w:rFonts w:ascii="Times New Roman" w:hAnsi="Times New Roman"/>
          <w:color w:val="000000"/>
          <w:sz w:val="20"/>
        </w:rPr>
        <w:t xml:space="preserve"> </w:t>
      </w:r>
      <w:r>
        <w:rPr>
          <w:rFonts w:ascii="Arial" w:hAnsi="Arial"/>
          <w:color w:val="000000"/>
          <w:sz w:val="20"/>
        </w:rPr>
        <w:t>In accordance with ASC 825, the Company has elected the fair value option, for the eligible financial assets and liabilities of the consolidated CFEs in order to mitigate potential accounting mismatches between the carrying value of the financial assets and liabilities. To eliminate potential measurement differences, the Company elected the measurement alternative included in ASC 810-30, allowing the Company to measure both the financial assets and liabilities of a qualifying CFE using the fair value of either the CFE’s financial assets or liabilities, whichever is more observable. Under the measurement alternative prescribed by ASC 810-30, the Company recognizes changes in the CFE’s net assets, including changes in fair value adjustments and net interest earned, in its condensed consolidated statements of operations.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non-binding quoted prices provided by broker dealers who make markets in similar financial instruments. The assets of the securitization CFEs are not readily marketable, and their fair value measurement requires information that may be limited in availability.</w:t>
      </w:r>
    </w:p>
    <w:p>
      <w:pPr>
        <w:pStyle w:val="TextBody"/>
        <w:bidi w:val="0"/>
        <w:jc w:val="left"/>
        <w:rPr>
          <w:rFonts w:ascii="Times New Roman" w:hAnsi="Times New Roman"/>
          <w:sz w:val="20"/>
        </w:rPr>
      </w:pPr>
      <w:r>
        <w:rPr>
          <w:rFonts w:ascii="Arial" w:hAnsi="Arial"/>
          <w:color w:val="000000"/>
          <w:sz w:val="20"/>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the Company has multiple quotes that are not within determined range, it classifies the securitization debt as Level 3 of the fair value hierarchy.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financial assets of the consolidated CFEs are an aggregate value derived from the fair value of the CFEs liabilities. The Company determined that CFEs finance receivables in their entirety should be classified as Level 3 of the fair value hierarchy.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Finance receivables at fair value:</w:t>
      </w:r>
      <w:r>
        <w:rPr>
          <w:rFonts w:ascii="Times New Roman" w:hAnsi="Times New Roman"/>
          <w:color w:val="000000"/>
          <w:sz w:val="20"/>
        </w:rPr>
        <w:t xml:space="preserve"> </w:t>
      </w:r>
      <w:r>
        <w:rPr>
          <w:rFonts w:ascii="Arial" w:hAnsi="Arial"/>
          <w:color w:val="000000"/>
          <w:sz w:val="20"/>
        </w:rPr>
        <w:t>Finance receivables at fair value represent finance receivables for which the Company elected the fair value option in accordance with ASC 825. The Company estimates the fair value of these receivables using a discounted cash flow model and incorporates key inputs that include prepayment speed, default rate, recovery rate, as well as certain macroeconomics events the Company believes market participants would consider relevant.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Changes in Level 3 Recurring Fair Value Measurements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presents a reconciliation of the financial assets, which were measured at fair value on a recurring basis using Level 3 inputs (in thousands):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3"/>
        <w:gridCol w:w="146"/>
        <w:gridCol w:w="449"/>
        <w:gridCol w:w="1830"/>
        <w:gridCol w:w="166"/>
        <w:gridCol w:w="146"/>
        <w:gridCol w:w="368"/>
        <w:gridCol w:w="1494"/>
        <w:gridCol w:w="166"/>
        <w:gridCol w:w="146"/>
        <w:gridCol w:w="523"/>
        <w:gridCol w:w="1722"/>
        <w:gridCol w:w="216"/>
      </w:tblGrid>
      <w:tr>
        <w:trPr/>
        <w:tc>
          <w:tcPr>
            <w:tcW w:w="2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Consolidated CFEs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CFEs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Transfer within Level 3 categories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Transfers into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48,624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realized and unrealized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(3,157</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Warranties and GAP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Issuances, net of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Paydowns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520,862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45,467</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989" w:type="dxa"/>
            <w:gridSpan w:val="1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3"/>
        <w:gridCol w:w="146"/>
        <w:gridCol w:w="449"/>
        <w:gridCol w:w="1830"/>
        <w:gridCol w:w="166"/>
        <w:gridCol w:w="146"/>
        <w:gridCol w:w="368"/>
        <w:gridCol w:w="1494"/>
        <w:gridCol w:w="166"/>
        <w:gridCol w:w="146"/>
        <w:gridCol w:w="523"/>
        <w:gridCol w:w="1722"/>
        <w:gridCol w:w="216"/>
      </w:tblGrid>
      <w:tr>
        <w:trPr/>
        <w:tc>
          <w:tcPr>
            <w:tcW w:w="2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Consolidated CFEs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CFEs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January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Transfer within Level 3 categories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realized and unrealized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Warranties and GAP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Issuances, net of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Paydowns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14,584</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6"/>
        <w:gridCol w:w="146"/>
        <w:gridCol w:w="423"/>
        <w:gridCol w:w="1600"/>
        <w:gridCol w:w="166"/>
        <w:gridCol w:w="146"/>
        <w:gridCol w:w="349"/>
        <w:gridCol w:w="1319"/>
        <w:gridCol w:w="166"/>
        <w:gridCol w:w="146"/>
        <w:gridCol w:w="467"/>
        <w:gridCol w:w="1537"/>
        <w:gridCol w:w="214"/>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52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Predecessor</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23"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Consolidated CFEs</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8"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004"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CFEs</w:t>
            </w:r>
          </w:p>
        </w:tc>
        <w:tc>
          <w:tcPr>
            <w:tcW w:w="214"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Reclassification of finance receivables due to a change in Accounting Policy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Transfer within Level 3 categories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realized and unrealized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Warranties and GAP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Issuances, net of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Paydowns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January 14,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387,444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437,568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transfers between levels of the fair value hierarchy are assumed to have occurred at the beginning of the reporting period on a quarterly basis. During the three and six months ended June 30, 2026, transfers into Level 3 liabilities related to not achieving consensus pricing from third-party broker dealers on the 2022-2 and 2025-1 E rated notes related to the securitization debt of consolidated CFEs.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Relevant Data for Financial Assets and Liabilities for which FVO Was Elected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the gains or losses recorded in "Realized and unrealized losses, net of recoveries" in the condensed consolidated statements of operations related to the eligible financial instruments for which the fair value option was elected (in thousands):</w:t>
      </w:r>
    </w:p>
    <w:p>
      <w:pPr>
        <w:pStyle w:val="TextBody"/>
        <w:bidi w:val="0"/>
        <w:jc w:val="left"/>
        <w:rPr/>
      </w:pPr>
      <w:r>
        <w:rPr/>
        <w:t> </w:t>
      </w:r>
    </w:p>
    <w:tbl>
      <w:tblPr>
        <w:tblW w:w="9581" w:type="dxa"/>
        <w:jc w:val="left"/>
        <w:tblInd w:w="0" w:type="dxa"/>
        <w:tblLayout w:type="fixed"/>
        <w:tblCellMar>
          <w:top w:w="28" w:type="dxa"/>
          <w:left w:w="28" w:type="dxa"/>
          <w:bottom w:w="28" w:type="dxa"/>
          <w:right w:w="28" w:type="dxa"/>
        </w:tblCellMar>
      </w:tblPr>
      <w:tblGrid>
        <w:gridCol w:w="6766"/>
        <w:gridCol w:w="146"/>
        <w:gridCol w:w="245"/>
        <w:gridCol w:w="803"/>
        <w:gridCol w:w="193"/>
        <w:gridCol w:w="169"/>
        <w:gridCol w:w="245"/>
        <w:gridCol w:w="803"/>
        <w:gridCol w:w="211"/>
      </w:tblGrid>
      <w:tr>
        <w:trPr/>
        <w:tc>
          <w:tcPr>
            <w:tcW w:w="6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19,182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Debt of securitized VIEs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(6,212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Collection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Total net loss included in "Realized and</w:t>
            </w:r>
            <w:r>
              <w:rPr>
                <w:rFonts w:ascii="Times New Roman" w:hAnsi="Times New Roman"/>
                <w:color w:val="000000"/>
                <w:sz w:val="20"/>
              </w:rPr>
              <w:t> </w:t>
            </w:r>
            <w:r>
              <w:rPr>
                <w:rFonts w:ascii="Arial" w:hAnsi="Arial"/>
                <w:color w:val="000000"/>
                <w:sz w:val="20"/>
              </w:rPr>
              <w:t>unrealized losses, net of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10,663</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53"/>
        <w:gridCol w:w="330"/>
        <w:gridCol w:w="1177"/>
        <w:gridCol w:w="166"/>
        <w:gridCol w:w="146"/>
        <w:gridCol w:w="430"/>
        <w:gridCol w:w="1534"/>
        <w:gridCol w:w="166"/>
        <w:gridCol w:w="146"/>
        <w:gridCol w:w="146"/>
        <w:gridCol w:w="515"/>
        <w:gridCol w:w="1581"/>
        <w:gridCol w:w="215"/>
      </w:tblGrid>
      <w:tr>
        <w:trPr/>
        <w:tc>
          <w:tcPr>
            <w:tcW w:w="365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held for sale, net</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Debt of securitized VIEs at fair value</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Collection expenses</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Recoveries</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Total net loss included in "Realized and</w:t>
            </w:r>
            <w:r>
              <w:rPr>
                <w:rFonts w:ascii="Times New Roman" w:hAnsi="Times New Roman"/>
                <w:color w:val="000000"/>
                <w:sz w:val="20"/>
              </w:rPr>
              <w:t> </w:t>
            </w:r>
            <w:r>
              <w:rPr>
                <w:rFonts w:ascii="Arial" w:hAnsi="Arial"/>
                <w:color w:val="000000"/>
                <w:sz w:val="20"/>
              </w:rPr>
              <w:t>unrealized losses, net of recoveries"</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6,792</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other relevant data related to the finance receivables carried at fair value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78"/>
        <w:gridCol w:w="146"/>
        <w:gridCol w:w="409"/>
        <w:gridCol w:w="1545"/>
        <w:gridCol w:w="146"/>
        <w:gridCol w:w="146"/>
        <w:gridCol w:w="354"/>
        <w:gridCol w:w="1341"/>
        <w:gridCol w:w="146"/>
        <w:gridCol w:w="194"/>
      </w:tblGrid>
      <w:tr>
        <w:trPr/>
        <w:tc>
          <w:tcPr>
            <w:tcW w:w="5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CFEs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included within finance receivables that are reported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584,335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finance receivables that are reported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Unpaid principal balance of receivables within finance receivables that are reported at fair value and are on nonaccrual status (90 days or more past due)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receivables carried at fair value that are on nonaccrual status (90 days or more past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78"/>
        <w:gridCol w:w="146"/>
        <w:gridCol w:w="409"/>
        <w:gridCol w:w="1545"/>
        <w:gridCol w:w="146"/>
        <w:gridCol w:w="146"/>
        <w:gridCol w:w="354"/>
        <w:gridCol w:w="1341"/>
        <w:gridCol w:w="146"/>
        <w:gridCol w:w="194"/>
      </w:tblGrid>
      <w:tr>
        <w:trPr/>
        <w:tc>
          <w:tcPr>
            <w:tcW w:w="5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CFEs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included within finance receivables that are reported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finance receivables that are reported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Unpaid principal balance of receivables within finance receivables that are reported at fair value and are on nonaccrual status (90 days or more past due)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receivables carried at fair value that are on nonaccrual status (90 days or more past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All finance receivables of CFEs are pledged to the CFEs trusts.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presents other relevant data related to securitization debt of consolidated VIEs carried at fair value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0"/>
        <w:gridCol w:w="146"/>
        <w:gridCol w:w="853"/>
        <w:gridCol w:w="3233"/>
        <w:gridCol w:w="193"/>
      </w:tblGrid>
      <w:tr>
        <w:trPr/>
        <w:tc>
          <w:tcPr>
            <w:tcW w:w="5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VIEs at Fair 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of rated notes of securitized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482,867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rated notes of securitized VIEs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465,174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0"/>
        <w:gridCol w:w="146"/>
        <w:gridCol w:w="853"/>
        <w:gridCol w:w="3233"/>
        <w:gridCol w:w="193"/>
      </w:tblGrid>
      <w:tr>
        <w:trPr/>
        <w:tc>
          <w:tcPr>
            <w:tcW w:w="5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VIEs at Fair 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of rated notes of securitized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403,414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rated notes of securitized VIEs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393,244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Fair Value of Financial Instruments Not Carried at Fair Value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carrying amounts of restricted cash and other liabilities approximate fair value due to their short-term nature. The carrying value of the Warehouse Credit Facilities, Financing of Beneficial Interests in Securitizations, and related party lines of credit were determined to approximate fair value due to its short-term duration and variable interest rates that approximate prevailing interest rates as of each reporting period.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 xml:space="preserve">Junior Subordinated Debentures: </w:t>
      </w:r>
      <w:r>
        <w:rPr>
          <w:rFonts w:ascii="Arial" w:hAnsi="Arial"/>
          <w:color w:val="000000"/>
          <w:sz w:val="20"/>
        </w:rPr>
        <w:t>The fair value of the junior subordinated debentures, which are not carried at fair value on the Company's condensed consolidated balance sheets, approximated their carrying value as of June 30, 2026 and December 31, 2025 and are classified within Level 3 of the fair value hierarchy.</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Convertible Senior Notes:</w:t>
      </w:r>
      <w:r>
        <w:rPr>
          <w:rFonts w:ascii="Times New Roman" w:hAnsi="Times New Roman"/>
          <w:color w:val="000000"/>
          <w:sz w:val="20"/>
        </w:rPr>
        <w:t xml:space="preserve"> </w:t>
      </w:r>
      <w:r>
        <w:rPr>
          <w:rFonts w:ascii="Arial" w:hAnsi="Arial"/>
          <w:color w:val="000000"/>
          <w:sz w:val="20"/>
        </w:rPr>
        <w:t>The fair value of the 2032 Notes, which are not carried at fair value on the Company's consolidated balance sheets, approximated their carrying value as of June 30, 2026. The fair value of the 2030 Notes, which are not carried at fair value on the Company's consolidated balance sheets, approximated their carrying value as of December 31, 2025. Convertible Seniors Notes are classified within Level 3 of the fair value hierarchy.</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Fresh start accounting</w:t>
      </w:r>
      <w:r>
        <w:rPr>
          <w:rFonts w:ascii="Arial" w:hAnsi="Arial"/>
          <w:color w:val="000000"/>
          <w:sz w:val="20"/>
        </w:rPr>
        <w:t>: In accordance with ASC Topic 852, with the application of fresh start accounting, the Company allocated the reorganization value to its individual assets and liabilities based on their estimated fair values in conformity with ASC Topic 805, Business Combinations. Refer to Note 6 — Fresh Start Accounting</w:t>
      </w:r>
      <w:r>
        <w:rPr>
          <w:rFonts w:ascii="Times New Roman" w:hAnsi="Times New Roman"/>
          <w:color w:val="000000"/>
          <w:sz w:val="20"/>
        </w:rPr>
        <w:t xml:space="preserve"> </w:t>
      </w:r>
      <w:r>
        <w:rPr>
          <w:rFonts w:ascii="Arial" w:hAnsi="Arial"/>
          <w:color w:val="000000"/>
          <w:sz w:val="20"/>
        </w:rPr>
        <w:t>for further details.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16. Segment Information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is organized into two</w:t>
      </w:r>
      <w:r>
        <w:rPr>
          <w:rFonts w:ascii="Times New Roman" w:hAnsi="Times New Roman"/>
          <w:color w:val="000000"/>
          <w:sz w:val="20"/>
        </w:rPr>
        <w:t xml:space="preserve"> </w:t>
      </w:r>
      <w:r>
        <w:rPr>
          <w:rFonts w:ascii="Arial" w:hAnsi="Arial"/>
          <w:color w:val="000000"/>
          <w:sz w:val="20"/>
        </w:rPr>
        <w:t>reportable segments: UACC and CarStory. Corporate activities are presented in "corporate" and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specific allocation of expenses. Corporate activities also include the runoff of legacy Vroom third party vehicle service and GAP policies sold prior to the Ecommerce Wind-Down. No operating segments have been aggregated to form the reportable segments.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determined its operating segments based on how the chief operating decision maker (“CODM”) reviews the Company’s operating results in assessing performance and allocating resources. The Company’s CODM is the chief executive officer</w:t>
      </w:r>
      <w:r>
        <w:rPr>
          <w:rFonts w:ascii="Times New Roman" w:hAnsi="Times New Roman"/>
          <w:color w:val="000000"/>
          <w:sz w:val="20"/>
        </w:rPr>
        <w:t xml:space="preserve"> </w:t>
      </w:r>
      <w:r>
        <w:rPr>
          <w:rFonts w:ascii="Arial" w:hAnsi="Arial"/>
          <w:color w:val="000000"/>
          <w:sz w:val="20"/>
        </w:rPr>
        <w:t>(“CEO”). During the period from January 15, 2025, to March 31, 2025, the CODM changed the profitability measure reviewed for the Company's segment from Adjusted EBITDA to Adjusted net income (loss). The CODM reviews Adjusted net income (loss) for each of the reportable segments. Adjusted net income (loss) is defined as net income (loss) from continuing operations less preferred stock dividends attributable to noncontrolling interests of subsidiary adjusted for stock compensation expense, severance expense, bankruptcy costs (which represent professional fees incurred related to the bankruptcy prior to filing of the petition and post-emergence), reorganization items, net (which relate to certain charges incurred during the bankruptcy proceedings, such as legal and professional fees incurred directly as a result of the bankruptcy proceeding, the write-off of deferred financing costs and discount on debt subject to compromise and other related charges), operating lease right-of-use assets impairment and long-lived asset impairment charges incurred by segment. All expense categories on the condensed consolidated statement of operations are significant and there are no other significant segment expenses that would require disclosure. There are no intra-entity sales and no significant expense categories regularly provided to the CODM beyond those disclosed in the consolidated statement of operations.</w:t>
      </w:r>
      <w:r>
        <w:rPr>
          <w:rFonts w:ascii="Times New Roman" w:hAnsi="Times New Roman"/>
          <w:color w:val="000000"/>
          <w:sz w:val="20"/>
        </w:rPr>
        <w:t xml:space="preserve"> </w:t>
      </w:r>
      <w:r>
        <w:rPr>
          <w:rFonts w:ascii="Arial" w:hAnsi="Arial"/>
          <w:color w:val="000000"/>
          <w:sz w:val="20"/>
        </w:rPr>
        <w:t>The CODM manages the business using consolidated expense information, adjusted for items that are non-recurring or not core to the Company’s operating business as disclosed above, as well as regularly provided budgeted or forecasted expense information for each operating segment. The CODM does not evaluate operating segments using asset information as these are managed on an enterprise-wide group basis. Accordingly, the Company does not report segment asset information. As of June 30, 2026 and December 31, 2025, long-lived assets were predominantly located in the United States.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UACC reportable segment represents UACC’s operations with its network of third-party dealership customers, including the purchases and servicing of vehicle installment contracts. The segment also includes the runoff portfolio of retail installment sale contracts originated for Vroom or purchased from Vroom prior to the Ecommerce Wind-Down.</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CarStory reportable segment represents sales of AI-powered analytics and digital services to automotive dealers, automotive financial services companies and others in the automotive industry.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Information about the Company’s reportable segments and corporate activities are as follows (in thousands):</w:t>
      </w:r>
      <w:r>
        <w:rPr>
          <w:rFonts w:ascii="Times New Roman" w:hAnsi="Times New Roman"/>
          <w:color w:val="000000"/>
          <w:sz w:val="20"/>
        </w:rPr>
        <w:t xml:space="preserve"> </w:t>
      </w:r>
    </w:p>
    <w:p>
      <w:pPr>
        <w:pStyle w:val="TextBody"/>
        <w:bidi w:val="0"/>
        <w:jc w:val="left"/>
        <w:rPr/>
      </w:pPr>
      <w:r>
        <w:rPr/>
        <w:t> </w:t>
      </w:r>
    </w:p>
    <w:tbl>
      <w:tblPr>
        <w:tblW w:w="10438" w:type="dxa"/>
        <w:jc w:val="left"/>
        <w:tblInd w:w="0" w:type="dxa"/>
        <w:tblLayout w:type="fixed"/>
        <w:tblCellMar>
          <w:top w:w="28" w:type="dxa"/>
          <w:left w:w="28" w:type="dxa"/>
          <w:bottom w:w="28" w:type="dxa"/>
          <w:right w:w="28" w:type="dxa"/>
        </w:tblCellMar>
      </w:tblPr>
      <w:tblGrid>
        <w:gridCol w:w="1421"/>
        <w:gridCol w:w="211"/>
        <w:gridCol w:w="676"/>
        <w:gridCol w:w="166"/>
        <w:gridCol w:w="239"/>
        <w:gridCol w:w="647"/>
        <w:gridCol w:w="166"/>
        <w:gridCol w:w="263"/>
        <w:gridCol w:w="713"/>
        <w:gridCol w:w="166"/>
        <w:gridCol w:w="211"/>
        <w:gridCol w:w="676"/>
        <w:gridCol w:w="166"/>
        <w:gridCol w:w="146"/>
        <w:gridCol w:w="146"/>
        <w:gridCol w:w="211"/>
        <w:gridCol w:w="676"/>
        <w:gridCol w:w="166"/>
        <w:gridCol w:w="239"/>
        <w:gridCol w:w="647"/>
        <w:gridCol w:w="166"/>
        <w:gridCol w:w="244"/>
        <w:gridCol w:w="732"/>
        <w:gridCol w:w="166"/>
        <w:gridCol w:w="211"/>
        <w:gridCol w:w="676"/>
        <w:gridCol w:w="291"/>
      </w:tblGrid>
      <w:tr>
        <w:trPr/>
        <w:tc>
          <w:tcPr>
            <w:tcW w:w="1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6" w:type="dxa"/>
            <w:gridSpan w:val="2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6"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4" w:type="dxa"/>
            <w:gridSpan w:val="11"/>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4" w:type="dxa"/>
            <w:gridSpan w:val="11"/>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CarStory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CarStory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9,883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13,142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(gains),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13,106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8,817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21,091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30,796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(Benefit) provision for income taxes from continuing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income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tbl>
      <w:tblPr>
        <w:tblW w:w="10498" w:type="dxa"/>
        <w:jc w:val="left"/>
        <w:tblInd w:w="0" w:type="dxa"/>
        <w:tblLayout w:type="fixed"/>
        <w:tblCellMar>
          <w:top w:w="28" w:type="dxa"/>
          <w:left w:w="28" w:type="dxa"/>
          <w:bottom w:w="28" w:type="dxa"/>
          <w:right w:w="28" w:type="dxa"/>
        </w:tblCellMar>
      </w:tblPr>
      <w:tblGrid>
        <w:gridCol w:w="1421"/>
        <w:gridCol w:w="211"/>
        <w:gridCol w:w="736"/>
        <w:gridCol w:w="166"/>
        <w:gridCol w:w="239"/>
        <w:gridCol w:w="647"/>
        <w:gridCol w:w="166"/>
        <w:gridCol w:w="263"/>
        <w:gridCol w:w="713"/>
        <w:gridCol w:w="166"/>
        <w:gridCol w:w="211"/>
        <w:gridCol w:w="676"/>
        <w:gridCol w:w="166"/>
        <w:gridCol w:w="146"/>
        <w:gridCol w:w="146"/>
        <w:gridCol w:w="211"/>
        <w:gridCol w:w="676"/>
        <w:gridCol w:w="166"/>
        <w:gridCol w:w="239"/>
        <w:gridCol w:w="647"/>
        <w:gridCol w:w="166"/>
        <w:gridCol w:w="244"/>
        <w:gridCol w:w="732"/>
        <w:gridCol w:w="166"/>
        <w:gridCol w:w="211"/>
        <w:gridCol w:w="676"/>
        <w:gridCol w:w="291"/>
      </w:tblGrid>
      <w:tr>
        <w:trPr/>
        <w:tc>
          <w:tcPr>
            <w:tcW w:w="1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6" w:type="dxa"/>
            <w:gridSpan w:val="2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CarStory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CarStory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82,905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7,877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16,431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24,308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27,997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(loss),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7,724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noninterest (loss)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19,023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7,360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5,822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62,193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765"/>
        <w:gridCol w:w="220"/>
        <w:gridCol w:w="661"/>
        <w:gridCol w:w="173"/>
        <w:gridCol w:w="270"/>
        <w:gridCol w:w="616"/>
        <w:gridCol w:w="173"/>
        <w:gridCol w:w="297"/>
        <w:gridCol w:w="679"/>
        <w:gridCol w:w="173"/>
        <w:gridCol w:w="220"/>
        <w:gridCol w:w="661"/>
        <w:gridCol w:w="297"/>
      </w:tblGrid>
      <w:tr>
        <w:trPr/>
        <w:tc>
          <w:tcPr>
            <w:tcW w:w="57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3"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3"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through January 14,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3"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UACC</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CarStory</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Corporate</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 (expense)</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7,254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7,183</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4,988</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7,647</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(855</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6,792</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 after losses and recoveries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7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(loss) income:</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(loss), net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noninterest (loss) income</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1,044</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2,823</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1,057</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5,181</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reconciliation between reportable segment Adjusted net (loss) income to consolidated loss from continuing operations as follows (in thousands):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328"/>
        <w:gridCol w:w="223"/>
        <w:gridCol w:w="668"/>
        <w:gridCol w:w="175"/>
        <w:gridCol w:w="154"/>
        <w:gridCol w:w="223"/>
        <w:gridCol w:w="668"/>
        <w:gridCol w:w="166"/>
        <w:gridCol w:w="146"/>
        <w:gridCol w:w="272"/>
        <w:gridCol w:w="950"/>
        <w:gridCol w:w="166"/>
        <w:gridCol w:w="146"/>
        <w:gridCol w:w="322"/>
        <w:gridCol w:w="1124"/>
        <w:gridCol w:w="166"/>
        <w:gridCol w:w="146"/>
        <w:gridCol w:w="146"/>
        <w:gridCol w:w="403"/>
        <w:gridCol w:w="1295"/>
        <w:gridCol w:w="318"/>
      </w:tblGrid>
      <w:tr>
        <w:trPr/>
        <w:tc>
          <w:tcPr>
            <w:tcW w:w="232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through January 14,</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income (loss)</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UACC</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(5,910</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3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3,837</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(6,063</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 expense</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Corporate (loss) income from continuing operations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Reorganization items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continuing operations</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555</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45,090</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Arial" w:hAnsi="Arial"/>
          <w:b/>
          <w:color w:val="000000"/>
          <w:sz w:val="20"/>
        </w:rPr>
      </w:pPr>
      <w:r>
        <w:rPr>
          <w:rFonts w:ascii="Arial" w:hAnsi="Arial"/>
          <w:b/>
          <w:color w:val="000000"/>
          <w:sz w:val="20"/>
        </w:rPr>
        <w:t>17. Income Taxes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it is more likely than not that these assets will not be fully realized based on a current evaluation of expected future taxable income and the Company being in a cumulative 3-year loss position.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July 4, 2025, the One Big Beautiful Bill Act (the “OBBBA”) was signed into law. The OBBBA includes, among other provisions, changes affecting (i) the deductibility and/or amortization of domestic research or experimental expenditures for taxable years beginning after December 31, 2024, (ii) the timing and availability of certain clean energy tax incentives (including an accelerated phase-out for certain credits for projects beginning after June 30, 2026), and (iii) certain international tax rules impacting foreign income and the calculation of Foreign-Derived Intangible Income (“FDII”), among other cross-border considerations. The Company evaluated the relevant provisions of the OBBBA and determined that the OBBBA did not have a material impact on the Company’s consolidated financial statements.</w:t>
      </w:r>
    </w:p>
    <w:p>
      <w:pPr>
        <w:pStyle w:val="TextBody"/>
        <w:bidi w:val="0"/>
        <w:jc w:val="left"/>
        <w:rPr>
          <w:rFonts w:ascii="Arial" w:hAnsi="Arial"/>
          <w:color w:val="000000"/>
          <w:sz w:val="20"/>
        </w:rPr>
      </w:pPr>
      <w:r>
        <w:rPr>
          <w:rFonts w:ascii="Arial" w:hAnsi="Arial"/>
          <w:color w:val="000000"/>
          <w:sz w:val="20"/>
        </w:rPr>
        <w:t>The Company’s effective tax rate from continuing operations was (4.52)% and (0.66)% for the three months ended June 30, 2026 and 2025, respectively, and (0.92)% and 0.73% for the six months ended June 30, 2026 and 2025, respectively.</w:t>
      </w:r>
    </w:p>
    <w:p>
      <w:pPr>
        <w:pStyle w:val="TextBody"/>
        <w:bidi w:val="0"/>
        <w:jc w:val="left"/>
        <w:rPr>
          <w:rFonts w:ascii="Arial" w:hAnsi="Arial"/>
          <w:color w:val="000000"/>
          <w:sz w:val="20"/>
        </w:rPr>
      </w:pPr>
      <w:r>
        <w:rPr>
          <w:rFonts w:ascii="Arial" w:hAnsi="Arial"/>
          <w:color w:val="000000"/>
          <w:sz w:val="20"/>
        </w:rPr>
        <w:t>The Company is subject to tax in the United States and many state and local jurisdictions. The Company, with certain exceptions, is no longer subject to income tax examinations by U.S. federal, state and local for tax years 2019 and prior. The Company is not currently under audit for any U.S. federal or state income tax audits.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has not identified any uncertain tax positions as of June 30, 2026, or December 31, 2025. Any interest and penalties related to uncertain tax positions shall be recorded as a component of income tax expense. To date, no</w:t>
      </w:r>
      <w:r>
        <w:rPr>
          <w:rFonts w:ascii="Times New Roman" w:hAnsi="Times New Roman"/>
          <w:color w:val="000000"/>
          <w:sz w:val="20"/>
        </w:rPr>
        <w:t xml:space="preserve"> </w:t>
      </w:r>
      <w:r>
        <w:rPr>
          <w:rFonts w:ascii="Arial" w:hAnsi="Arial"/>
          <w:color w:val="000000"/>
          <w:sz w:val="20"/>
        </w:rPr>
        <w:t>interest or penalties have been accrued in relation to uncertain tax positions.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Internal Revenue Code (“IRC”) Section 382 provides for a limitation of the annual use of net operating loss and tax credit carryforwards following certain ownership changes (as defined by the IRC Section 382). The Company completed a Section 382 study and determined that the Company has undergone five ownership changes, the most recent of which occurred on the Effective Date. The IRC Section 382 limitations arising as a result of these ownership changes generally limit the use of the net operating losses generated before the applicable ownership change. However, an exception to the IRC Section 382 limitation applies when, among other requirements, so-called “qualified creditors” and shareholders of a corporation in a title 11 Case receive, in respect of their claims and interests, as applicable, at least 50% of the vote and value of the stock of the corporation pursuant to a confirmed chapter 11 plan (the “382(l)(5) Exception”). The Company expects that the 382(l)(5) Exception applied to the ownership change occurring on the Effective Date and, accordingly, that the Company may not have any limitation on its utilization of federal NOL carryforwards generated prior to emergence from the Prepackaged Chapter 11 Case (other than limitations which existed before the commencement of the Prepackaged Chapter 11 Case). However, the Company may be limited in its utilization of its federal NOL carryforwards generated before the Effective Date if it triggers another ownership change within two years after the Effective Date.</w:t>
      </w:r>
    </w:p>
    <w:p>
      <w:pPr>
        <w:pStyle w:val="TextBody"/>
        <w:bidi w:val="0"/>
        <w:jc w:val="left"/>
        <w:rPr>
          <w:rFonts w:ascii="Arial" w:hAnsi="Arial"/>
          <w:color w:val="000000"/>
          <w:sz w:val="20"/>
        </w:rPr>
      </w:pPr>
      <w:r>
        <w:rPr>
          <w:rFonts w:ascii="Arial" w:hAnsi="Arial"/>
          <w:color w:val="000000"/>
          <w:sz w:val="20"/>
        </w:rPr>
        <w:t>On the Effective Date, the Company consummated its Prepackaged Chapter 11 Case. For U.S. tax purposes the Company would be required to recognize cancellation of debt income (“CODI”) in the amount equal to the excess of the adjusted issue price of the debt discharged over the value of any new debt or equity that was issued. However, IRC Section 108 provides that CODI may be excluded from gross income to the extent that the debt is discharged in a title 11 Case. In lieu of recognizing CODI, IRC Section 108 requires the Company to reduce its tax attributes, including net operating losses, capital losses, tax credits, depreciable assets, investment in subsidiaries and other investments, in the amount of the CODI that is excluded from gross income.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18. Net Income (Loss) Per Share</w:t>
      </w:r>
    </w:p>
    <w:p>
      <w:pPr>
        <w:pStyle w:val="TextBody"/>
        <w:bidi w:val="0"/>
        <w:jc w:val="left"/>
        <w:rPr>
          <w:rFonts w:ascii="Times New Roman" w:hAnsi="Times New Roman"/>
          <w:sz w:val="20"/>
        </w:rPr>
      </w:pPr>
      <w:r>
        <w:rPr>
          <w:rFonts w:ascii="Arial" w:hAnsi="Arial"/>
          <w:color w:val="000000"/>
          <w:sz w:val="20"/>
        </w:rPr>
        <w:t>The following table sets forth the computation of basic and diluted net income (loss) per share attributable to common stockholders: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2"/>
        <w:gridCol w:w="146"/>
        <w:gridCol w:w="211"/>
        <w:gridCol w:w="961"/>
        <w:gridCol w:w="166"/>
        <w:gridCol w:w="146"/>
        <w:gridCol w:w="211"/>
        <w:gridCol w:w="961"/>
        <w:gridCol w:w="351"/>
      </w:tblGrid>
      <w:tr>
        <w:trPr/>
        <w:tc>
          <w:tcPr>
            <w:tcW w:w="7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(8,932</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(8,519</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Preferred stock dividends attributable to noncontrolling interests of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attributable to controlling interest and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(8,519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 per share attributable to common stockholders, continuing operations,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income per share attributable to common stockholders, discontinued operations,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0.08</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shares outstanding used to compute 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5,214,021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5,174,381</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76"/>
        <w:gridCol w:w="146"/>
        <w:gridCol w:w="258"/>
        <w:gridCol w:w="1175"/>
        <w:gridCol w:w="166"/>
        <w:gridCol w:w="146"/>
        <w:gridCol w:w="305"/>
        <w:gridCol w:w="1390"/>
        <w:gridCol w:w="166"/>
        <w:gridCol w:w="146"/>
        <w:gridCol w:w="146"/>
        <w:gridCol w:w="311"/>
        <w:gridCol w:w="1420"/>
        <w:gridCol w:w="354"/>
      </w:tblGrid>
      <w:tr>
        <w:trPr/>
        <w:tc>
          <w:tcPr>
            <w:tcW w:w="4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45,090</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45,086</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Preferred stock dividends attributable to noncontrolling interests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attributable to controlling interest and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45,086</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per share attributable to common stockholders,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24.74</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24.74</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per share attributable to common stockholders,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23.89</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23.89</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shares outstanding used to compute net (loss) income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5,207,963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5,169,251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1,822,541</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5,207,963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5,169,251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1,887,370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potentially dilutive shares were not included in the calculation of diluted shares outstanding for the periods presented as the effect would have been anti-dilutive:</w:t>
      </w:r>
      <w:r>
        <w:rPr>
          <w:rFonts w:ascii="Times New Roman" w:hAnsi="Times New Roman"/>
          <w:color w:val="000000"/>
          <w:sz w:val="20"/>
        </w:rPr>
        <w:t xml:space="preserve"> </w:t>
      </w:r>
    </w:p>
    <w:p>
      <w:pPr>
        <w:pStyle w:val="TextBody"/>
        <w:bidi w:val="0"/>
        <w:jc w:val="left"/>
        <w:rPr/>
      </w:pPr>
      <w:r>
        <w:rPr/>
        <w:t> </w:t>
      </w:r>
    </w:p>
    <w:tbl>
      <w:tblPr>
        <w:tblW w:w="6777" w:type="dxa"/>
        <w:jc w:val="left"/>
        <w:tblInd w:w="0" w:type="dxa"/>
        <w:tblLayout w:type="fixed"/>
        <w:tblCellMar>
          <w:top w:w="28" w:type="dxa"/>
          <w:left w:w="28" w:type="dxa"/>
          <w:bottom w:w="28" w:type="dxa"/>
          <w:right w:w="28" w:type="dxa"/>
        </w:tblCellMar>
      </w:tblPr>
      <w:tblGrid>
        <w:gridCol w:w="2026"/>
        <w:gridCol w:w="146"/>
        <w:gridCol w:w="146"/>
        <w:gridCol w:w="961"/>
        <w:gridCol w:w="146"/>
        <w:gridCol w:w="146"/>
        <w:gridCol w:w="146"/>
        <w:gridCol w:w="961"/>
        <w:gridCol w:w="146"/>
        <w:gridCol w:w="146"/>
        <w:gridCol w:w="146"/>
        <w:gridCol w:w="227"/>
        <w:gridCol w:w="1243"/>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January 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2,860,079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907,907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692,963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131,422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4,096,053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1,021,887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154,636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sets forth a reconciliation from basic to diluted weighted-average number of shares outstanding used to compute net (loss) income per share attributable to common stockholders: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75"/>
        <w:gridCol w:w="146"/>
        <w:gridCol w:w="323"/>
        <w:gridCol w:w="2128"/>
        <w:gridCol w:w="333"/>
      </w:tblGrid>
      <w:tr>
        <w:trPr/>
        <w:tc>
          <w:tcPr>
            <w:tcW w:w="7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shares outstanding used to compute net (loss) income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1,822,541</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Convertible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64,829</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1,887,370</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spacing w:before="0" w:after="160"/>
        <w:jc w:val="left"/>
        <w:rPr>
          <w:rFonts w:ascii="Arial" w:hAnsi="Arial"/>
          <w:color w:val="000000"/>
          <w:sz w:val="20"/>
        </w:rPr>
      </w:pPr>
      <w:r>
        <w:rPr>
          <w:rFonts w:ascii="Arial" w:hAnsi="Arial"/>
          <w:color w:val="000000"/>
          <w:sz w:val="20"/>
        </w:rPr>
        <w:t>Potentially dilutive common shares assumed conversion of debt using the if-converted method.</w:t>
      </w:r>
    </w:p>
    <w:p>
      <w:pPr>
        <w:pStyle w:val="TextBody"/>
        <w:bidi w:val="0"/>
        <w:jc w:val="left"/>
        <w:rPr>
          <w:rFonts w:ascii="Arial" w:hAnsi="Arial"/>
          <w:b/>
          <w:color w:val="000000"/>
          <w:sz w:val="20"/>
        </w:rPr>
      </w:pPr>
      <w:r>
        <w:rPr>
          <w:rFonts w:ascii="Arial" w:hAnsi="Arial"/>
          <w:b/>
          <w:color w:val="000000"/>
          <w:sz w:val="20"/>
        </w:rPr>
        <w:t>19. Related Party Transactions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Related Party Convertible Notes due 2032</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14, 2026, the Company entered into the Exchange Agreement with the investors party thereto and a collateral agent, pursuant to which the Company agreed to co-issue, as joint and several obligations, up to $50.0</w:t>
      </w:r>
      <w:r>
        <w:rPr>
          <w:rFonts w:ascii="Times New Roman" w:hAnsi="Times New Roman"/>
          <w:color w:val="000000"/>
          <w:sz w:val="20"/>
        </w:rPr>
        <w:t xml:space="preserve"> </w:t>
      </w:r>
      <w:r>
        <w:rPr>
          <w:rFonts w:ascii="Arial" w:hAnsi="Arial"/>
          <w:color w:val="000000"/>
          <w:sz w:val="20"/>
        </w:rPr>
        <w:t>million aggregate principal amount of the 2032 Notes. At the closing, certain investors exchanged $28.5</w:t>
      </w:r>
      <w:r>
        <w:rPr>
          <w:rFonts w:ascii="Times New Roman" w:hAnsi="Times New Roman"/>
          <w:color w:val="000000"/>
          <w:sz w:val="20"/>
        </w:rPr>
        <w:t xml:space="preserve"> </w:t>
      </w:r>
      <w:r>
        <w:rPr>
          <w:rFonts w:ascii="Arial" w:hAnsi="Arial"/>
          <w:color w:val="000000"/>
          <w:sz w:val="20"/>
        </w:rPr>
        <w:t>million aggregate principal amount of outstanding notes of the Company, together with accrued and unpaid interest thereon through the closing date, for the 2032 Notes. The outstanding notes exchanged consisted of $10.0</w:t>
      </w:r>
      <w:r>
        <w:rPr>
          <w:rFonts w:ascii="Times New Roman" w:hAnsi="Times New Roman"/>
          <w:color w:val="000000"/>
          <w:sz w:val="20"/>
        </w:rPr>
        <w:t xml:space="preserve"> </w:t>
      </w:r>
      <w:r>
        <w:rPr>
          <w:rFonts w:ascii="Arial" w:hAnsi="Arial"/>
          <w:color w:val="000000"/>
          <w:sz w:val="20"/>
        </w:rPr>
        <w:t>million of the 2030 Notes, $10.5</w:t>
      </w:r>
      <w:r>
        <w:rPr>
          <w:rFonts w:ascii="Times New Roman" w:hAnsi="Times New Roman"/>
          <w:color w:val="000000"/>
          <w:sz w:val="20"/>
        </w:rPr>
        <w:t xml:space="preserve"> </w:t>
      </w:r>
      <w:r>
        <w:rPr>
          <w:rFonts w:ascii="Arial" w:hAnsi="Arial"/>
          <w:color w:val="000000"/>
          <w:sz w:val="20"/>
        </w:rPr>
        <w:t>million of the Delayed Draw Notes and $8.0</w:t>
      </w:r>
      <w:r>
        <w:rPr>
          <w:rFonts w:ascii="Times New Roman" w:hAnsi="Times New Roman"/>
          <w:color w:val="000000"/>
          <w:sz w:val="20"/>
        </w:rPr>
        <w:t xml:space="preserve"> </w:t>
      </w:r>
      <w:r>
        <w:rPr>
          <w:rFonts w:ascii="Arial" w:hAnsi="Arial"/>
          <w:color w:val="000000"/>
          <w:sz w:val="20"/>
        </w:rPr>
        <w:t>million of notes outstanding under the Delayed Draw Facility, as discussed further and defined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When the Company modifies or exchanges debt, it first evaluates whether such modification, exchange or extinguishments qualifies as a troubled debt restructuring. To qualify as a troubled debt restructuring in accordance with ASC 470-60, Debt — Troubled Debt Restructuring, the debtor must experience financial difficulties and the creditor must grant a concession to the debtor for economic or legal reasons related to the debtor's financial difficulties.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accordance with ASC 470-60, when the total future cash payments under the new terms are less than the carrying amount of the payable at the date of restructuring, the difference between the carrying amount and the total future cash payments is recognized as a ‘Gain on Troubled Debt Restructuring’ in the Condensed Consolidated Financial Statements. This gain is recorded immediately in the period the restructuring occurs.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the total future cash payments under the new terms exceed the carrying amount of the payable at the date of restructuring, no adjustment to the carrying amount of the payable is made. Instead, the company calculates a New Effective Interest Rate (EIR) based on the revised terms of the restructured payable. The debt is then amortized over the remaining life of the payable using the new EIR, with interest expense recognized based on this rate in future periods.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a troubled debt restructuring is not determined to have occurred, the Company evaluates the modification in accordance with ASC 470-50, Debt — Modifications and Exchanges.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performed an assessment on a lender-by-lender basis and has determined that the transaction met the criteria to be accounted for as troubled debt restructuring under ASC 470-60 for all lenders. The Company did not record a gain as the total future cash payments under the new terms exceeds the original carrying amount of the liability at the date of restructuring. The Company established a new effective interest rate based on the revised cash flows and the remaining net carrying value of the 2032 Notes. Transaction costs associated with the issuance of both the 2032 Notes and the exchanges notes were immaterial.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29, 2026 the Company drew an additional $11.5</w:t>
      </w:r>
      <w:r>
        <w:rPr>
          <w:rFonts w:ascii="Times New Roman" w:hAnsi="Times New Roman"/>
          <w:color w:val="000000"/>
          <w:sz w:val="20"/>
        </w:rPr>
        <w:t xml:space="preserve"> </w:t>
      </w:r>
      <w:r>
        <w:rPr>
          <w:rFonts w:ascii="Arial" w:hAnsi="Arial"/>
          <w:color w:val="000000"/>
          <w:sz w:val="20"/>
        </w:rPr>
        <w:t>million, leaving $10.0</w:t>
      </w:r>
      <w:r>
        <w:rPr>
          <w:rFonts w:ascii="Times New Roman" w:hAnsi="Times New Roman"/>
          <w:color w:val="000000"/>
          <w:sz w:val="20"/>
        </w:rPr>
        <w:t xml:space="preserve"> </w:t>
      </w:r>
      <w:r>
        <w:rPr>
          <w:rFonts w:ascii="Arial" w:hAnsi="Arial"/>
          <w:color w:val="000000"/>
          <w:sz w:val="20"/>
        </w:rPr>
        <w:t>million of remaining delayed draw commitments under the facility.</w:t>
      </w:r>
    </w:p>
    <w:p>
      <w:pPr>
        <w:pStyle w:val="TextBody"/>
        <w:bidi w:val="0"/>
        <w:jc w:val="left"/>
        <w:rPr>
          <w:rFonts w:ascii="Arial" w:hAnsi="Arial"/>
          <w:color w:val="000000"/>
          <w:sz w:val="20"/>
        </w:rPr>
      </w:pPr>
      <w:r>
        <w:rPr>
          <w:rFonts w:ascii="Arial" w:hAnsi="Arial"/>
          <w:color w:val="000000"/>
          <w:sz w:val="20"/>
        </w:rPr>
        <w:t>The 2032 Notes bear interest at 5.0% per annum, payable quarterly, and mature on June 30, 2032. The 2032 Notes are secured by a first priority lien on substantially all assets of the Company, subject to permitted liens, and rank senior in right of payment to all unsecured indebtedness and junior lien indebtedness of each Issuer.</w:t>
      </w:r>
    </w:p>
    <w:p>
      <w:pPr>
        <w:pStyle w:val="TextBody"/>
        <w:bidi w:val="0"/>
        <w:jc w:val="left"/>
        <w:rPr>
          <w:rFonts w:ascii="Arial" w:hAnsi="Arial"/>
          <w:color w:val="000000"/>
          <w:sz w:val="20"/>
        </w:rPr>
      </w:pPr>
      <w:r>
        <w:rPr>
          <w:rFonts w:ascii="Arial" w:hAnsi="Arial"/>
          <w:color w:val="000000"/>
          <w:sz w:val="20"/>
        </w:rPr>
        <w:t>The Exchange Agreement and the 2032 Notes provide for a delayed draw facility under which additional notes may be issued from time to time up to the remaining commitment amount, subject to specified funding conditions. The Company, on behalf of itself, or the investors may elect to fund under the facility, with subsequent draws funded pro rata by the holders and evidenced by separate additional notes. The proceeds of any additional notes issued after the closing are required to be used for working capital and other general corporate purposes.</w:t>
      </w:r>
    </w:p>
    <w:p>
      <w:pPr>
        <w:pStyle w:val="TextBody"/>
        <w:bidi w:val="0"/>
        <w:jc w:val="left"/>
        <w:rPr>
          <w:rFonts w:ascii="Times New Roman" w:hAnsi="Times New Roman"/>
          <w:sz w:val="20"/>
        </w:rPr>
      </w:pPr>
      <w:r>
        <w:rPr>
          <w:rFonts w:ascii="Arial" w:hAnsi="Arial"/>
          <w:color w:val="000000"/>
          <w:sz w:val="20"/>
        </w:rPr>
        <w:t>The conversion price for each 2032 Note will equal 120% of the applicable reference price, calculated as the lower of the stock closing price or the average closing price of common stock for five trading days immediately preceding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signing of the 2032 Notes issued and at the applicable funding notice date for any additional notes. Each $1,000</w:t>
      </w:r>
      <w:r>
        <w:rPr>
          <w:rFonts w:ascii="Times New Roman" w:hAnsi="Times New Roman"/>
          <w:color w:val="000000"/>
          <w:sz w:val="20"/>
        </w:rPr>
        <w:t xml:space="preserve"> </w:t>
      </w:r>
      <w:r>
        <w:rPr>
          <w:rFonts w:ascii="Arial" w:hAnsi="Arial"/>
          <w:color w:val="000000"/>
          <w:sz w:val="20"/>
        </w:rPr>
        <w:t>principal amount of the first draw of the 2032 Notes is convertible into 71.72</w:t>
      </w:r>
      <w:r>
        <w:rPr>
          <w:rFonts w:ascii="Times New Roman" w:hAnsi="Times New Roman"/>
          <w:color w:val="000000"/>
          <w:sz w:val="20"/>
        </w:rPr>
        <w:t xml:space="preserve"> </w:t>
      </w:r>
      <w:r>
        <w:rPr>
          <w:rFonts w:ascii="Arial" w:hAnsi="Arial"/>
          <w:color w:val="000000"/>
          <w:sz w:val="20"/>
        </w:rPr>
        <w:t>shares of the Company’s common stock, which is equivalent to an initial conversion price of approximately $13.94</w:t>
      </w:r>
      <w:r>
        <w:rPr>
          <w:rFonts w:ascii="Times New Roman" w:hAnsi="Times New Roman"/>
          <w:color w:val="000000"/>
          <w:sz w:val="20"/>
        </w:rPr>
        <w:t xml:space="preserve"> </w:t>
      </w:r>
      <w:r>
        <w:rPr>
          <w:rFonts w:ascii="Arial" w:hAnsi="Arial"/>
          <w:color w:val="000000"/>
          <w:sz w:val="20"/>
        </w:rPr>
        <w:t>per share. Each $1,000</w:t>
      </w:r>
      <w:r>
        <w:rPr>
          <w:rFonts w:ascii="Times New Roman" w:hAnsi="Times New Roman"/>
          <w:color w:val="000000"/>
          <w:sz w:val="20"/>
        </w:rPr>
        <w:t xml:space="preserve"> </w:t>
      </w:r>
      <w:r>
        <w:rPr>
          <w:rFonts w:ascii="Arial" w:hAnsi="Arial"/>
          <w:color w:val="000000"/>
          <w:sz w:val="20"/>
        </w:rPr>
        <w:t>principal amount of the second draw of the 2032 Notes is convertible into 70.92</w:t>
      </w:r>
      <w:r>
        <w:rPr>
          <w:rFonts w:ascii="Times New Roman" w:hAnsi="Times New Roman"/>
          <w:color w:val="000000"/>
          <w:sz w:val="20"/>
        </w:rPr>
        <w:t xml:space="preserve"> </w:t>
      </w:r>
      <w:r>
        <w:rPr>
          <w:rFonts w:ascii="Arial" w:hAnsi="Arial"/>
          <w:color w:val="000000"/>
          <w:sz w:val="20"/>
        </w:rPr>
        <w:t>shares of the Company’s common stock, which is equivalent to an initial conversion price of approximately $14.10</w:t>
      </w:r>
      <w:r>
        <w:rPr>
          <w:rFonts w:ascii="Times New Roman" w:hAnsi="Times New Roman"/>
          <w:color w:val="000000"/>
          <w:sz w:val="20"/>
        </w:rPr>
        <w:t xml:space="preserve"> </w:t>
      </w:r>
      <w:r>
        <w:rPr>
          <w:rFonts w:ascii="Arial" w:hAnsi="Arial"/>
          <w:color w:val="000000"/>
          <w:sz w:val="20"/>
        </w:rPr>
        <w:t>per share. Each draw is subject to adjustment upon the occurrence of specified events. The 2032 Notes are convertible at the option of the noteholders given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On and after April 1, 2032, a noteholder may elect to convert at the market price conversion rate; defined as $1,000</w:t>
      </w:r>
      <w:r>
        <w:rPr>
          <w:color w:val="000000"/>
        </w:rPr>
        <w:t xml:space="preserve"> </w:t>
      </w:r>
      <w:r>
        <w:rPr>
          <w:rFonts w:ascii="Arial" w:hAnsi="Arial"/>
          <w:color w:val="000000"/>
          <w:sz w:val="20"/>
        </w:rPr>
        <w:t>divided by the last reported sales price, any time prior to the close of business on the second scheduled trading day immediately preceding the maturity date; provided that such conversion shall occur only to the extent that such conversion and the issuance of shares of Common Stock upon such conversion would comply with applicable listing rules of the applicable stock exchange;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On and after April 1, 2032, the 2032 Notes will be automatically converted if for thirty</w:t>
      </w:r>
      <w:r>
        <w:rPr>
          <w:color w:val="000000"/>
        </w:rPr>
        <w:t xml:space="preserve"> </w:t>
      </w:r>
      <w:r>
        <w:rPr>
          <w:rFonts w:ascii="Arial" w:hAnsi="Arial"/>
          <w:color w:val="000000"/>
          <w:sz w:val="20"/>
        </w:rPr>
        <w:t>consecutive trading days, (i) the last reported sale price is above $50</w:t>
      </w:r>
      <w:r>
        <w:rPr>
          <w:color w:val="000000"/>
        </w:rPr>
        <w:t xml:space="preserve"> </w:t>
      </w:r>
      <w:r>
        <w:rPr>
          <w:rFonts w:ascii="Arial" w:hAnsi="Arial"/>
          <w:color w:val="000000"/>
          <w:sz w:val="20"/>
        </w:rPr>
        <w:t>per share and (ii) the average daily trading volume per trading day is at least 100,000</w:t>
      </w:r>
      <w:r>
        <w:rPr>
          <w:color w:val="000000"/>
        </w:rPr>
        <w:t xml:space="preserve"> </w:t>
      </w:r>
      <w:r>
        <w:rPr>
          <w:rFonts w:ascii="Arial" w:hAnsi="Arial"/>
          <w:color w:val="000000"/>
          <w:sz w:val="20"/>
        </w:rPr>
        <w:t xml:space="preserve">shares and (iii) an effective registration statement is available with respect to the shares received upon conversion;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Upon the occurrence of specific corporate events such as a change in control or certain beneficial distributions to common stockholders;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noteholder may convert its 2032 Notes at any time from, and including, April 1, 2032 until the close of business on the second scheduled trading day immediately before the maturity date.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a fundamental change, holders may require the Company to repurchase their Notes for the principal amount to be repurchased plus accrued and unpaid interest. The Notes also require mandatory ratable redemption in specified circumstances, including certain non-permitted asset sales, casualty or condemnation events, debt issuances and liens, subject to the exceptions and limitations set forth in the 2032 Notes.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may settle conversions in shares of common stock, cash or a combination thereof at the Company's election.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accounts for the 2032 Notes as a single liability-classified instrument measured at amortized cost. As of June 30, 2026, the net carrying value was $40.0</w:t>
      </w:r>
      <w:r>
        <w:rPr>
          <w:rFonts w:ascii="Times New Roman" w:hAnsi="Times New Roman"/>
          <w:color w:val="000000"/>
          <w:sz w:val="20"/>
        </w:rPr>
        <w:t xml:space="preserve"> </w:t>
      </w:r>
      <w:r>
        <w:rPr>
          <w:rFonts w:ascii="Arial" w:hAnsi="Arial"/>
          <w:color w:val="000000"/>
          <w:sz w:val="20"/>
        </w:rPr>
        <w:t>million.</w:t>
      </w:r>
    </w:p>
    <w:p>
      <w:pPr>
        <w:pStyle w:val="TextBody"/>
        <w:bidi w:val="0"/>
        <w:jc w:val="left"/>
        <w:rPr>
          <w:rFonts w:ascii="Times New Roman" w:hAnsi="Times New Roman"/>
          <w:sz w:val="20"/>
        </w:rPr>
      </w:pPr>
      <w:r>
        <w:rPr>
          <w:rFonts w:ascii="Arial" w:hAnsi="Arial"/>
          <w:color w:val="000000"/>
          <w:sz w:val="20"/>
        </w:rPr>
        <w:t>The 2032 Notes were issued at par value and fees associated with the issuance of these 2032 Notes were immaterial. The interest expense was $0.2</w:t>
      </w:r>
      <w:r>
        <w:rPr>
          <w:rFonts w:ascii="Times New Roman" w:hAnsi="Times New Roman"/>
          <w:color w:val="000000"/>
          <w:sz w:val="20"/>
        </w:rPr>
        <w:t xml:space="preserve"> </w:t>
      </w:r>
      <w:r>
        <w:rPr>
          <w:rFonts w:ascii="Arial" w:hAnsi="Arial"/>
          <w:color w:val="000000"/>
          <w:sz w:val="20"/>
        </w:rPr>
        <w:t>million for the three and six months ended June 30, 2026, respectively. The effective interest rate of the 2032 Notes is 5.0%.</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Related Party Line of Credit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March 8, 2025, Vroom, Inc., UACC and its indirect subsidiary Darkwater Funding LLC, as co-borrowers, entered into a credit agreement for a $25.0</w:t>
      </w:r>
      <w:r>
        <w:rPr>
          <w:rFonts w:ascii="Times New Roman" w:hAnsi="Times New Roman"/>
          <w:color w:val="000000"/>
          <w:sz w:val="20"/>
        </w:rPr>
        <w:t xml:space="preserve"> </w:t>
      </w:r>
      <w:r>
        <w:rPr>
          <w:rFonts w:ascii="Arial" w:hAnsi="Arial"/>
          <w:color w:val="000000"/>
          <w:sz w:val="20"/>
        </w:rPr>
        <w:t>million Delayed Draw Facility with Mudrick Capital Management, L.P. (“Lender”), who was a 76.5% shareholder of the Company and as of January 14, 2025 became a related party. On October 9, 2025 the maximum facility amount was amended from $25.0</w:t>
      </w:r>
      <w:r>
        <w:rPr>
          <w:rFonts w:ascii="Times New Roman" w:hAnsi="Times New Roman"/>
          <w:color w:val="000000"/>
          <w:sz w:val="20"/>
        </w:rPr>
        <w:t xml:space="preserve"> </w:t>
      </w:r>
      <w:r>
        <w:rPr>
          <w:rFonts w:ascii="Arial" w:hAnsi="Arial"/>
          <w:color w:val="000000"/>
          <w:sz w:val="20"/>
        </w:rPr>
        <w:t>million to $35.0</w:t>
      </w:r>
      <w:r>
        <w:rPr>
          <w:rFonts w:ascii="Times New Roman" w:hAnsi="Times New Roman"/>
          <w:color w:val="000000"/>
          <w:sz w:val="20"/>
        </w:rPr>
        <w:t xml:space="preserve"> </w:t>
      </w:r>
      <w:r>
        <w:rPr>
          <w:rFonts w:ascii="Arial" w:hAnsi="Arial"/>
          <w:color w:val="000000"/>
          <w:sz w:val="20"/>
        </w:rPr>
        <w:t>million effective as of September 30, 2025. The Delayed Draw Facility allows for multiple drawdowns by each co-borrower, subject to satisfaction of usual and customary conditions precedent. The Delayed Draw Facility bears interest at a rate of Term SOFR</w:t>
      </w:r>
      <w:r>
        <w:rPr>
          <w:rFonts w:ascii="Times New Roman" w:hAnsi="Times New Roman"/>
          <w:color w:val="000000"/>
          <w:sz w:val="20"/>
        </w:rPr>
        <w:t xml:space="preserve"> </w:t>
      </w:r>
      <w:r>
        <w:rPr>
          <w:rFonts w:ascii="Arial" w:hAnsi="Arial"/>
          <w:color w:val="000000"/>
          <w:sz w:val="20"/>
        </w:rPr>
        <w:t>+850</w:t>
      </w:r>
      <w:r>
        <w:rPr>
          <w:rFonts w:ascii="Times New Roman" w:hAnsi="Times New Roman"/>
          <w:color w:val="000000"/>
          <w:sz w:val="20"/>
        </w:rPr>
        <w:t xml:space="preserve"> </w:t>
      </w:r>
      <w:r>
        <w:rPr>
          <w:rFonts w:ascii="Arial" w:hAnsi="Arial"/>
          <w:color w:val="000000"/>
          <w:sz w:val="20"/>
        </w:rPr>
        <w:t>bps, payable quarterly in arrears, with a full payment-in-kind option. Interest is also payable upon any payment of principal. The co-borrowers’ obligations under the Delayed Draw Facility will be collateralized by asset backed residual certificates in certain UACC securitization trusts. The Delayed Draw Facility was amended in July 2026 and now matures on December 31, 2027; however, borrowings can be prepaid at any time, in whole or in part, without penalty or premium. Once amounts are repaid they may not be reborrowed. The Delayed Draw Facility includes certain usual and customary covenants with respect to the co-borrowers’ activities and the collateral. As discussed above, $8.0</w:t>
      </w:r>
      <w:r>
        <w:rPr>
          <w:rFonts w:ascii="Times New Roman" w:hAnsi="Times New Roman"/>
          <w:color w:val="000000"/>
          <w:sz w:val="20"/>
        </w:rPr>
        <w:t xml:space="preserve"> </w:t>
      </w:r>
      <w:r>
        <w:rPr>
          <w:rFonts w:ascii="Arial" w:hAnsi="Arial"/>
          <w:color w:val="000000"/>
          <w:sz w:val="20"/>
        </w:rPr>
        <w:t>million of outstanding borrowings under the Delayed Draw Facility were exchanged for the 2032 Notes. As of June 30, 2026, $27.0</w:t>
      </w:r>
      <w:r>
        <w:rPr>
          <w:rFonts w:ascii="Times New Roman" w:hAnsi="Times New Roman"/>
          <w:color w:val="000000"/>
          <w:sz w:val="20"/>
        </w:rPr>
        <w:t xml:space="preserve"> </w:t>
      </w:r>
      <w:r>
        <w:rPr>
          <w:rFonts w:ascii="Arial" w:hAnsi="Arial"/>
          <w:color w:val="000000"/>
          <w:sz w:val="20"/>
        </w:rPr>
        <w:t>million remains available under the Delayed Draw Facility.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November 25, 2025, Vroom, Inc. entered into a Note Purchase Agreement with Robert J. Mylod, Jr.,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Independent Executive Chair of the board of directors of the Company. Pursuant to the Note Purchase Agreement, the Company issued the Senior Secured Delayed Draw Notes due 2026 (the “Delayed Draw Notes”) in a maximum aggregate principal commitment amount of $10.5</w:t>
      </w:r>
      <w:r>
        <w:rPr>
          <w:rFonts w:ascii="Times New Roman" w:hAnsi="Times New Roman"/>
          <w:color w:val="000000"/>
          <w:sz w:val="20"/>
        </w:rPr>
        <w:t xml:space="preserve"> </w:t>
      </w:r>
      <w:r>
        <w:rPr>
          <w:rFonts w:ascii="Arial" w:hAnsi="Arial"/>
          <w:color w:val="000000"/>
          <w:sz w:val="20"/>
        </w:rPr>
        <w:t>million. The Delayed Draw Notes bore interest, payable quarterly in arrears, at a per annum rate equal to Term SOFR</w:t>
      </w:r>
      <w:r>
        <w:rPr>
          <w:rFonts w:ascii="Times New Roman" w:hAnsi="Times New Roman"/>
          <w:color w:val="000000"/>
          <w:sz w:val="20"/>
        </w:rPr>
        <w:t xml:space="preserve"> </w:t>
      </w:r>
      <w:r>
        <w:rPr>
          <w:rFonts w:ascii="Arial" w:hAnsi="Arial"/>
          <w:color w:val="000000"/>
          <w:sz w:val="20"/>
        </w:rPr>
        <w:t>(three-month tenor) plus 7.50%, and contain customary covenants, events of default, and conditions for subsequent note issuance. The Delayed Draw Notes were secured by the assets of the Company under the security agreement issued by the Company. As discussed above, $10.5</w:t>
      </w:r>
      <w:r>
        <w:rPr>
          <w:rFonts w:ascii="Times New Roman" w:hAnsi="Times New Roman"/>
          <w:color w:val="000000"/>
          <w:sz w:val="20"/>
        </w:rPr>
        <w:t xml:space="preserve"> </w:t>
      </w:r>
      <w:r>
        <w:rPr>
          <w:rFonts w:ascii="Arial" w:hAnsi="Arial"/>
          <w:color w:val="000000"/>
          <w:sz w:val="20"/>
        </w:rPr>
        <w:t>million of outstanding borrowings under the Delayed Draw Notes were exchanged for the 2032 Notes.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Related Party Convertible Notes due 2030</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August 29, 2025, the Company issued $10.0</w:t>
      </w:r>
      <w:r>
        <w:rPr>
          <w:rFonts w:ascii="Times New Roman" w:hAnsi="Times New Roman"/>
          <w:color w:val="000000"/>
          <w:sz w:val="20"/>
        </w:rPr>
        <w:t xml:space="preserve"> </w:t>
      </w:r>
      <w:r>
        <w:rPr>
          <w:rFonts w:ascii="Arial" w:hAnsi="Arial"/>
          <w:color w:val="000000"/>
          <w:sz w:val="20"/>
        </w:rPr>
        <w:t>million aggregate principal amount of 5.00% unsecured Convertible Notes due 2030 (the "2030 Notes"). The 2030 Notes were issued pursuant to a Note Purchase Agreement with Annox Capital, LLC and Robert J. Mylod, Jr, the Managing Partner of Annox Capital, LLC and the Independent Executive Chair of the board of directors of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2030 Notes bore interest at a rate of 5.0% per annum, payable quarterly</w:t>
      </w:r>
      <w:r>
        <w:rPr>
          <w:rFonts w:ascii="Times New Roman" w:hAnsi="Times New Roman"/>
          <w:color w:val="000000"/>
          <w:sz w:val="20"/>
        </w:rPr>
        <w:t xml:space="preserve"> </w:t>
      </w:r>
      <w:r>
        <w:rPr>
          <w:rFonts w:ascii="Arial" w:hAnsi="Arial"/>
          <w:color w:val="000000"/>
          <w:sz w:val="20"/>
        </w:rPr>
        <w:t>in arrears on January 1, April 1, July 1, and October 1 of each year, commencing on October 1, 2025. The 2030 Notes originally matured on October 1, 2030, unless earlier converted.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Each $1,000</w:t>
      </w:r>
      <w:r>
        <w:rPr>
          <w:rFonts w:ascii="Times New Roman" w:hAnsi="Times New Roman"/>
          <w:color w:val="000000"/>
          <w:sz w:val="20"/>
        </w:rPr>
        <w:t xml:space="preserve"> </w:t>
      </w:r>
      <w:r>
        <w:rPr>
          <w:rFonts w:ascii="Arial" w:hAnsi="Arial"/>
          <w:color w:val="000000"/>
          <w:sz w:val="20"/>
        </w:rPr>
        <w:t>principal amount of the 2030 Notes were initially convertible into 28.5714</w:t>
      </w:r>
      <w:r>
        <w:rPr>
          <w:rFonts w:ascii="Times New Roman" w:hAnsi="Times New Roman"/>
          <w:color w:val="000000"/>
          <w:sz w:val="20"/>
        </w:rPr>
        <w:t xml:space="preserve"> </w:t>
      </w:r>
      <w:r>
        <w:rPr>
          <w:rFonts w:ascii="Arial" w:hAnsi="Arial"/>
          <w:color w:val="000000"/>
          <w:sz w:val="20"/>
        </w:rPr>
        <w:t>shares of the Company’s common stock, which is equivalent to an initial conversion price of approximately $35.00</w:t>
      </w:r>
      <w:r>
        <w:rPr>
          <w:rFonts w:ascii="Times New Roman" w:hAnsi="Times New Roman"/>
          <w:color w:val="000000"/>
          <w:sz w:val="20"/>
        </w:rPr>
        <w:t xml:space="preserve"> </w:t>
      </w:r>
      <w:r>
        <w:rPr>
          <w:rFonts w:ascii="Arial" w:hAnsi="Arial"/>
          <w:color w:val="000000"/>
          <w:sz w:val="20"/>
        </w:rPr>
        <w:t>per share, subject to adjustment upon the occurrence of specified events. The 2030 Notes were convertible at the option of the noteholders given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noteholder had the right to elect to convert at the market price conversion rate (as defined within the Note Purchase Agreement) any time prior to the close of business on the second scheduled trading day immediately preceding the maturity date; provided that the aggregate conversion shares (as defined within the Note Purchase Agreement) issued under any 2030 Notes did not exceed 20% of the Company’s outstanding Common Stock as of the issuance date unless shareholder approval was obtained or is not required under the relevant exchange rules for issuance in excess of the 20% cap;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noteholder had the right to convert its 2030 Notes at any time from, and including, July 1, 2030 until the close of business on the second scheduled trading day immediately before the maturity date;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2030 Notes would be automatically converted if for thirty consecutive trading days, (i) the last reported sale price is above $50 per share and (ii) the average daily trading volume per trading day was at least 25,000 shares and (iii) an effective registration statement was available with respect to the shares received upon conversion;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Upon the occurrence of specific corporate events such as a change in control or certain beneficial distributions to common stockholders (as set forth in the Note Purchase Agreement).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had the right to settle conversions by paying or delivering, as applicable, cash, shares of its common stock or a combination of cash and shares of its common stock, at the Company’s election.</w:t>
      </w:r>
    </w:p>
    <w:p>
      <w:pPr>
        <w:pStyle w:val="TextBody"/>
        <w:bidi w:val="0"/>
        <w:jc w:val="left"/>
        <w:rPr>
          <w:rFonts w:ascii="Times New Roman" w:hAnsi="Times New Roman"/>
          <w:sz w:val="20"/>
        </w:rPr>
      </w:pPr>
      <w:r>
        <w:rPr>
          <w:rFonts w:ascii="Arial" w:hAnsi="Arial"/>
          <w:color w:val="000000"/>
          <w:sz w:val="20"/>
        </w:rPr>
        <w:t>If the Company underwent a fundamental change (as defined in the Note Purchase Agreement), subject to certain conditions, holders of the 2030 Notes had the right to require the Company to repurchase for cash all or any portion of the 2030 Notes at a repurchase price equal to the principal amount of the 2030 Notes plus any accrued and unpaid interest. In addition, if specific corporate events occurred prior to the maturity date or if the Company issued a notice of redemption, the Company would increase the conversion rate by pre-defined amounts for a holder who elected to convert their 2030 Notes in connection with such a corporate event.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Company accounted for the 2030 Notes as a single liability-classified instrument measured at amortized cost. As of December 31, 2025, the net carrying value was $10.0</w:t>
      </w:r>
      <w:r>
        <w:rPr>
          <w:rFonts w:ascii="Times New Roman" w:hAnsi="Times New Roman"/>
          <w:color w:val="000000"/>
          <w:sz w:val="20"/>
        </w:rPr>
        <w:t xml:space="preserve"> </w:t>
      </w:r>
      <w:r>
        <w:rPr>
          <w:rFonts w:ascii="Arial" w:hAnsi="Arial"/>
          <w:color w:val="000000"/>
          <w:sz w:val="20"/>
        </w:rPr>
        <w:t>million. As discussed above, 2030 Notes were exchanged for the 2032 Notes in May 2026. The 2030 Notes were issued at par value and fees associated with the issuance of these 2030 Notes were immaterial. The interest expense was $0.2</w:t>
      </w:r>
      <w:r>
        <w:rPr>
          <w:rFonts w:ascii="Times New Roman" w:hAnsi="Times New Roman"/>
          <w:color w:val="000000"/>
          <w:sz w:val="20"/>
        </w:rPr>
        <w:t xml:space="preserve"> </w:t>
      </w:r>
      <w:r>
        <w:rPr>
          <w:rFonts w:ascii="Arial" w:hAnsi="Arial"/>
          <w:color w:val="000000"/>
          <w:sz w:val="20"/>
        </w:rPr>
        <w:t>million for the six months ended June 30, 2026. The effective interest rate of the 2030 Notes is 5.0%.</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bookmarkStart w:id="10" w:name="item_2_mda"/>
      <w:bookmarkEnd w:id="10"/>
      <w:r>
        <w:rPr>
          <w:rFonts w:ascii="Arial" w:hAnsi="Arial"/>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in the section titled "Risk Factors" in Part I, Item 1A of our Annual Report on Form 10-K for the year ended December 31, 2025 (the “Annual Report”), as updated by reference into the section titled "Risk Factors" in Part II, Item 1A of this Quarterly Report on Form 10-Q. Additionally, our historical results are not necessarily indicative of the results that may be expected for any period in the future.</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Recent Events</w:t>
      </w:r>
    </w:p>
    <w:p>
      <w:pPr>
        <w:pStyle w:val="TextBody"/>
        <w:bidi w:val="0"/>
        <w:jc w:val="center"/>
        <w:rPr/>
      </w:pPr>
      <w:r>
        <w:rPr/>
        <w:t> </w:t>
      </w:r>
    </w:p>
    <w:p>
      <w:pPr>
        <w:pStyle w:val="TextBody"/>
        <w:bidi w:val="0"/>
        <w:jc w:val="left"/>
        <w:rPr>
          <w:rFonts w:ascii="Arial" w:hAnsi="Arial"/>
          <w:b/>
          <w:i/>
          <w:color w:val="000000"/>
          <w:sz w:val="20"/>
        </w:rPr>
      </w:pPr>
      <w:r>
        <w:rPr>
          <w:rFonts w:ascii="Arial" w:hAnsi="Arial"/>
          <w:b/>
          <w:i/>
          <w:color w:val="000000"/>
          <w:sz w:val="20"/>
        </w:rPr>
        <w:t>Exchange Agreement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May 14, 2026, the Company entered into an Exchange and Subscription Agreement (the “Exchange Agreement”) with the investors party thereto and a collateral agent, pursuant to which the Company agreed to co-issue, as joint and several obligations, up to $50.0 million aggregate principal amount of Senior Secured Delayed Draw Convertible Notes due 2032 (the “2032 Notes”). At the closing, certain investors exchanged $28.5 million aggregate principal amount of outstanding notes of the Company, together with accrued and unpaid interest thereon through the closing date, for the 2032 Notes. The outstanding notes to be exchanged consist of $10.0 million of 5.0% Convertible Senior Notes due 2030, $10.5 million of Senior Secured Delayed Draw Notes due 2026 and $8.0 million of notes outstanding under the delayed draw term loan facility with Mudrick Capital Management, L.P. On May 29, 2026 the Company drew an additional $11.5 million, leaving $10.0 million of remaining delayed draw commitments under the 2032 Notes.</w:t>
      </w:r>
    </w:p>
    <w:p>
      <w:pPr>
        <w:pStyle w:val="TextBody"/>
        <w:bidi w:val="0"/>
        <w:jc w:val="left"/>
        <w:rPr>
          <w:rFonts w:ascii="Arial" w:hAnsi="Arial"/>
          <w:color w:val="000000"/>
          <w:sz w:val="20"/>
        </w:rPr>
      </w:pPr>
      <w:r>
        <w:rPr>
          <w:rFonts w:ascii="Arial" w:hAnsi="Arial"/>
          <w:color w:val="000000"/>
          <w:sz w:val="20"/>
        </w:rPr>
        <w:t>The 2032 Notes bear interest at 5.0% per annum, payable quarterly, and mature on June 30, 2032. The 2032 Notes are secured by a first priority lien on substantially all assets of the Company, subject to permitted liens, and rank senior in right of payment to all unsecured indebtedness and junior lien indebtedness of each Issuer.</w:t>
      </w:r>
    </w:p>
    <w:p>
      <w:pPr>
        <w:pStyle w:val="TextBody"/>
        <w:bidi w:val="0"/>
        <w:jc w:val="left"/>
        <w:rPr>
          <w:rFonts w:ascii="Arial" w:hAnsi="Arial"/>
          <w:color w:val="000000"/>
          <w:sz w:val="20"/>
        </w:rPr>
      </w:pPr>
      <w:r>
        <w:rPr>
          <w:rFonts w:ascii="Arial" w:hAnsi="Arial"/>
          <w:color w:val="000000"/>
          <w:sz w:val="20"/>
        </w:rPr>
        <w:t>The Exchange Agreement and the 2032 Notes provide for a delayed draw facility under which Additional Notes may be issued from time to time up to the remaining commitment amount, subject to specified funding conditions. The Company, on behalf of itself, or the investors may elect to fund under the facility, with subsequent draws funded pro rata by the holders and evidenced by separate Additional Notes. The proceeds of any Additional Notes issued after the closing are required to be used for working capital and other general corporate purposes of the Company.</w:t>
      </w:r>
    </w:p>
    <w:p>
      <w:pPr>
        <w:pStyle w:val="TextBody"/>
        <w:bidi w:val="0"/>
        <w:jc w:val="left"/>
        <w:rPr>
          <w:rFonts w:ascii="Arial" w:hAnsi="Arial"/>
          <w:color w:val="000000"/>
          <w:sz w:val="20"/>
        </w:rPr>
      </w:pPr>
      <w:r>
        <w:rPr>
          <w:rFonts w:ascii="Arial" w:hAnsi="Arial"/>
          <w:color w:val="000000"/>
          <w:sz w:val="20"/>
        </w:rPr>
        <w:t>The conversion price for each 2032 Note will equal 120% of the applicable reference price, determined at signing for 2032 Notes issued at the closing and at the applicable funding notice date for any additional notes. Subject to specified limitations, holders may convert their 2032 Notes on and after April 1, 2032, and the 2032 Notes may also become convertible in connection with certain specified corporate events. The Company may settle conversions in shares of common stock, cash or a combination thereof.</w:t>
      </w:r>
    </w:p>
    <w:p>
      <w:pPr>
        <w:pStyle w:val="TextBody"/>
        <w:bidi w:val="0"/>
        <w:jc w:val="left"/>
        <w:rPr>
          <w:rFonts w:ascii="Arial" w:hAnsi="Arial"/>
          <w:color w:val="000000"/>
          <w:sz w:val="20"/>
        </w:rPr>
      </w:pPr>
      <w:r>
        <w:rPr>
          <w:rFonts w:ascii="Arial" w:hAnsi="Arial"/>
          <w:color w:val="000000"/>
          <w:sz w:val="20"/>
        </w:rPr>
        <w:t>Upon a fundamental change, holders may require the Company to repurchase their 2032 Notes for the principal amount to be repurchased plus accrued and unpaid interest. The 2032 Notes also require mandatory ratable redemption in specified circumstances, including certain non-permitted asset sales, casualty or condemnation events, debt issuances and liens, subject to the exceptions and limitations set forth in the 2032 Notes.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Issuance of Preferred Stock Units</w:t>
      </w:r>
    </w:p>
    <w:p>
      <w:pPr>
        <w:pStyle w:val="TextBody"/>
        <w:bidi w:val="0"/>
        <w:jc w:val="left"/>
        <w:rPr/>
      </w:pPr>
      <w:r>
        <w:rPr/>
        <w:t> </w:t>
      </w:r>
    </w:p>
    <w:p>
      <w:pPr>
        <w:pStyle w:val="TextBody"/>
        <w:bidi w:val="0"/>
        <w:spacing w:before="0" w:after="160"/>
        <w:jc w:val="left"/>
        <w:rPr>
          <w:rFonts w:ascii="Arial" w:hAnsi="Arial"/>
          <w:color w:val="000000"/>
          <w:sz w:val="20"/>
        </w:rPr>
      </w:pPr>
      <w:r>
        <w:rPr>
          <w:rFonts w:ascii="Arial" w:hAnsi="Arial"/>
          <w:color w:val="000000"/>
          <w:sz w:val="20"/>
        </w:rPr>
        <w:t>On January 16, 2026, Vroom Automotive, LLC, a Delaware limited liability company and an indirect subsidiary of Vroom Inc. issued to SPE Holdings 2026-1, a Delaware statutory trust (“SPE Holdings”), 15,000 newly issued Series A preferred units and 7,500 newly issued Series B preferred units (collectively, the "Vroom Automotive Preferred Units") for aggregate gross proceeds of $22.5 million, pursuant to a Preferred Unit Purchase Agreement.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0" w:after="160"/>
        <w:jc w:val="left"/>
        <w:rPr>
          <w:rFonts w:ascii="Arial" w:hAnsi="Arial"/>
          <w:color w:val="000000"/>
          <w:sz w:val="20"/>
        </w:rPr>
      </w:pPr>
      <w:r>
        <w:rPr>
          <w:rFonts w:ascii="Arial" w:hAnsi="Arial"/>
          <w:color w:val="000000"/>
          <w:sz w:val="20"/>
        </w:rPr>
        <w:t>The Vroom Automotive Preferred Units will be entitled to receive a quarterly preferential distribution, equal to the liquidation preference of such Vroom Automotive Preferred Units multiplied by a variable distribution rate, which will reset on each quarterly distribution date in an amount equal to the ninety (90) day average of the Secured Overnight Financing Rate (SOFR) plus a spread of 8.25% for Series A Preferred Units and 9% for Series B Preferred Units. The Series B Preferred Units are convertible into common units of Vroom Automotive at the option of the Counterparty at any time. The Series A Preferred Units are not convertible.</w:t>
      </w:r>
    </w:p>
    <w:p>
      <w:pPr>
        <w:pStyle w:val="TextBody"/>
        <w:bidi w:val="0"/>
        <w:jc w:val="left"/>
        <w:rPr>
          <w:rFonts w:ascii="Arial" w:hAnsi="Arial"/>
          <w:b/>
          <w:i/>
          <w:color w:val="000000"/>
          <w:sz w:val="20"/>
        </w:rPr>
      </w:pPr>
      <w:r>
        <w:rPr>
          <w:rFonts w:ascii="Arial" w:hAnsi="Arial"/>
          <w:b/>
          <w:i/>
          <w:color w:val="000000"/>
          <w:sz w:val="20"/>
        </w:rPr>
        <w:t>Going Concern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accompanying unaudited condensed consolidated financial statements have been prepared on the basis that we will continue to operate as a going concern, which contemplates that we will be able to realize assets and settle liabilities and commitments in the normal course of business for twelve months following the issuance date.</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Vroom owns United Auto Credit Corporation, a leading automotive finance company that offers vehicle financing to consumers through third-party dealers under the UACC brand, and the CarStory business, a leader in AI-powered analytics and digital services supporting the automotive industry.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color w:val="000000"/>
          <w:sz w:val="20"/>
          <w:u w:val="single"/>
        </w:rPr>
      </w:pPr>
      <w:r>
        <w:rPr>
          <w:rFonts w:ascii="Arial" w:hAnsi="Arial"/>
          <w:b/>
          <w:color w:val="000000"/>
          <w:sz w:val="20"/>
          <w:u w:val="single"/>
        </w:rPr>
        <w:t>UACC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is an indirect lender that offers vehicle financing to consumers through a network of motor vehicle dealers under the UACC brand, focusing primarily on the non-prime market. Our non-prime credit programs aim to broaden access to vehicle ownership for individuals who would not otherwise qualify for financing. UACC’s financing is intended to help consumers build credit and ultimately be eligible for more traditional sources of financing. Prior to the Ecommerce Wind-Down, UACC also offered vehicle financing to Vroom’s customers through its ecommerce platform.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which has been engaged in automotive finance since 1996, currently offers financing services to a nationwide network of thousands of independent motor vehicle dealers and manufacturer-franchised dealers in 49 states, and we seek to optimize that network over time. UACC enables these dealers to finance their customers' purchases of automobiles, medium and light duty trucks and vans with competitive financing terms. The credit programs offered by UACC are primarily designed to serve consumers who have limited access to traditional motor vehicle financing.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to its financing expertise, the UACC platform brings with it extensive application processing, underwriting, and servicing capabilities. UACC services the retail installment sales contracts it originates or purchases and will continue to service the contracts it originated or purchased for customers of Vroom’s former ecommerce business. Because UACC focuses primarily on the non-prime market, it generally sustains a higher level of delinquencies and credit losses than that experienced by traditional motor vehicle financing sources. As of June 30, 2026, UACC serviced a portfolio of approximately 75,000 retail installment sales contracts with an aggregate principal outstanding balance of approximately $925.0 million.</w:t>
      </w:r>
    </w:p>
    <w:p>
      <w:pPr>
        <w:pStyle w:val="TextBody"/>
        <w:bidi w:val="0"/>
        <w:jc w:val="left"/>
        <w:rPr/>
      </w:pPr>
      <w:r>
        <w:rPr/>
        <w:t> </w:t>
      </w:r>
    </w:p>
    <w:p>
      <w:pPr>
        <w:pStyle w:val="TextBody"/>
        <w:bidi w:val="0"/>
        <w:jc w:val="center"/>
        <w:rPr>
          <w:rFonts w:ascii="Arial" w:hAnsi="Arial"/>
          <w:b/>
          <w:color w:val="000000"/>
          <w:sz w:val="20"/>
          <w:u w:val="single"/>
        </w:rPr>
      </w:pPr>
      <w:r>
        <w:rPr>
          <w:rFonts w:ascii="Arial" w:hAnsi="Arial"/>
          <w:b/>
          <w:color w:val="000000"/>
          <w:sz w:val="20"/>
          <w:u w:val="single"/>
        </w:rPr>
        <w:t>CarStory</w:t>
      </w:r>
    </w:p>
    <w:p>
      <w:pPr>
        <w:pStyle w:val="TextBody"/>
        <w:bidi w:val="0"/>
        <w:spacing w:before="240" w:after="240"/>
        <w:jc w:val="left"/>
        <w:rPr>
          <w:rFonts w:ascii="Times New Roman" w:hAnsi="Times New Roman"/>
          <w:sz w:val="20"/>
        </w:rPr>
      </w:pPr>
      <w:r>
        <w:rPr>
          <w:rFonts w:ascii="Arial" w:hAnsi="Arial"/>
          <w:color w:val="000000"/>
          <w:sz w:val="20"/>
        </w:rPr>
        <w:t>CarStory offers AI-powered analytics and digital services to dealers, automotive financial services companies and others in the automotive industry, which use CarStory’s solutions to enhance their customer experience and drive increased vehicle purchases.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Leveraging computer vision and AI, CarStory has curated a comprehensive used vehicle information database, including over 262 million vehicle identification numbers ("VINs"), 209 million window stickers, 4.3 billion vehicle photos and 422 million sales cycles, along with price and price elasticity models.</w:t>
      </w:r>
      <w:r>
        <w:rPr>
          <w:rFonts w:ascii="Times New Roman" w:hAnsi="Times New Roman"/>
          <w:color w:val="000000"/>
          <w:sz w:val="20"/>
        </w:rPr>
        <w:t xml:space="preserve"> </w:t>
      </w:r>
      <w:r>
        <w:rPr>
          <w:rFonts w:ascii="Arial" w:hAnsi="Arial"/>
          <w:color w:val="000000"/>
          <w:sz w:val="20"/>
        </w:rPr>
        <w:t xml:space="preserve">CarStory receives data for over 4.2 million unique VINs listed for sale every day, resulting in CarStory having data for an estimated 80% of U.S. consumer vehicles. </w:t>
      </w:r>
      <w:r>
        <w:rPr>
          <w:rFonts w:ascii="Arial" w:hAnsi="Arial"/>
          <w:color w:val="1D1C1D"/>
          <w:sz w:val="20"/>
        </w:rPr>
        <w:t>This data is aggregated with demand insights from millions of consumer sessions and data from CarStory’s proprietary VIN database to generate more accurate vehicle valuations</w:t>
      </w:r>
      <w:r>
        <w:rPr>
          <w:rFonts w:ascii="Arial" w:hAnsi="Arial"/>
          <w:color w:val="000000"/>
          <w:sz w:val="20"/>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CarStory helps dealers optimize their pricing by leveraging data science models for retail pricing that provide predictive pricing for marketing, buying, selling and VIN-level features. Unlike simple averages, we believe CarStory’s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40"/>
        <w:jc w:val="left"/>
        <w:rPr>
          <w:rFonts w:ascii="Arial" w:hAnsi="Arial"/>
          <w:color w:val="000000"/>
          <w:sz w:val="20"/>
        </w:rPr>
      </w:pPr>
      <w:r>
        <w:rPr>
          <w:rFonts w:ascii="Arial" w:hAnsi="Arial"/>
          <w:color w:val="000000"/>
          <w:sz w:val="20"/>
        </w:rPr>
        <w:t>patented neural-net algorithm can provide a highly accurate market price (the “CarStory Real Market Price”) for vehicle valuations by accounting for factors that averages often miss, such as local market dynamics and dealer performance.</w:t>
      </w:r>
    </w:p>
    <w:p>
      <w:pPr>
        <w:pStyle w:val="TextBody"/>
        <w:bidi w:val="0"/>
        <w:spacing w:before="0" w:after="240"/>
        <w:jc w:val="left"/>
        <w:rPr>
          <w:rFonts w:ascii="Arial" w:hAnsi="Arial"/>
          <w:color w:val="000000"/>
          <w:sz w:val="20"/>
        </w:rPr>
      </w:pPr>
      <w:r>
        <w:rPr>
          <w:rFonts w:ascii="Arial" w:hAnsi="Arial"/>
          <w:color w:val="000000"/>
          <w:sz w:val="20"/>
        </w:rPr>
        <w:t>In addition to its data analytics and AI-based pricing solutions, CarStory creates and powers digital experiences for end consumers, including automotive marketplaces, vehicle market reports, and trade-in and appraisal products. CarStory's digital experiences are designed with user behavior data to engage consumers and drive more consumers to vehicle purchase decisions.</w:t>
      </w:r>
    </w:p>
    <w:p>
      <w:pPr>
        <w:pStyle w:val="TextBody"/>
        <w:bidi w:val="0"/>
        <w:spacing w:before="0" w:after="240"/>
        <w:jc w:val="center"/>
        <w:rPr>
          <w:rFonts w:ascii="Arial" w:hAnsi="Arial"/>
          <w:b/>
          <w:color w:val="000000"/>
          <w:sz w:val="20"/>
          <w:u w:val="single"/>
        </w:rPr>
      </w:pPr>
      <w:r>
        <w:rPr>
          <w:rFonts w:ascii="Arial" w:hAnsi="Arial"/>
          <w:b/>
          <w:color w:val="000000"/>
          <w:sz w:val="20"/>
          <w:u w:val="single"/>
        </w:rPr>
        <w:t>Long-Term Strategic Plan</w:t>
      </w:r>
    </w:p>
    <w:p>
      <w:pPr>
        <w:pStyle w:val="TextBody"/>
        <w:bidi w:val="0"/>
        <w:jc w:val="left"/>
        <w:rPr>
          <w:rFonts w:ascii="Arial" w:hAnsi="Arial"/>
          <w:color w:val="000000"/>
          <w:sz w:val="20"/>
        </w:rPr>
      </w:pPr>
      <w:r>
        <w:rPr>
          <w:rFonts w:ascii="Arial" w:hAnsi="Arial"/>
          <w:color w:val="000000"/>
          <w:sz w:val="20"/>
        </w:rPr>
        <w:t>Since announcing the Value Maximization Plan in January 2024, the Company has pivoted to executing a long-term strategic plan ("Long-Term Strategic Plan") that leverages our core assets, including Vroom and CarStory technology, to improve the profitability of the business through four strategic initiatives: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 xml:space="preserve">Build a world class lending program by focusing on using advanced models and analytics to better predict losses and drive profitable growth at UACC. </w:t>
      </w:r>
      <w:r>
        <w:rPr>
          <w:rFonts w:ascii="Arial" w:hAnsi="Arial"/>
          <w:color w:val="000000"/>
          <w:sz w:val="20"/>
        </w:rPr>
        <w:t>We modernized our lending infrastructure by launching a proprietary automated underwriting decision engine in June 2025. This technology greatly accelerates application processing. In September 2025, we launched our redeveloped custom credit-scoring model, which we believe should better evaluate segments of risk and enhance our risk precision. We expect to continue making improvements to our advanced models and analytics in furtherance of this initiative.</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 xml:space="preserve">Build a world class sales and marketing program by attracting and retaining the best dealers and driving deeper dealer engagement to enable growth. </w:t>
      </w:r>
      <w:r>
        <w:rPr>
          <w:rFonts w:ascii="Arial" w:hAnsi="Arial"/>
          <w:color w:val="000000"/>
          <w:sz w:val="20"/>
        </w:rPr>
        <w:t xml:space="preserve">In 2025, our technology teams made substantial progress towards modernizing our infrastructure to drive speed and scalability. This included a complete overhaul of Fast Lane, UACC’s online dealer portal. Launched in early 2026, this upgraded platform leverages direct dealer feedback to minimize friction, increase application volume, and streamline the user experience.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Build operational excellence in originations by enhancing systemic capabilities and decisioning for a more efficient process.</w:t>
      </w:r>
      <w:r>
        <w:rPr>
          <w:color w:val="000000"/>
        </w:rPr>
        <w:t xml:space="preserve"> </w:t>
      </w:r>
      <w:r>
        <w:rPr>
          <w:rFonts w:ascii="Arial" w:hAnsi="Arial"/>
          <w:color w:val="000000"/>
          <w:sz w:val="20"/>
        </w:rPr>
        <w:t xml:space="preserve">In 2025, we drove operational efficiency by integrating Vroom’s patented AI agent into certain aspects of UACC’s funding process. This integration helped automate verification and is intended to reduce fraud and lower the cost-per-funded contract.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Build operational excellence in servicing by utilizing data science, advanced analytics and technology to enable an improved approach to servicing effectiveness.</w:t>
      </w:r>
      <w:r>
        <w:rPr>
          <w:color w:val="000000"/>
        </w:rPr>
        <w:t xml:space="preserve"> </w:t>
      </w:r>
      <w:r>
        <w:rPr>
          <w:rFonts w:ascii="Arial" w:hAnsi="Arial"/>
          <w:color w:val="000000"/>
          <w:sz w:val="20"/>
        </w:rPr>
        <w:t xml:space="preserve">We are transforming servicing effectiveness through a digital-first strategy. The launch of our native mobile apps, for iOS and Android, in 2024 and redesigned website in 2025 drove digital adoption among accountholders. These platforms empower accountholders with self-service options, reducing manual service burden. We expect to continue making targeted improvements to the mobile app, website and other components of servicing based on our data science and advanced analytics.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remain focused on returning the UACC business to profitability by improving cumulative net loss (“CNL”), origination cost per funded contract, servicing cost per contract, and fixed costs.</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Non-GAAP Financial Measures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to our results determined in accordance with U.S. GAAP, we believe certain non-GAAP financial measures are useful in evaluating our operating performance.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net income (loss) is a supplemental performance measure that our management uses to assess our operating performance and the operating leverage in our business. Adjusted net income (loss) facilitates internal comparisons of our historical operating performance on a more consistent basis, therefore we use this measure for business planning purposes.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Adjusted net income (loss) has limitations as an analytical tool because it does not reflect all of the amounts associated with our results of operations as determined in accordance with U.S. GAAP. Additionally, it may not be comparable to similarly titled measures of other companies. Other companies, including companies in our industry, may calculate non-GAAP financial measures differently than we do, limiting the usefulness of those measures for those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comparative purposes. Because of these limitations, this non-GAAP financial measure should be considered along with other operating and financial performance measures presented in accordance with U.S. GAAP. The presentation of this non-GAAP financial measure is not intended to be considered in isolation or as a substitute for, or superior to, financial information prepared and presented in accordance with U.S. GAAP. We have reconciled this non-GAAP financial measure with the most directly comparable U.S. GAAP financial measure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net income (loss)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calculate Adjusted net income (loss) as net income (loss) from continuing operations less preferred stock dividends attributable to noncontrolling interests of subsidiary, adjusted for stock compensation expense, severance expense, bankruptcy costs (which represent professional fees incurred related to the bankruptcy prior to filing of the petition and post-emergence), reorganization items, net (which relate to certain charges incurred during the bankruptcy proceedings, such as legal and professional fees incurred directly as a result of the bankruptcy proceeding, the write-off of deferred financing costs and discount on debt subject to compromise and other related charges), operating lease right-of-use assets impairment and long-lived asset impairment charges.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a reconciliation of Adjusted net income (loss) to net income (loss) from continuing operations, which is the most directly comparable U.S. GAAP measure (in thousands):</w:t>
      </w:r>
    </w:p>
    <w:p>
      <w:pPr>
        <w:pStyle w:val="TextBody"/>
        <w:bidi w:val="0"/>
        <w:jc w:val="left"/>
        <w:rPr/>
      </w:pPr>
      <w:r>
        <w:rPr/>
        <w:t> </w:t>
      </w:r>
    </w:p>
    <w:tbl>
      <w:tblPr>
        <w:tblW w:w="9357" w:type="dxa"/>
        <w:jc w:val="left"/>
        <w:tblInd w:w="0" w:type="dxa"/>
        <w:tblLayout w:type="fixed"/>
        <w:tblCellMar>
          <w:top w:w="28" w:type="dxa"/>
          <w:left w:w="28" w:type="dxa"/>
          <w:bottom w:w="28" w:type="dxa"/>
          <w:right w:w="28" w:type="dxa"/>
        </w:tblCellMar>
      </w:tblPr>
      <w:tblGrid>
        <w:gridCol w:w="6376"/>
        <w:gridCol w:w="146"/>
        <w:gridCol w:w="286"/>
        <w:gridCol w:w="774"/>
        <w:gridCol w:w="225"/>
        <w:gridCol w:w="198"/>
        <w:gridCol w:w="286"/>
        <w:gridCol w:w="855"/>
        <w:gridCol w:w="211"/>
      </w:tblGrid>
      <w:tr>
        <w:trPr/>
        <w:tc>
          <w:tcPr>
            <w:tcW w:w="6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555</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the following: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1,494</w:t>
            </w:r>
          </w:p>
        </w:tc>
        <w:tc>
          <w:tcPr>
            <w:tcW w:w="22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(6,729</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98"/>
        <w:gridCol w:w="146"/>
        <w:gridCol w:w="331"/>
        <w:gridCol w:w="1159"/>
        <w:gridCol w:w="166"/>
        <w:gridCol w:w="146"/>
        <w:gridCol w:w="467"/>
        <w:gridCol w:w="1504"/>
        <w:gridCol w:w="166"/>
        <w:gridCol w:w="146"/>
        <w:gridCol w:w="146"/>
        <w:gridCol w:w="481"/>
        <w:gridCol w:w="1688"/>
        <w:gridCol w:w="166"/>
        <w:gridCol w:w="195"/>
      </w:tblGrid>
      <w:tr>
        <w:trPr/>
        <w:tc>
          <w:tcPr>
            <w:tcW w:w="3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the following: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Bankruptcy costs (prepetition filing and post-emergence)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Reorganization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(16,696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Non-GAAP Combined Six Months Ended June 30, 2025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financial results for the periods from January 1, 2025 through January 14, 2025 are referred to as those of the “Predecessor” period. Our financial results for the periods from January 15, 2025 through June 30, 2025 are referred to as those of the “Successor” periods. Our results of operations as reported in our Consolidated Financial Statements for these periods are prepared in accordance with U.S. GAAP. Although U.S. GAAP requires that we report our results for the period from January 1, 2025 through January 14, 2025 and the period from January 15, 2025 through June 30, 2025 separately, management views our operating results for the six months ended June 30, 2025 by combining the results of the applicable Predecessor and Successor periods because such presentation provides the most meaningful comparison of our results to other periods. We believe we cannot adequately benchmark the operating results of the period from January 15, 2025 through June 30, 2025 against any of the previous periods reported in our Condensed Consolidated Financial Statements without combining it with the period from January 1, 2025 through January 14, 2025, and do not believe that reviewing the results of this period in isolation would be useful in identifying trends in or reaching conclusions regarding our overall operating performance. Management believes that the key performance metrics for the Successor period when combined with the Predecessor period provide more meaningful comparisons to other periods and are useful in identifying current business trends. Accordingly, in addition to presenting our results of operations as reported in our Condensed Consolidated Financial Statements in accordance with U.S. GAAP, the tables and discussion below also present the combined results for the six months ended June 30, 2025. The combined results for the six months ended June 30, 2025 represent the sum of the reported amounts for the Predecessor period from January 1, 2025 through January 14, 2025 and the Successor period from January 15, 2025 through June 30, 2025. These combined results are not considered to be prepared in accordance with U.S. GAAP and have not been prepared as pro forma results per applicable regulations. The combined operating results do not reflect the actual results we would have achieved absent our emergence from the Prepackaged Chapter 11 Case and are not necessarily indicative of future results. Accordingly, the results for the combined six months ended June 30, 2025 (prepared on a Non-GAAP basis) and six months ended June 30, 2026 (prepared on a GAAP basis) may not be comparable, particularly for statement of operations line items significantly impacted by the Reorganization transactions and the impact of fresh start accounting.</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0"/>
        </w:rPr>
        <w:t>Key Factors and Trends Affecting our Operating Results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Our financial condition and results of operations have been, and will continue to be, affected by a number of factors and trends, including the following:</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left"/>
        <w:rPr>
          <w:rFonts w:ascii="Arial" w:hAnsi="Arial"/>
          <w:b/>
          <w:i/>
          <w:color w:val="000000"/>
          <w:sz w:val="20"/>
        </w:rPr>
      </w:pPr>
      <w:r>
        <w:rPr>
          <w:rFonts w:ascii="Arial" w:hAnsi="Arial"/>
          <w:b/>
          <w:i/>
          <w:color w:val="000000"/>
          <w:sz w:val="20"/>
        </w:rPr>
        <w:t>Fresh Start Accounting</w:t>
      </w:r>
    </w:p>
    <w:p>
      <w:pPr>
        <w:pStyle w:val="TextBody"/>
        <w:bidi w:val="0"/>
        <w:jc w:val="left"/>
        <w:rPr>
          <w:rFonts w:ascii="Arial" w:hAnsi="Arial"/>
          <w:color w:val="000000"/>
          <w:sz w:val="20"/>
        </w:rPr>
      </w:pPr>
      <w:r>
        <w:rPr>
          <w:rFonts w:ascii="Arial" w:hAnsi="Arial"/>
          <w:color w:val="000000"/>
          <w:sz w:val="20"/>
        </w:rPr>
        <w:t>Upon emergence from the Prepackaged Chapter 11 Case, we adopted fresh start accounting in accordance with FASB Codification Topic 852, Reorganizations ("ASC 852") and became a new entity for financial reporting purposes. As a result, the consolidated financial statements after the Effective Date are not comparable with the consolidated financial statements on or before that date as indicated by the “black line” division in the financial statements and footnote tables, which emphasizes the lack of comparability between amounts presented. References to “Successor” relate to our financial position and results of operations after the Effective Date. References to “Predecessor” refer to our financial position and results of operations on or before the Effective Date. For further information on comparability of Predecessor and Successor periods, see discussion within Results of Operations section below.</w:t>
      </w:r>
    </w:p>
    <w:p>
      <w:pPr>
        <w:pStyle w:val="TextBody"/>
        <w:bidi w:val="0"/>
        <w:jc w:val="both"/>
        <w:rPr/>
      </w:pPr>
      <w:r>
        <w:rPr/>
        <w:t> </w:t>
      </w:r>
    </w:p>
    <w:p>
      <w:pPr>
        <w:pStyle w:val="TextBody"/>
        <w:bidi w:val="0"/>
        <w:jc w:val="left"/>
        <w:rPr>
          <w:rFonts w:ascii="Arial" w:hAnsi="Arial"/>
          <w:b/>
          <w:i/>
          <w:color w:val="000000"/>
          <w:sz w:val="20"/>
        </w:rPr>
      </w:pPr>
      <w:r>
        <w:rPr>
          <w:rFonts w:ascii="Arial" w:hAnsi="Arial"/>
          <w:b/>
          <w:i/>
          <w:color w:val="000000"/>
          <w:sz w:val="20"/>
        </w:rPr>
        <w:t>Ability to manage credit losses</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color w:val="000000"/>
          <w:sz w:val="20"/>
        </w:rPr>
        <w:t>While credit losses are inherent in the automotive finance receivables business, several variables have negatively affected UACC’s recent loss and delinquency rates, including higher interest rates since COVID, the current inflationary environment and vehicle depreciation, which has negatively impacted the fair value of our finance receivables and the losses recognized. While we are beginning to see some improvements in our more recently issued finance receivable vintages and we expect long term improvements in our overall finance receivable portfolio, we expect some downward trends to continue to negatively impact our business in 2026. UACC primarily operates in the non-prime sector of the market which tends to have more volatility. In 2020 and 2021, COVID related stimulus and used vehicle appreciation resulted in significantly lower delinquencies and subsequent losses. In late 2022 and 2023, delinquencies and loss rates rose as a result of the aforementioned factors and, in response, we implemented changes to tighten our credit program. We initially saw some improvements with the 2023 and 2024 vintages as a result of these changes. Subsequently, macroeconomic factors negatively impacted these vintages. This unfavorable loan performance continued on 2025 originations, resulting in us making further refinements to our credit program in order to improve performance. We also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0" w:after="160"/>
        <w:jc w:val="left"/>
        <w:rPr>
          <w:rFonts w:ascii="Arial" w:hAnsi="Arial"/>
          <w:color w:val="000000"/>
          <w:sz w:val="20"/>
        </w:rPr>
      </w:pPr>
      <w:r>
        <w:rPr>
          <w:rFonts w:ascii="Arial" w:hAnsi="Arial"/>
          <w:color w:val="000000"/>
          <w:sz w:val="20"/>
        </w:rPr>
        <w:t>intend to leverage CarStory data to improve VIN-level valuations to support underwriting decisions and servicing operations. Certain advance rates available to UACC on borrowings from the Warehouse Credit Facilities have decreased and any future decreases on available advance rates may have an adverse impact on our liquidity.</w:t>
      </w:r>
    </w:p>
    <w:p>
      <w:pPr>
        <w:pStyle w:val="TextBody"/>
        <w:bidi w:val="0"/>
        <w:jc w:val="left"/>
        <w:rPr>
          <w:rFonts w:ascii="Times New Roman" w:hAnsi="Times New Roman"/>
          <w:sz w:val="20"/>
        </w:rPr>
      </w:pPr>
      <w:r>
        <w:rPr>
          <w:rFonts w:ascii="Arial" w:hAnsi="Arial"/>
          <w:b/>
          <w:i/>
          <w:color w:val="000000"/>
          <w:sz w:val="20"/>
        </w:rPr>
        <w:t xml:space="preserve">Enhance profitability at UACC </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Arial" w:hAnsi="Arial"/>
          <w:color w:val="000000"/>
          <w:sz w:val="20"/>
        </w:rPr>
      </w:pPr>
      <w:r>
        <w:rPr>
          <w:rFonts w:ascii="Arial" w:hAnsi="Arial"/>
          <w:color w:val="000000"/>
          <w:sz w:val="20"/>
        </w:rPr>
        <w:t>In addition to higher credit losses, UACC’s ability to achieve profitability has been negatively affected by increased operating expenses and productivity challenges. Also, we have identified vulnerabilities in certain IT systems and determined additional investment will be needed to update and secure those systems. We are undertaking a number of initiatives designed to reduce operating expenses, introduce improved processes, and reporting metrics across UACC’s operations, invest in IT systems, improve origination and servicing productivity, and leverage CarStory data to improve underwriting and servicing performance. We intend to grow UACC’s business profitably by reducing credit losses, increasing UACC’s market share, and streamlining its operations.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Ability to continue to access capital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has three senior secured warehouse credit facility agreements (the “Warehouse Credit Facilities”), which are primarily used to finance the origination of finance receivables as well as to provide funding for general operating activities. UACC has also developed a securitization program that involves selling finance receivables to securitization trusts through the private issuance of asset-backed securities which are collateralized by the finance receivables. There can be no assurance that UACC will be able to complete additional securitizations in the future, particularly if the securitization markets become constrained.</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success of UACC's business is highly dependent on the ability to continue to access capital through both its warehousing arrangements and securitization program. As a result of fluctuating interest rates, the current inflationary environment and vehicle depreciation in the used automotive industry, UACC is experiencing higher loss severity. Certain advance rates available to UACC on borrowings from UACC’s Warehouse Credit Facilities have decreased and any future decreases on available advance rates may have an adverse impact on our liquidity. Events in our industry or in industries adjacent to ours could make it more difficult for UACC to obtain financing. For example, in September 2025, an unrelated subprime auto lender declared bankruptcy. Subsequently, federal authorities alleged that the bankruptcy was due to fraudulent activity. We continue to evaluate our controls to ensure appropriate pledging of collateral balances continues to be effective.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June 30, 2026, we have three Warehouse Credit Facilities, with an aggregate borrowing capacity of $600 million. On June 30, 2026, we renewed Facility One, now expiring June 2027. The amendment modifies certain financial covenants by (i) increasing the maximum permitted leverage ratio, (ii) simplifying and reducing the minimum tangible net worth threshold, (iii) updating the performance trigger framework, and (iv) updating the dynamic advance rate mechanism, thereby increasing the maximum advance rate. The aggregate borrowing limit and other material terms remain unchanged. We are in ongoing discussions with the remaining warehouse lenders to extend the terms beyond the current expiration dates and expect facilities to be amended and renewed at sufficient borrowing capacity. However, there can be no assurance that adequate additional financing will be available to us on acceptable terms, or at all. The remaining Warehouse Credit Facilities have expiration dates in August 2026 and April 2027, respectively.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See "Part I, Item 1A. Risk Factors—Risks Related to Our Financial Conditions, Results of Operations, Liquidity and Indebtedness—We may not generate sufficient liquidity to operate our business." in our Annual Report on Form 10-K for the year ended December 31, 2025.</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Ability to optimize our dealer network to increase vehicle finance offerings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intend to moderately grow our automotive financing business while focusing on achieving profitability. UACC intends to optimize its dealer network over time. UACC provides funding that allows independent motor vehicle dealers and manufacturer-franchised dealers to finance vehicles for their customers. Currently, UACC serves a nationwide network of thousands of dealers in 49 states. UACC's credit programs are primarily designed to serve consumers in the non-prime market, who have limited access to traditional vehicle financing. In mid-2024, we began indirectly offering competitive vehicle financing services to consumers with slightly higher, or “near-prime,” credit scores compared to our historical customer base. The Near-Prime Program is still in its early stages and a small percentage of our portfolio. We also intend to drive dealer and customer engagement through technology innovations.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Seasonality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Consistent with market trends, UACC generally experiences increased funding activity during the first quarter through tax season. Delinquencies also tend to be lower during the first quarter through tax season and higher during the latter half of the year. See “Part I, Item 1A. Risk Factors—Risks Related to Our Financial Condition, Results of Operations, Liquidity and Indebtedness—We may experience seasonal and other fluctuations in our quarterly results of operations, which may not fully reflect the underlying performance of our business,” in our Annual Report on Form 10-K for the year ended December 31, 2025.</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Macroeconomic Factors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United States and global economies have recently and are continuing to experience a sustained inflationary environment. The Federal Reserve’s efforts to tame inflation have led to increased interest rates, which affect automotive finance rates and our borrowing rates, thereby reducing discretionary spending and impacting consumer sentiment and making vehicle financing more costly and less accessible or desirable to many consumers. While interest rates were cut slightly in 2025, based on the July 2026 meeting, the Federal Reserve officials voted to keep interest rates steady. We are not able to predict if, when, and to what degree rates may change and the impact it may have on the economy and our business.</w:t>
      </w:r>
    </w:p>
    <w:p>
      <w:pPr>
        <w:pStyle w:val="TextBody"/>
        <w:bidi w:val="0"/>
        <w:spacing w:before="0" w:after="160"/>
        <w:jc w:val="left"/>
        <w:rPr>
          <w:rFonts w:ascii="Arial" w:hAnsi="Arial"/>
          <w:color w:val="000000"/>
          <w:sz w:val="20"/>
        </w:rPr>
      </w:pPr>
      <w:r>
        <w:rPr>
          <w:rFonts w:ascii="Arial" w:hAnsi="Arial"/>
          <w:color w:val="000000"/>
          <w:sz w:val="20"/>
        </w:rPr>
        <w:t>In addition, the current U.S. Presidential administration has implemented significant tariffs on imports to the United States, including tariffs on automobiles, auto parts, steel, and aluminum. Although a February 2026 Supreme Court ruling struck down certain tariffs imposed under the International Emergency Economic Powers Act, the administration has moved to reimpose and maintain tariffs under alternative legal authorities. While the U.S. has reached trade agreements with certain countries that reduced tariff rates on some automotive goods, tariffs on imports from other countries, including Canada and Mexico, remain elevated. Many countries have imposed retaliatory tariffs as well as other trade restrictions and retaliatory measures. Such significant tariffs, restrictions or other retaliatory measures have had, and could continue to have a major impact on the United States automotive industry, which depends heavily on cross border trade. Should additional tariffs be implemented and sustained by the United States and other countries for an extended period of time, they would have a significant adverse effect, including financial, on the automotive industry. Further, any additional restrictions by the United States or other governments would exacerbate the impact, as could the uncertainty regarding the magnitude or duration of these measures. Additionally, fragility in the supply chain exacerbated by tariffs and other industry concerns, such as restrictions related to rare earth minerals, increases the risk of production disruptions in the automotive industry. Steps taken by governments to implement tariffs or other restrictions on raw materials (including steel, aluminum and rare earth minerals), automobiles, parts, and other products and materials have disrupted existing supply chains and imposed additional costs on businesses in the automotive industry in the United States and globally. While negotiations regarding tariffs and other restrictions are ongoing and changing rapidly, the resulting environment of tariffs and other trade restrictions or barriers has increased automobile prices in the U.S. and caused volatility, this could lead to negative consumer sentiment and in turn, decreased consumer demand for automobiles, and in turn, decreased demand for motor vehicle contracts financed through UACC, which has negatively impacted and could continue to negatively impact our results of operations, cash flows, and financial condition.</w:t>
      </w:r>
    </w:p>
    <w:p>
      <w:pPr>
        <w:pStyle w:val="TextBody"/>
        <w:bidi w:val="0"/>
        <w:spacing w:before="0" w:after="160"/>
        <w:jc w:val="left"/>
        <w:rPr>
          <w:rFonts w:ascii="Arial" w:hAnsi="Arial"/>
          <w:color w:val="000000"/>
          <w:sz w:val="20"/>
        </w:rPr>
      </w:pPr>
      <w:r>
        <w:rPr>
          <w:rFonts w:ascii="Arial" w:hAnsi="Arial"/>
          <w:color w:val="000000"/>
          <w:sz w:val="20"/>
        </w:rPr>
        <w:t>Moreover, events in our industry or in industries adjacent to ours could make it more difficult for UACC to obtain financing. For example, in September 2025, an unrelated subprime auto lender declared bankruptcy. Subsequently, federal authorities alleged that the bankruptcy was due to fraudulent activity. We continue to evaluate our controls to ensure appropriate pledging of collateral balances continues to be effective.</w:t>
      </w:r>
    </w:p>
    <w:p>
      <w:pPr>
        <w:pStyle w:val="TextBody"/>
        <w:bidi w:val="0"/>
        <w:spacing w:before="0" w:after="160"/>
        <w:jc w:val="left"/>
        <w:rPr>
          <w:rFonts w:ascii="Arial" w:hAnsi="Arial"/>
          <w:color w:val="000000"/>
          <w:sz w:val="20"/>
        </w:rPr>
      </w:pPr>
      <w:r>
        <w:rPr>
          <w:rFonts w:ascii="Arial" w:hAnsi="Arial"/>
          <w:color w:val="000000"/>
          <w:sz w:val="20"/>
        </w:rPr>
        <w:t>Further, geopolitical conflicts and war, including those in Europe and the ongoing conflict in the Middle East, have increased global economic and political uncertainty, which has caused dramatic fluctuations in global financial markets. Ongoing economic and political disruption, or a significant escalation or expansion of such disruption could continue to impact consumer sentiment and spending, broaden inflationary costs, and could have a material adverse effect on our results of operations. For example, recent escalations of conflict have caused oil and gasoline inflation, and may reduce consumer purchasing power, and increase default rates within the UACC portfolio, while heightening the risk of cyberattacks. We will continue to actively monitor and develop responses to these disruptions, including the developing role that geopolitical, climate, and labor concerns are playing in trade relations, but depending on the duration and severity of such events, these trends could continue to negatively impact our business.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The Company is organized into two reportable segments: UACC and CarStory.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Corporate activities are presented in "corporate" and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specific allocation of expenses. Corporate activities also include the runoff of legacy Vroom third party vehicle service and GAP policies sold prior to the Ecommerce Wind-Down.</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The following table presents our consolidated results of operations for the periods indicated: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27"/>
        <w:gridCol w:w="146"/>
        <w:gridCol w:w="235"/>
        <w:gridCol w:w="756"/>
        <w:gridCol w:w="185"/>
        <w:gridCol w:w="163"/>
        <w:gridCol w:w="235"/>
        <w:gridCol w:w="756"/>
        <w:gridCol w:w="166"/>
        <w:gridCol w:w="146"/>
        <w:gridCol w:w="146"/>
        <w:gridCol w:w="214"/>
        <w:gridCol w:w="642"/>
        <w:gridCol w:w="166"/>
        <w:gridCol w:w="146"/>
        <w:gridCol w:w="172"/>
        <w:gridCol w:w="744"/>
        <w:gridCol w:w="460"/>
      </w:tblGrid>
      <w:tr>
        <w:trPr/>
        <w:tc>
          <w:tcPr>
            <w:tcW w:w="4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43,605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8,586</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11,982</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31,623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10,663</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20,960</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59.9</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52.7</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8,669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18,751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99.7</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52.3</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2,574</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29,098</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from continuing operations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106.0</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(Benefit) provision for income taxes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(140.7</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555</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106.2</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(82.3</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107.4</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attributable to controlling interest and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99.3</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9"/>
        <w:gridCol w:w="146"/>
        <w:gridCol w:w="225"/>
        <w:gridCol w:w="785"/>
        <w:gridCol w:w="166"/>
        <w:gridCol w:w="146"/>
        <w:gridCol w:w="237"/>
        <w:gridCol w:w="826"/>
        <w:gridCol w:w="166"/>
        <w:gridCol w:w="146"/>
        <w:gridCol w:w="146"/>
        <w:gridCol w:w="284"/>
        <w:gridCol w:w="913"/>
        <w:gridCol w:w="166"/>
        <w:gridCol w:w="146"/>
        <w:gridCol w:w="230"/>
        <w:gridCol w:w="807"/>
        <w:gridCol w:w="166"/>
        <w:gridCol w:w="146"/>
        <w:gridCol w:w="217"/>
        <w:gridCol w:w="759"/>
        <w:gridCol w:w="166"/>
        <w:gridCol w:w="146"/>
        <w:gridCol w:w="183"/>
        <w:gridCol w:w="793"/>
        <w:gridCol w:w="425"/>
      </w:tblGrid>
      <w:tr>
        <w:trPr/>
        <w:tc>
          <w:tcPr>
            <w:tcW w:w="1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Non-GAAP</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6"/>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 after losses and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68.0</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from continuing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Reorganization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income from continuing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(161.2</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(162.2</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(88.0</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(161.0</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attributable to controlling interest and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(165.2</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Segments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UACC</w:t>
      </w:r>
      <w:r>
        <w:rPr>
          <w:rFonts w:ascii="Arial" w:hAnsi="Arial"/>
          <w:color w:val="000000"/>
          <w:sz w:val="20"/>
        </w:rPr>
        <w:t xml:space="preserve">: The UACC reportable segment represents UACC’s operations with its network of third-party dealership customers, including the purchases and servicing of vehicle retail installment sales contracts. The segment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rFonts w:ascii="Arial" w:hAnsi="Arial"/>
          <w:color w:val="000000"/>
          <w:sz w:val="20"/>
        </w:rPr>
        <w:t>also includes the runoff portfolio of retail installment sale contracts originated for Vroom or purchased from Vroom prior to the Ecommerce Wind-Down.</w:t>
      </w:r>
      <w:r>
        <w:rPr>
          <w:color w:val="00000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CarStory</w:t>
      </w:r>
      <w:r>
        <w:rPr>
          <w:rFonts w:ascii="Arial" w:hAnsi="Arial"/>
          <w:color w:val="000000"/>
          <w:sz w:val="20"/>
        </w:rPr>
        <w:t>: The CarStory reportable segment represents sales of AI-powered analytics and digital services to automotive dealers, automotive financial services companies and others in the automotive industry.</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Non-GAAP Combined Six Months Ended June 30, 2025</w:t>
      </w:r>
    </w:p>
    <w:p>
      <w:pPr>
        <w:pStyle w:val="TextBody"/>
        <w:bidi w:val="0"/>
        <w:jc w:val="left"/>
        <w:rPr>
          <w:rFonts w:ascii="Arial" w:hAnsi="Arial"/>
          <w:color w:val="000000"/>
          <w:sz w:val="20"/>
        </w:rPr>
      </w:pPr>
      <w:r>
        <w:rPr>
          <w:rFonts w:ascii="Arial" w:hAnsi="Arial"/>
          <w:color w:val="000000"/>
          <w:sz w:val="20"/>
        </w:rPr>
        <w:t>The Successor Period and the Predecessor Periods are distinct reporting periods as a result of our emergence from the Prepackaged Chapter 11 Case on January 14, 2025. References in these results of operations to the change and the percentage change combine the period from January 1, 2025, to January 14, 2025 (Predecessor) with the period from January 15, 2025 to June 30, 2025 (Successor) Period, which we refer to as the six months ended June 30, 2025, in order to provide some comparability of such information to the six months ended June 30, 2026. See "Non-GAAP Financial Measures" above.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Three Months Ended June 30, 2026 and 2025</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UACC</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76"/>
        <w:gridCol w:w="234"/>
        <w:gridCol w:w="751"/>
        <w:gridCol w:w="184"/>
        <w:gridCol w:w="161"/>
        <w:gridCol w:w="161"/>
        <w:gridCol w:w="234"/>
        <w:gridCol w:w="751"/>
        <w:gridCol w:w="166"/>
        <w:gridCol w:w="146"/>
        <w:gridCol w:w="146"/>
        <w:gridCol w:w="211"/>
        <w:gridCol w:w="736"/>
        <w:gridCol w:w="166"/>
        <w:gridCol w:w="146"/>
        <w:gridCol w:w="164"/>
        <w:gridCol w:w="812"/>
        <w:gridCol w:w="460"/>
      </w:tblGrid>
      <w:tr>
        <w:trPr/>
        <w:tc>
          <w:tcPr>
            <w:tcW w:w="45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43,605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8,586</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11,982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31,623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10,757</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20,866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78.6</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3,203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3,119</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57.7</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16,352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119.9</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24,719</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income (loss)</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3,993</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174.9</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2,057.1</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acquires and services finance receivables from its network of third-party dealership customers and generates interest income. Prior to our Prepackaged Chapter 11 Case this consisted of discount income and interest income. However, upon emergence and on the Effective Date, we made an accounting policy election to recognize discount income as a component of 'Realized and unrealized losses, net of recoveries' on a prospective basis. Discount income represents the amortization of unearned discounts over the contractual life of the underlying finance receivables held for investment at fair value. We also made an accounting policy election to elect the fair value option on all finance receivables and classify them as held for investment. Discounts on the finance receivables held-for-sale were previously deferred until they were sold.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securitization transactions that are accounted for as secured borrowings, we recognize interest income in accordance with the terms of the related retail installment sale contracts. Interest income also includes the runoff portfolio of retail installment sale contracts originated for Vroom or purchased from Vroom prior to the Ecommerce Wind-Down.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income decreased $2.1 million, or 4.7%, to $43.6 million for the three months ended June 30, 2026, from $45.7 million for the three months ended June 30, 2025. This decrease was primarily a result of a decrease in the loan portfolio balance, which decreased to $807.7 million as of June 30, 2026, from $849.0 million as of June 30,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expense primarily includes interest expense on UACC's Warehouse Credit Facilities, interest expense incurred on securitization debt, and interest expense on financing of beneficial interests in securitizations.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expense decreased $1.1 million, or 8.8%, to $12.0 million for the three months ended June 30, 2026 from $13.1 million for the three months ended June 30, 2025, primarily as a result of lower interest expense incurred on the securitization debt attributable to a lower outstanding principal balance of $482.9 million as of June 30, 2026, as compared to $536.9 million as of June 30, 2025.</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Realized and unrealized losses, net of recoveries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emergence from the Prepackaged Chapter 11 Case, and application of fresh start accounting, we made an accounting policy election to report discount income as a component of "Realized and unrealized losses, net of recoveries". We also made an accounting policy election to elect the fair value option for all finance receivables held for sale on a prospective basis. Realized and unrealized losses, net of recoveries, represents changes in the fair value of finance receivables for which the fair value option was selected, changes in the fair value of securitization debt, changes in the fair value of beneficial interests, as well as collection expenses related to servicing finance receivables. Prior to emergence from the Prepackaged Chapter 11 Case, realized and unrealized losses, net of recoveries also represented charge-offs of finance receivables held for sale and changes in the valuation allowance on the held for sale portfolio.</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Realized and unrealized losses, net of recoveries, decreased by $10.1 million or 48.6% to $10.8 million for the three months ended June 30, 2026, from $20.9 million for the three months ended June 30, 2025. The majority of this improvement was driven by lower loss assumptions on finance receivables originated since September 2025, reflecting improved credit performance in vintages underwritten using our redeveloped custom credit-scoring model relative to our prior assumptions, with the remainder attributable to other portfolio and market factors.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 xml:space="preserve">Servicing income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Servicing income primarily represents the annual fees earned as a percentage of the outstanding principal balance of the finance receivables sold that were accounted for as off-balance sheet securitizations. When our securitizations are accounted for as secured borrowings, the servicing income we receive is eliminated in consolidation. In addition, we also earn other income generated from servicing our finance receivables portfolio, including late and other fees.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Servicing income decreased by $0.4 million or 26.5% to $0.9 million for the three months ended June 30, 2026 from $1.3 million for the three months ended June 30, 2025, primarily driven by a lower balance of the 2022-1 securitization, which is accounted for as an off-balance sheet securitization.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w:t>
      </w:r>
    </w:p>
    <w:p>
      <w:pPr>
        <w:pStyle w:val="TextBody"/>
        <w:bidi w:val="0"/>
        <w:jc w:val="left"/>
        <w:rPr>
          <w:rFonts w:ascii="Times New Roman" w:hAnsi="Times New Roman"/>
          <w:sz w:val="20"/>
        </w:rPr>
      </w:pPr>
      <w:r>
        <w:rPr>
          <w:rFonts w:ascii="Arial" w:hAnsi="Arial"/>
          <w:color w:val="000000"/>
          <w:sz w:val="20"/>
        </w:rPr>
        <w:t>UACC earns fees by selling third-party value-added products, such as vehicle service contracts. UACC is also contractually entitled to receive profit-sharing based on the performance of the vehicle service contract policies once a required claims period has passed. UACC recognizes a profit-share to the extent it is probable that it will not result in a significant revenue reversal. The Company estimates the revenue based on historical claims and cancellation data from its consumers, as well as other qualitative assumptions.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United Auto Credit GAP is a debt waiver product that provides protection for consumers who purchase the product by waiving the difference between the actual cash value of the consumer’s vehicle and the balance of the consumer’s finance receivable, subject to the terms and conditions of the United Auto Credit GAP, in the event of a total loss resulting from collision or theft. The total fees are earned over the contractual life of the related financial receivables on straight-line basis.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Warranties and GAP income, net decreased by $0.5 million or 12.8% to $3.2 million for the three months ended June 30, 2026, as compared to $3.7 million for the three months ended June 30, 2025, primarily as a result of higher GAP cancellation and claim losses and lower warranty premium income, partially offset by higher warranty profit-share in the current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increased $1.1 million or 57.7% to $3.1 million for the three months ended June 30, 2026, from $2.0 million for the three months ended June 30, 2025, primarily as a result of a sales tax refund received related to customers who defaulted on their loans.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Compensation and benefits decreased $1.0 million or 6.3% to $16.4 million for the three months ended June 30, 2026, from $17.4 million for the three months ended June 30, 2025. The decrease was primarily a result of lower salary and benefit expense as a result of reduced headcount.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Professional fees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Professional fees decreased by $0.4 million or 31.0% to $1.0 million for the three months ended June 30, 2026, from $1.4 million for the three months ended June 30, 2025, primarily related to a decrease in audit and support maintenance services.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Software and IT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Software and IT costs increased $0.5 million or 18.3% to $3.2 million for the three months ended June 30, 2026, from $2.7 million for the three months ended June 30, 2025, primarily as a result of an increase in software subscription fees and web services.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Depreciation and amortization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Depreciation and amortization increased $0.8 million to $1.4 million for the three months ended June 30, 2026 from $0.6 million for the three months ended June 30, 2025, primarily as a result of an increase in property and equipment, net to $7.6 million as of June 30, 2026 from $3.8 million as of June 30, 2025.</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net income (loss)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net income (loss) improved $9.3 million or 174.9% to adjusted net income of $4.0 million for the three months ended June 30, 2026, from adjusted net loss of $(5.3) million for the three months ended June 30, 2025, primarily as a result of a decrease in realized and unrealized losses, net of recoveries as discussed above.</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CarStory</w:t>
      </w:r>
    </w:p>
    <w:p>
      <w:pPr>
        <w:pStyle w:val="TextBody"/>
        <w:bidi w:val="0"/>
        <w:jc w:val="left"/>
        <w:rPr/>
      </w:pPr>
      <w:r>
        <w:rPr/>
        <w:t> </w:t>
      </w:r>
    </w:p>
    <w:tbl>
      <w:tblPr>
        <w:tblW w:w="10097" w:type="dxa"/>
        <w:jc w:val="left"/>
        <w:tblInd w:w="0" w:type="dxa"/>
        <w:tblLayout w:type="fixed"/>
        <w:tblCellMar>
          <w:top w:w="28" w:type="dxa"/>
          <w:left w:w="28" w:type="dxa"/>
          <w:bottom w:w="28" w:type="dxa"/>
          <w:right w:w="28" w:type="dxa"/>
        </w:tblCellMar>
      </w:tblPr>
      <w:tblGrid>
        <w:gridCol w:w="4486"/>
        <w:gridCol w:w="274"/>
        <w:gridCol w:w="741"/>
        <w:gridCol w:w="215"/>
        <w:gridCol w:w="189"/>
        <w:gridCol w:w="189"/>
        <w:gridCol w:w="274"/>
        <w:gridCol w:w="741"/>
        <w:gridCol w:w="166"/>
        <w:gridCol w:w="146"/>
        <w:gridCol w:w="146"/>
        <w:gridCol w:w="233"/>
        <w:gridCol w:w="533"/>
        <w:gridCol w:w="166"/>
        <w:gridCol w:w="146"/>
        <w:gridCol w:w="183"/>
        <w:gridCol w:w="793"/>
        <w:gridCol w:w="476"/>
      </w:tblGrid>
      <w:tr>
        <w:trPr/>
        <w:tc>
          <w:tcPr>
            <w:tcW w:w="448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162.7</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 income</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(225.8</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(45.9</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CarStory revenue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CarStory generates advertiser, publisher and other user service revenue by offering its AI-powered analytics and digital retailing services to dealers, automotive financial services companies and others in the automotive industry.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CarStory revenue decreased $0.5 million or 29.7% to $1.3 million for the three months ended June 30, 2026, from $1.8 million for the three months ended June 30, 2025, primarily as a result of the loss of a major customer during the three months ended June 30, 2025.</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net (loss)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net (loss) income changed $0.3 million to $(0.2) million adjusted net loss for the three months ended June 30, 2026 as compared to $0.1 million adjusted net income for the three months ended June 30, 2025, primarily due to lower revenue as discussed above.</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Corporate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11"/>
        <w:gridCol w:w="257"/>
        <w:gridCol w:w="696"/>
        <w:gridCol w:w="202"/>
        <w:gridCol w:w="178"/>
        <w:gridCol w:w="178"/>
        <w:gridCol w:w="257"/>
        <w:gridCol w:w="769"/>
        <w:gridCol w:w="166"/>
        <w:gridCol w:w="146"/>
        <w:gridCol w:w="146"/>
        <w:gridCol w:w="211"/>
        <w:gridCol w:w="631"/>
        <w:gridCol w:w="166"/>
        <w:gridCol w:w="146"/>
        <w:gridCol w:w="183"/>
        <w:gridCol w:w="793"/>
        <w:gridCol w:w="469"/>
      </w:tblGrid>
      <w:tr>
        <w:trPr/>
        <w:tc>
          <w:tcPr>
            <w:tcW w:w="461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9"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loss after losses and recoveries</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414.3</w:t>
            </w:r>
          </w:p>
        </w:tc>
        <w:tc>
          <w:tcPr>
            <w:tcW w:w="4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238.5</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w:t>
            </w:r>
          </w:p>
        </w:tc>
        <w:tc>
          <w:tcPr>
            <w:tcW w:w="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w:t>
            </w:r>
          </w:p>
        </w:tc>
        <w:tc>
          <w:tcPr>
            <w:tcW w:w="4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w:t>
            </w:r>
          </w:p>
        </w:tc>
        <w:tc>
          <w:tcPr>
            <w:tcW w:w="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2,866</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(Benefit) provision for income taxes from continuing operations</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(311.5</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Corporate activities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a specific allocation of expenses. Corporate activities also include the runoff of legacy Vroom warranty and GAP policies sold prior to the Ecommerce Wind-Down as well as certain Vroom contracts, primarily Software and IT related, that have been renegotiated and right-sized to account for reduced headcount following the Ecommerce Wind-Down.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expense decreased $1.0 million or 45.2% to $1.1 million for the three months ended June 30, 2026 from $2.1 million for the three months ended June 30, 2025, primarily as a result of lower stock compensation expense and lower severance expense related to the termination of certain employees in the prior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Professional fees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Professional fees increased $0.4 million or 47.3% to $1.0 million for the three months ended June 30, 2026, from $0.6 million for the three months ended June 30, 2025, primarily related to an increase in legal services.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Software and IT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Software and IT costs decreased $0.6 million or 91.4% to $0.1 million for the three months ended June 30, 2026, from $0.7 million for the three months ended June 30, 2025, primarily as a result of more efficient targeted software use as well as renegotiating and right-sizing our Software and IT contracts.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expense on corporate debt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expense on corporate debt increased $0.3 million to $0.3 million for the three months ended June 30, 2026, from none for the three months ended June 30, 2025, primarily related to the issuance of the 2032 Notes during Q2 2026, the 2030 Notes in Q3 2025, and the Delayed Draw Facility and Delayed Draw Notes in Q4 2025.</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Six Months Ended June 30, 2026 and 2025</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UACC</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8"/>
        <w:gridCol w:w="231"/>
        <w:gridCol w:w="807"/>
        <w:gridCol w:w="166"/>
        <w:gridCol w:w="146"/>
        <w:gridCol w:w="146"/>
        <w:gridCol w:w="253"/>
        <w:gridCol w:w="811"/>
        <w:gridCol w:w="166"/>
        <w:gridCol w:w="146"/>
        <w:gridCol w:w="146"/>
        <w:gridCol w:w="307"/>
        <w:gridCol w:w="920"/>
        <w:gridCol w:w="166"/>
        <w:gridCol w:w="146"/>
        <w:gridCol w:w="231"/>
        <w:gridCol w:w="807"/>
        <w:gridCol w:w="166"/>
        <w:gridCol w:w="146"/>
        <w:gridCol w:w="218"/>
        <w:gridCol w:w="653"/>
        <w:gridCol w:w="166"/>
        <w:gridCol w:w="146"/>
        <w:gridCol w:w="163"/>
        <w:gridCol w:w="708"/>
        <w:gridCol w:w="426"/>
      </w:tblGrid>
      <w:tr>
        <w:trPr/>
        <w:tc>
          <w:tcPr>
            <w:tcW w:w="18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0"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0" w:type="dxa"/>
            <w:gridSpan w:val="7"/>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 after losses and recoveries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370.7</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income decreased $4.1 million, or 4.5%, to $86.1 million for the six months ended June 30, 2026 from $90.2 million for the six months ended June 30, 2025. This decrease was primarily a result of a decrease in the loan portfolio balance, which decreased to $807.7 million as of June 30, 2026, from $849.0 million as of June 30, 2025.</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expense decreased $2.5 million or 9.3% to $24.0 million for the six months ended June 30, 2026 from $26.5 million for the six months ended June 30, 2025. The decrease was a result of lower interest expense incurred on the Warehouse Credit Facilities, which decreased $2.1 million to $6.8 million for the six months ended June 30, 2026 from $8.9 million for the six months ended June 30, 2025.The decrease was driven by a decline in the weighted average interest rate to 5.36% from 5.99% in the prior-year period, as well as a lower average outstanding balance. The lower average balance reflects the earlier paydown of our warehouse credit facilities in connection with our 2026-1 securitization transaction which closed in early February 2026 versus our 2025-1 securitization transaction which closed in mid-March 2025. The decrease in interest expense was also due to lower interest expense incurred on securitization debt, which decreased $0.4 million to $17.2 million for the six months ended June 30, 2026 from $17.6 million for the six months ended June 30, 2025, as a result of a lower outstanding principal balance.</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Realized and unrealized losses, net of recoveries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Realized and unrealized losses, net of recoveries, decreased $5.7 million or 13.8% to $35.6 million for the six months ended June 30, 2026 from $41.3 million for the six months ended June 30, 2025. The majority of this improvement was driven by lower loss assumptions on finance receivables originated since September 2025, reflecting improved credit performance in vintages underwritten using our redeveloped custom credit-scoring model relative to our prior assumptions, with the remainder attributable to other portfolio and market factors.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 xml:space="preserve">Servicing income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Servicing income decreased $0.6 million or 23.7% to $2.1 million for the six months ended June 30, 2026 from $2.7 million for the six months ended June 30, 2025, primarily driven by a lower balance of the 2022-1 securitization, which is accounted for as an off-balance sheet securitization.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Warranties and GAP income decreased $1.6 million or 21.8% to $6.0 million for the six months ended June 30, 2026 from $7.6 million for the six months ended June 30, 2025, primarily as a result of higher GAP cancellation and claim losses and lower warranty premium volumes due to a decrease in contracts funded in the current year period, partially offset by lower warranty cancellation losses.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increased $0.8 million or 19.8% to $5.1 million for the six months ended June 30, 2026 from $4.3 million for the six months ended June 30, 2025, primarily as a result of a sales tax refund received related to customers who defaulted on their loans, partially offset by lower acquisition fee income.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decreased $0.4 million or 1.3% to $33.1 million for the six months ended June 30, 2026 from $33.5 million for the six months ended June 30, 2025. The decrease was primarily a result of lower salary and payroll taxes as a result of reduced headcount, lower commission and incentive expense as a result of lower contracts funded, partially offset by higher severance expense related to the termination of certain employees, and a decrease in internal software capitalization as we invested in several major developments in the prior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Professional fees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Professional fees decreased $0.3 million or 6.9% to $4.4 million for the six months ended June 30, 2026 from $4.7 million for the six months ended June 30, 2025, primarily related to a decrease in audit and support maintenance services, partially offset by higher legal services.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Software and IT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Software and IT costs increased $1.0 million or 19.5% to $6.1 million for the six months ended June 30, 2026 from $5.1 million for the six months ended June 30, 2025, primarily as a result of an increase in software subscription fees and web services.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Depreciation and amortization</w:t>
      </w:r>
    </w:p>
    <w:p>
      <w:pPr>
        <w:pStyle w:val="TextBody"/>
        <w:bidi w:val="0"/>
        <w:jc w:val="left"/>
        <w:rPr>
          <w:rFonts w:ascii="Arial" w:hAnsi="Arial"/>
          <w:color w:val="000000"/>
          <w:sz w:val="20"/>
        </w:rPr>
      </w:pPr>
      <w:r>
        <w:rPr>
          <w:rFonts w:ascii="Arial" w:hAnsi="Arial"/>
          <w:color w:val="000000"/>
          <w:sz w:val="20"/>
        </w:rPr>
        <w:t>Depreciation and amortization increased $0.7 million or 36.0% to $2.6 million for the six months ended June 30, 2026 from $1.9 million for the six months ended June 30, 2025, primarily as a result of an increase in property and equipment, net to $7.6 million as of June 30, 2026 from $3.8 million as of June 30, 2025.</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expense on corporate debt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expense on corporate debt increased $0.2 million or 20.8% to $1.5 million for the six months ended June 30, 2026 from $1.3 million for the six months ended June 30, 2025.</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Impairment charges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Impairment charges decreased $3.5 million related to lease impairment charges incurred during the six months ended June 30, 2025.</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decreased $0.1 million or 1.6% to $4.0 million for the six months ended June 30, 2026 from $4.1 million for the six months ended June 30, 2025.</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net loss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net loss decreased $1.1 million to $11.0 million for the six months ended June 30, 2026 from $12.1 million for the six months ended June 30, 2025, primarily due to higher net interest income after losses and recoveries and higher other income, partially offset by lower warranties and GAP income, net, higher software and IT costs, and higher depreciation and amortization, as discussed above.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CarStory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08"/>
        <w:gridCol w:w="255"/>
        <w:gridCol w:w="692"/>
        <w:gridCol w:w="166"/>
        <w:gridCol w:w="146"/>
        <w:gridCol w:w="146"/>
        <w:gridCol w:w="290"/>
        <w:gridCol w:w="785"/>
        <w:gridCol w:w="166"/>
        <w:gridCol w:w="146"/>
        <w:gridCol w:w="146"/>
        <w:gridCol w:w="404"/>
        <w:gridCol w:w="924"/>
        <w:gridCol w:w="166"/>
        <w:gridCol w:w="146"/>
        <w:gridCol w:w="276"/>
        <w:gridCol w:w="749"/>
        <w:gridCol w:w="166"/>
        <w:gridCol w:w="146"/>
        <w:gridCol w:w="218"/>
        <w:gridCol w:w="653"/>
        <w:gridCol w:w="166"/>
        <w:gridCol w:w="146"/>
        <w:gridCol w:w="163"/>
        <w:gridCol w:w="708"/>
        <w:gridCol w:w="428"/>
      </w:tblGrid>
      <w:tr>
        <w:trPr/>
        <w:tc>
          <w:tcPr>
            <w:tcW w:w="18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0"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Change</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0" w:type="dxa"/>
            <w:gridSpan w:val="7"/>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274.1</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(54.2</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(33.7</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 income</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(135.3</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CarStory revenue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CarStory revenue decreased $2.1 million or 43.7% to $2.6 million for the six months ended June 30, 2026 from $4.7 million for the six months ended June 30, 2025, primarily as a result of a change in the scope of service and data provided to our customers and the loss of a major customer.</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decreased $0.8 million or 23.2% to $2.5 million for the six months ended June 30, 2026 from $3.3 million for the six months ended June 30, 2025. The decrease was primarily a result of an increase in the allocation of CarStory resources to UACC.</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Depreciation and amortization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Depreciation and amortization decreased $0.3 million or 54.2% to $0.2 million for the six months ended June 30, 2026 from $0.5 million for the six months ended June 30, 2025.</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net (loss)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net (loss) income changed $1.1 million or 135.3% to $0.3 million loss for the six months ended June 30, 2026 as compared to $0.8 million income for the six months ended June 30, 2025 primarily due to a decrease in revenue, partially offset by lower compensation and benefit expense, as discussed above.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Corporate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2"/>
        <w:gridCol w:w="252"/>
        <w:gridCol w:w="683"/>
        <w:gridCol w:w="166"/>
        <w:gridCol w:w="146"/>
        <w:gridCol w:w="146"/>
        <w:gridCol w:w="277"/>
        <w:gridCol w:w="829"/>
        <w:gridCol w:w="166"/>
        <w:gridCol w:w="146"/>
        <w:gridCol w:w="146"/>
        <w:gridCol w:w="398"/>
        <w:gridCol w:w="910"/>
        <w:gridCol w:w="166"/>
        <w:gridCol w:w="146"/>
        <w:gridCol w:w="253"/>
        <w:gridCol w:w="760"/>
        <w:gridCol w:w="166"/>
        <w:gridCol w:w="146"/>
        <w:gridCol w:w="218"/>
        <w:gridCol w:w="653"/>
        <w:gridCol w:w="166"/>
        <w:gridCol w:w="146"/>
        <w:gridCol w:w="163"/>
        <w:gridCol w:w="708"/>
        <w:gridCol w:w="427"/>
      </w:tblGrid>
      <w:tr>
        <w:trPr/>
        <w:tc>
          <w:tcPr>
            <w:tcW w:w="182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Change</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9" w:type="dxa"/>
            <w:gridSpan w:val="7"/>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 (expense)</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(gains), net of recoveries</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94.0</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(93.8</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(loss) income:</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(loss), net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(97.7</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(loss) income</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(98.7</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(27.7</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723.1</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expense decreased $0.9 million or 27.7% to $2.3 million for the six months ended June 30, 2026 from $3.2 million for the six months ended June 30, 2025, primarily as a result of lower stock compensation expense and lower severance expense related to the termination of certain employees in the prior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Professional fees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Professional fees decreased $0.9 million or 32.3% to $2.1 million for the six months ended June 30, 2026 from $3.0 million for the six months ended June 30, 2025, primarily as a result of consulting and legal fees incurred during the first quarter of 2025 associated with fresh-start accounting and bankruptcy related items.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Software and IT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Software and IT costs decreased $0.8 million or 77.3% to $0.3 million for the six months ended June 30, 2026 from $1.1 million for the six months ended June 30, 2025, primarily as a result of more efficient targeted software use as well as renegotiating and right-sizing our Software and IT contracts.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expense on corporate debt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expense on corporate debt increased $0.6 million to $0.7 million for the six months ended June 30, 2026 from $0.1 million for the six months ended June 30, 2025, primarily related to the issuance of the 2032 Notes during Q2 2026, the 2030 Notes in Q3 2025, and the Delayed Draw Facility and Delayed Draw Notes in Q4 2025.</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Impairment charges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Impairment charges decreased $0.7 million related to lease impairment charges incurred during the six months ended June 30, 2025.</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Other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decreased $0.4 million or 35.8% to $0.8 million for the six months ended June 30, 2026 from $1.2 million for the six months ended June 30, 2025, primarily as a result of a decrease in insurance costs.</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Liquidity and Capital Resources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January 14, 2025, we emerged from the Prepackaged Chapter 11 Case. On the Effective Date, each holder of the 2026 Notes received a pro rata share of 92.94% of the Common Stock (subject to dilution) and all of the Company’s outstanding obligations under the 2026 Notes and the Indenture were deemed fully satisfied and discharged.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June 30, 2026, we had cash and cash equivalents of $16.4 million and restricted cash of $58.9 million. Restricted cash primarily includes restricted cash required under UACC's securitization transactions and Warehouse Credit Facilities of $58.8 million. Additionally, we had excess borrowing capacity of $10.5 million under UACC's Warehouse Credit Facilities as of June 30, 2026, $10.0 million available under our 2032 Notes, and $27.0 million available under our Delayed Draw Facility (as defined below). We have historically had negative cash flows and generated losses from operations and our primary source of liquidity has been cash generated through financing activities.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relies on borrowings under the Warehouse Credit Facilities to finance the origination of finance receivables as well as to provide funding for general operating activities. The terms of those facilities generally mature within one to two years and we typically renew those facilities in the ordinary course. As of June 30, 2026, we had three Warehouse Credit Facilities, with an aggregate borrowing capacity of $600.0 million and outstanding borrowings of $240.8 million. On June 30, 2026, we renewed Facility One, now expiring June 2027. The amendment modifies certain financial covenants by (i) increasing the maximum permitted leverage ratio, (ii) simplifying and reducing the minimum tangible net worth threshold, (iii) updating the performance trigger framework, and (iv) updating the dynamic advance rate mechanism, thereby increasing the maximum advance rate. The aggregate borrowing limit and other material terms remain unchanged. We are in ongoing discussions with the remaining warehouse lenders to extend the terms beyond the current expiration dates and expect facilities to be amended and renewed at sufficient borrowing capacity. However, there can be no assurance that adequate additional financing will be available to us on acceptable terms, or at all. The remaining Warehouse Credit Facilities have expiration dates in August 2026 and April 2027, respectively. Refer to Note 10 — Warehouse Credit Facilities of Consolidated VIEs to our condensed consolidated financial statements included elsewhere in this Quarterly Report on Form 10-Q. Failure to retain sufficient warehouse borrowing capacity would have a material adverse effect on our ability to finance UACC’s lending operations and our results of operations and liquidity.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March 8, 2025, Vroom, Inc., UACC and its indirect subsidiary Darkwater Funding LLC, as co-borrowers, entered into a credit agreement with Mudrick Capital Management, L.P. (“Lender”), who as of January 14, 2025 was a 76.5% shareholder of the Company, for a $25.0 million delayed draw term loan facility (“Delayed Draw Facility”). On October 9, 2025 the maximum facility amount was amended from $25.0 million to $35.0 million effective as of September 30, 2025. The Delayed Draw Facility was amended in July 2026 and now matures on December 31, 2027. As of June 30, 2026, we have $27.0 million available under the Delayed Draw Facility. Refer to Note 19 — Related Party Transactions to our condensed consolidated financial statements included elsewhere in this Quarterly Report on Form 10-Q.</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May 14, 2026, we entered into the Exchange Agreement pursuant to which we agreed to co-issue up to $50.0 million 2032 Notes. At the closing, certain investors exchanged $28.5 million aggregate principal amount of outstanding notes of the Company, together with accrued and unpaid interest thereon through the closing date, for the 2032 Notes. The outstanding notes exchanged consisted of $10.0 million of 5.000% Convertible Senior Notes due 2030, $10.5 million of Senior Secured Delayed Draw Notes due 2026 and $8.0 million of notes outstanding under the delayed draw term loan facility with Mudrick Capital Management, L.P. On May 29, 2026 the Company drew an additional $11.5 million, leaving $10.0 million of remaining delayed draw commitments under the facility. Refer to Note 19 — Related Party Transactions to our condensed consolidated financial statements included elsewhere in this Quarterly Report on Form 10-Q.</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15, 2026, we entered into an equity distribution agreement with Virtu Americas LLC to sell shares of our common stock, par value $0.001 per share, with aggregate gross sales proceeds of up to $6.0 million, from time to time, through an “at-the-market” equity offering program (the "ATM offering"). As of June 30, 2026, we have up to $6.0 million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remaining in aggregate gross proceeds that can be issued through the ATM offering. We sold 444 shares for gross proceeds of approximately $5 thousand as of June 30, 2026.</w:t>
      </w:r>
    </w:p>
    <w:p>
      <w:pPr>
        <w:pStyle w:val="TextBody"/>
        <w:bidi w:val="0"/>
        <w:jc w:val="left"/>
        <w:rPr/>
      </w:pPr>
      <w:r>
        <w:rPr/>
        <w:t> </w:t>
      </w:r>
    </w:p>
    <w:p>
      <w:pPr>
        <w:pStyle w:val="TextBody"/>
        <w:bidi w:val="0"/>
        <w:spacing w:before="0" w:after="160"/>
        <w:jc w:val="left"/>
        <w:rPr>
          <w:rFonts w:ascii="Arial" w:hAnsi="Arial"/>
          <w:color w:val="000000"/>
          <w:sz w:val="20"/>
        </w:rPr>
      </w:pPr>
      <w:r>
        <w:rPr>
          <w:rFonts w:ascii="Arial" w:hAnsi="Arial"/>
          <w:color w:val="000000"/>
          <w:sz w:val="20"/>
        </w:rPr>
        <w:t>On January 16, 2026, Vroom Automotive, LLC issued to SPE Holdings 15,000 newly issued Series A preferred units and 7,500 newly issued Series B preferred units for aggregate gross proceeds of $22.5 million.</w:t>
      </w:r>
    </w:p>
    <w:p>
      <w:pPr>
        <w:pStyle w:val="TextBody"/>
        <w:bidi w:val="0"/>
        <w:jc w:val="left"/>
        <w:rPr>
          <w:rFonts w:ascii="Arial" w:hAnsi="Arial"/>
          <w:color w:val="000000"/>
          <w:sz w:val="20"/>
        </w:rPr>
      </w:pPr>
      <w:r>
        <w:rPr>
          <w:rFonts w:ascii="Arial" w:hAnsi="Arial"/>
          <w:color w:val="000000"/>
          <w:sz w:val="20"/>
        </w:rPr>
        <w:t>The accompanying unaudited condensed consolidated financial statements have been prepared on the basis that we will continue to operate as a going concern, which contemplates that we will be able to realize assets and settle liabilities and commitments in the normal course of business for twelve months following the issuance date.</w:t>
      </w:r>
    </w:p>
    <w:p>
      <w:pPr>
        <w:pStyle w:val="TextBody"/>
        <w:bidi w:val="0"/>
        <w:jc w:val="left"/>
        <w:rPr>
          <w:rFonts w:ascii="Arial" w:hAnsi="Arial"/>
          <w:color w:val="000000"/>
          <w:sz w:val="20"/>
        </w:rPr>
      </w:pPr>
      <w:r>
        <w:rPr>
          <w:rFonts w:ascii="Arial" w:hAnsi="Arial"/>
          <w:color w:val="000000"/>
          <w:sz w:val="20"/>
        </w:rPr>
        <w:t>Our future capital requirements will depend on many factors, including our ability to realize the intended benefits of the Prepackaged Chapter 11 Case and our Long-Term Strategic Plan, available advance rates on the Warehouse Credit Facilities, our ability to complete additional securitization transactions on favorable terms, and future credit losses. We anticipate that our existing cash and cash equivalents, the 2032 Notes, the Delayed Draw Facility, and UACC's Warehouse Credit Facilities will be sufficient to support our ongoing operations and obligations for at least the next twelve months from the issuance date of this Quarterly Report on Form 10-Q.</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Securitization Transactions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Subject to market conditions, we plan to securitize finance receivables originated by UACC through asset-backed securitization transactions. On February 5, 2026, UACC completed the 2026-1 securitization transaction, in which it issued approximately $225.0 million of rated asset-backed securities in an auto finance receivable securitization transaction from a securitization trust, established and sponsored by UACC for proceeds of $224.1 million. The trust is collateralized by finance receivables with an aggregate principal balance of $274.9 million as of February 5, 2026. These finance receivables are serviced by UACC and UACC receives an "at market" servicing fee. UACC retained the residual interests, which required us to account for the 2026-1 securitization as secured borrowings and the assets and liabilities of the trust remain on balance sheet.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During the first quarter of 2025, UACC completed the 2025-1 securitization transaction, in which it issued approximately $307.8 million of rated asset-backed securities in an auto finance receivable securitization transaction from a securitization trust, established and sponsored by UACC for proceeds of $306.5 million. The trust is collateralized by finance receivables with an aggregate principal balance of $382.1 million as of March 12, 2025. These finance receivables are serviced by UACC and UACC receives an "at market" servicing fee. UACC retained the residual interests, which required us to account for the 2025-1 securitization as secured borrowings and the assets and liabilities of the trust remain on balance sheet.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Finance receivables are serviced by UACC. UACC retains at least 5% of the notes and residual certificates sold as required by applicable risk retention rules and generally uses the proceeds of the securitization transactions to pay down outstanding debt under its Warehouse Credit Facilities.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Refer to Note 4 — Variable Interest Entities and Securitizations to our condensed consolidated financial statements included elsewhere in this Quarterly Report on Form 10-Q, for further discussion.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Risk Retention Financing Facility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3, 2023, UACC entered into a Risk Retention Financing Facility enabling it to finance a portion of the asset-backed securities issued in its securitization transactions and held by UACC pursuant to applicable risk retention rules. Under this facility, UACC sells such retained interests and agrees to repurchase them at fair value on a future date. As of June 30, 2026, UACC pledged $18.5 million of its retained beneficial interests as collateral, and the outstanding borrowings related to this risk retention financing facility were $14.0 million with expected repurchase dates ranging from January 2028 to October 2031. The securitization trusts will distribute payments related to UACC's pledged beneficial interests in securitizations directly to the lenders, which will reduce the beneficial interests in securitizations and the related debt balance</w:t>
      </w:r>
      <w:r>
        <w:rPr>
          <w:rFonts w:ascii="sans-serif" w:hAnsi="sans-serif"/>
          <w:color w:val="000000"/>
          <w:sz w:val="22"/>
        </w:rPr>
        <w:t>.</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Warehouse Credit Facilities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has three senior secured warehouse credit facility agreements the (“Warehouse Credit Facilities”) with banking institutions. The Warehouse Credit Facilities are collateralized by eligible finance receivables and available borrowings are computed based on a percentage of eligible finance receivables.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June 30, 2026, we renewed Facility One, now expiring June 2027. The amendment modifies certain financial covenants by (i) increasing the maximum permitted leverage ratio, (ii) simplifying and reducing the minimum tangible net worth threshold, (iii) updating the performance trigger framework, and (iv) updating the dynamic advance rate mechanism, thereby increasing the maximum advance rate. The aggregate borrowing limit and other material terms remain unchanged. We are in ongoing discussions with the remaining warehouse lenders to extend the terms beyond the current expiration dates and expect facilities to be amended and renewed at sufficient borrowing capacity. However, there can be no assurance that adequate additional financing will be available to us on acceptable terms, or at all. The remaining Warehouse Credit Facilities have expiration dates in August 2026 and April 2027, respectively.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aggregate borrowing limit under the Warehouse Credit Facilities as of June 30, 2026 was $600.0 million. Our ability to utilize the Warehouse Credit Facilities is primarily conditioned on the satisfaction of certain legal, operating, administrative and financial covenants contained within the agreements. These include covenants that require UACC to maintain a minimum tangible net worth, minimum liquidity levels, and specified leverage ratios. Failure to satisfy these and or any other requirements contained within the agreements would restrict access to or cause us to be in default of the terms of the Warehouse Credit Facilities and could have a material adverse effect on our financial condition, results of operations and liquidity. Certain breaches of covenants or events of default may also result in acceleration of the repayment of borrowings prior to the scheduled maturity. As of June 30, 2026, outstanding borrowings related to the Warehouse Credit Facilities were $240.8 million and we were in compliance with all covenants under the terms of the Warehouse Credit Facilities. Refer to Note 10 — Warehouse Credit Facilities of Consolidated VIEs to our condensed consolidated financial statements included elsewhere in this Quarterly Report on Form 10-Q, for further discussion.</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Cash Flows from Operating, Investing, and Financing Activities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The following table summarizes our cash flows for the six months ended June 30, 2026 and 2025:</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31"/>
        <w:gridCol w:w="146"/>
        <w:gridCol w:w="146"/>
        <w:gridCol w:w="284"/>
        <w:gridCol w:w="1012"/>
        <w:gridCol w:w="166"/>
        <w:gridCol w:w="146"/>
        <w:gridCol w:w="346"/>
        <w:gridCol w:w="1232"/>
        <w:gridCol w:w="166"/>
        <w:gridCol w:w="146"/>
        <w:gridCol w:w="146"/>
        <w:gridCol w:w="373"/>
        <w:gridCol w:w="1331"/>
        <w:gridCol w:w="166"/>
        <w:gridCol w:w="146"/>
        <w:gridCol w:w="286"/>
        <w:gridCol w:w="1021"/>
        <w:gridCol w:w="215"/>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Non-GAAP Combined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8"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operating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29,441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investing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(63,946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financing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23,598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operating activities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investing activities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(11,206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78,369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67,163</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Operating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flows provided by operating activities from continuing operations increased by $7.5 million, from $29.4 million for the six months ended June 30, 2025 to $36.9 million for the six months ended June 30, 2026. The increase was primarily due to a $14.3 million decrease in originations of finance receivables held for sale. As a result of emerging from the Prepackaged Chapter 11 Case and applying fresh start accounting, our finance receivables are originated and accounted for as held for investment at fair value and are classified as investing activities prospectively. The increase in net cash flows provided by operating activities was partially offset by a decrease in principal payments received on finance receivables held for sale of $6.5 million.</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Investing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flows used in investing activities from continuing operations decreased $8.4 million, from $63.9 million for the six months ended June 30, 2025 to $55.5 million for the six months ended June 30, 2026. The decrease was primarily due to a $10.6 million increase in principal payments received on finance receivables, partially offset by a $2.0 million increase in originations of finance receivables held for investment.</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Financing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flows provided by financing activities from continuing operations increased $3.8 million, from $23.6 million for the six months ended June 30, 2025 to $27.4 million for the six months ended June 30, 2026. The increase was primarily related a $76.2 million increase in net cash flows from the borrowings under our Warehouse Credit Facilities, a $21.2 million increase related to the issuance of Vroom Automotive Preferred Units, and $11.5 million received in connection with additional draw-downs on the 2032 Notes. These increases were partially offset by a $91.1 million decrease in net cash flows from secured financing agreements and a $14.4 million decrease in net cash flows from financing of beneficial interests in securitizations.</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Our condensed consolidated financial statements are prepared in accordance with GAAP. The preparation of consolidated financial statements requires us to make estimates, assumptions and judgments that affect the reported amounts of assets, liabilities, revenue, and expenses and related disclosures. On an ongoing basis, we evaluate our estimates, including, among others, those related to finance receivables, income taxes, stock-based compensation, contingencies, warranties and GAP income-related reserves, fair value measurements and useful lives of property and equipment and intangible assets. We base our estimates on historical experience, market conditions and on various other assumptions that are believed to be reasonable. Actual results may differ from these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have been no material changes to our critical accounting policies and estimates as compared to the critical accounting policies and estimates disclosed in our Annual Report on Form 10-K for the year ended December 31, 2025.</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Recently Issued and Adopted Accounting Pronouncements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Refer to “Note 2—Summary of Significant Accounting Policies” to our condensed consolidated financial statements included elsewhere in this Quarterly Report on Form 10-Q for a discussion about new accounting pronouncements adopted and not yet adopted as of the date of this report.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1" w:name="qualitative_quantitative_disclosure"/>
      <w:bookmarkEnd w:id="11"/>
      <w:r>
        <w:rPr>
          <w:rFonts w:ascii="Arial" w:hAnsi="Arial"/>
          <w:b/>
          <w:color w:val="000000"/>
          <w:sz w:val="20"/>
        </w:rPr>
        <w:t>Item 3. Quantitative and Qualitative Disclosure About Market Risk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We are a smaller reporting company as defined in Rule 12b-2 of the Exchange Act and are not required to provide the information otherwise required under this Item 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bookmarkStart w:id="12" w:name="controls_procedures"/>
      <w:bookmarkEnd w:id="12"/>
      <w:r>
        <w:rPr>
          <w:rFonts w:ascii="Arial" w:hAnsi="Arial"/>
          <w:b/>
          <w:color w:val="000000"/>
          <w:sz w:val="20"/>
        </w:rPr>
        <w:t>Item 4. Controls and Procedures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Limitations on effectiveness of controls and procedures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Our management, with the participation of our Principal Executive Officer and Principal Financial Officer, evaluated the effectiveness of our disclosure controls and procedures (as defined in Rules 13a-15(e) and 15d-15(e) under the Exchange Act) as of June 30,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Based on that evaluation, our Principal Executive Officer and Principal Financial Officer have concluded that, as of June 30, 2026, our disclosure controls and procedures were effective at the reasonable assurance level.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Changes in Internal Control over Financial Reporting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were no changes in our internal control over financial reporting (as defined in Rules 13a-15(f) and 15d-15(f) under the Exchange Act) that occurred during the quarterly period ended June 30, 2026, that has materially affected, or is reasonably likely to materially affect, our internal control over financial reporting.</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13" w:name="part_ii"/>
      <w:bookmarkEnd w:id="13"/>
      <w:r>
        <w:rPr>
          <w:rFonts w:ascii="Arial" w:hAnsi="Arial"/>
          <w:b/>
          <w:color w:val="000000"/>
          <w:sz w:val="20"/>
        </w:rPr>
        <w:t>PART II - OTHER INFORMATION</w:t>
      </w:r>
    </w:p>
    <w:p>
      <w:pPr>
        <w:pStyle w:val="TextBody"/>
        <w:bidi w:val="0"/>
        <w:jc w:val="left"/>
        <w:rPr/>
      </w:pPr>
      <w:r>
        <w:rPr/>
        <w:t> </w:t>
      </w:r>
    </w:p>
    <w:p>
      <w:pPr>
        <w:pStyle w:val="TextBody"/>
        <w:bidi w:val="0"/>
        <w:jc w:val="left"/>
        <w:rPr>
          <w:rFonts w:ascii="Times New Roman" w:hAnsi="Times New Roman"/>
          <w:sz w:val="20"/>
        </w:rPr>
      </w:pPr>
      <w:bookmarkStart w:id="14" w:name="legal_proceedings"/>
      <w:bookmarkEnd w:id="14"/>
      <w:r>
        <w:rPr>
          <w:rFonts w:ascii="Arial" w:hAnsi="Arial"/>
          <w:b/>
          <w:color w:val="000000"/>
          <w:sz w:val="20"/>
        </w:rPr>
        <w:t>Item 1. Legal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From time to time, we are subject to legal proceedings in the normal course of operating our business and an unfavorable resolution of any of these matters could materially affect the Company's future results of operations, cash flows or financial position. The outcome of litigation, regardless of the merits, is inherently uncertain.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previously disclosed, the Company has been subject to audits, requests for information, investigations and other inquiries from its regulators.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 additional limitations on the Company's business activities and further reputational damage, although to date such expenses have not had a material adverse effect on the Company’s financial condition, cash flows, or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bookmarkStart w:id="15" w:name="risk_factors"/>
      <w:bookmarkEnd w:id="15"/>
      <w:r>
        <w:rPr>
          <w:rFonts w:ascii="Arial" w:hAnsi="Arial"/>
          <w:b/>
          <w:color w:val="000000"/>
          <w:sz w:val="20"/>
        </w:rPr>
        <w:t>Item 1A. Risk Factors</w:t>
      </w:r>
    </w:p>
    <w:p>
      <w:pPr>
        <w:pStyle w:val="TextBody"/>
        <w:bidi w:val="0"/>
        <w:jc w:val="left"/>
        <w:rPr>
          <w:rFonts w:ascii="Times New Roman" w:hAnsi="Times New Roman"/>
          <w:sz w:val="20"/>
        </w:rPr>
      </w:pPr>
      <w:r>
        <w:rPr>
          <w:rFonts w:ascii="Arial" w:hAnsi="Arial"/>
          <w:color w:val="000000"/>
          <w:sz w:val="20"/>
        </w:rPr>
        <w:t>Our operations and financial results are subject to various risks and uncertainties including those disclosed under “Item 1A. Risk Factors” in our Annual Report on Form 10-K for the year ended December 31, 2025. There have been no material changes to our risk factors described in our Annual Report, other than as described below</w:t>
      </w:r>
      <w:r>
        <w:rPr>
          <w:rFonts w:ascii="Arial" w:hAnsi="Arial"/>
          <w:color w:val="0563C1"/>
          <w:sz w:val="20"/>
        </w:rPr>
        <w:t xml:space="preserve">. </w:t>
      </w:r>
      <w:r>
        <w:rPr>
          <w:rFonts w:ascii="Arial" w:hAnsi="Arial"/>
          <w:color w:val="000000"/>
          <w:sz w:val="20"/>
        </w:rPr>
        <w:t>If any of those risks or others not specified materialize, our business, financial condition and results of operations could be materially and adversely affected. In that case, the trading price of our common stock could decline and you could lose all or part of your investment in our common stock.</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Arial" w:hAnsi="Arial"/>
          <w:b/>
          <w:i/>
          <w:color w:val="000000"/>
          <w:sz w:val="20"/>
        </w:rPr>
      </w:pPr>
      <w:r>
        <w:rPr>
          <w:rFonts w:ascii="Arial" w:hAnsi="Arial"/>
          <w:b/>
          <w:i/>
          <w:color w:val="000000"/>
          <w:sz w:val="20"/>
        </w:rPr>
        <w:t>General business and economic conditions, and risks related to the larger automotive ecosystem, including consumer demand, could reduce our sales and profitability, which could have a material adverse effect on our business, financial condition and results of operations.</w:t>
      </w:r>
    </w:p>
    <w:p>
      <w:pPr>
        <w:pStyle w:val="TextBody"/>
        <w:bidi w:val="0"/>
        <w:spacing w:before="0" w:after="240"/>
        <w:jc w:val="left"/>
        <w:rPr>
          <w:rFonts w:ascii="Times New Roman" w:hAnsi="Times New Roman"/>
          <w:sz w:val="20"/>
        </w:rPr>
      </w:pPr>
      <w:r>
        <w:rPr>
          <w:rFonts w:ascii="Arial" w:hAnsi="Arial"/>
          <w:color w:val="000000"/>
          <w:sz w:val="20"/>
        </w:rPr>
        <w:t>Our business is affected by general business and economic conditions. The global economy often experiences periods of instability, and this volatility may lead to high unemployment and a lack of available credit, which may in turn lead to increased delinquencies, defaults, repossessions and losses on motor vehicle contracts financed through UACC and could materially and adversely affect our business, financial condition and results of operations. For example, in 2025, the non-prime automotive financing industry faced challenges relating to increasing delinquencies and defaults, lowered recoveries, and other factors, leading some of UACC’s competitors to cease new loan originations, file bankruptcy, or otherwise significantly alter their operations.</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Purchases of new and used vehicles are typically discretionary for consumers and have been, and may continue to be, affected by negative trends in the economy and other factors, including inflation and fluctuating interest rates, the impact of tariffs (as described further below), the cost of energy and gasoline, the availability and cost of consumer credit, reductions in consumer confidence and fears of recession, stock market volatility, increases or changes in regulation and unemployment levels. The current inflationary environment has led to both overall price increases and pronounced price increases in certain sectors, including gasoline prices. Moreover, the Federal Reserve’s efforts to tame inflation have led to, and may continue to lead to, increased interest rates, which affects automotive finance rates, making vehicle financing more costly and less accessible to many consumers. Additionally, increased environmental regulation has made, and may in the future make, used vehicles more expensive and less desirable for consumers.</w:t>
      </w:r>
    </w:p>
    <w:p>
      <w:pPr>
        <w:pStyle w:val="TextBody"/>
        <w:bidi w:val="0"/>
        <w:spacing w:before="0" w:after="240"/>
        <w:jc w:val="left"/>
        <w:rPr>
          <w:rFonts w:ascii="Times New Roman" w:hAnsi="Times New Roman"/>
          <w:sz w:val="20"/>
        </w:rPr>
      </w:pPr>
      <w:r>
        <w:rPr>
          <w:rFonts w:ascii="Arial" w:hAnsi="Arial"/>
          <w:color w:val="000000"/>
          <w:sz w:val="20"/>
        </w:rPr>
        <w:t>Our business may be impacted by the imposition of tariffs and other trade barriers, which make it more costly for automobile manufacturers and sellers to export and import vehicles and raw materials, and increase the price consumers in the U.S. pay for vehicles. In recent years, the U.S. government has renegotiated or terminated certain existing bilateral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or multi-lateral trade agreements. In addition, the Presidential administration has implemented significant tariffs on imports to the United States from various countries, including those from the European Union, Japan, China, Canada and Mexico. While the U.S. has reached trade agreements with certain countries that reduced tariff rates on some automotive goods, tariffs on imports from other countries, including Canada and Mexico, remain elevated. Such significant tariffs and other restrictions have had, and may continue to have, a major impact on the United States automotive industry, which depends heavily on cross border trade. These tariffs have had a significant adverse effect, including financial, on the automotive industry. Further, any additional tariffs in the United States or retaliatory tariffs imposed by other governments could exacerbate the impact, as could the uncertainty regarding the magnitude or duration of these measures. Steps taken by governments to implement tariffs on raw materials (including steel), automobiles, parts, and other products and materials have disrupted existing supply chains and imposed additional costs on businesses in the automotive industry in the United States and globally. While negotiations regarding tariffs are ongoing and changing rapidly, the resulting environment of retaliatory trade or other practices of additional trade restrictions or barriers increase automobile prices in the U.S. and caused volatility, which has led to, and could continue to lead to, further decreased consumer demand for automobiles, and in turn, decreased demand for motor vehicle contracts financed through UACC, which would negatively impact our results of operations, cash flows, and financial condition. In addition, geopolitical conflicts and armed hostilities have further heightened macroeconomic uncertainty and could compound the adverse effects described above.</w:t>
      </w:r>
    </w:p>
    <w:p>
      <w:pPr>
        <w:pStyle w:val="TextBody"/>
        <w:bidi w:val="0"/>
        <w:spacing w:before="0" w:after="240"/>
        <w:jc w:val="left"/>
        <w:rPr>
          <w:rFonts w:ascii="Arial" w:hAnsi="Arial"/>
          <w:color w:val="000000"/>
          <w:sz w:val="20"/>
        </w:rPr>
      </w:pPr>
      <w:r>
        <w:rPr>
          <w:rFonts w:ascii="Arial" w:hAnsi="Arial"/>
          <w:color w:val="000000"/>
          <w:sz w:val="20"/>
        </w:rPr>
        <w:t>In February 2026, the United States and Israel launched coordinated military strikes against Iran, which retaliated with missile attacks across the region. Although we do not have material operations in the Middle East, the ongoing conflict and any further escalation, has and could continue to lead to significant disruption of global energy supplies and increases in global energy prices, which could reduce consumer demand for used vehicles and apply downward pressure on average vehicle values, particularly given the seasonal nature of our business. The conflict could also heighten inflationary pressures on our operating costs and the broader supply chain, adversely affect global supply chains, energy markets, commodity prices, currency exchange rates, interest rates, financial markets and overall macroeconomic conditions. Such disruptions could increase our borrowing costs under UACC’s variable-rate Warehouse Credit Facilities and other variable-rate obligations, including our junior subordinated debentures, reduce the availability or increase the cost of debt financing through UACC’s securitization program and warehouse facilities, and adversely impact consumer spending patterns in markets in which we operate. While the impacts of the conflict between the United States, Israel and Iran may have an adverse effect on our business, financial condition and results of operations, we are unable to predict the extent or nature of these impacts at this time.</w:t>
      </w:r>
    </w:p>
    <w:p>
      <w:pPr>
        <w:pStyle w:val="TextBody"/>
        <w:bidi w:val="0"/>
        <w:jc w:val="center"/>
        <w:rPr/>
      </w:pPr>
      <w:r>
        <w:rPr/>
        <w:t> </w:t>
      </w:r>
    </w:p>
    <w:p>
      <w:pPr>
        <w:pStyle w:val="TextBody"/>
        <w:bidi w:val="0"/>
        <w:jc w:val="left"/>
        <w:rPr>
          <w:rFonts w:ascii="Arial" w:hAnsi="Arial"/>
          <w:b/>
          <w:color w:val="000000"/>
          <w:sz w:val="20"/>
        </w:rPr>
      </w:pPr>
      <w:bookmarkStart w:id="16" w:name="unregistered_sales_of_equity_securities"/>
      <w:bookmarkEnd w:id="16"/>
      <w:r>
        <w:rPr>
          <w:rFonts w:ascii="Arial" w:hAnsi="Arial"/>
          <w:b/>
          <w:color w:val="000000"/>
          <w:sz w:val="20"/>
        </w:rPr>
        <w:t>Item 2. Unregistered Sales of Equity Securities and Use of Proceeds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were no sales of unregistered securities during the period covered by this Quarterly Report on Form 10-Q.</w:t>
      </w:r>
    </w:p>
    <w:p>
      <w:pPr>
        <w:pStyle w:val="TextBody"/>
        <w:bidi w:val="0"/>
        <w:jc w:val="left"/>
        <w:rPr/>
      </w:pPr>
      <w:r>
        <w:rPr/>
        <w:t> </w:t>
      </w:r>
    </w:p>
    <w:p>
      <w:pPr>
        <w:pStyle w:val="TextBody"/>
        <w:bidi w:val="0"/>
        <w:jc w:val="left"/>
        <w:rPr>
          <w:rFonts w:ascii="Arial" w:hAnsi="Arial"/>
          <w:b/>
          <w:color w:val="000000"/>
          <w:sz w:val="20"/>
        </w:rPr>
      </w:pPr>
      <w:bookmarkStart w:id="17" w:name="defaults_senior_securities"/>
      <w:bookmarkEnd w:id="17"/>
      <w:r>
        <w:rPr>
          <w:rFonts w:ascii="Arial" w:hAnsi="Arial"/>
          <w:b/>
          <w:color w:val="000000"/>
          <w:sz w:val="20"/>
        </w:rPr>
        <w:t>Item 3. Defaults Upon Senior Securities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TextBody"/>
        <w:bidi w:val="0"/>
        <w:jc w:val="left"/>
        <w:rPr>
          <w:rFonts w:ascii="Arial" w:hAnsi="Arial"/>
          <w:b/>
          <w:color w:val="000000"/>
          <w:sz w:val="20"/>
        </w:rPr>
      </w:pPr>
      <w:bookmarkStart w:id="18" w:name="mine_safety"/>
      <w:bookmarkEnd w:id="18"/>
      <w:r>
        <w:rPr>
          <w:rFonts w:ascii="Arial" w:hAnsi="Arial"/>
          <w:b/>
          <w:color w:val="000000"/>
          <w:sz w:val="20"/>
        </w:rPr>
        <w:t>Item 4. Mine Safety Disclosures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Not applicable.</w:t>
      </w:r>
    </w:p>
    <w:p>
      <w:pPr>
        <w:pStyle w:val="TextBody"/>
        <w:bidi w:val="0"/>
        <w:jc w:val="left"/>
        <w:rPr/>
      </w:pPr>
      <w:r>
        <w:rPr/>
        <w:t> </w:t>
      </w:r>
    </w:p>
    <w:p>
      <w:pPr>
        <w:pStyle w:val="TextBody"/>
        <w:bidi w:val="0"/>
        <w:jc w:val="left"/>
        <w:rPr>
          <w:rFonts w:ascii="Arial" w:hAnsi="Arial"/>
          <w:b/>
          <w:color w:val="000000"/>
          <w:sz w:val="20"/>
        </w:rPr>
      </w:pPr>
      <w:bookmarkStart w:id="19" w:name="other_information"/>
      <w:bookmarkEnd w:id="19"/>
      <w:r>
        <w:rPr>
          <w:rFonts w:ascii="Arial" w:hAnsi="Arial"/>
          <w:b/>
          <w:color w:val="000000"/>
          <w:sz w:val="20"/>
        </w:rPr>
        <w:t>Item 5. Other Information</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 Disclosure in lieu of reporting on a Current Report on Form 8-K.</w:t>
      </w:r>
    </w:p>
    <w:p>
      <w:pPr>
        <w:pStyle w:val="TextBody"/>
        <w:bidi w:val="0"/>
        <w:jc w:val="left"/>
        <w:rPr>
          <w:rFonts w:ascii="Arial" w:hAnsi="Arial"/>
          <w:i/>
          <w:color w:val="000000"/>
          <w:sz w:val="20"/>
        </w:rPr>
      </w:pPr>
      <w:r>
        <w:rPr>
          <w:rFonts w:ascii="Arial" w:hAnsi="Arial"/>
          <w:i/>
          <w:color w:val="000000"/>
          <w:sz w:val="20"/>
        </w:rPr>
        <w:t>Amendment to Delayed Draw Facility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August 3, 2026, Vroom, Inc. ("Vroom"), United Auto Credit Corporation ("UACC") and its indirect subsidiary Darkwater Funding LLC ("Darkwater" and, together with Vroom and UACC, the "Borrowers") entered into an amendment (the "Amendment") to that certain loan and security agreement (the "Credit Agreement"), dated as of March 8, 2025, as previously amended on October 9, 2025, by and among Vroom, UACC, and Darkwater as co-borrowers, with Mudrick Capital Management, L.P., as administrative agent, and the lenders party thereto.</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Amendment amends the Credit Agreement to, among other things, extend the maturity date from December 31, 2026 to December 31, 2027. Except as expressly amended by the Amendment, the terms and conditions of the Credit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Agreement, including the collateral package, covenants, interest provisions, and other terms previously disclosed, remain in full force and effect.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foregoing description of the Amendment does not purport to be complete and is subject to, and qualified in its entirety by, the full text of the Amendment, which is filed as Exhibit 10.6 to this Quarterly Report on Form 10-Q and incorporated herein by reference.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(b) Material changes to the procedures by which security holders may recommend nominees to the board of directors</w:t>
      </w:r>
    </w:p>
    <w:p>
      <w:pPr>
        <w:pStyle w:val="TextBody"/>
        <w:bidi w:val="0"/>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 Insider Trading Arrangements and Policies</w:t>
      </w:r>
    </w:p>
    <w:p>
      <w:pPr>
        <w:pStyle w:val="TextBody"/>
        <w:bidi w:val="0"/>
        <w:jc w:val="left"/>
        <w:rPr>
          <w:rFonts w:ascii="Times New Roman" w:hAnsi="Times New Roman"/>
          <w:sz w:val="20"/>
        </w:rPr>
      </w:pPr>
      <w:r>
        <w:rPr>
          <w:rFonts w:ascii="Arial" w:hAnsi="Arial"/>
          <w:color w:val="000000"/>
          <w:sz w:val="20"/>
        </w:rPr>
        <w:t>During the three months ended June 30, 2026, no director or officer of the Company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“non-Rule 10b5-1 trading arrangement,” as each term is defined in Item 408(a) of Regulation S-K.</w:t>
      </w:r>
    </w:p>
    <w:p>
      <w:pPr>
        <w:pStyle w:val="TextBody"/>
        <w:bidi w:val="0"/>
        <w:jc w:val="left"/>
        <w:rPr/>
      </w:pPr>
      <w:r>
        <w:rPr/>
        <w:t> </w:t>
      </w:r>
    </w:p>
    <w:p>
      <w:pPr>
        <w:pStyle w:val="TextBody"/>
        <w:bidi w:val="0"/>
        <w:jc w:val="left"/>
        <w:rPr>
          <w:rFonts w:ascii="Arial" w:hAnsi="Arial"/>
          <w:b/>
          <w:color w:val="000000"/>
          <w:sz w:val="20"/>
        </w:rPr>
      </w:pPr>
      <w:bookmarkStart w:id="20" w:name="exhibits_and_financial_statement_schedul"/>
      <w:bookmarkEnd w:id="20"/>
      <w:r>
        <w:rPr>
          <w:rFonts w:ascii="Arial" w:hAnsi="Arial"/>
          <w:b/>
          <w:color w:val="000000"/>
          <w:sz w:val="20"/>
        </w:rPr>
        <w:t>Item 6. Exhibits</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INDEX TO EXHIBITS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3857"/>
        <w:gridCol w:w="146"/>
        <w:gridCol w:w="536"/>
        <w:gridCol w:w="146"/>
        <w:gridCol w:w="786"/>
        <w:gridCol w:w="146"/>
        <w:gridCol w:w="661"/>
        <w:gridCol w:w="146"/>
        <w:gridCol w:w="905"/>
        <w:gridCol w:w="146"/>
        <w:gridCol w:w="869"/>
        <w:gridCol w:w="964"/>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shd w:fill="FFFFFF" w:val="clear"/>
            <w:tcMar>
              <w:top w:w="0" w:type="dxa"/>
              <w:left w:w="0" w:type="dxa"/>
              <w:right w:w="0" w:type="dxa"/>
            </w:tcMar>
            <w:vAlign w:val="center"/>
          </w:tcPr>
          <w:p>
            <w:pPr>
              <w:pStyle w:val="TableContents"/>
              <w:bidi w:val="0"/>
              <w:jc w:val="left"/>
              <w:rPr>
                <w:rFonts w:ascii="Times New Roman" w:hAnsi="Times New Roman"/>
                <w:sz w:val="16"/>
              </w:rPr>
            </w:pPr>
            <w:r>
              <w:rPr>
                <w:rFonts w:ascii="Arial" w:hAnsi="Arial"/>
                <w:b/>
                <w:color w:val="000000"/>
                <w:sz w:val="16"/>
              </w:rPr>
              <w:t>Exhibit</w:t>
            </w:r>
            <w:r>
              <w:rPr>
                <w:rFonts w:ascii="Times New Roman" w:hAnsi="Times New Roman"/>
                <w:color w:val="000000"/>
                <w:sz w:val="16"/>
              </w:rPr>
              <w:t xml:space="preserve"> </w:t>
            </w:r>
          </w:p>
          <w:p>
            <w:pPr>
              <w:pStyle w:val="TableContents"/>
              <w:bidi w:val="0"/>
              <w:spacing w:before="0" w:after="283"/>
              <w:jc w:val="left"/>
              <w:rPr>
                <w:rFonts w:ascii="Arial" w:hAnsi="Arial"/>
                <w:b/>
                <w:color w:val="000000"/>
                <w:sz w:val="16"/>
              </w:rPr>
            </w:pPr>
            <w:r>
              <w:rPr>
                <w:rFonts w:ascii="Arial" w:hAnsi="Arial"/>
                <w:b/>
                <w:color w:val="000000"/>
                <w:sz w:val="16"/>
              </w:rPr>
              <w:t>Number</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Exhibit Description</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Form</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File No.</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Exhibit</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212529"/>
                <w:sz w:val="16"/>
              </w:rPr>
            </w:pPr>
            <w:r>
              <w:rPr>
                <w:rFonts w:ascii="Arial" w:hAnsi="Arial"/>
                <w:b/>
                <w:color w:val="212529"/>
                <w:sz w:val="16"/>
              </w:rPr>
              <w:t>Filing</w:t>
            </w:r>
          </w:p>
          <w:p>
            <w:pPr>
              <w:pStyle w:val="TableContents"/>
              <w:bidi w:val="0"/>
              <w:spacing w:before="0" w:after="283"/>
              <w:jc w:val="center"/>
              <w:rPr>
                <w:rFonts w:ascii="Arial" w:hAnsi="Arial"/>
                <w:b/>
                <w:color w:val="212529"/>
                <w:sz w:val="16"/>
              </w:rPr>
            </w:pPr>
            <w:r>
              <w:rPr>
                <w:rFonts w:ascii="Arial" w:hAnsi="Arial"/>
                <w:b/>
                <w:color w:val="212529"/>
                <w:sz w:val="16"/>
              </w:rPr>
              <w:t>Date</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Filed Herewith</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212529"/>
                <w:sz w:val="16"/>
              </w:rPr>
            </w:pPr>
            <w:r>
              <w:rPr>
                <w:rFonts w:ascii="Arial" w:hAnsi="Arial"/>
                <w:b/>
                <w:color w:val="212529"/>
                <w:sz w:val="16"/>
              </w:rPr>
              <w:t>Furnished</w:t>
            </w:r>
          </w:p>
          <w:p>
            <w:pPr>
              <w:pStyle w:val="TableContents"/>
              <w:bidi w:val="0"/>
              <w:spacing w:before="0" w:after="283"/>
              <w:jc w:val="center"/>
              <w:rPr>
                <w:rFonts w:ascii="Arial" w:hAnsi="Arial"/>
                <w:b/>
                <w:color w:val="212529"/>
                <w:sz w:val="16"/>
              </w:rPr>
            </w:pPr>
            <w:r>
              <w:rPr>
                <w:rFonts w:ascii="Arial" w:hAnsi="Arial"/>
                <w:b/>
                <w:color w:val="212529"/>
                <w:sz w:val="16"/>
              </w:rPr>
              <w:t>Herewith</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Agreement and Plan of Merger, dated as of October 11, 2021, by and among Vroom, Inc., Vroom Finance Corporation, Unitas Holdings Corp. and Fortis Advisors LLC, solely in its capacity as the equityholders' representative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October 12,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Prepackaged Plan of Reorganization for Vroom, Inc. Under Chapter 11 of the Bankruptcy Code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January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Restated Certificate of Incorporation of Vroom,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3.2</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11,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Certificate of Change of Registered Agent and/or Registered Office.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3.1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11,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Amended and Restated Bylaws of Vroom,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January 15, 2025</w:t>
            </w:r>
          </w:p>
          <w:p>
            <w:pPr>
              <w:pStyle w:val="TableContents"/>
              <w:bidi w:val="0"/>
              <w:jc w:val="left"/>
              <w:rPr/>
            </w:pPr>
            <w:r>
              <w:rPr/>
              <w:t> </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Arial" w:hAnsi="Arial"/>
                  <w:color w:val="0000FF"/>
                  <w:sz w:val="20"/>
                  <w:u w:val="single"/>
                </w:rPr>
                <w:t>Eighth Amended and Restated Investors’ Rights Agreement, dated as of November 21, 2019, by and among Vroom, Inc. and certain holders of its capital stock</w:t>
              </w:r>
            </w:hyperlink>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333-238482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May 18, 2020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Arial" w:hAnsi="Arial"/>
                  <w:color w:val="0000FF"/>
                  <w:sz w:val="20"/>
                  <w:u w:val="single"/>
                </w:rPr>
                <w:t>Exchange and Subscription Agreement by and between Vroom, Inc. and the Investors, dated as of May 14, 2026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May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8"/>
        <w:gridCol w:w="146"/>
        <w:gridCol w:w="7794"/>
        <w:gridCol w:w="146"/>
        <w:gridCol w:w="146"/>
        <w:gridCol w:w="146"/>
        <w:gridCol w:w="146"/>
        <w:gridCol w:w="146"/>
        <w:gridCol w:w="146"/>
        <w:gridCol w:w="146"/>
        <w:gridCol w:w="146"/>
        <w:gridCol w:w="146"/>
        <w:gridCol w:w="241"/>
        <w:gridCol w:w="192"/>
      </w:tblGrid>
      <w:tr>
        <w:trPr/>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10_2.htm">
              <w:r>
                <w:rPr>
                  <w:rStyle w:val="InternetLink"/>
                  <w:rFonts w:ascii="Arial" w:hAnsi="Arial"/>
                  <w:color w:val="0000FF"/>
                  <w:sz w:val="20"/>
                  <w:u w:val="single"/>
                </w:rPr>
                <w:t>Amended and Restated Warehouse Agreement, dated as of March 29, 2021, by and among UACC Auto Financing Trust V, as Borrower, United Auto Credit Corporation, as Servicer and Custodian, and a Backup Servicer and Account Bank, and an Administrative Agent, the lender parties thereto, the agent parties thereto, as amended May 29, 2026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10_3.htm">
              <w:r>
                <w:rPr>
                  <w:rStyle w:val="InternetLink"/>
                  <w:rFonts w:ascii="Arial" w:hAnsi="Arial"/>
                  <w:color w:val="0000FF"/>
                  <w:sz w:val="20"/>
                  <w:u w:val="single"/>
                </w:rPr>
                <w:t>Warehouse Agreement, dated as of November 19, 2013, by and</w:t>
              </w:r>
            </w:hyperlink>
            <w:r>
              <w:rPr>
                <w:rFonts w:ascii="Times New Roman" w:hAnsi="Times New Roman"/>
                <w:color w:val="000000"/>
                <w:sz w:val="20"/>
              </w:rPr>
              <w:t xml:space="preserve"> </w:t>
            </w:r>
            <w:hyperlink w:anchor="vrm-ex10_3.htm">
              <w:r>
                <w:rPr>
                  <w:rStyle w:val="InternetLink"/>
                  <w:rFonts w:ascii="Arial" w:hAnsi="Arial"/>
                  <w:color w:val="0000FF"/>
                  <w:sz w:val="20"/>
                  <w:u w:val="single"/>
                </w:rPr>
                <w:t>among UACC Auto Financing Trust IV, as borrower, United Auto Credit Corporation, as servicer and custodian, a backup servicer and account bank, the lender parties thereto, the agent parties thereto, and an administrative agent, as amended through May 29, 2026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10_4.htm">
              <w:r>
                <w:rPr>
                  <w:rStyle w:val="InternetLink"/>
                  <w:rFonts w:ascii="Arial" w:hAnsi="Arial"/>
                  <w:color w:val="0000FF"/>
                  <w:sz w:val="20"/>
                  <w:u w:val="single"/>
                </w:rPr>
                <w:t>Warehouse Agreement, dated as of November 19, 2013, by and among UACC Auto Financing Trust IV, as borrower, United Auto Credit Corporation, as servicer and custodian, a backup servicer and account bank, the lender parties thereto, the agent parties thereto, and an administrative agent, as amended through June 30, 2026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10_5.htm">
              <w:r>
                <w:rPr>
                  <w:rStyle w:val="InternetLink"/>
                  <w:rFonts w:ascii="Arial" w:hAnsi="Arial"/>
                  <w:color w:val="0000FF"/>
                  <w:sz w:val="20"/>
                  <w:u w:val="single"/>
                </w:rPr>
                <w:t>Amendment to the Amended and Restated Vroom, Inc. 2020 Incentive Award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10_6.htm">
              <w:r>
                <w:rPr>
                  <w:rStyle w:val="InternetLink"/>
                  <w:rFonts w:ascii="Arial" w:hAnsi="Arial"/>
                  <w:color w:val="0000FF"/>
                  <w:sz w:val="20"/>
                  <w:u w:val="single"/>
                </w:rPr>
                <w:t>Amendment No. 2 to the Loan and Security Agreement by and among Vroom, Inc., Darkwater Funding, LLC, United Auto Credit Corporation, Mudrick Capital Management, L.P., and the lender parties hereto, dated August 3, 2026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31_2.htm">
              <w:r>
                <w:rPr>
                  <w:rStyle w:val="InternetLink"/>
                  <w:rFonts w:ascii="Arial" w:hAnsi="Arial"/>
                  <w:color w:val="0000FF"/>
                  <w:sz w:val="20"/>
                  <w:u w:val="single"/>
                </w:rPr>
                <w:t>Certification of Principal Financial Officer Pursuant to Rules 13a-14(a) and 15d-14(a) under the</w:t>
              </w:r>
            </w:hyperlink>
            <w:hyperlink w:anchor="vrm-ex31_2.htm">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
        <w:gridCol w:w="146"/>
        <w:gridCol w:w="7442"/>
        <w:gridCol w:w="146"/>
        <w:gridCol w:w="146"/>
        <w:gridCol w:w="146"/>
        <w:gridCol w:w="146"/>
        <w:gridCol w:w="146"/>
        <w:gridCol w:w="146"/>
        <w:gridCol w:w="146"/>
        <w:gridCol w:w="146"/>
        <w:gridCol w:w="146"/>
        <w:gridCol w:w="301"/>
        <w:gridCol w:w="287"/>
      </w:tblGrid>
      <w:tr>
        <w:trPr/>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sz w:val="20"/>
              </w:rPr>
              <w:t>Securities Exchange Act of 1934, as Adopted Pursuant to Section 302 of the Sarbanes-Oxley Act of 2002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Calculation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Definition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Label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X</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Presentation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 Certain portions of this exhibit (indicated by "[***]") have been omitted pursuant to Regulation S-K, Item (601)(b)(10).</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21" w:name="signature"/>
      <w:bookmarkEnd w:id="21"/>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054" w:type="dxa"/>
        <w:jc w:val="left"/>
        <w:tblInd w:w="0" w:type="dxa"/>
        <w:tblLayout w:type="fixed"/>
        <w:tblCellMar>
          <w:top w:w="28" w:type="dxa"/>
          <w:left w:w="28" w:type="dxa"/>
          <w:bottom w:w="28" w:type="dxa"/>
          <w:right w:w="28" w:type="dxa"/>
        </w:tblCellMar>
      </w:tblPr>
      <w:tblGrid>
        <w:gridCol w:w="1966"/>
        <w:gridCol w:w="146"/>
        <w:gridCol w:w="406"/>
        <w:gridCol w:w="253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Vroom, Inc.</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Thomas H. Shortt</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Thomas H. Shortt</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i/>
                <w:color w:val="000000"/>
                <w:sz w:val="20"/>
              </w:rPr>
              <w:t>(principal executive officer)</w:t>
            </w:r>
            <w:r>
              <w:rPr>
                <w:rFonts w:ascii="Times New Roman" w:hAnsi="Times New Roman"/>
                <w:color w:val="000000"/>
                <w:sz w:val="20"/>
              </w:rPr>
              <w:t xml:space="preserve">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Jonathan R. Sandison</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Jonathan R. Sandison</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i/>
                <w:color w:val="000000"/>
                <w:sz w:val="20"/>
              </w:rPr>
            </w:pPr>
            <w:r>
              <w:rPr>
                <w:rFonts w:ascii="Arial" w:hAnsi="Arial"/>
                <w:i/>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22" w:name="vrm-ex10_2.htm"/>
      <w:bookmarkStart w:id="23" w:name="ksvrmex10_2"/>
      <w:bookmarkEnd w:id="22"/>
      <w:bookmarkEnd w:id="23"/>
      <w:r>
        <w:rPr>
          <w:rFonts w:ascii="Times New Roman" w:hAnsi="Times New Roman"/>
          <w:color w:val="000000"/>
          <w:sz w:val="20"/>
        </w:rPr>
        <w:t>Exhibit 10.2</w:t>
      </w:r>
      <w:r>
        <w:br w:type="page"/>
      </w:r>
    </w:p>
    <w:p>
      <w:pPr>
        <w:pStyle w:val="TextBody"/>
        <w:bidi w:val="0"/>
        <w:spacing w:before="0" w:after="480"/>
        <w:jc w:val="left"/>
        <w:rPr>
          <w:rFonts w:ascii="Times New Roman" w:hAnsi="Times New Roman"/>
          <w:color w:val="000000"/>
          <w:sz w:val="16"/>
        </w:rPr>
      </w:pPr>
      <w:r>
        <w:rPr>
          <w:rFonts w:ascii="Times New Roman" w:hAnsi="Times New Roman"/>
          <w:color w:val="000000"/>
          <w:sz w:val="16"/>
        </w:rPr>
        <w:t>[***] Certain information in this document has been excluded pursuant to Regulation S-K, Item (601)(b)(10). Such excluded information is both (i) not material and (ii) the type that the Registrant treats as private or confidential.</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xml:space="preserve">UACC AUTO FINANCING TRUST V, </w:t>
        <w:br/>
        <w:t>as Borrower,</w:t>
      </w:r>
    </w:p>
    <w:p>
      <w:pPr>
        <w:pStyle w:val="TextBody"/>
        <w:bidi w:val="0"/>
        <w:jc w:val="center"/>
        <w:rPr>
          <w:rFonts w:ascii="Times New Roman" w:hAnsi="Times New Roman"/>
          <w:color w:val="000000"/>
          <w:sz w:val="24"/>
        </w:rPr>
      </w:pPr>
      <w:r>
        <w:rPr>
          <w:rFonts w:ascii="Times New Roman" w:hAnsi="Times New Roman"/>
          <w:color w:val="000000"/>
          <w:sz w:val="24"/>
        </w:rPr>
        <w:t>UNITED AUTO CREDIT CORPORATION,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as Servicer and Custodian,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t>
        <w:br/>
        <w:t>as Backup Servicer and Account Bank,</w:t>
      </w:r>
    </w:p>
    <w:p>
      <w:pPr>
        <w:pStyle w:val="TextBody"/>
        <w:bidi w:val="0"/>
        <w:jc w:val="center"/>
        <w:rPr>
          <w:rFonts w:ascii="Times New Roman" w:hAnsi="Times New Roman"/>
          <w:color w:val="000000"/>
          <w:sz w:val="24"/>
        </w:rPr>
      </w:pPr>
      <w:r>
        <w:rPr>
          <w:rFonts w:ascii="Times New Roman" w:hAnsi="Times New Roman"/>
          <w:color w:val="000000"/>
          <w:sz w:val="24"/>
        </w:rPr>
        <w:t>the LENDERS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from time to time parties hereto,</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720"/>
        <w:jc w:val="center"/>
        <w:rPr>
          <w:rFonts w:ascii="Times New Roman" w:hAnsi="Times New Roman"/>
          <w:color w:val="000000"/>
          <w:sz w:val="24"/>
        </w:rPr>
      </w:pPr>
      <w:r>
        <w:rPr>
          <w:rFonts w:ascii="Times New Roman" w:hAnsi="Times New Roman"/>
          <w:color w:val="000000"/>
          <w:sz w:val="24"/>
        </w:rPr>
        <w:t>[***],</w:t>
        <w:br/>
        <w:t>as Administrative Agent</w:t>
      </w:r>
    </w:p>
    <w:tbl>
      <w:tblPr>
        <w:tblW w:w="6496" w:type="dxa"/>
        <w:jc w:val="left"/>
        <w:tblInd w:w="0" w:type="dxa"/>
        <w:tblLayout w:type="fixed"/>
        <w:tblCellMar>
          <w:top w:w="28" w:type="dxa"/>
          <w:left w:w="28" w:type="dxa"/>
          <w:bottom w:w="28" w:type="dxa"/>
          <w:right w:w="28" w:type="dxa"/>
        </w:tblCellMar>
      </w:tblPr>
      <w:tblGrid>
        <w:gridCol w:w="6496"/>
      </w:tblGrid>
      <w:tr>
        <w:trPr/>
        <w:tc>
          <w:tcPr>
            <w:tcW w:w="6496" w:type="dxa"/>
            <w:tcBorders/>
            <w:vAlign w:val="center"/>
          </w:tcPr>
          <w:p>
            <w:pPr>
              <w:pStyle w:val="TableContents"/>
              <w:bidi w:val="0"/>
              <w:spacing w:before="0" w:after="283"/>
              <w:jc w:val="left"/>
              <w:rPr>
                <w:sz w:val="4"/>
                <w:szCs w:val="4"/>
              </w:rPr>
            </w:pPr>
            <w:r>
              <w:rPr>
                <w:sz w:val="4"/>
                <w:szCs w:val="4"/>
              </w:rPr>
            </w:r>
          </w:p>
        </w:tc>
      </w:tr>
      <w:tr>
        <w:trPr/>
        <w:tc>
          <w:tcPr>
            <w:tcW w:w="6496" w:type="dxa"/>
            <w:tcBorders>
              <w:top w:val="single" w:sz="4" w:space="0" w:color="000000"/>
            </w:tcBorders>
            <w:tcMar>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AMENDED AND RESTATED WAREHOUSE AGREEMENT</w:t>
            </w:r>
          </w:p>
        </w:tc>
      </w:tr>
      <w:tr>
        <w:trPr/>
        <w:tc>
          <w:tcPr>
            <w:tcW w:w="6496" w:type="dxa"/>
            <w:tcBorders>
              <w:bottom w:val="single" w:sz="4" w:space="0" w:color="000000"/>
            </w:tcBorders>
            <w:tcMar>
              <w:top w:w="0" w:type="dxa"/>
              <w:left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Dated as of March 29, 2021</w:t>
            </w:r>
          </w:p>
        </w:tc>
      </w:tr>
    </w:tbl>
    <w:p>
      <w:pPr>
        <w:pStyle w:val="TextBody"/>
        <w:bidi w:val="0"/>
        <w:spacing w:before="7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4"/>
        </w:rPr>
      </w:pPr>
      <w:bookmarkStart w:id="24" w:name="tocheading"/>
      <w:bookmarkEnd w:id="24"/>
      <w:r>
        <w:rPr>
          <w:rFonts w:ascii="Times New Roman" w:hAnsi="Times New Roman"/>
          <w:b/>
          <w:caps/>
          <w:color w:val="000000"/>
          <w:sz w:val="24"/>
        </w:rPr>
        <w:t>Table of Contents</w:t>
      </w:r>
    </w:p>
    <w:p>
      <w:pPr>
        <w:pStyle w:val="TextBody"/>
        <w:bidi w:val="0"/>
        <w:jc w:val="right"/>
        <w:rPr>
          <w:rFonts w:ascii="Times New Roman" w:hAnsi="Times New Roman"/>
          <w:b/>
          <w:color w:val="000000"/>
          <w:sz w:val="24"/>
          <w:u w:val="single"/>
        </w:rPr>
      </w:pPr>
      <w:bookmarkStart w:id="25" w:name="tocpage"/>
      <w:bookmarkEnd w:id="25"/>
      <w:r>
        <w:rPr>
          <w:rFonts w:ascii="Times New Roman" w:hAnsi="Times New Roman"/>
          <w:b/>
          <w:color w:val="000000"/>
          <w:sz w:val="24"/>
          <w:u w:val="single"/>
        </w:rPr>
        <w:t>Page</w:t>
      </w:r>
    </w:p>
    <w:p>
      <w:pPr>
        <w:pStyle w:val="TextBody"/>
        <w:bidi w:val="0"/>
        <w:spacing w:before="240" w:after="283"/>
        <w:jc w:val="left"/>
        <w:rPr>
          <w:rFonts w:ascii="Times New Roman" w:hAnsi="Times New Roman"/>
          <w:sz w:val="20"/>
        </w:rPr>
      </w:pPr>
      <w:bookmarkStart w:id="26" w:name="toc"/>
      <w:bookmarkEnd w:id="26"/>
      <w:r>
        <w:rPr>
          <w:rFonts w:ascii="Times New Roman" w:hAnsi="Times New Roman"/>
          <w:caps/>
          <w:color w:val="000000"/>
          <w:sz w:val="24"/>
        </w:rPr>
        <w:t>ARTICLE One</w:t>
      </w:r>
      <w:r>
        <w:rPr>
          <w:rFonts w:ascii="Times New Roman" w:hAnsi="Times New Roman"/>
          <w:color w:val="000000"/>
          <w:sz w:val="20"/>
        </w:rPr>
        <w:t xml:space="preserve"> </w:t>
      </w:r>
      <w:r>
        <w:rPr>
          <w:rFonts w:ascii="Times New Roman" w:hAnsi="Times New Roman"/>
          <w:color w:val="000000"/>
          <w:sz w:val="24"/>
        </w:rPr>
        <w:t>DEFINITIONS; CONSTRUCTION</w:t>
      </w:r>
    </w:p>
    <w:p>
      <w:pPr>
        <w:pStyle w:val="TextBody"/>
        <w:bidi w:val="0"/>
        <w:jc w:val="left"/>
        <w:rPr>
          <w:rFonts w:ascii="Times New Roman" w:hAnsi="Times New Roman"/>
          <w:sz w:val="20"/>
        </w:rPr>
      </w:pPr>
      <w:r>
        <w:rPr>
          <w:rFonts w:ascii="Times New Roman" w:hAnsi="Times New Roman"/>
          <w:color w:val="000000"/>
          <w:sz w:val="24"/>
        </w:rPr>
        <w:t>Section 1.01.</w:t>
      </w:r>
      <w:r>
        <w:rPr>
          <w:rFonts w:ascii="Times New Roman" w:hAnsi="Times New Roman"/>
          <w:color w:val="000000"/>
          <w:sz w:val="20"/>
        </w:rPr>
        <w:t xml:space="preserve"> </w:t>
      </w:r>
      <w:r>
        <w:rPr>
          <w:rFonts w:ascii="Times New Roman" w:hAnsi="Times New Roman"/>
          <w:color w:val="000000"/>
          <w:sz w:val="24"/>
        </w:rPr>
        <w:t>Definitions</w:t>
      </w:r>
    </w:p>
    <w:p>
      <w:pPr>
        <w:pStyle w:val="TextBody"/>
        <w:bidi w:val="0"/>
        <w:jc w:val="left"/>
        <w:rPr>
          <w:rFonts w:ascii="Times New Roman" w:hAnsi="Times New Roman"/>
          <w:sz w:val="20"/>
        </w:rPr>
      </w:pPr>
      <w:r>
        <w:rPr>
          <w:rFonts w:ascii="Times New Roman" w:hAnsi="Times New Roman"/>
          <w:color w:val="000000"/>
          <w:sz w:val="24"/>
        </w:rPr>
        <w:t>Section 1.02.</w:t>
      </w:r>
      <w:r>
        <w:rPr>
          <w:rFonts w:ascii="Times New Roman" w:hAnsi="Times New Roman"/>
          <w:color w:val="000000"/>
          <w:sz w:val="20"/>
        </w:rPr>
        <w:t xml:space="preserve"> </w:t>
      </w:r>
      <w:r>
        <w:rPr>
          <w:rFonts w:ascii="Times New Roman" w:hAnsi="Times New Roman"/>
          <w:color w:val="000000"/>
          <w:sz w:val="24"/>
        </w:rPr>
        <w:t>Accounting Terms and Determinations</w:t>
      </w:r>
    </w:p>
    <w:p>
      <w:pPr>
        <w:pStyle w:val="TextBody"/>
        <w:bidi w:val="0"/>
        <w:jc w:val="left"/>
        <w:rPr>
          <w:rFonts w:ascii="Times New Roman" w:hAnsi="Times New Roman"/>
          <w:sz w:val="20"/>
        </w:rPr>
      </w:pPr>
      <w:r>
        <w:rPr>
          <w:rFonts w:ascii="Times New Roman" w:hAnsi="Times New Roman"/>
          <w:color w:val="000000"/>
          <w:sz w:val="24"/>
        </w:rPr>
        <w:t>Section 1.03.</w:t>
      </w:r>
      <w:r>
        <w:rPr>
          <w:rFonts w:ascii="Times New Roman" w:hAnsi="Times New Roman"/>
          <w:color w:val="000000"/>
          <w:sz w:val="20"/>
        </w:rPr>
        <w:t xml:space="preserve"> </w:t>
      </w:r>
      <w:r>
        <w:rPr>
          <w:rFonts w:ascii="Times New Roman" w:hAnsi="Times New Roman"/>
          <w:color w:val="000000"/>
          <w:sz w:val="24"/>
        </w:rPr>
        <w:t>Computation of Time Periods</w:t>
      </w:r>
    </w:p>
    <w:p>
      <w:pPr>
        <w:pStyle w:val="TextBody"/>
        <w:bidi w:val="0"/>
        <w:jc w:val="left"/>
        <w:rPr>
          <w:rFonts w:ascii="Times New Roman" w:hAnsi="Times New Roman"/>
          <w:sz w:val="20"/>
        </w:rPr>
      </w:pPr>
      <w:r>
        <w:rPr>
          <w:rFonts w:ascii="Times New Roman" w:hAnsi="Times New Roman"/>
          <w:color w:val="000000"/>
          <w:sz w:val="24"/>
        </w:rPr>
        <w:t>Section 1.04.</w:t>
      </w:r>
      <w:r>
        <w:rPr>
          <w:rFonts w:ascii="Times New Roman" w:hAnsi="Times New Roman"/>
          <w:color w:val="000000"/>
          <w:sz w:val="20"/>
        </w:rPr>
        <w:t xml:space="preserve"> </w:t>
      </w:r>
      <w:r>
        <w:rPr>
          <w:rFonts w:ascii="Times New Roman" w:hAnsi="Times New Roman"/>
          <w:color w:val="000000"/>
          <w:sz w:val="24"/>
        </w:rPr>
        <w:t>Interpretation</w:t>
      </w:r>
    </w:p>
    <w:p>
      <w:pPr>
        <w:pStyle w:val="TextBody"/>
        <w:bidi w:val="0"/>
        <w:spacing w:before="240" w:after="283"/>
        <w:jc w:val="left"/>
        <w:rPr>
          <w:rFonts w:ascii="Times New Roman" w:hAnsi="Times New Roman"/>
          <w:sz w:val="20"/>
        </w:rPr>
      </w:pPr>
      <w:r>
        <w:rPr>
          <w:rFonts w:ascii="Times New Roman" w:hAnsi="Times New Roman"/>
          <w:caps/>
          <w:color w:val="000000"/>
          <w:sz w:val="24"/>
        </w:rPr>
        <w:t>ARTICLE Two</w:t>
      </w:r>
      <w:r>
        <w:rPr>
          <w:rFonts w:ascii="Times New Roman" w:hAnsi="Times New Roman"/>
          <w:color w:val="000000"/>
          <w:sz w:val="20"/>
        </w:rPr>
        <w:t xml:space="preserve"> </w:t>
      </w:r>
      <w:r>
        <w:rPr>
          <w:rFonts w:ascii="Times New Roman" w:hAnsi="Times New Roman"/>
          <w:color w:val="000000"/>
          <w:sz w:val="24"/>
        </w:rPr>
        <w:t>LOANS</w:t>
      </w:r>
    </w:p>
    <w:p>
      <w:pPr>
        <w:pStyle w:val="TextBody"/>
        <w:bidi w:val="0"/>
        <w:jc w:val="left"/>
        <w:rPr>
          <w:rFonts w:ascii="Times New Roman" w:hAnsi="Times New Roman"/>
          <w:sz w:val="20"/>
        </w:rPr>
      </w:pPr>
      <w:r>
        <w:rPr>
          <w:rFonts w:ascii="Times New Roman" w:hAnsi="Times New Roman"/>
          <w:color w:val="000000"/>
          <w:sz w:val="24"/>
        </w:rPr>
        <w:t>Section 2.01.</w:t>
      </w:r>
      <w:r>
        <w:rPr>
          <w:rFonts w:ascii="Times New Roman" w:hAnsi="Times New Roman"/>
          <w:color w:val="000000"/>
          <w:sz w:val="20"/>
        </w:rPr>
        <w:t xml:space="preserve"> </w:t>
      </w:r>
      <w:r>
        <w:rPr>
          <w:rFonts w:ascii="Times New Roman" w:hAnsi="Times New Roman"/>
          <w:color w:val="000000"/>
          <w:sz w:val="24"/>
        </w:rPr>
        <w:t>Loans</w:t>
      </w:r>
    </w:p>
    <w:p>
      <w:pPr>
        <w:pStyle w:val="TextBody"/>
        <w:bidi w:val="0"/>
        <w:jc w:val="left"/>
        <w:rPr>
          <w:rFonts w:ascii="Times New Roman" w:hAnsi="Times New Roman"/>
          <w:sz w:val="20"/>
        </w:rPr>
      </w:pPr>
      <w:r>
        <w:rPr>
          <w:rFonts w:ascii="Times New Roman" w:hAnsi="Times New Roman"/>
          <w:color w:val="000000"/>
          <w:sz w:val="24"/>
        </w:rPr>
        <w:t>Section 2.02.</w:t>
      </w:r>
      <w:r>
        <w:rPr>
          <w:rFonts w:ascii="Times New Roman" w:hAnsi="Times New Roman"/>
          <w:color w:val="000000"/>
          <w:sz w:val="20"/>
        </w:rPr>
        <w:t xml:space="preserve"> </w:t>
      </w:r>
      <w:r>
        <w:rPr>
          <w:rFonts w:ascii="Times New Roman" w:hAnsi="Times New Roman"/>
          <w:color w:val="000000"/>
          <w:sz w:val="24"/>
        </w:rPr>
        <w:t>Funding Mechanics</w:t>
      </w:r>
    </w:p>
    <w:p>
      <w:pPr>
        <w:pStyle w:val="TextBody"/>
        <w:bidi w:val="0"/>
        <w:jc w:val="left"/>
        <w:rPr>
          <w:rFonts w:ascii="Times New Roman" w:hAnsi="Times New Roman"/>
          <w:sz w:val="20"/>
        </w:rPr>
      </w:pPr>
      <w:r>
        <w:rPr>
          <w:rFonts w:ascii="Times New Roman" w:hAnsi="Times New Roman"/>
          <w:color w:val="000000"/>
          <w:sz w:val="24"/>
        </w:rPr>
        <w:t>Section 2.03.</w:t>
      </w:r>
      <w:r>
        <w:rPr>
          <w:rFonts w:ascii="Times New Roman" w:hAnsi="Times New Roman"/>
          <w:color w:val="000000"/>
          <w:sz w:val="20"/>
        </w:rPr>
        <w:t xml:space="preserve"> </w:t>
      </w:r>
      <w:r>
        <w:rPr>
          <w:rFonts w:ascii="Times New Roman" w:hAnsi="Times New Roman"/>
          <w:color w:val="000000"/>
          <w:sz w:val="24"/>
        </w:rPr>
        <w:t>Reductions of Commitments</w:t>
      </w:r>
    </w:p>
    <w:p>
      <w:pPr>
        <w:pStyle w:val="TextBody"/>
        <w:bidi w:val="0"/>
        <w:jc w:val="left"/>
        <w:rPr>
          <w:rFonts w:ascii="Times New Roman" w:hAnsi="Times New Roman"/>
          <w:sz w:val="20"/>
        </w:rPr>
      </w:pPr>
      <w:r>
        <w:rPr>
          <w:rFonts w:ascii="Times New Roman" w:hAnsi="Times New Roman"/>
          <w:color w:val="000000"/>
          <w:sz w:val="24"/>
        </w:rPr>
        <w:t>Section 2.04.</w:t>
      </w:r>
      <w:r>
        <w:rPr>
          <w:rFonts w:ascii="Times New Roman" w:hAnsi="Times New Roman"/>
          <w:color w:val="000000"/>
          <w:sz w:val="20"/>
        </w:rPr>
        <w:t xml:space="preserve"> </w:t>
      </w:r>
      <w:r>
        <w:rPr>
          <w:rFonts w:ascii="Times New Roman" w:hAnsi="Times New Roman"/>
          <w:color w:val="000000"/>
          <w:sz w:val="24"/>
        </w:rPr>
        <w:t>Extensions of Commitments</w:t>
      </w:r>
    </w:p>
    <w:p>
      <w:pPr>
        <w:pStyle w:val="TextBody"/>
        <w:bidi w:val="0"/>
        <w:jc w:val="left"/>
        <w:rPr>
          <w:rFonts w:ascii="Times New Roman" w:hAnsi="Times New Roman"/>
          <w:sz w:val="20"/>
        </w:rPr>
      </w:pPr>
      <w:r>
        <w:rPr>
          <w:rFonts w:ascii="Times New Roman" w:hAnsi="Times New Roman"/>
          <w:color w:val="000000"/>
          <w:sz w:val="24"/>
        </w:rPr>
        <w:t>Section 2.05.</w:t>
      </w:r>
      <w:r>
        <w:rPr>
          <w:rFonts w:ascii="Times New Roman" w:hAnsi="Times New Roman"/>
          <w:color w:val="000000"/>
          <w:sz w:val="20"/>
        </w:rPr>
        <w:t xml:space="preserve"> </w:t>
      </w:r>
      <w:r>
        <w:rPr>
          <w:rFonts w:ascii="Times New Roman" w:hAnsi="Times New Roman"/>
          <w:color w:val="000000"/>
          <w:sz w:val="24"/>
        </w:rPr>
        <w:t>The Notes</w:t>
      </w:r>
    </w:p>
    <w:p>
      <w:pPr>
        <w:pStyle w:val="TextBody"/>
        <w:bidi w:val="0"/>
        <w:jc w:val="left"/>
        <w:rPr>
          <w:rFonts w:ascii="Times New Roman" w:hAnsi="Times New Roman"/>
          <w:sz w:val="20"/>
        </w:rPr>
      </w:pPr>
      <w:r>
        <w:rPr>
          <w:rFonts w:ascii="Times New Roman" w:hAnsi="Times New Roman"/>
          <w:color w:val="000000"/>
          <w:sz w:val="24"/>
        </w:rPr>
        <w:t>Section 2.06.</w:t>
      </w:r>
      <w:r>
        <w:rPr>
          <w:rFonts w:ascii="Times New Roman" w:hAnsi="Times New Roman"/>
          <w:color w:val="000000"/>
          <w:sz w:val="20"/>
        </w:rPr>
        <w:t xml:space="preserve"> </w:t>
      </w:r>
      <w:r>
        <w:rPr>
          <w:rFonts w:ascii="Times New Roman" w:hAnsi="Times New Roman"/>
          <w:color w:val="000000"/>
          <w:sz w:val="24"/>
        </w:rPr>
        <w:t>Optional Principal Repayments; Interpayments</w:t>
      </w:r>
    </w:p>
    <w:p>
      <w:pPr>
        <w:pStyle w:val="TextBody"/>
        <w:bidi w:val="0"/>
        <w:jc w:val="left"/>
        <w:rPr>
          <w:rFonts w:ascii="Times New Roman" w:hAnsi="Times New Roman"/>
          <w:sz w:val="20"/>
        </w:rPr>
      </w:pPr>
      <w:r>
        <w:rPr>
          <w:rFonts w:ascii="Times New Roman" w:hAnsi="Times New Roman"/>
          <w:color w:val="000000"/>
          <w:sz w:val="24"/>
        </w:rPr>
        <w:t>Section 2.07.</w:t>
      </w:r>
      <w:r>
        <w:rPr>
          <w:rFonts w:ascii="Times New Roman" w:hAnsi="Times New Roman"/>
          <w:color w:val="000000"/>
          <w:sz w:val="20"/>
        </w:rPr>
        <w:t xml:space="preserve"> </w:t>
      </w:r>
      <w:r>
        <w:rPr>
          <w:rFonts w:ascii="Times New Roman" w:hAnsi="Times New Roman"/>
          <w:color w:val="000000"/>
          <w:sz w:val="24"/>
        </w:rPr>
        <w:t>Payments</w:t>
      </w:r>
    </w:p>
    <w:p>
      <w:pPr>
        <w:pStyle w:val="TextBody"/>
        <w:bidi w:val="0"/>
        <w:jc w:val="left"/>
        <w:rPr>
          <w:rFonts w:ascii="Times New Roman" w:hAnsi="Times New Roman"/>
          <w:sz w:val="20"/>
        </w:rPr>
      </w:pPr>
      <w:r>
        <w:rPr>
          <w:rFonts w:ascii="Times New Roman" w:hAnsi="Times New Roman"/>
          <w:color w:val="000000"/>
          <w:sz w:val="24"/>
        </w:rPr>
        <w:t>Section 2.08.</w:t>
      </w:r>
      <w:r>
        <w:rPr>
          <w:rFonts w:ascii="Times New Roman" w:hAnsi="Times New Roman"/>
          <w:color w:val="000000"/>
          <w:sz w:val="20"/>
        </w:rPr>
        <w:t xml:space="preserve"> </w:t>
      </w:r>
      <w:r>
        <w:rPr>
          <w:rFonts w:ascii="Times New Roman" w:hAnsi="Times New Roman"/>
          <w:color w:val="000000"/>
          <w:sz w:val="24"/>
        </w:rPr>
        <w:t>Settlement Procedures</w:t>
      </w:r>
    </w:p>
    <w:p>
      <w:pPr>
        <w:pStyle w:val="TextBody"/>
        <w:bidi w:val="0"/>
        <w:jc w:val="left"/>
        <w:rPr>
          <w:rFonts w:ascii="Times New Roman" w:hAnsi="Times New Roman"/>
          <w:sz w:val="20"/>
        </w:rPr>
      </w:pPr>
      <w:r>
        <w:rPr>
          <w:rFonts w:ascii="Times New Roman" w:hAnsi="Times New Roman"/>
          <w:color w:val="000000"/>
          <w:sz w:val="24"/>
        </w:rPr>
        <w:t>Section 2.09.</w:t>
      </w:r>
      <w:r>
        <w:rPr>
          <w:rFonts w:ascii="Times New Roman" w:hAnsi="Times New Roman"/>
          <w:color w:val="000000"/>
          <w:sz w:val="20"/>
        </w:rPr>
        <w:t xml:space="preserve"> </w:t>
      </w:r>
      <w:r>
        <w:rPr>
          <w:rFonts w:ascii="Times New Roman" w:hAnsi="Times New Roman"/>
          <w:color w:val="000000"/>
          <w:sz w:val="24"/>
        </w:rPr>
        <w:t>Mandatory Payments</w:t>
      </w:r>
    </w:p>
    <w:p>
      <w:pPr>
        <w:pStyle w:val="TextBody"/>
        <w:bidi w:val="0"/>
        <w:jc w:val="left"/>
        <w:rPr>
          <w:rFonts w:ascii="Times New Roman" w:hAnsi="Times New Roman"/>
          <w:sz w:val="20"/>
        </w:rPr>
      </w:pPr>
      <w:r>
        <w:rPr>
          <w:rFonts w:ascii="Times New Roman" w:hAnsi="Times New Roman"/>
          <w:color w:val="000000"/>
          <w:sz w:val="24"/>
        </w:rPr>
        <w:t>Section 2.10.</w:t>
      </w:r>
      <w:r>
        <w:rPr>
          <w:rFonts w:ascii="Times New Roman" w:hAnsi="Times New Roman"/>
          <w:color w:val="000000"/>
          <w:sz w:val="20"/>
        </w:rPr>
        <w:t xml:space="preserve"> </w:t>
      </w:r>
      <w:r>
        <w:rPr>
          <w:rFonts w:ascii="Times New Roman" w:hAnsi="Times New Roman"/>
          <w:color w:val="000000"/>
          <w:sz w:val="24"/>
        </w:rPr>
        <w:t>Payments, Computations, Etc.</w:t>
      </w:r>
    </w:p>
    <w:p>
      <w:pPr>
        <w:pStyle w:val="TextBody"/>
        <w:bidi w:val="0"/>
        <w:jc w:val="left"/>
        <w:rPr>
          <w:rFonts w:ascii="Times New Roman" w:hAnsi="Times New Roman"/>
          <w:sz w:val="20"/>
        </w:rPr>
      </w:pPr>
      <w:r>
        <w:rPr>
          <w:rFonts w:ascii="Times New Roman" w:hAnsi="Times New Roman"/>
          <w:color w:val="000000"/>
          <w:sz w:val="24"/>
        </w:rPr>
        <w:t>Section 2.11.</w:t>
      </w:r>
      <w:r>
        <w:rPr>
          <w:rFonts w:ascii="Times New Roman" w:hAnsi="Times New Roman"/>
          <w:color w:val="000000"/>
          <w:sz w:val="20"/>
        </w:rPr>
        <w:t xml:space="preserve"> </w:t>
      </w:r>
      <w:r>
        <w:rPr>
          <w:rFonts w:ascii="Times New Roman" w:hAnsi="Times New Roman"/>
          <w:color w:val="000000"/>
          <w:sz w:val="24"/>
        </w:rPr>
        <w:t>Collections and Allocations; Investment of Funds</w:t>
      </w:r>
    </w:p>
    <w:p>
      <w:pPr>
        <w:pStyle w:val="TextBody"/>
        <w:bidi w:val="0"/>
        <w:jc w:val="left"/>
        <w:rPr>
          <w:rFonts w:ascii="Times New Roman" w:hAnsi="Times New Roman"/>
          <w:sz w:val="20"/>
        </w:rPr>
      </w:pPr>
      <w:r>
        <w:rPr>
          <w:rFonts w:ascii="Times New Roman" w:hAnsi="Times New Roman"/>
          <w:color w:val="000000"/>
          <w:sz w:val="24"/>
        </w:rPr>
        <w:t>Section 2.12.</w:t>
      </w:r>
      <w:r>
        <w:rPr>
          <w:rFonts w:ascii="Times New Roman" w:hAnsi="Times New Roman"/>
          <w:color w:val="000000"/>
          <w:sz w:val="20"/>
        </w:rPr>
        <w:t xml:space="preserve"> </w:t>
      </w:r>
      <w:r>
        <w:rPr>
          <w:rFonts w:ascii="Times New Roman" w:hAnsi="Times New Roman"/>
          <w:color w:val="000000"/>
          <w:sz w:val="24"/>
        </w:rPr>
        <w:t>Fees</w:t>
      </w:r>
    </w:p>
    <w:p>
      <w:pPr>
        <w:pStyle w:val="TextBody"/>
        <w:bidi w:val="0"/>
        <w:jc w:val="left"/>
        <w:rPr>
          <w:rFonts w:ascii="Times New Roman" w:hAnsi="Times New Roman"/>
          <w:sz w:val="20"/>
        </w:rPr>
      </w:pPr>
      <w:r>
        <w:rPr>
          <w:rFonts w:ascii="Times New Roman" w:hAnsi="Times New Roman"/>
          <w:color w:val="000000"/>
          <w:sz w:val="24"/>
        </w:rPr>
        <w:t>Section 2.13.</w:t>
      </w:r>
      <w:r>
        <w:rPr>
          <w:rFonts w:ascii="Times New Roman" w:hAnsi="Times New Roman"/>
          <w:color w:val="000000"/>
          <w:sz w:val="20"/>
        </w:rPr>
        <w:t xml:space="preserve"> </w:t>
      </w:r>
      <w:r>
        <w:rPr>
          <w:rFonts w:ascii="Times New Roman" w:hAnsi="Times New Roman"/>
          <w:color w:val="000000"/>
          <w:sz w:val="24"/>
        </w:rPr>
        <w:t>Increased Costs; Capital Adequacy; Illegality; Rating Requests</w:t>
      </w:r>
    </w:p>
    <w:p>
      <w:pPr>
        <w:pStyle w:val="TextBody"/>
        <w:bidi w:val="0"/>
        <w:jc w:val="left"/>
        <w:rPr>
          <w:rFonts w:ascii="Times New Roman" w:hAnsi="Times New Roman"/>
          <w:sz w:val="20"/>
        </w:rPr>
      </w:pPr>
      <w:r>
        <w:rPr>
          <w:rFonts w:ascii="Times New Roman" w:hAnsi="Times New Roman"/>
          <w:color w:val="000000"/>
          <w:sz w:val="24"/>
        </w:rPr>
        <w:t>Section 2.14.</w:t>
      </w:r>
      <w:r>
        <w:rPr>
          <w:rFonts w:ascii="Times New Roman" w:hAnsi="Times New Roman"/>
          <w:color w:val="000000"/>
          <w:sz w:val="20"/>
        </w:rPr>
        <w:t xml:space="preserve"> </w:t>
      </w:r>
      <w:r>
        <w:rPr>
          <w:rFonts w:ascii="Times New Roman" w:hAnsi="Times New Roman"/>
          <w:color w:val="000000"/>
          <w:sz w:val="24"/>
        </w:rPr>
        <w:t>Taxes</w:t>
      </w:r>
    </w:p>
    <w:p>
      <w:pPr>
        <w:pStyle w:val="TextBody"/>
        <w:bidi w:val="0"/>
        <w:jc w:val="left"/>
        <w:rPr>
          <w:rFonts w:ascii="Times New Roman" w:hAnsi="Times New Roman"/>
          <w:sz w:val="20"/>
        </w:rPr>
      </w:pPr>
      <w:r>
        <w:rPr>
          <w:rFonts w:ascii="Times New Roman" w:hAnsi="Times New Roman"/>
          <w:color w:val="000000"/>
          <w:sz w:val="24"/>
        </w:rPr>
        <w:t>Section 2.15.</w:t>
      </w:r>
      <w:r>
        <w:rPr>
          <w:rFonts w:ascii="Times New Roman" w:hAnsi="Times New Roman"/>
          <w:color w:val="000000"/>
          <w:sz w:val="20"/>
        </w:rPr>
        <w:t xml:space="preserve"> </w:t>
      </w:r>
      <w:r>
        <w:rPr>
          <w:rFonts w:ascii="Times New Roman" w:hAnsi="Times New Roman"/>
          <w:color w:val="000000"/>
          <w:sz w:val="24"/>
        </w:rPr>
        <w:t>Securitizations.</w:t>
      </w:r>
    </w:p>
    <w:p>
      <w:pPr>
        <w:pStyle w:val="TextBody"/>
        <w:bidi w:val="0"/>
        <w:jc w:val="left"/>
        <w:rPr>
          <w:rFonts w:ascii="Times New Roman" w:hAnsi="Times New Roman"/>
          <w:sz w:val="20"/>
        </w:rPr>
      </w:pPr>
      <w:r>
        <w:rPr>
          <w:rFonts w:ascii="Times New Roman" w:hAnsi="Times New Roman"/>
          <w:color w:val="000000"/>
          <w:sz w:val="24"/>
        </w:rPr>
        <w:t>Section 2.16.</w:t>
      </w:r>
      <w:r>
        <w:rPr>
          <w:rFonts w:ascii="Times New Roman" w:hAnsi="Times New Roman"/>
          <w:color w:val="000000"/>
          <w:sz w:val="20"/>
        </w:rPr>
        <w:t xml:space="preserve"> </w:t>
      </w:r>
      <w:r>
        <w:rPr>
          <w:rFonts w:ascii="Times New Roman" w:hAnsi="Times New Roman"/>
          <w:color w:val="000000"/>
          <w:sz w:val="24"/>
        </w:rPr>
        <w:t>Sharing of Payments, Etc.</w:t>
      </w:r>
    </w:p>
    <w:p>
      <w:pPr>
        <w:pStyle w:val="TextBody"/>
        <w:bidi w:val="0"/>
        <w:jc w:val="left"/>
        <w:rPr>
          <w:rFonts w:ascii="Times New Roman" w:hAnsi="Times New Roman"/>
          <w:sz w:val="20"/>
        </w:rPr>
      </w:pPr>
      <w:r>
        <w:rPr>
          <w:rFonts w:ascii="Times New Roman" w:hAnsi="Times New Roman"/>
          <w:color w:val="000000"/>
          <w:sz w:val="24"/>
        </w:rPr>
        <w:t>Section 2.17.</w:t>
      </w:r>
      <w:r>
        <w:rPr>
          <w:rFonts w:ascii="Times New Roman" w:hAnsi="Times New Roman"/>
          <w:color w:val="000000"/>
          <w:sz w:val="20"/>
        </w:rPr>
        <w:t xml:space="preserve"> </w:t>
      </w:r>
      <w:r>
        <w:rPr>
          <w:rFonts w:ascii="Times New Roman" w:hAnsi="Times New Roman"/>
          <w:color w:val="000000"/>
          <w:sz w:val="24"/>
        </w:rPr>
        <w:t>The Account Bank</w:t>
      </w:r>
    </w:p>
    <w:p>
      <w:pPr>
        <w:pStyle w:val="TextBody"/>
        <w:bidi w:val="0"/>
        <w:jc w:val="left"/>
        <w:rPr>
          <w:rFonts w:ascii="Times New Roman" w:hAnsi="Times New Roman"/>
          <w:sz w:val="20"/>
        </w:rPr>
      </w:pPr>
      <w:r>
        <w:rPr>
          <w:rFonts w:ascii="Times New Roman" w:hAnsi="Times New Roman"/>
          <w:color w:val="000000"/>
          <w:sz w:val="24"/>
        </w:rPr>
        <w:t>Section 2.18.</w:t>
      </w:r>
      <w:r>
        <w:rPr>
          <w:rFonts w:ascii="Times New Roman" w:hAnsi="Times New Roman"/>
          <w:color w:val="000000"/>
          <w:sz w:val="20"/>
        </w:rPr>
        <w:t xml:space="preserve"> </w:t>
      </w:r>
      <w:r>
        <w:rPr>
          <w:rFonts w:ascii="Times New Roman" w:hAnsi="Times New Roman"/>
          <w:color w:val="000000"/>
          <w:sz w:val="24"/>
        </w:rPr>
        <w:t>Benchmark Replacement Setting</w:t>
      </w:r>
    </w:p>
    <w:p>
      <w:pPr>
        <w:pStyle w:val="TextBody"/>
        <w:bidi w:val="0"/>
        <w:spacing w:before="240" w:after="283"/>
        <w:jc w:val="left"/>
        <w:rPr>
          <w:rFonts w:ascii="Times New Roman" w:hAnsi="Times New Roman"/>
          <w:sz w:val="20"/>
        </w:rPr>
      </w:pPr>
      <w:r>
        <w:rPr>
          <w:rFonts w:ascii="Times New Roman" w:hAnsi="Times New Roman"/>
          <w:caps/>
          <w:color w:val="000000"/>
          <w:sz w:val="24"/>
        </w:rPr>
        <w:t>ARTICLE Three</w:t>
      </w:r>
      <w:r>
        <w:rPr>
          <w:rFonts w:ascii="Times New Roman" w:hAnsi="Times New Roman"/>
          <w:color w:val="000000"/>
          <w:sz w:val="20"/>
        </w:rPr>
        <w:t xml:space="preserve"> </w:t>
      </w:r>
      <w:r>
        <w:rPr>
          <w:rFonts w:ascii="Times New Roman" w:hAnsi="Times New Roman"/>
          <w:color w:val="000000"/>
          <w:sz w:val="24"/>
        </w:rPr>
        <w:t>SECURITY</w:t>
      </w:r>
    </w:p>
    <w:p>
      <w:pPr>
        <w:pStyle w:val="TextBody"/>
        <w:bidi w:val="0"/>
        <w:jc w:val="left"/>
        <w:rPr>
          <w:rFonts w:ascii="Times New Roman" w:hAnsi="Times New Roman"/>
          <w:sz w:val="20"/>
        </w:rPr>
      </w:pPr>
      <w:r>
        <w:rPr>
          <w:rFonts w:ascii="Times New Roman" w:hAnsi="Times New Roman"/>
          <w:color w:val="000000"/>
          <w:sz w:val="24"/>
        </w:rPr>
        <w:t>Section 3.01.</w:t>
      </w:r>
      <w:r>
        <w:rPr>
          <w:rFonts w:ascii="Times New Roman" w:hAnsi="Times New Roman"/>
          <w:color w:val="000000"/>
          <w:sz w:val="20"/>
        </w:rPr>
        <w:t xml:space="preserve"> </w:t>
      </w:r>
      <w:r>
        <w:rPr>
          <w:rFonts w:ascii="Times New Roman" w:hAnsi="Times New Roman"/>
          <w:color w:val="000000"/>
          <w:sz w:val="24"/>
        </w:rPr>
        <w:t>Collateral and Back-Up Collateral</w:t>
      </w:r>
    </w:p>
    <w:p>
      <w:pPr>
        <w:pStyle w:val="TextBody"/>
        <w:bidi w:val="0"/>
        <w:jc w:val="left"/>
        <w:rPr>
          <w:rFonts w:ascii="Times New Roman" w:hAnsi="Times New Roman"/>
          <w:sz w:val="20"/>
        </w:rPr>
      </w:pPr>
      <w:r>
        <w:rPr>
          <w:rFonts w:ascii="Times New Roman" w:hAnsi="Times New Roman"/>
          <w:color w:val="000000"/>
          <w:sz w:val="24"/>
        </w:rPr>
        <w:t>Section 3.02.</w:t>
      </w:r>
      <w:r>
        <w:rPr>
          <w:rFonts w:ascii="Times New Roman" w:hAnsi="Times New Roman"/>
          <w:color w:val="000000"/>
          <w:sz w:val="20"/>
        </w:rPr>
        <w:t xml:space="preserve"> </w:t>
      </w:r>
      <w:r>
        <w:rPr>
          <w:rFonts w:ascii="Times New Roman" w:hAnsi="Times New Roman"/>
          <w:color w:val="000000"/>
          <w:sz w:val="24"/>
        </w:rPr>
        <w:t>Release of Collateral; No Legal Title</w:t>
      </w:r>
    </w:p>
    <w:p>
      <w:pPr>
        <w:pStyle w:val="TextBody"/>
        <w:bidi w:val="0"/>
        <w:jc w:val="left"/>
        <w:rPr>
          <w:rFonts w:ascii="Times New Roman" w:hAnsi="Times New Roman"/>
          <w:sz w:val="20"/>
        </w:rPr>
      </w:pPr>
      <w:r>
        <w:rPr>
          <w:rFonts w:ascii="Times New Roman" w:hAnsi="Times New Roman"/>
          <w:color w:val="000000"/>
          <w:sz w:val="24"/>
        </w:rPr>
        <w:t>Section 3.03.</w:t>
      </w:r>
      <w:r>
        <w:rPr>
          <w:rFonts w:ascii="Times New Roman" w:hAnsi="Times New Roman"/>
          <w:color w:val="000000"/>
          <w:sz w:val="20"/>
        </w:rPr>
        <w:t xml:space="preserve"> </w:t>
      </w:r>
      <w:r>
        <w:rPr>
          <w:rFonts w:ascii="Times New Roman" w:hAnsi="Times New Roman"/>
          <w:color w:val="000000"/>
          <w:sz w:val="24"/>
        </w:rPr>
        <w:t>Protection of Security Interest; Administrative Agent, as Attorney-in-Fact</w:t>
      </w:r>
    </w:p>
    <w:p>
      <w:pPr>
        <w:pStyle w:val="TextBody"/>
        <w:bidi w:val="0"/>
        <w:jc w:val="left"/>
        <w:rPr>
          <w:rFonts w:ascii="Times New Roman" w:hAnsi="Times New Roman"/>
          <w:sz w:val="20"/>
        </w:rPr>
      </w:pPr>
      <w:r>
        <w:rPr>
          <w:rFonts w:ascii="Times New Roman" w:hAnsi="Times New Roman"/>
          <w:color w:val="000000"/>
          <w:sz w:val="24"/>
        </w:rPr>
        <w:t>Section 3.04.</w:t>
      </w:r>
      <w:r>
        <w:rPr>
          <w:rFonts w:ascii="Times New Roman" w:hAnsi="Times New Roman"/>
          <w:color w:val="000000"/>
          <w:sz w:val="20"/>
        </w:rPr>
        <w:t xml:space="preserve"> </w:t>
      </w:r>
      <w:r>
        <w:rPr>
          <w:rFonts w:ascii="Times New Roman" w:hAnsi="Times New Roman"/>
          <w:color w:val="000000"/>
          <w:sz w:val="24"/>
        </w:rPr>
        <w:t>Assignment of the Purchase Agreement</w:t>
      </w:r>
    </w:p>
    <w:p>
      <w:pPr>
        <w:pStyle w:val="TextBody"/>
        <w:bidi w:val="0"/>
        <w:jc w:val="left"/>
        <w:rPr>
          <w:rFonts w:ascii="Times New Roman" w:hAnsi="Times New Roman"/>
          <w:sz w:val="20"/>
        </w:rPr>
      </w:pPr>
      <w:r>
        <w:rPr>
          <w:rFonts w:ascii="Times New Roman" w:hAnsi="Times New Roman"/>
          <w:color w:val="000000"/>
          <w:sz w:val="24"/>
        </w:rPr>
        <w:t>Section 3.05.</w:t>
      </w:r>
      <w:r>
        <w:rPr>
          <w:rFonts w:ascii="Times New Roman" w:hAnsi="Times New Roman"/>
          <w:color w:val="000000"/>
          <w:sz w:val="20"/>
        </w:rPr>
        <w:t xml:space="preserve"> </w:t>
      </w:r>
      <w:r>
        <w:rPr>
          <w:rFonts w:ascii="Times New Roman" w:hAnsi="Times New Roman"/>
          <w:color w:val="000000"/>
          <w:sz w:val="24"/>
        </w:rPr>
        <w:t>Waiver of Certain Laws</w:t>
      </w:r>
    </w:p>
    <w:p>
      <w:pPr>
        <w:pStyle w:val="TextBody"/>
        <w:bidi w:val="0"/>
        <w:spacing w:before="240" w:after="283"/>
        <w:jc w:val="left"/>
        <w:rPr>
          <w:rFonts w:ascii="Times New Roman" w:hAnsi="Times New Roman"/>
          <w:sz w:val="20"/>
        </w:rPr>
      </w:pPr>
      <w:r>
        <w:rPr>
          <w:rFonts w:ascii="Times New Roman" w:hAnsi="Times New Roman"/>
          <w:caps/>
          <w:color w:val="000000"/>
          <w:sz w:val="24"/>
        </w:rPr>
        <w:t>ARTICLE Four</w:t>
      </w:r>
      <w:r>
        <w:rPr>
          <w:rFonts w:ascii="Times New Roman" w:hAnsi="Times New Roman"/>
          <w:color w:val="000000"/>
          <w:sz w:val="20"/>
        </w:rPr>
        <w:t xml:space="preserve"> </w:t>
      </w:r>
      <w:r>
        <w:rPr>
          <w:rFonts w:ascii="Times New Roman" w:hAnsi="Times New Roman"/>
          <w:color w:val="000000"/>
          <w:sz w:val="24"/>
        </w:rPr>
        <w:t>CONDITIONS OF CLOSING AND LOANS</w:t>
      </w:r>
    </w:p>
    <w:p>
      <w:pPr>
        <w:pStyle w:val="TextBody"/>
        <w:bidi w:val="0"/>
        <w:jc w:val="left"/>
        <w:rPr>
          <w:rFonts w:ascii="Times New Roman" w:hAnsi="Times New Roman"/>
          <w:sz w:val="20"/>
        </w:rPr>
      </w:pPr>
      <w:r>
        <w:rPr>
          <w:rFonts w:ascii="Times New Roman" w:hAnsi="Times New Roman"/>
          <w:color w:val="000000"/>
          <w:sz w:val="24"/>
        </w:rPr>
        <w:t>Section 4.01.</w:t>
      </w:r>
      <w:r>
        <w:rPr>
          <w:rFonts w:ascii="Times New Roman" w:hAnsi="Times New Roman"/>
          <w:color w:val="000000"/>
          <w:sz w:val="20"/>
        </w:rPr>
        <w:t xml:space="preserve"> </w:t>
      </w:r>
      <w:r>
        <w:rPr>
          <w:rFonts w:ascii="Times New Roman" w:hAnsi="Times New Roman"/>
          <w:color w:val="000000"/>
          <w:sz w:val="24"/>
        </w:rPr>
        <w:t>Conditions to Closing and Initial Loan</w:t>
      </w:r>
    </w:p>
    <w:p>
      <w:pPr>
        <w:pStyle w:val="TextBody"/>
        <w:bidi w:val="0"/>
        <w:jc w:val="left"/>
        <w:rPr>
          <w:rFonts w:ascii="Times New Roman" w:hAnsi="Times New Roman"/>
          <w:sz w:val="20"/>
        </w:rPr>
      </w:pPr>
      <w:r>
        <w:rPr>
          <w:rFonts w:ascii="Times New Roman" w:hAnsi="Times New Roman"/>
          <w:color w:val="000000"/>
          <w:sz w:val="24"/>
        </w:rPr>
        <w:t>Section 4.02.</w:t>
      </w:r>
      <w:r>
        <w:rPr>
          <w:rFonts w:ascii="Times New Roman" w:hAnsi="Times New Roman"/>
          <w:color w:val="000000"/>
          <w:sz w:val="20"/>
        </w:rPr>
        <w:t xml:space="preserve"> </w:t>
      </w:r>
      <w:r>
        <w:rPr>
          <w:rFonts w:ascii="Times New Roman" w:hAnsi="Times New Roman"/>
          <w:color w:val="000000"/>
          <w:sz w:val="24"/>
        </w:rPr>
        <w:t>Conditions Precedent to All Loans</w:t>
      </w:r>
    </w:p>
    <w:p>
      <w:pPr>
        <w:pStyle w:val="TextBody"/>
        <w:bidi w:val="0"/>
        <w:spacing w:before="240" w:after="283"/>
        <w:jc w:val="left"/>
        <w:rPr>
          <w:rFonts w:ascii="Times New Roman" w:hAnsi="Times New Roman"/>
          <w:sz w:val="20"/>
        </w:rPr>
      </w:pPr>
      <w:r>
        <w:rPr>
          <w:rFonts w:ascii="Times New Roman" w:hAnsi="Times New Roman"/>
          <w:caps/>
          <w:color w:val="000000"/>
          <w:sz w:val="24"/>
        </w:rPr>
        <w:t>ARTICLE Five</w:t>
      </w:r>
      <w:r>
        <w:rPr>
          <w:rFonts w:ascii="Times New Roman" w:hAnsi="Times New Roman"/>
          <w:color w:val="000000"/>
          <w:sz w:val="20"/>
        </w:rPr>
        <w:t xml:space="preserve"> </w:t>
      </w:r>
      <w:r>
        <w:rPr>
          <w:rFonts w:ascii="Times New Roman" w:hAnsi="Times New Roman"/>
          <w:color w:val="000000"/>
          <w:sz w:val="24"/>
        </w:rPr>
        <w:t>REPRESENTATIONS AND WARRANTIES</w:t>
      </w:r>
    </w:p>
    <w:p>
      <w:pPr>
        <w:pStyle w:val="TextBody"/>
        <w:bidi w:val="0"/>
        <w:jc w:val="left"/>
        <w:rPr>
          <w:rFonts w:ascii="Times New Roman" w:hAnsi="Times New Roman"/>
          <w:sz w:val="20"/>
        </w:rPr>
      </w:pPr>
      <w:r>
        <w:rPr>
          <w:rFonts w:ascii="Times New Roman" w:hAnsi="Times New Roman"/>
          <w:color w:val="000000"/>
          <w:sz w:val="24"/>
        </w:rPr>
        <w:t>Section 5.01.</w:t>
      </w:r>
      <w:r>
        <w:rPr>
          <w:rFonts w:ascii="Times New Roman" w:hAnsi="Times New Roman"/>
          <w:color w:val="000000"/>
          <w:sz w:val="20"/>
        </w:rPr>
        <w:t xml:space="preserve"> </w:t>
      </w:r>
      <w:r>
        <w:rPr>
          <w:rFonts w:ascii="Times New Roman" w:hAnsi="Times New Roman"/>
          <w:color w:val="000000"/>
          <w:sz w:val="24"/>
        </w:rPr>
        <w:t>Representations and Warranties of the Borrower</w:t>
      </w:r>
    </w:p>
    <w:p>
      <w:pPr>
        <w:pStyle w:val="TextBody"/>
        <w:bidi w:val="0"/>
        <w:jc w:val="left"/>
        <w:rPr>
          <w:rFonts w:ascii="Times New Roman" w:hAnsi="Times New Roman"/>
          <w:sz w:val="20"/>
        </w:rPr>
      </w:pPr>
      <w:r>
        <w:rPr>
          <w:rFonts w:ascii="Times New Roman" w:hAnsi="Times New Roman"/>
          <w:color w:val="000000"/>
          <w:sz w:val="24"/>
        </w:rPr>
        <w:t>Section 5.02.</w:t>
      </w:r>
      <w:r>
        <w:rPr>
          <w:rFonts w:ascii="Times New Roman" w:hAnsi="Times New Roman"/>
          <w:color w:val="000000"/>
          <w:sz w:val="20"/>
        </w:rPr>
        <w:t xml:space="preserve"> </w:t>
      </w:r>
      <w:r>
        <w:rPr>
          <w:rFonts w:ascii="Times New Roman" w:hAnsi="Times New Roman"/>
          <w:color w:val="000000"/>
          <w:sz w:val="24"/>
        </w:rPr>
        <w:t>Representations and Warranties of the Borrower Relating to this Agreement and the Receivables</w:t>
      </w:r>
    </w:p>
    <w:p>
      <w:pPr>
        <w:pStyle w:val="TextBody"/>
        <w:bidi w:val="0"/>
        <w:jc w:val="left"/>
        <w:rPr>
          <w:rFonts w:ascii="Times New Roman" w:hAnsi="Times New Roman"/>
          <w:sz w:val="20"/>
        </w:rPr>
      </w:pPr>
      <w:r>
        <w:rPr>
          <w:rFonts w:ascii="Times New Roman" w:hAnsi="Times New Roman"/>
          <w:color w:val="000000"/>
          <w:sz w:val="24"/>
        </w:rPr>
        <w:t>Section 5.03.</w:t>
      </w:r>
      <w:r>
        <w:rPr>
          <w:rFonts w:ascii="Times New Roman" w:hAnsi="Times New Roman"/>
          <w:color w:val="000000"/>
          <w:sz w:val="20"/>
        </w:rPr>
        <w:t xml:space="preserve"> </w:t>
      </w:r>
      <w:r>
        <w:rPr>
          <w:rFonts w:ascii="Times New Roman" w:hAnsi="Times New Roman"/>
          <w:color w:val="000000"/>
          <w:sz w:val="24"/>
        </w:rPr>
        <w:t>Representations and Warranties of the Servicer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u w:val="single"/>
        </w:rPr>
      </w:pPr>
      <w:r>
        <w:rPr>
          <w:rFonts w:ascii="Times New Roman" w:hAnsi="Times New Roman"/>
          <w:color w:val="000000"/>
          <w:sz w:val="24"/>
          <w:u w:val="single"/>
        </w:rPr>
        <w:t>Page</w:t>
      </w:r>
    </w:p>
    <w:p>
      <w:pPr>
        <w:pStyle w:val="TextBody"/>
        <w:bidi w:val="0"/>
        <w:jc w:val="left"/>
        <w:rPr>
          <w:rFonts w:ascii="Times New Roman" w:hAnsi="Times New Roman"/>
          <w:sz w:val="20"/>
        </w:rPr>
      </w:pPr>
      <w:r>
        <w:rPr>
          <w:rFonts w:ascii="Times New Roman" w:hAnsi="Times New Roman"/>
          <w:color w:val="000000"/>
          <w:sz w:val="24"/>
        </w:rPr>
        <w:t>Section 5.04.</w:t>
      </w:r>
      <w:r>
        <w:rPr>
          <w:rFonts w:ascii="Times New Roman" w:hAnsi="Times New Roman"/>
          <w:color w:val="000000"/>
          <w:sz w:val="20"/>
        </w:rPr>
        <w:t xml:space="preserve"> </w:t>
      </w:r>
      <w:r>
        <w:rPr>
          <w:rFonts w:ascii="Times New Roman" w:hAnsi="Times New Roman"/>
          <w:color w:val="000000"/>
          <w:sz w:val="24"/>
        </w:rPr>
        <w:t>Retransfer of Certain Receivables</w:t>
      </w:r>
    </w:p>
    <w:p>
      <w:pPr>
        <w:pStyle w:val="TextBody"/>
        <w:bidi w:val="0"/>
        <w:jc w:val="left"/>
        <w:rPr>
          <w:rFonts w:ascii="Times New Roman" w:hAnsi="Times New Roman"/>
          <w:sz w:val="20"/>
        </w:rPr>
      </w:pPr>
      <w:r>
        <w:rPr>
          <w:rFonts w:ascii="Times New Roman" w:hAnsi="Times New Roman"/>
          <w:color w:val="000000"/>
          <w:sz w:val="24"/>
        </w:rPr>
        <w:t>Section 5.05.</w:t>
      </w:r>
      <w:r>
        <w:rPr>
          <w:rFonts w:ascii="Times New Roman" w:hAnsi="Times New Roman"/>
          <w:color w:val="000000"/>
          <w:sz w:val="20"/>
        </w:rPr>
        <w:t xml:space="preserve"> </w:t>
      </w:r>
      <w:r>
        <w:rPr>
          <w:rFonts w:ascii="Times New Roman" w:hAnsi="Times New Roman"/>
          <w:color w:val="000000"/>
          <w:sz w:val="24"/>
        </w:rPr>
        <w:t>Representations and Warranties of the Backup Servicer</w:t>
      </w:r>
    </w:p>
    <w:p>
      <w:pPr>
        <w:pStyle w:val="TextBody"/>
        <w:bidi w:val="0"/>
        <w:spacing w:before="240" w:after="283"/>
        <w:jc w:val="left"/>
        <w:rPr>
          <w:rFonts w:ascii="Times New Roman" w:hAnsi="Times New Roman"/>
          <w:sz w:val="20"/>
        </w:rPr>
      </w:pPr>
      <w:r>
        <w:rPr>
          <w:rFonts w:ascii="Times New Roman" w:hAnsi="Times New Roman"/>
          <w:caps/>
          <w:color w:val="000000"/>
          <w:sz w:val="24"/>
        </w:rPr>
        <w:t>ARTICLE Six</w:t>
      </w:r>
      <w:r>
        <w:rPr>
          <w:rFonts w:ascii="Times New Roman" w:hAnsi="Times New Roman"/>
          <w:color w:val="000000"/>
          <w:sz w:val="20"/>
        </w:rPr>
        <w:t xml:space="preserve"> </w:t>
      </w:r>
      <w:r>
        <w:rPr>
          <w:rFonts w:ascii="Times New Roman" w:hAnsi="Times New Roman"/>
          <w:color w:val="000000"/>
          <w:sz w:val="24"/>
        </w:rPr>
        <w:t>COVENANTS</w:t>
      </w:r>
    </w:p>
    <w:p>
      <w:pPr>
        <w:pStyle w:val="TextBody"/>
        <w:bidi w:val="0"/>
        <w:jc w:val="left"/>
        <w:rPr>
          <w:rFonts w:ascii="Times New Roman" w:hAnsi="Times New Roman"/>
          <w:sz w:val="20"/>
        </w:rPr>
      </w:pPr>
      <w:r>
        <w:rPr>
          <w:rFonts w:ascii="Times New Roman" w:hAnsi="Times New Roman"/>
          <w:color w:val="000000"/>
          <w:sz w:val="24"/>
        </w:rPr>
        <w:t>Section 6.01.</w:t>
      </w:r>
      <w:r>
        <w:rPr>
          <w:rFonts w:ascii="Times New Roman" w:hAnsi="Times New Roman"/>
          <w:color w:val="000000"/>
          <w:sz w:val="20"/>
        </w:rPr>
        <w:t xml:space="preserve"> </w:t>
      </w:r>
      <w:r>
        <w:rPr>
          <w:rFonts w:ascii="Times New Roman" w:hAnsi="Times New Roman"/>
          <w:color w:val="000000"/>
          <w:sz w:val="24"/>
        </w:rPr>
        <w:t>Affirmative Covenants of the Borrower</w:t>
      </w:r>
    </w:p>
    <w:p>
      <w:pPr>
        <w:pStyle w:val="TextBody"/>
        <w:bidi w:val="0"/>
        <w:jc w:val="left"/>
        <w:rPr>
          <w:rFonts w:ascii="Times New Roman" w:hAnsi="Times New Roman"/>
          <w:sz w:val="20"/>
        </w:rPr>
      </w:pPr>
      <w:r>
        <w:rPr>
          <w:rFonts w:ascii="Times New Roman" w:hAnsi="Times New Roman"/>
          <w:color w:val="000000"/>
          <w:sz w:val="24"/>
        </w:rPr>
        <w:t>Section 6.02.</w:t>
      </w:r>
      <w:r>
        <w:rPr>
          <w:rFonts w:ascii="Times New Roman" w:hAnsi="Times New Roman"/>
          <w:color w:val="000000"/>
          <w:sz w:val="20"/>
        </w:rPr>
        <w:t xml:space="preserve"> </w:t>
      </w:r>
      <w:r>
        <w:rPr>
          <w:rFonts w:ascii="Times New Roman" w:hAnsi="Times New Roman"/>
          <w:color w:val="000000"/>
          <w:sz w:val="24"/>
        </w:rPr>
        <w:t>Negative Covenants of the Borrower</w:t>
      </w:r>
    </w:p>
    <w:p>
      <w:pPr>
        <w:pStyle w:val="TextBody"/>
        <w:bidi w:val="0"/>
        <w:jc w:val="left"/>
        <w:rPr>
          <w:rFonts w:ascii="Times New Roman" w:hAnsi="Times New Roman"/>
          <w:sz w:val="20"/>
        </w:rPr>
      </w:pPr>
      <w:r>
        <w:rPr>
          <w:rFonts w:ascii="Times New Roman" w:hAnsi="Times New Roman"/>
          <w:color w:val="000000"/>
          <w:sz w:val="24"/>
        </w:rPr>
        <w:t>Section 6.03.</w:t>
      </w:r>
      <w:r>
        <w:rPr>
          <w:rFonts w:ascii="Times New Roman" w:hAnsi="Times New Roman"/>
          <w:color w:val="000000"/>
          <w:sz w:val="20"/>
        </w:rPr>
        <w:t xml:space="preserve"> </w:t>
      </w:r>
      <w:r>
        <w:rPr>
          <w:rFonts w:ascii="Times New Roman" w:hAnsi="Times New Roman"/>
          <w:color w:val="000000"/>
          <w:sz w:val="24"/>
        </w:rPr>
        <w:t>Covenant of the Borrower Relating to Hedge Transactions</w:t>
      </w:r>
    </w:p>
    <w:p>
      <w:pPr>
        <w:pStyle w:val="TextBody"/>
        <w:bidi w:val="0"/>
        <w:jc w:val="left"/>
        <w:rPr>
          <w:rFonts w:ascii="Times New Roman" w:hAnsi="Times New Roman"/>
          <w:sz w:val="20"/>
        </w:rPr>
      </w:pPr>
      <w:r>
        <w:rPr>
          <w:rFonts w:ascii="Times New Roman" w:hAnsi="Times New Roman"/>
          <w:color w:val="000000"/>
          <w:sz w:val="24"/>
        </w:rPr>
        <w:t>Section 6.04.</w:t>
      </w:r>
      <w:r>
        <w:rPr>
          <w:rFonts w:ascii="Times New Roman" w:hAnsi="Times New Roman"/>
          <w:color w:val="000000"/>
          <w:sz w:val="20"/>
        </w:rPr>
        <w:t xml:space="preserve"> </w:t>
      </w:r>
      <w:r>
        <w:rPr>
          <w:rFonts w:ascii="Times New Roman" w:hAnsi="Times New Roman"/>
          <w:color w:val="000000"/>
          <w:sz w:val="24"/>
        </w:rPr>
        <w:t>Affirmative Covenants of the Servicer</w:t>
      </w:r>
    </w:p>
    <w:p>
      <w:pPr>
        <w:pStyle w:val="TextBody"/>
        <w:bidi w:val="0"/>
        <w:jc w:val="left"/>
        <w:rPr>
          <w:rFonts w:ascii="Times New Roman" w:hAnsi="Times New Roman"/>
          <w:sz w:val="20"/>
        </w:rPr>
      </w:pPr>
      <w:r>
        <w:rPr>
          <w:rFonts w:ascii="Times New Roman" w:hAnsi="Times New Roman"/>
          <w:color w:val="000000"/>
          <w:sz w:val="24"/>
        </w:rPr>
        <w:t>Section 6.05.</w:t>
      </w:r>
      <w:r>
        <w:rPr>
          <w:rFonts w:ascii="Times New Roman" w:hAnsi="Times New Roman"/>
          <w:color w:val="000000"/>
          <w:sz w:val="20"/>
        </w:rPr>
        <w:t xml:space="preserve"> </w:t>
      </w:r>
      <w:r>
        <w:rPr>
          <w:rFonts w:ascii="Times New Roman" w:hAnsi="Times New Roman"/>
          <w:color w:val="000000"/>
          <w:sz w:val="24"/>
        </w:rPr>
        <w:t>Negative Covenants of the Servicer</w:t>
      </w:r>
    </w:p>
    <w:p>
      <w:pPr>
        <w:pStyle w:val="TextBody"/>
        <w:bidi w:val="0"/>
        <w:spacing w:before="240" w:after="283"/>
        <w:jc w:val="left"/>
        <w:rPr>
          <w:rFonts w:ascii="Times New Roman" w:hAnsi="Times New Roman"/>
          <w:sz w:val="20"/>
        </w:rPr>
      </w:pPr>
      <w:r>
        <w:rPr>
          <w:rFonts w:ascii="Times New Roman" w:hAnsi="Times New Roman"/>
          <w:caps/>
          <w:color w:val="000000"/>
          <w:sz w:val="24"/>
        </w:rPr>
        <w:t>ARTICLE Seven</w:t>
      </w:r>
      <w:r>
        <w:rPr>
          <w:rFonts w:ascii="Times New Roman" w:hAnsi="Times New Roman"/>
          <w:color w:val="000000"/>
          <w:sz w:val="20"/>
        </w:rPr>
        <w:t xml:space="preserve"> </w:t>
      </w:r>
      <w:r>
        <w:rPr>
          <w:rFonts w:ascii="Times New Roman" w:hAnsi="Times New Roman"/>
          <w:color w:val="000000"/>
          <w:sz w:val="24"/>
        </w:rPr>
        <w:t>ADMINISTRATION AND SERVICING OF RECEIVABLES</w:t>
      </w:r>
    </w:p>
    <w:p>
      <w:pPr>
        <w:pStyle w:val="TextBody"/>
        <w:bidi w:val="0"/>
        <w:jc w:val="left"/>
        <w:rPr>
          <w:rFonts w:ascii="Times New Roman" w:hAnsi="Times New Roman"/>
          <w:sz w:val="20"/>
        </w:rPr>
      </w:pPr>
      <w:r>
        <w:rPr>
          <w:rFonts w:ascii="Times New Roman" w:hAnsi="Times New Roman"/>
          <w:color w:val="000000"/>
          <w:sz w:val="24"/>
        </w:rPr>
        <w:t>Section 7.01.</w:t>
      </w:r>
      <w:r>
        <w:rPr>
          <w:rFonts w:ascii="Times New Roman" w:hAnsi="Times New Roman"/>
          <w:color w:val="000000"/>
          <w:sz w:val="20"/>
        </w:rPr>
        <w:t xml:space="preserve"> </w:t>
      </w:r>
      <w:r>
        <w:rPr>
          <w:rFonts w:ascii="Times New Roman" w:hAnsi="Times New Roman"/>
          <w:color w:val="000000"/>
          <w:sz w:val="24"/>
        </w:rPr>
        <w:t>Designation of Servicing</w:t>
      </w:r>
    </w:p>
    <w:p>
      <w:pPr>
        <w:pStyle w:val="TextBody"/>
        <w:bidi w:val="0"/>
        <w:jc w:val="left"/>
        <w:rPr>
          <w:rFonts w:ascii="Times New Roman" w:hAnsi="Times New Roman"/>
          <w:sz w:val="20"/>
        </w:rPr>
      </w:pPr>
      <w:r>
        <w:rPr>
          <w:rFonts w:ascii="Times New Roman" w:hAnsi="Times New Roman"/>
          <w:color w:val="000000"/>
          <w:sz w:val="24"/>
        </w:rPr>
        <w:t>Section 7.02.</w:t>
      </w:r>
      <w:r>
        <w:rPr>
          <w:rFonts w:ascii="Times New Roman" w:hAnsi="Times New Roman"/>
          <w:color w:val="000000"/>
          <w:sz w:val="20"/>
        </w:rPr>
        <w:t xml:space="preserve"> </w:t>
      </w:r>
      <w:r>
        <w:rPr>
          <w:rFonts w:ascii="Times New Roman" w:hAnsi="Times New Roman"/>
          <w:color w:val="000000"/>
          <w:sz w:val="24"/>
        </w:rPr>
        <w:t>Servicing Compensation</w:t>
      </w:r>
    </w:p>
    <w:p>
      <w:pPr>
        <w:pStyle w:val="TextBody"/>
        <w:bidi w:val="0"/>
        <w:jc w:val="left"/>
        <w:rPr>
          <w:rFonts w:ascii="Times New Roman" w:hAnsi="Times New Roman"/>
          <w:sz w:val="20"/>
        </w:rPr>
      </w:pPr>
      <w:r>
        <w:rPr>
          <w:rFonts w:ascii="Times New Roman" w:hAnsi="Times New Roman"/>
          <w:color w:val="000000"/>
          <w:sz w:val="24"/>
        </w:rPr>
        <w:t>Section 7.03.</w:t>
      </w:r>
      <w:r>
        <w:rPr>
          <w:rFonts w:ascii="Times New Roman" w:hAnsi="Times New Roman"/>
          <w:color w:val="000000"/>
          <w:sz w:val="20"/>
        </w:rPr>
        <w:t xml:space="preserve"> </w:t>
      </w:r>
      <w:r>
        <w:rPr>
          <w:rFonts w:ascii="Times New Roman" w:hAnsi="Times New Roman"/>
          <w:color w:val="000000"/>
          <w:sz w:val="24"/>
        </w:rPr>
        <w:t>Duties of the Servicer</w:t>
      </w:r>
    </w:p>
    <w:p>
      <w:pPr>
        <w:pStyle w:val="TextBody"/>
        <w:bidi w:val="0"/>
        <w:jc w:val="left"/>
        <w:rPr>
          <w:rFonts w:ascii="Times New Roman" w:hAnsi="Times New Roman"/>
          <w:sz w:val="20"/>
        </w:rPr>
      </w:pPr>
      <w:r>
        <w:rPr>
          <w:rFonts w:ascii="Times New Roman" w:hAnsi="Times New Roman"/>
          <w:color w:val="000000"/>
          <w:sz w:val="24"/>
        </w:rPr>
        <w:t>Section 7.04.</w:t>
      </w:r>
      <w:r>
        <w:rPr>
          <w:rFonts w:ascii="Times New Roman" w:hAnsi="Times New Roman"/>
          <w:color w:val="000000"/>
          <w:sz w:val="20"/>
        </w:rPr>
        <w:t xml:space="preserve"> </w:t>
      </w:r>
      <w:r>
        <w:rPr>
          <w:rFonts w:ascii="Times New Roman" w:hAnsi="Times New Roman"/>
          <w:color w:val="000000"/>
          <w:sz w:val="24"/>
        </w:rPr>
        <w:t>Collection of Payments</w:t>
      </w:r>
    </w:p>
    <w:p>
      <w:pPr>
        <w:pStyle w:val="TextBody"/>
        <w:bidi w:val="0"/>
        <w:jc w:val="left"/>
        <w:rPr>
          <w:rFonts w:ascii="Times New Roman" w:hAnsi="Times New Roman"/>
          <w:sz w:val="20"/>
        </w:rPr>
      </w:pPr>
      <w:r>
        <w:rPr>
          <w:rFonts w:ascii="Times New Roman" w:hAnsi="Times New Roman"/>
          <w:color w:val="000000"/>
          <w:sz w:val="24"/>
        </w:rPr>
        <w:t>Section 7.05.</w:t>
      </w:r>
      <w:r>
        <w:rPr>
          <w:rFonts w:ascii="Times New Roman" w:hAnsi="Times New Roman"/>
          <w:color w:val="000000"/>
          <w:sz w:val="20"/>
        </w:rPr>
        <w:t xml:space="preserve"> </w:t>
      </w:r>
      <w:r>
        <w:rPr>
          <w:rFonts w:ascii="Times New Roman" w:hAnsi="Times New Roman"/>
          <w:color w:val="000000"/>
          <w:sz w:val="24"/>
        </w:rPr>
        <w:t>Payment of Certain Expenses by Servicer</w:t>
      </w:r>
    </w:p>
    <w:p>
      <w:pPr>
        <w:pStyle w:val="TextBody"/>
        <w:bidi w:val="0"/>
        <w:jc w:val="left"/>
        <w:rPr>
          <w:rFonts w:ascii="Times New Roman" w:hAnsi="Times New Roman"/>
          <w:sz w:val="20"/>
        </w:rPr>
      </w:pPr>
      <w:r>
        <w:rPr>
          <w:rFonts w:ascii="Times New Roman" w:hAnsi="Times New Roman"/>
          <w:color w:val="000000"/>
          <w:sz w:val="24"/>
        </w:rPr>
        <w:t>Section 7.06.</w:t>
      </w:r>
      <w:r>
        <w:rPr>
          <w:rFonts w:ascii="Times New Roman" w:hAnsi="Times New Roman"/>
          <w:color w:val="000000"/>
          <w:sz w:val="20"/>
        </w:rPr>
        <w:t xml:space="preserve"> </w:t>
      </w:r>
      <w:r>
        <w:rPr>
          <w:rFonts w:ascii="Times New Roman" w:hAnsi="Times New Roman"/>
          <w:color w:val="000000"/>
          <w:sz w:val="24"/>
        </w:rPr>
        <w:t>Reports</w:t>
      </w:r>
    </w:p>
    <w:p>
      <w:pPr>
        <w:pStyle w:val="TextBody"/>
        <w:bidi w:val="0"/>
        <w:jc w:val="left"/>
        <w:rPr>
          <w:rFonts w:ascii="Times New Roman" w:hAnsi="Times New Roman"/>
          <w:sz w:val="20"/>
        </w:rPr>
      </w:pPr>
      <w:r>
        <w:rPr>
          <w:rFonts w:ascii="Times New Roman" w:hAnsi="Times New Roman"/>
          <w:color w:val="000000"/>
          <w:sz w:val="24"/>
        </w:rPr>
        <w:t>Section 7.07.</w:t>
      </w:r>
      <w:r>
        <w:rPr>
          <w:rFonts w:ascii="Times New Roman" w:hAnsi="Times New Roman"/>
          <w:color w:val="000000"/>
          <w:sz w:val="20"/>
        </w:rPr>
        <w:t xml:space="preserve"> </w:t>
      </w:r>
      <w:r>
        <w:rPr>
          <w:rFonts w:ascii="Times New Roman" w:hAnsi="Times New Roman"/>
          <w:color w:val="000000"/>
          <w:sz w:val="24"/>
        </w:rPr>
        <w:t>Due Diligence</w:t>
      </w:r>
    </w:p>
    <w:p>
      <w:pPr>
        <w:pStyle w:val="TextBody"/>
        <w:bidi w:val="0"/>
        <w:jc w:val="left"/>
        <w:rPr>
          <w:rFonts w:ascii="Times New Roman" w:hAnsi="Times New Roman"/>
          <w:sz w:val="20"/>
        </w:rPr>
      </w:pPr>
      <w:r>
        <w:rPr>
          <w:rFonts w:ascii="Times New Roman" w:hAnsi="Times New Roman"/>
          <w:color w:val="000000"/>
          <w:sz w:val="24"/>
        </w:rPr>
        <w:t>Section 7.08.</w:t>
      </w:r>
      <w:r>
        <w:rPr>
          <w:rFonts w:ascii="Times New Roman" w:hAnsi="Times New Roman"/>
          <w:color w:val="000000"/>
          <w:sz w:val="20"/>
        </w:rPr>
        <w:t xml:space="preserve"> </w:t>
      </w:r>
      <w:r>
        <w:rPr>
          <w:rFonts w:ascii="Times New Roman" w:hAnsi="Times New Roman"/>
          <w:color w:val="000000"/>
          <w:sz w:val="24"/>
        </w:rPr>
        <w:t>Annual Statement as to Compliance</w:t>
      </w:r>
    </w:p>
    <w:p>
      <w:pPr>
        <w:pStyle w:val="TextBody"/>
        <w:bidi w:val="0"/>
        <w:jc w:val="left"/>
        <w:rPr>
          <w:rFonts w:ascii="Times New Roman" w:hAnsi="Times New Roman"/>
          <w:sz w:val="20"/>
        </w:rPr>
      </w:pPr>
      <w:r>
        <w:rPr>
          <w:rFonts w:ascii="Times New Roman" w:hAnsi="Times New Roman"/>
          <w:color w:val="000000"/>
          <w:sz w:val="24"/>
        </w:rPr>
        <w:t>Section 7.09.</w:t>
      </w:r>
      <w:r>
        <w:rPr>
          <w:rFonts w:ascii="Times New Roman" w:hAnsi="Times New Roman"/>
          <w:color w:val="000000"/>
          <w:sz w:val="20"/>
        </w:rPr>
        <w:t xml:space="preserve"> </w:t>
      </w:r>
      <w:r>
        <w:rPr>
          <w:rFonts w:ascii="Times New Roman" w:hAnsi="Times New Roman"/>
          <w:color w:val="000000"/>
          <w:sz w:val="24"/>
        </w:rPr>
        <w:t>Annual Independent Public Accountant’s Reports</w:t>
      </w:r>
    </w:p>
    <w:p>
      <w:pPr>
        <w:pStyle w:val="TextBody"/>
        <w:bidi w:val="0"/>
        <w:jc w:val="left"/>
        <w:rPr>
          <w:rFonts w:ascii="Times New Roman" w:hAnsi="Times New Roman"/>
          <w:sz w:val="20"/>
        </w:rPr>
      </w:pPr>
      <w:r>
        <w:rPr>
          <w:rFonts w:ascii="Times New Roman" w:hAnsi="Times New Roman"/>
          <w:color w:val="000000"/>
          <w:sz w:val="24"/>
        </w:rPr>
        <w:t>Section 7.10.</w:t>
      </w:r>
      <w:r>
        <w:rPr>
          <w:rFonts w:ascii="Times New Roman" w:hAnsi="Times New Roman"/>
          <w:color w:val="000000"/>
          <w:sz w:val="20"/>
        </w:rPr>
        <w:t xml:space="preserve"> </w:t>
      </w:r>
      <w:r>
        <w:rPr>
          <w:rFonts w:ascii="Times New Roman" w:hAnsi="Times New Roman"/>
          <w:color w:val="000000"/>
          <w:sz w:val="24"/>
        </w:rPr>
        <w:t>Rights Prior to Assumption of Duties by the Backup Servicer or Designation of Successor Servicer</w:t>
      </w:r>
    </w:p>
    <w:p>
      <w:pPr>
        <w:pStyle w:val="TextBody"/>
        <w:bidi w:val="0"/>
        <w:jc w:val="left"/>
        <w:rPr>
          <w:rFonts w:ascii="Times New Roman" w:hAnsi="Times New Roman"/>
          <w:sz w:val="20"/>
        </w:rPr>
      </w:pPr>
      <w:r>
        <w:rPr>
          <w:rFonts w:ascii="Times New Roman" w:hAnsi="Times New Roman"/>
          <w:color w:val="000000"/>
          <w:sz w:val="24"/>
        </w:rPr>
        <w:t>Section 7.11.</w:t>
      </w:r>
      <w:r>
        <w:rPr>
          <w:rFonts w:ascii="Times New Roman" w:hAnsi="Times New Roman"/>
          <w:color w:val="000000"/>
          <w:sz w:val="20"/>
        </w:rPr>
        <w:t xml:space="preserve"> </w:t>
      </w:r>
      <w:r>
        <w:rPr>
          <w:rFonts w:ascii="Times New Roman" w:hAnsi="Times New Roman"/>
          <w:color w:val="000000"/>
          <w:sz w:val="24"/>
        </w:rPr>
        <w:t>Rights After Assumption of Duties by Backup Servicer or Designation of Successor Servicer; Liability</w:t>
      </w:r>
    </w:p>
    <w:p>
      <w:pPr>
        <w:pStyle w:val="TextBody"/>
        <w:bidi w:val="0"/>
        <w:jc w:val="left"/>
        <w:rPr>
          <w:rFonts w:ascii="Times New Roman" w:hAnsi="Times New Roman"/>
          <w:sz w:val="20"/>
        </w:rPr>
      </w:pPr>
      <w:r>
        <w:rPr>
          <w:rFonts w:ascii="Times New Roman" w:hAnsi="Times New Roman"/>
          <w:color w:val="000000"/>
          <w:sz w:val="24"/>
        </w:rPr>
        <w:t>Section 7.12.</w:t>
      </w:r>
      <w:r>
        <w:rPr>
          <w:rFonts w:ascii="Times New Roman" w:hAnsi="Times New Roman"/>
          <w:color w:val="000000"/>
          <w:sz w:val="20"/>
        </w:rPr>
        <w:t xml:space="preserve"> </w:t>
      </w:r>
      <w:r>
        <w:rPr>
          <w:rFonts w:ascii="Times New Roman" w:hAnsi="Times New Roman"/>
          <w:color w:val="000000"/>
          <w:sz w:val="24"/>
        </w:rPr>
        <w:t>Limitation on Liability of the Servicer and Others</w:t>
      </w:r>
    </w:p>
    <w:p>
      <w:pPr>
        <w:pStyle w:val="TextBody"/>
        <w:bidi w:val="0"/>
        <w:jc w:val="left"/>
        <w:rPr>
          <w:rFonts w:ascii="Times New Roman" w:hAnsi="Times New Roman"/>
          <w:sz w:val="20"/>
        </w:rPr>
      </w:pPr>
      <w:r>
        <w:rPr>
          <w:rFonts w:ascii="Times New Roman" w:hAnsi="Times New Roman"/>
          <w:color w:val="000000"/>
          <w:sz w:val="24"/>
        </w:rPr>
        <w:t>Section 7.13.</w:t>
      </w:r>
      <w:r>
        <w:rPr>
          <w:rFonts w:ascii="Times New Roman" w:hAnsi="Times New Roman"/>
          <w:color w:val="000000"/>
          <w:sz w:val="20"/>
        </w:rPr>
        <w:t xml:space="preserve"> </w:t>
      </w:r>
      <w:r>
        <w:rPr>
          <w:rFonts w:ascii="Times New Roman" w:hAnsi="Times New Roman"/>
          <w:color w:val="000000"/>
          <w:sz w:val="24"/>
        </w:rPr>
        <w:t>The Servicer Not to Resign</w:t>
      </w:r>
    </w:p>
    <w:p>
      <w:pPr>
        <w:pStyle w:val="TextBody"/>
        <w:bidi w:val="0"/>
        <w:jc w:val="left"/>
        <w:rPr>
          <w:rFonts w:ascii="Times New Roman" w:hAnsi="Times New Roman"/>
          <w:sz w:val="20"/>
        </w:rPr>
      </w:pPr>
      <w:r>
        <w:rPr>
          <w:rFonts w:ascii="Times New Roman" w:hAnsi="Times New Roman"/>
          <w:color w:val="000000"/>
          <w:sz w:val="24"/>
        </w:rPr>
        <w:t>Section 7.14.</w:t>
      </w:r>
      <w:r>
        <w:rPr>
          <w:rFonts w:ascii="Times New Roman" w:hAnsi="Times New Roman"/>
          <w:color w:val="000000"/>
          <w:sz w:val="20"/>
        </w:rPr>
        <w:t xml:space="preserve"> </w:t>
      </w:r>
      <w:r>
        <w:rPr>
          <w:rFonts w:ascii="Times New Roman" w:hAnsi="Times New Roman"/>
          <w:color w:val="000000"/>
          <w:sz w:val="24"/>
        </w:rPr>
        <w:t>Servicer Termination Events</w:t>
      </w:r>
    </w:p>
    <w:p>
      <w:pPr>
        <w:pStyle w:val="TextBody"/>
        <w:bidi w:val="0"/>
        <w:jc w:val="left"/>
        <w:rPr>
          <w:rFonts w:ascii="Times New Roman" w:hAnsi="Times New Roman"/>
          <w:sz w:val="20"/>
        </w:rPr>
      </w:pPr>
      <w:r>
        <w:rPr>
          <w:rFonts w:ascii="Times New Roman" w:hAnsi="Times New Roman"/>
          <w:color w:val="000000"/>
          <w:sz w:val="24"/>
        </w:rPr>
        <w:t>Section 7.15.</w:t>
      </w:r>
      <w:r>
        <w:rPr>
          <w:rFonts w:ascii="Times New Roman" w:hAnsi="Times New Roman"/>
          <w:color w:val="000000"/>
          <w:sz w:val="20"/>
        </w:rPr>
        <w:t xml:space="preserve"> </w:t>
      </w:r>
      <w:r>
        <w:rPr>
          <w:rFonts w:ascii="Times New Roman" w:hAnsi="Times New Roman"/>
          <w:color w:val="000000"/>
          <w:sz w:val="24"/>
        </w:rPr>
        <w:t>Appointment of Successor Servicer</w:t>
      </w:r>
    </w:p>
    <w:p>
      <w:pPr>
        <w:pStyle w:val="TextBody"/>
        <w:bidi w:val="0"/>
        <w:jc w:val="left"/>
        <w:rPr>
          <w:rFonts w:ascii="Times New Roman" w:hAnsi="Times New Roman"/>
          <w:sz w:val="20"/>
        </w:rPr>
      </w:pPr>
      <w:r>
        <w:rPr>
          <w:rFonts w:ascii="Times New Roman" w:hAnsi="Times New Roman"/>
          <w:color w:val="000000"/>
          <w:sz w:val="24"/>
        </w:rPr>
        <w:t>Section 7.16.</w:t>
      </w:r>
      <w:r>
        <w:rPr>
          <w:rFonts w:ascii="Times New Roman" w:hAnsi="Times New Roman"/>
          <w:color w:val="000000"/>
          <w:sz w:val="20"/>
        </w:rPr>
        <w:t xml:space="preserve"> </w:t>
      </w:r>
      <w:r>
        <w:rPr>
          <w:rFonts w:ascii="Times New Roman" w:hAnsi="Times New Roman"/>
          <w:color w:val="000000"/>
          <w:sz w:val="24"/>
        </w:rPr>
        <w:t>Merger or Consolidation, Assumption of Obligations or Resignation of the Servicer</w:t>
      </w:r>
    </w:p>
    <w:p>
      <w:pPr>
        <w:pStyle w:val="TextBody"/>
        <w:bidi w:val="0"/>
        <w:jc w:val="left"/>
        <w:rPr>
          <w:rFonts w:ascii="Times New Roman" w:hAnsi="Times New Roman"/>
          <w:sz w:val="20"/>
        </w:rPr>
      </w:pPr>
      <w:r>
        <w:rPr>
          <w:rFonts w:ascii="Times New Roman" w:hAnsi="Times New Roman"/>
          <w:color w:val="000000"/>
          <w:sz w:val="24"/>
        </w:rPr>
        <w:t>Section 7.17.</w:t>
      </w:r>
      <w:r>
        <w:rPr>
          <w:rFonts w:ascii="Times New Roman" w:hAnsi="Times New Roman"/>
          <w:color w:val="000000"/>
          <w:sz w:val="20"/>
        </w:rPr>
        <w:t xml:space="preserve"> </w:t>
      </w:r>
      <w:r>
        <w:rPr>
          <w:rFonts w:ascii="Times New Roman" w:hAnsi="Times New Roman"/>
          <w:color w:val="000000"/>
          <w:sz w:val="24"/>
        </w:rPr>
        <w:t>Responsibilities of the Borrower</w:t>
      </w:r>
    </w:p>
    <w:p>
      <w:pPr>
        <w:pStyle w:val="TextBody"/>
        <w:bidi w:val="0"/>
        <w:jc w:val="left"/>
        <w:rPr>
          <w:rFonts w:ascii="Times New Roman" w:hAnsi="Times New Roman"/>
          <w:sz w:val="20"/>
        </w:rPr>
      </w:pPr>
      <w:r>
        <w:rPr>
          <w:rFonts w:ascii="Times New Roman" w:hAnsi="Times New Roman"/>
          <w:color w:val="000000"/>
          <w:sz w:val="24"/>
        </w:rPr>
        <w:t>Section 7.18.</w:t>
      </w:r>
      <w:r>
        <w:rPr>
          <w:rFonts w:ascii="Times New Roman" w:hAnsi="Times New Roman"/>
          <w:color w:val="000000"/>
          <w:sz w:val="20"/>
        </w:rPr>
        <w:t xml:space="preserve"> </w:t>
      </w:r>
      <w:r>
        <w:rPr>
          <w:rFonts w:ascii="Times New Roman" w:hAnsi="Times New Roman"/>
          <w:color w:val="000000"/>
          <w:sz w:val="24"/>
        </w:rPr>
        <w:t>Custody of Receivable Files.</w:t>
      </w:r>
    </w:p>
    <w:p>
      <w:pPr>
        <w:pStyle w:val="TextBody"/>
        <w:bidi w:val="0"/>
        <w:jc w:val="left"/>
        <w:rPr>
          <w:rFonts w:ascii="Times New Roman" w:hAnsi="Times New Roman"/>
          <w:sz w:val="20"/>
        </w:rPr>
      </w:pPr>
      <w:r>
        <w:rPr>
          <w:rFonts w:ascii="Times New Roman" w:hAnsi="Times New Roman"/>
          <w:color w:val="000000"/>
          <w:sz w:val="24"/>
        </w:rPr>
        <w:t>Section 7.19.</w:t>
      </w:r>
      <w:r>
        <w:rPr>
          <w:rFonts w:ascii="Times New Roman" w:hAnsi="Times New Roman"/>
          <w:color w:val="000000"/>
          <w:sz w:val="20"/>
        </w:rPr>
        <w:t xml:space="preserve"> </w:t>
      </w:r>
      <w:r>
        <w:rPr>
          <w:rFonts w:ascii="Times New Roman" w:hAnsi="Times New Roman"/>
          <w:color w:val="000000"/>
          <w:sz w:val="24"/>
        </w:rPr>
        <w:t>Duties of Custodian</w:t>
      </w:r>
    </w:p>
    <w:p>
      <w:pPr>
        <w:pStyle w:val="TextBody"/>
        <w:bidi w:val="0"/>
        <w:jc w:val="left"/>
        <w:rPr>
          <w:rFonts w:ascii="Times New Roman" w:hAnsi="Times New Roman"/>
          <w:sz w:val="20"/>
        </w:rPr>
      </w:pPr>
      <w:r>
        <w:rPr>
          <w:rFonts w:ascii="Times New Roman" w:hAnsi="Times New Roman"/>
          <w:color w:val="000000"/>
          <w:sz w:val="24"/>
        </w:rPr>
        <w:t>Section 7.20.</w:t>
      </w:r>
      <w:r>
        <w:rPr>
          <w:rFonts w:ascii="Times New Roman" w:hAnsi="Times New Roman"/>
          <w:color w:val="000000"/>
          <w:sz w:val="20"/>
        </w:rPr>
        <w:t xml:space="preserve"> </w:t>
      </w:r>
      <w:r>
        <w:rPr>
          <w:rFonts w:ascii="Times New Roman" w:hAnsi="Times New Roman"/>
          <w:color w:val="000000"/>
          <w:sz w:val="24"/>
        </w:rPr>
        <w:t>Certain Duties for Electronic Contracts</w:t>
      </w:r>
    </w:p>
    <w:p>
      <w:pPr>
        <w:pStyle w:val="TextBody"/>
        <w:bidi w:val="0"/>
        <w:spacing w:before="240" w:after="283"/>
        <w:jc w:val="left"/>
        <w:rPr>
          <w:rFonts w:ascii="Times New Roman" w:hAnsi="Times New Roman"/>
          <w:sz w:val="20"/>
        </w:rPr>
      </w:pPr>
      <w:r>
        <w:rPr>
          <w:rFonts w:ascii="Times New Roman" w:hAnsi="Times New Roman"/>
          <w:caps/>
          <w:color w:val="000000"/>
          <w:sz w:val="24"/>
        </w:rPr>
        <w:t>ARTICLE Eight</w:t>
      </w:r>
      <w:r>
        <w:rPr>
          <w:rFonts w:ascii="Times New Roman" w:hAnsi="Times New Roman"/>
          <w:color w:val="000000"/>
          <w:sz w:val="20"/>
        </w:rPr>
        <w:t xml:space="preserve"> </w:t>
      </w:r>
      <w:r>
        <w:rPr>
          <w:rFonts w:ascii="Times New Roman" w:hAnsi="Times New Roman"/>
          <w:color w:val="000000"/>
          <w:sz w:val="24"/>
        </w:rPr>
        <w:t>THE BACKUP SERVICER</w:t>
      </w:r>
    </w:p>
    <w:p>
      <w:pPr>
        <w:pStyle w:val="TextBody"/>
        <w:bidi w:val="0"/>
        <w:jc w:val="left"/>
        <w:rPr>
          <w:rFonts w:ascii="Times New Roman" w:hAnsi="Times New Roman"/>
          <w:sz w:val="20"/>
        </w:rPr>
      </w:pPr>
      <w:r>
        <w:rPr>
          <w:rFonts w:ascii="Times New Roman" w:hAnsi="Times New Roman"/>
          <w:color w:val="000000"/>
          <w:sz w:val="24"/>
        </w:rPr>
        <w:t>Section 8.01.</w:t>
      </w:r>
      <w:r>
        <w:rPr>
          <w:rFonts w:ascii="Times New Roman" w:hAnsi="Times New Roman"/>
          <w:color w:val="000000"/>
          <w:sz w:val="20"/>
        </w:rPr>
        <w:t xml:space="preserve"> </w:t>
      </w:r>
      <w:r>
        <w:rPr>
          <w:rFonts w:ascii="Times New Roman" w:hAnsi="Times New Roman"/>
          <w:color w:val="000000"/>
          <w:sz w:val="24"/>
        </w:rPr>
        <w:t>Designation of the Backup Servicer</w:t>
      </w:r>
    </w:p>
    <w:p>
      <w:pPr>
        <w:pStyle w:val="TextBody"/>
        <w:bidi w:val="0"/>
        <w:jc w:val="left"/>
        <w:rPr>
          <w:rFonts w:ascii="Times New Roman" w:hAnsi="Times New Roman"/>
          <w:sz w:val="20"/>
        </w:rPr>
      </w:pPr>
      <w:r>
        <w:rPr>
          <w:rFonts w:ascii="Times New Roman" w:hAnsi="Times New Roman"/>
          <w:color w:val="000000"/>
          <w:sz w:val="24"/>
        </w:rPr>
        <w:t>Section 8.02.</w:t>
      </w:r>
      <w:r>
        <w:rPr>
          <w:rFonts w:ascii="Times New Roman" w:hAnsi="Times New Roman"/>
          <w:color w:val="000000"/>
          <w:sz w:val="20"/>
        </w:rPr>
        <w:t xml:space="preserve"> </w:t>
      </w:r>
      <w:r>
        <w:rPr>
          <w:rFonts w:ascii="Times New Roman" w:hAnsi="Times New Roman"/>
          <w:color w:val="000000"/>
          <w:sz w:val="24"/>
        </w:rPr>
        <w:t>Duties of the Backup Servicer</w:t>
      </w:r>
    </w:p>
    <w:p>
      <w:pPr>
        <w:pStyle w:val="TextBody"/>
        <w:bidi w:val="0"/>
        <w:jc w:val="left"/>
        <w:rPr>
          <w:rFonts w:ascii="Times New Roman" w:hAnsi="Times New Roman"/>
          <w:sz w:val="20"/>
        </w:rPr>
      </w:pPr>
      <w:r>
        <w:rPr>
          <w:rFonts w:ascii="Times New Roman" w:hAnsi="Times New Roman"/>
          <w:color w:val="000000"/>
          <w:sz w:val="24"/>
        </w:rPr>
        <w:t>Section 8.03.</w:t>
      </w:r>
      <w:r>
        <w:rPr>
          <w:rFonts w:ascii="Times New Roman" w:hAnsi="Times New Roman"/>
          <w:color w:val="000000"/>
          <w:sz w:val="20"/>
        </w:rPr>
        <w:t xml:space="preserve"> </w:t>
      </w:r>
      <w:r>
        <w:rPr>
          <w:rFonts w:ascii="Times New Roman" w:hAnsi="Times New Roman"/>
          <w:color w:val="000000"/>
          <w:sz w:val="24"/>
        </w:rPr>
        <w:t>Backup Servicing Compensation</w:t>
      </w:r>
    </w:p>
    <w:p>
      <w:pPr>
        <w:pStyle w:val="TextBody"/>
        <w:bidi w:val="0"/>
        <w:jc w:val="left"/>
        <w:rPr>
          <w:rFonts w:ascii="Times New Roman" w:hAnsi="Times New Roman"/>
          <w:sz w:val="20"/>
        </w:rPr>
      </w:pPr>
      <w:r>
        <w:rPr>
          <w:rFonts w:ascii="Times New Roman" w:hAnsi="Times New Roman"/>
          <w:color w:val="000000"/>
          <w:sz w:val="24"/>
        </w:rPr>
        <w:t>Section 8.04.</w:t>
      </w:r>
      <w:r>
        <w:rPr>
          <w:rFonts w:ascii="Times New Roman" w:hAnsi="Times New Roman"/>
          <w:color w:val="000000"/>
          <w:sz w:val="20"/>
        </w:rPr>
        <w:t xml:space="preserve"> </w:t>
      </w:r>
      <w:r>
        <w:rPr>
          <w:rFonts w:ascii="Times New Roman" w:hAnsi="Times New Roman"/>
          <w:color w:val="000000"/>
          <w:sz w:val="24"/>
        </w:rPr>
        <w:t>Backup Servicer Removal</w:t>
      </w:r>
    </w:p>
    <w:p>
      <w:pPr>
        <w:pStyle w:val="TextBody"/>
        <w:bidi w:val="0"/>
        <w:jc w:val="left"/>
        <w:rPr>
          <w:rFonts w:ascii="Times New Roman" w:hAnsi="Times New Roman"/>
          <w:sz w:val="20"/>
        </w:rPr>
      </w:pPr>
      <w:r>
        <w:rPr>
          <w:rFonts w:ascii="Times New Roman" w:hAnsi="Times New Roman"/>
          <w:color w:val="000000"/>
          <w:sz w:val="24"/>
        </w:rPr>
        <w:t>Section 8.05.</w:t>
      </w:r>
      <w:r>
        <w:rPr>
          <w:rFonts w:ascii="Times New Roman" w:hAnsi="Times New Roman"/>
          <w:color w:val="000000"/>
          <w:sz w:val="20"/>
        </w:rPr>
        <w:t xml:space="preserve"> </w:t>
      </w:r>
      <w:r>
        <w:rPr>
          <w:rFonts w:ascii="Times New Roman" w:hAnsi="Times New Roman"/>
          <w:color w:val="000000"/>
          <w:sz w:val="24"/>
        </w:rPr>
        <w:t>Backup Servicer Not to Resign</w:t>
      </w:r>
    </w:p>
    <w:p>
      <w:pPr>
        <w:pStyle w:val="TextBody"/>
        <w:bidi w:val="0"/>
        <w:jc w:val="left"/>
        <w:rPr>
          <w:rFonts w:ascii="Times New Roman" w:hAnsi="Times New Roman"/>
          <w:sz w:val="20"/>
        </w:rPr>
      </w:pPr>
      <w:r>
        <w:rPr>
          <w:rFonts w:ascii="Times New Roman" w:hAnsi="Times New Roman"/>
          <w:color w:val="000000"/>
          <w:sz w:val="24"/>
        </w:rPr>
        <w:t>Section 8.06.</w:t>
      </w:r>
      <w:r>
        <w:rPr>
          <w:rFonts w:ascii="Times New Roman" w:hAnsi="Times New Roman"/>
          <w:color w:val="000000"/>
          <w:sz w:val="20"/>
        </w:rPr>
        <w:t xml:space="preserve"> </w:t>
      </w:r>
      <w:r>
        <w:rPr>
          <w:rFonts w:ascii="Times New Roman" w:hAnsi="Times New Roman"/>
          <w:color w:val="000000"/>
          <w:sz w:val="24"/>
        </w:rPr>
        <w:t>Monthly Backup Servicer Certificate</w:t>
      </w:r>
    </w:p>
    <w:p>
      <w:pPr>
        <w:pStyle w:val="TextBody"/>
        <w:bidi w:val="0"/>
        <w:jc w:val="left"/>
        <w:rPr>
          <w:rFonts w:ascii="Times New Roman" w:hAnsi="Times New Roman"/>
          <w:sz w:val="20"/>
        </w:rPr>
      </w:pPr>
      <w:r>
        <w:rPr>
          <w:rFonts w:ascii="Times New Roman" w:hAnsi="Times New Roman"/>
          <w:color w:val="000000"/>
          <w:sz w:val="24"/>
        </w:rPr>
        <w:t>Section 8.07.</w:t>
      </w:r>
      <w:r>
        <w:rPr>
          <w:rFonts w:ascii="Times New Roman" w:hAnsi="Times New Roman"/>
          <w:color w:val="000000"/>
          <w:sz w:val="20"/>
        </w:rPr>
        <w:t xml:space="preserve"> </w:t>
      </w:r>
      <w:r>
        <w:rPr>
          <w:rFonts w:ascii="Times New Roman" w:hAnsi="Times New Roman"/>
          <w:color w:val="000000"/>
          <w:sz w:val="24"/>
        </w:rPr>
        <w:t>Covenants of the Backup Servicer</w:t>
      </w:r>
    </w:p>
    <w:p>
      <w:pPr>
        <w:pStyle w:val="TextBody"/>
        <w:bidi w:val="0"/>
        <w:spacing w:before="240" w:after="283"/>
        <w:jc w:val="left"/>
        <w:rPr>
          <w:rFonts w:ascii="Times New Roman" w:hAnsi="Times New Roman"/>
          <w:sz w:val="20"/>
        </w:rPr>
      </w:pPr>
      <w:r>
        <w:rPr>
          <w:rFonts w:ascii="Times New Roman" w:hAnsi="Times New Roman"/>
          <w:caps/>
          <w:color w:val="000000"/>
          <w:sz w:val="24"/>
        </w:rPr>
        <w:t>ARTICLE Nine</w:t>
      </w:r>
      <w:r>
        <w:rPr>
          <w:rFonts w:ascii="Times New Roman" w:hAnsi="Times New Roman"/>
          <w:color w:val="000000"/>
          <w:sz w:val="20"/>
        </w:rPr>
        <w:t xml:space="preserve"> </w:t>
      </w:r>
      <w:r>
        <w:rPr>
          <w:rFonts w:ascii="Times New Roman" w:hAnsi="Times New Roman"/>
          <w:color w:val="000000"/>
          <w:sz w:val="24"/>
        </w:rPr>
        <w:t>TERMINATION EVENTS</w:t>
      </w:r>
    </w:p>
    <w:p>
      <w:pPr>
        <w:pStyle w:val="TextBody"/>
        <w:bidi w:val="0"/>
        <w:jc w:val="left"/>
        <w:rPr>
          <w:rFonts w:ascii="Times New Roman" w:hAnsi="Times New Roman"/>
          <w:sz w:val="20"/>
        </w:rPr>
      </w:pPr>
      <w:r>
        <w:rPr>
          <w:rFonts w:ascii="Times New Roman" w:hAnsi="Times New Roman"/>
          <w:color w:val="000000"/>
          <w:sz w:val="24"/>
        </w:rPr>
        <w:t>Section 9.01.</w:t>
      </w:r>
      <w:r>
        <w:rPr>
          <w:rFonts w:ascii="Times New Roman" w:hAnsi="Times New Roman"/>
          <w:color w:val="000000"/>
          <w:sz w:val="20"/>
        </w:rPr>
        <w:t xml:space="preserve"> </w:t>
      </w:r>
      <w:r>
        <w:rPr>
          <w:rFonts w:ascii="Times New Roman" w:hAnsi="Times New Roman"/>
          <w:color w:val="000000"/>
          <w:sz w:val="24"/>
        </w:rPr>
        <w:t>Termination Events</w:t>
      </w:r>
    </w:p>
    <w:p>
      <w:pPr>
        <w:pStyle w:val="TextBody"/>
        <w:bidi w:val="0"/>
        <w:jc w:val="left"/>
        <w:rPr>
          <w:rFonts w:ascii="Times New Roman" w:hAnsi="Times New Roman"/>
          <w:sz w:val="20"/>
        </w:rPr>
      </w:pPr>
      <w:r>
        <w:rPr>
          <w:rFonts w:ascii="Times New Roman" w:hAnsi="Times New Roman"/>
          <w:color w:val="000000"/>
          <w:sz w:val="24"/>
        </w:rPr>
        <w:t>Section 9.02.</w:t>
      </w:r>
      <w:r>
        <w:rPr>
          <w:rFonts w:ascii="Times New Roman" w:hAnsi="Times New Roman"/>
          <w:color w:val="000000"/>
          <w:sz w:val="20"/>
        </w:rPr>
        <w:t xml:space="preserve"> </w:t>
      </w:r>
      <w:r>
        <w:rPr>
          <w:rFonts w:ascii="Times New Roman" w:hAnsi="Times New Roman"/>
          <w:color w:val="000000"/>
          <w:sz w:val="24"/>
        </w:rPr>
        <w:t>Actions Upon Occurrence of the Termination Date</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u w:val="single"/>
        </w:rPr>
      </w:pPr>
      <w:r>
        <w:rPr>
          <w:rFonts w:ascii="Times New Roman" w:hAnsi="Times New Roman"/>
          <w:color w:val="000000"/>
          <w:sz w:val="24"/>
          <w:u w:val="single"/>
        </w:rPr>
        <w:t>Page</w:t>
      </w:r>
    </w:p>
    <w:p>
      <w:pPr>
        <w:pStyle w:val="TextBody"/>
        <w:bidi w:val="0"/>
        <w:jc w:val="left"/>
        <w:rPr>
          <w:rFonts w:ascii="Times New Roman" w:hAnsi="Times New Roman"/>
          <w:sz w:val="20"/>
        </w:rPr>
      </w:pPr>
      <w:r>
        <w:rPr>
          <w:rFonts w:ascii="Times New Roman" w:hAnsi="Times New Roman"/>
          <w:color w:val="000000"/>
          <w:sz w:val="24"/>
        </w:rPr>
        <w:t>Section 9.03.</w:t>
      </w:r>
      <w:r>
        <w:rPr>
          <w:rFonts w:ascii="Times New Roman" w:hAnsi="Times New Roman"/>
          <w:color w:val="000000"/>
          <w:sz w:val="20"/>
        </w:rPr>
        <w:t xml:space="preserve"> </w:t>
      </w:r>
      <w:r>
        <w:rPr>
          <w:rFonts w:ascii="Times New Roman" w:hAnsi="Times New Roman"/>
          <w:color w:val="000000"/>
          <w:sz w:val="24"/>
        </w:rPr>
        <w:t>Exercise of Remedies</w:t>
      </w:r>
    </w:p>
    <w:p>
      <w:pPr>
        <w:pStyle w:val="TextBody"/>
        <w:bidi w:val="0"/>
        <w:jc w:val="left"/>
        <w:rPr>
          <w:rFonts w:ascii="Times New Roman" w:hAnsi="Times New Roman"/>
          <w:sz w:val="20"/>
        </w:rPr>
      </w:pPr>
      <w:r>
        <w:rPr>
          <w:rFonts w:ascii="Times New Roman" w:hAnsi="Times New Roman"/>
          <w:color w:val="000000"/>
          <w:sz w:val="24"/>
        </w:rPr>
        <w:t>Section 9.04.</w:t>
      </w:r>
      <w:r>
        <w:rPr>
          <w:rFonts w:ascii="Times New Roman" w:hAnsi="Times New Roman"/>
          <w:color w:val="000000"/>
          <w:sz w:val="20"/>
        </w:rPr>
        <w:t xml:space="preserve"> </w:t>
      </w:r>
      <w:r>
        <w:rPr>
          <w:rFonts w:ascii="Times New Roman" w:hAnsi="Times New Roman"/>
          <w:color w:val="000000"/>
          <w:sz w:val="24"/>
        </w:rPr>
        <w:t>Waiver of Certain Laws</w:t>
      </w:r>
    </w:p>
    <w:p>
      <w:pPr>
        <w:pStyle w:val="TextBody"/>
        <w:bidi w:val="0"/>
        <w:jc w:val="left"/>
        <w:rPr>
          <w:rFonts w:ascii="Times New Roman" w:hAnsi="Times New Roman"/>
          <w:sz w:val="20"/>
        </w:rPr>
      </w:pPr>
      <w:r>
        <w:rPr>
          <w:rFonts w:ascii="Times New Roman" w:hAnsi="Times New Roman"/>
          <w:color w:val="000000"/>
          <w:sz w:val="24"/>
        </w:rPr>
        <w:t>Section 9.05.</w:t>
      </w:r>
      <w:r>
        <w:rPr>
          <w:rFonts w:ascii="Times New Roman" w:hAnsi="Times New Roman"/>
          <w:color w:val="000000"/>
          <w:sz w:val="20"/>
        </w:rPr>
        <w:t xml:space="preserve"> </w:t>
      </w:r>
      <w:r>
        <w:rPr>
          <w:rFonts w:ascii="Times New Roman" w:hAnsi="Times New Roman"/>
          <w:color w:val="000000"/>
          <w:sz w:val="24"/>
        </w:rPr>
        <w:t>Power of Attorney</w:t>
      </w:r>
    </w:p>
    <w:p>
      <w:pPr>
        <w:pStyle w:val="TextBody"/>
        <w:bidi w:val="0"/>
        <w:spacing w:before="240" w:after="283"/>
        <w:jc w:val="left"/>
        <w:rPr>
          <w:rFonts w:ascii="Times New Roman" w:hAnsi="Times New Roman"/>
          <w:sz w:val="20"/>
        </w:rPr>
      </w:pPr>
      <w:r>
        <w:rPr>
          <w:rFonts w:ascii="Times New Roman" w:hAnsi="Times New Roman"/>
          <w:caps/>
          <w:color w:val="000000"/>
          <w:sz w:val="24"/>
        </w:rPr>
        <w:t>ARTICLE Ten</w:t>
      </w:r>
      <w:r>
        <w:rPr>
          <w:rFonts w:ascii="Times New Roman" w:hAnsi="Times New Roman"/>
          <w:color w:val="000000"/>
          <w:sz w:val="20"/>
        </w:rPr>
        <w:t xml:space="preserve"> </w:t>
      </w:r>
      <w:r>
        <w:rPr>
          <w:rFonts w:ascii="Times New Roman" w:hAnsi="Times New Roman"/>
          <w:color w:val="000000"/>
          <w:sz w:val="24"/>
        </w:rPr>
        <w:t>INDEMNIFICATION</w:t>
      </w:r>
    </w:p>
    <w:p>
      <w:pPr>
        <w:pStyle w:val="TextBody"/>
        <w:bidi w:val="0"/>
        <w:jc w:val="left"/>
        <w:rPr>
          <w:rFonts w:ascii="Times New Roman" w:hAnsi="Times New Roman"/>
          <w:sz w:val="20"/>
        </w:rPr>
      </w:pPr>
      <w:r>
        <w:rPr>
          <w:rFonts w:ascii="Times New Roman" w:hAnsi="Times New Roman"/>
          <w:color w:val="000000"/>
          <w:sz w:val="24"/>
        </w:rPr>
        <w:t>Section 10.01.</w:t>
      </w:r>
      <w:r>
        <w:rPr>
          <w:rFonts w:ascii="Times New Roman" w:hAnsi="Times New Roman"/>
          <w:color w:val="000000"/>
          <w:sz w:val="20"/>
        </w:rPr>
        <w:t xml:space="preserve"> </w:t>
      </w:r>
      <w:r>
        <w:rPr>
          <w:rFonts w:ascii="Times New Roman" w:hAnsi="Times New Roman"/>
          <w:color w:val="000000"/>
          <w:sz w:val="24"/>
        </w:rPr>
        <w:t>Indemnities by the Borrower and UACC</w:t>
      </w:r>
    </w:p>
    <w:p>
      <w:pPr>
        <w:pStyle w:val="TextBody"/>
        <w:bidi w:val="0"/>
        <w:spacing w:before="240" w:after="283"/>
        <w:jc w:val="left"/>
        <w:rPr>
          <w:rFonts w:ascii="Times New Roman" w:hAnsi="Times New Roman"/>
          <w:sz w:val="20"/>
        </w:rPr>
      </w:pPr>
      <w:r>
        <w:rPr>
          <w:rFonts w:ascii="Times New Roman" w:hAnsi="Times New Roman"/>
          <w:caps/>
          <w:color w:val="000000"/>
          <w:sz w:val="24"/>
        </w:rPr>
        <w:t>ARTICLE Eleven</w:t>
      </w:r>
      <w:r>
        <w:rPr>
          <w:rFonts w:ascii="Times New Roman" w:hAnsi="Times New Roman"/>
          <w:color w:val="000000"/>
          <w:sz w:val="20"/>
        </w:rPr>
        <w:t xml:space="preserve"> </w:t>
      </w:r>
      <w:r>
        <w:rPr>
          <w:rFonts w:ascii="Times New Roman" w:hAnsi="Times New Roman"/>
          <w:color w:val="000000"/>
          <w:sz w:val="24"/>
        </w:rPr>
        <w:t>THE ADMINISTRATIVE AGENT</w:t>
      </w:r>
    </w:p>
    <w:p>
      <w:pPr>
        <w:pStyle w:val="TextBody"/>
        <w:bidi w:val="0"/>
        <w:jc w:val="left"/>
        <w:rPr>
          <w:rFonts w:ascii="Times New Roman" w:hAnsi="Times New Roman"/>
          <w:sz w:val="20"/>
        </w:rPr>
      </w:pPr>
      <w:r>
        <w:rPr>
          <w:rFonts w:ascii="Times New Roman" w:hAnsi="Times New Roman"/>
          <w:color w:val="000000"/>
          <w:sz w:val="24"/>
        </w:rPr>
        <w:t>Section 11.01.</w:t>
      </w:r>
      <w:r>
        <w:rPr>
          <w:rFonts w:ascii="Times New Roman" w:hAnsi="Times New Roman"/>
          <w:color w:val="000000"/>
          <w:sz w:val="20"/>
        </w:rPr>
        <w:t xml:space="preserve"> </w:t>
      </w:r>
      <w:r>
        <w:rPr>
          <w:rFonts w:ascii="Times New Roman" w:hAnsi="Times New Roman"/>
          <w:color w:val="000000"/>
          <w:sz w:val="24"/>
        </w:rPr>
        <w:t>Authorization and Action</w:t>
      </w:r>
    </w:p>
    <w:p>
      <w:pPr>
        <w:pStyle w:val="TextBody"/>
        <w:bidi w:val="0"/>
        <w:jc w:val="left"/>
        <w:rPr>
          <w:rFonts w:ascii="Times New Roman" w:hAnsi="Times New Roman"/>
          <w:sz w:val="20"/>
        </w:rPr>
      </w:pPr>
      <w:r>
        <w:rPr>
          <w:rFonts w:ascii="Times New Roman" w:hAnsi="Times New Roman"/>
          <w:color w:val="000000"/>
          <w:sz w:val="24"/>
        </w:rPr>
        <w:t>Section 11.02.</w:t>
      </w:r>
      <w:r>
        <w:rPr>
          <w:rFonts w:ascii="Times New Roman" w:hAnsi="Times New Roman"/>
          <w:color w:val="000000"/>
          <w:sz w:val="20"/>
        </w:rPr>
        <w:t xml:space="preserve"> </w:t>
      </w:r>
      <w:r>
        <w:rPr>
          <w:rFonts w:ascii="Times New Roman" w:hAnsi="Times New Roman"/>
          <w:color w:val="000000"/>
          <w:sz w:val="24"/>
        </w:rPr>
        <w:t>Delegation of Duties</w:t>
      </w:r>
    </w:p>
    <w:p>
      <w:pPr>
        <w:pStyle w:val="TextBody"/>
        <w:bidi w:val="0"/>
        <w:jc w:val="left"/>
        <w:rPr>
          <w:rFonts w:ascii="Times New Roman" w:hAnsi="Times New Roman"/>
          <w:sz w:val="20"/>
        </w:rPr>
      </w:pPr>
      <w:r>
        <w:rPr>
          <w:rFonts w:ascii="Times New Roman" w:hAnsi="Times New Roman"/>
          <w:color w:val="000000"/>
          <w:sz w:val="24"/>
        </w:rPr>
        <w:t>Section 11.03.</w:t>
      </w:r>
      <w:r>
        <w:rPr>
          <w:rFonts w:ascii="Times New Roman" w:hAnsi="Times New Roman"/>
          <w:color w:val="000000"/>
          <w:sz w:val="20"/>
        </w:rPr>
        <w:t xml:space="preserve"> </w:t>
      </w:r>
      <w:r>
        <w:rPr>
          <w:rFonts w:ascii="Times New Roman" w:hAnsi="Times New Roman"/>
          <w:color w:val="000000"/>
          <w:sz w:val="24"/>
        </w:rPr>
        <w:t>Exculpatory Provisions</w:t>
      </w:r>
    </w:p>
    <w:p>
      <w:pPr>
        <w:pStyle w:val="TextBody"/>
        <w:bidi w:val="0"/>
        <w:jc w:val="left"/>
        <w:rPr>
          <w:rFonts w:ascii="Times New Roman" w:hAnsi="Times New Roman"/>
          <w:sz w:val="20"/>
        </w:rPr>
      </w:pPr>
      <w:r>
        <w:rPr>
          <w:rFonts w:ascii="Times New Roman" w:hAnsi="Times New Roman"/>
          <w:color w:val="000000"/>
          <w:sz w:val="24"/>
        </w:rPr>
        <w:t>Section 11.04.</w:t>
      </w:r>
      <w:r>
        <w:rPr>
          <w:rFonts w:ascii="Times New Roman" w:hAnsi="Times New Roman"/>
          <w:color w:val="000000"/>
          <w:sz w:val="20"/>
        </w:rPr>
        <w:t xml:space="preserve"> </w:t>
      </w:r>
      <w:r>
        <w:rPr>
          <w:rFonts w:ascii="Times New Roman" w:hAnsi="Times New Roman"/>
          <w:color w:val="000000"/>
          <w:sz w:val="24"/>
        </w:rPr>
        <w:t>Reliance</w:t>
      </w:r>
    </w:p>
    <w:p>
      <w:pPr>
        <w:pStyle w:val="TextBody"/>
        <w:bidi w:val="0"/>
        <w:jc w:val="left"/>
        <w:rPr>
          <w:rFonts w:ascii="Times New Roman" w:hAnsi="Times New Roman"/>
          <w:sz w:val="20"/>
        </w:rPr>
      </w:pPr>
      <w:r>
        <w:rPr>
          <w:rFonts w:ascii="Times New Roman" w:hAnsi="Times New Roman"/>
          <w:color w:val="000000"/>
          <w:sz w:val="24"/>
        </w:rPr>
        <w:t>Section 11.05.</w:t>
      </w:r>
      <w:r>
        <w:rPr>
          <w:rFonts w:ascii="Times New Roman" w:hAnsi="Times New Roman"/>
          <w:color w:val="000000"/>
          <w:sz w:val="20"/>
        </w:rPr>
        <w:t xml:space="preserve"> </w:t>
      </w:r>
      <w:r>
        <w:rPr>
          <w:rFonts w:ascii="Times New Roman" w:hAnsi="Times New Roman"/>
          <w:color w:val="000000"/>
          <w:sz w:val="24"/>
        </w:rPr>
        <w:t>Non-Reliance on Administrative Agent and Other Lenders</w:t>
      </w:r>
    </w:p>
    <w:p>
      <w:pPr>
        <w:pStyle w:val="TextBody"/>
        <w:bidi w:val="0"/>
        <w:jc w:val="left"/>
        <w:rPr>
          <w:rFonts w:ascii="Times New Roman" w:hAnsi="Times New Roman"/>
          <w:sz w:val="20"/>
        </w:rPr>
      </w:pPr>
      <w:r>
        <w:rPr>
          <w:rFonts w:ascii="Times New Roman" w:hAnsi="Times New Roman"/>
          <w:color w:val="000000"/>
          <w:sz w:val="24"/>
        </w:rPr>
        <w:t>Section 11.06.</w:t>
      </w:r>
      <w:r>
        <w:rPr>
          <w:rFonts w:ascii="Times New Roman" w:hAnsi="Times New Roman"/>
          <w:color w:val="000000"/>
          <w:sz w:val="20"/>
        </w:rPr>
        <w:t xml:space="preserve"> </w:t>
      </w:r>
      <w:r>
        <w:rPr>
          <w:rFonts w:ascii="Times New Roman" w:hAnsi="Times New Roman"/>
          <w:color w:val="000000"/>
          <w:sz w:val="24"/>
        </w:rPr>
        <w:t>Indemnification</w:t>
      </w:r>
    </w:p>
    <w:p>
      <w:pPr>
        <w:pStyle w:val="TextBody"/>
        <w:bidi w:val="0"/>
        <w:jc w:val="left"/>
        <w:rPr>
          <w:rFonts w:ascii="Times New Roman" w:hAnsi="Times New Roman"/>
          <w:sz w:val="20"/>
        </w:rPr>
      </w:pPr>
      <w:r>
        <w:rPr>
          <w:rFonts w:ascii="Times New Roman" w:hAnsi="Times New Roman"/>
          <w:color w:val="000000"/>
          <w:sz w:val="24"/>
        </w:rPr>
        <w:t>Section 11.07.</w:t>
      </w:r>
      <w:r>
        <w:rPr>
          <w:rFonts w:ascii="Times New Roman" w:hAnsi="Times New Roman"/>
          <w:color w:val="000000"/>
          <w:sz w:val="20"/>
        </w:rPr>
        <w:t xml:space="preserve"> </w:t>
      </w:r>
      <w:r>
        <w:rPr>
          <w:rFonts w:ascii="Times New Roman" w:hAnsi="Times New Roman"/>
          <w:color w:val="000000"/>
          <w:sz w:val="24"/>
        </w:rPr>
        <w:t>Administrative Agent in its Individual Capacity</w:t>
      </w:r>
    </w:p>
    <w:p>
      <w:pPr>
        <w:pStyle w:val="TextBody"/>
        <w:bidi w:val="0"/>
        <w:jc w:val="left"/>
        <w:rPr>
          <w:rFonts w:ascii="Times New Roman" w:hAnsi="Times New Roman"/>
          <w:sz w:val="20"/>
        </w:rPr>
      </w:pPr>
      <w:r>
        <w:rPr>
          <w:rFonts w:ascii="Times New Roman" w:hAnsi="Times New Roman"/>
          <w:color w:val="000000"/>
          <w:sz w:val="24"/>
        </w:rPr>
        <w:t>Section 11.08.</w:t>
      </w:r>
      <w:r>
        <w:rPr>
          <w:rFonts w:ascii="Times New Roman" w:hAnsi="Times New Roman"/>
          <w:color w:val="000000"/>
          <w:sz w:val="20"/>
        </w:rPr>
        <w:t xml:space="preserve"> </w:t>
      </w:r>
      <w:r>
        <w:rPr>
          <w:rFonts w:ascii="Times New Roman" w:hAnsi="Times New Roman"/>
          <w:color w:val="000000"/>
          <w:sz w:val="24"/>
        </w:rPr>
        <w:t>Successor Agents</w:t>
      </w:r>
    </w:p>
    <w:p>
      <w:pPr>
        <w:pStyle w:val="TextBody"/>
        <w:bidi w:val="0"/>
        <w:spacing w:before="240" w:after="283"/>
        <w:jc w:val="left"/>
        <w:rPr>
          <w:rFonts w:ascii="Times New Roman" w:hAnsi="Times New Roman"/>
          <w:sz w:val="20"/>
        </w:rPr>
      </w:pPr>
      <w:r>
        <w:rPr>
          <w:rFonts w:ascii="Times New Roman" w:hAnsi="Times New Roman"/>
          <w:caps/>
          <w:color w:val="000000"/>
          <w:sz w:val="24"/>
        </w:rPr>
        <w:t>ARTICLE Twelve</w:t>
      </w:r>
      <w:r>
        <w:rPr>
          <w:rFonts w:ascii="Times New Roman" w:hAnsi="Times New Roman"/>
          <w:color w:val="000000"/>
          <w:sz w:val="20"/>
        </w:rPr>
        <w:t xml:space="preserve"> </w:t>
      </w:r>
      <w:r>
        <w:rPr>
          <w:rFonts w:ascii="Times New Roman" w:hAnsi="Times New Roman"/>
          <w:color w:val="000000"/>
          <w:sz w:val="24"/>
        </w:rPr>
        <w:t>ASSIGNMENTS; PARTICIPATIONS</w:t>
      </w:r>
    </w:p>
    <w:p>
      <w:pPr>
        <w:pStyle w:val="TextBody"/>
        <w:bidi w:val="0"/>
        <w:jc w:val="left"/>
        <w:rPr>
          <w:rFonts w:ascii="Times New Roman" w:hAnsi="Times New Roman"/>
          <w:sz w:val="20"/>
        </w:rPr>
      </w:pPr>
      <w:r>
        <w:rPr>
          <w:rFonts w:ascii="Times New Roman" w:hAnsi="Times New Roman"/>
          <w:color w:val="000000"/>
          <w:sz w:val="24"/>
        </w:rPr>
        <w:t>Section 12.01.</w:t>
      </w:r>
      <w:r>
        <w:rPr>
          <w:rFonts w:ascii="Times New Roman" w:hAnsi="Times New Roman"/>
          <w:color w:val="000000"/>
          <w:sz w:val="20"/>
        </w:rPr>
        <w:t xml:space="preserve"> </w:t>
      </w:r>
      <w:r>
        <w:rPr>
          <w:rFonts w:ascii="Times New Roman" w:hAnsi="Times New Roman"/>
          <w:color w:val="000000"/>
          <w:sz w:val="24"/>
        </w:rPr>
        <w:t>Assignments and Participations</w:t>
      </w:r>
    </w:p>
    <w:p>
      <w:pPr>
        <w:pStyle w:val="TextBody"/>
        <w:bidi w:val="0"/>
        <w:spacing w:before="240" w:after="283"/>
        <w:jc w:val="left"/>
        <w:rPr>
          <w:rFonts w:ascii="Times New Roman" w:hAnsi="Times New Roman"/>
          <w:sz w:val="20"/>
        </w:rPr>
      </w:pPr>
      <w:r>
        <w:rPr>
          <w:rFonts w:ascii="Times New Roman" w:hAnsi="Times New Roman"/>
          <w:caps/>
          <w:color w:val="000000"/>
          <w:sz w:val="24"/>
        </w:rPr>
        <w:t>ARTICLE Thirteen</w:t>
      </w:r>
      <w:r>
        <w:rPr>
          <w:rFonts w:ascii="Times New Roman" w:hAnsi="Times New Roman"/>
          <w:color w:val="000000"/>
          <w:sz w:val="20"/>
        </w:rPr>
        <w:t xml:space="preserve"> </w:t>
      </w:r>
      <w:r>
        <w:rPr>
          <w:rFonts w:ascii="Times New Roman" w:hAnsi="Times New Roman"/>
          <w:color w:val="000000"/>
          <w:sz w:val="24"/>
        </w:rPr>
        <w:t>MUTUAL COVENANTS REGARDING CONFIDENTIALITY</w:t>
      </w:r>
    </w:p>
    <w:p>
      <w:pPr>
        <w:pStyle w:val="TextBody"/>
        <w:bidi w:val="0"/>
        <w:jc w:val="left"/>
        <w:rPr>
          <w:rFonts w:ascii="Times New Roman" w:hAnsi="Times New Roman"/>
          <w:sz w:val="20"/>
        </w:rPr>
      </w:pPr>
      <w:r>
        <w:rPr>
          <w:rFonts w:ascii="Times New Roman" w:hAnsi="Times New Roman"/>
          <w:color w:val="000000"/>
          <w:sz w:val="24"/>
        </w:rPr>
        <w:t>Section 13.01.</w:t>
      </w:r>
      <w:r>
        <w:rPr>
          <w:rFonts w:ascii="Times New Roman" w:hAnsi="Times New Roman"/>
          <w:color w:val="000000"/>
          <w:sz w:val="20"/>
        </w:rPr>
        <w:t xml:space="preserve"> </w:t>
      </w:r>
      <w:r>
        <w:rPr>
          <w:rFonts w:ascii="Times New Roman" w:hAnsi="Times New Roman"/>
          <w:color w:val="000000"/>
          <w:sz w:val="24"/>
        </w:rPr>
        <w:t>Covenants of the Borrower, the Servicer, the Backup Servicer, the Account Bank and the Custodian</w:t>
      </w:r>
    </w:p>
    <w:p>
      <w:pPr>
        <w:pStyle w:val="TextBody"/>
        <w:bidi w:val="0"/>
        <w:jc w:val="left"/>
        <w:rPr>
          <w:rFonts w:ascii="Times New Roman" w:hAnsi="Times New Roman"/>
          <w:sz w:val="20"/>
        </w:rPr>
      </w:pPr>
      <w:r>
        <w:rPr>
          <w:rFonts w:ascii="Times New Roman" w:hAnsi="Times New Roman"/>
          <w:color w:val="000000"/>
          <w:sz w:val="24"/>
        </w:rPr>
        <w:t>Section 13.02.</w:t>
      </w:r>
      <w:r>
        <w:rPr>
          <w:rFonts w:ascii="Times New Roman" w:hAnsi="Times New Roman"/>
          <w:color w:val="000000"/>
          <w:sz w:val="20"/>
        </w:rPr>
        <w:t xml:space="preserve"> </w:t>
      </w:r>
      <w:r>
        <w:rPr>
          <w:rFonts w:ascii="Times New Roman" w:hAnsi="Times New Roman"/>
          <w:color w:val="000000"/>
          <w:sz w:val="24"/>
        </w:rPr>
        <w:t>Covenants of the Administrative Agent and the Lenders</w:t>
      </w:r>
    </w:p>
    <w:p>
      <w:pPr>
        <w:pStyle w:val="TextBody"/>
        <w:bidi w:val="0"/>
        <w:jc w:val="left"/>
        <w:rPr>
          <w:rFonts w:ascii="Times New Roman" w:hAnsi="Times New Roman"/>
          <w:sz w:val="20"/>
        </w:rPr>
      </w:pPr>
      <w:r>
        <w:rPr>
          <w:rFonts w:ascii="Times New Roman" w:hAnsi="Times New Roman"/>
          <w:color w:val="000000"/>
          <w:sz w:val="24"/>
        </w:rPr>
        <w:t>Section 13.03.</w:t>
      </w:r>
      <w:r>
        <w:rPr>
          <w:rFonts w:ascii="Times New Roman" w:hAnsi="Times New Roman"/>
          <w:color w:val="000000"/>
          <w:sz w:val="20"/>
        </w:rPr>
        <w:t xml:space="preserve"> </w:t>
      </w:r>
      <w:r>
        <w:rPr>
          <w:rFonts w:ascii="Times New Roman" w:hAnsi="Times New Roman"/>
          <w:color w:val="000000"/>
          <w:sz w:val="24"/>
        </w:rPr>
        <w:t>Non-Confidentiality of Tax Treatment and Tax Structure</w:t>
      </w:r>
    </w:p>
    <w:p>
      <w:pPr>
        <w:pStyle w:val="TextBody"/>
        <w:bidi w:val="0"/>
        <w:spacing w:before="240" w:after="283"/>
        <w:jc w:val="left"/>
        <w:rPr>
          <w:rFonts w:ascii="Times New Roman" w:hAnsi="Times New Roman"/>
          <w:sz w:val="20"/>
        </w:rPr>
      </w:pPr>
      <w:r>
        <w:rPr>
          <w:rFonts w:ascii="Times New Roman" w:hAnsi="Times New Roman"/>
          <w:caps/>
          <w:color w:val="000000"/>
          <w:sz w:val="24"/>
        </w:rPr>
        <w:t>ARTICLE Fourteen</w:t>
      </w:r>
      <w:r>
        <w:rPr>
          <w:rFonts w:ascii="Times New Roman" w:hAnsi="Times New Roman"/>
          <w:color w:val="000000"/>
          <w:sz w:val="20"/>
        </w:rPr>
        <w:t xml:space="preserve"> </w:t>
      </w:r>
      <w:r>
        <w:rPr>
          <w:rFonts w:ascii="Times New Roman" w:hAnsi="Times New Roman"/>
          <w:color w:val="000000"/>
          <w:sz w:val="24"/>
        </w:rPr>
        <w:t>MISCELLANEOUS</w:t>
      </w:r>
    </w:p>
    <w:p>
      <w:pPr>
        <w:pStyle w:val="TextBody"/>
        <w:bidi w:val="0"/>
        <w:jc w:val="left"/>
        <w:rPr>
          <w:rFonts w:ascii="Times New Roman" w:hAnsi="Times New Roman"/>
          <w:sz w:val="20"/>
        </w:rPr>
      </w:pPr>
      <w:r>
        <w:rPr>
          <w:rFonts w:ascii="Times New Roman" w:hAnsi="Times New Roman"/>
          <w:color w:val="000000"/>
          <w:sz w:val="24"/>
        </w:rPr>
        <w:t>Section 14.01.</w:t>
      </w:r>
      <w:r>
        <w:rPr>
          <w:rFonts w:ascii="Times New Roman" w:hAnsi="Times New Roman"/>
          <w:color w:val="000000"/>
          <w:sz w:val="20"/>
        </w:rPr>
        <w:t xml:space="preserve"> </w:t>
      </w:r>
      <w:r>
        <w:rPr>
          <w:rFonts w:ascii="Times New Roman" w:hAnsi="Times New Roman"/>
          <w:color w:val="000000"/>
          <w:sz w:val="24"/>
        </w:rPr>
        <w:t>Amendments and Waivers</w:t>
      </w:r>
    </w:p>
    <w:p>
      <w:pPr>
        <w:pStyle w:val="TextBody"/>
        <w:bidi w:val="0"/>
        <w:jc w:val="left"/>
        <w:rPr>
          <w:rFonts w:ascii="Times New Roman" w:hAnsi="Times New Roman"/>
          <w:sz w:val="20"/>
        </w:rPr>
      </w:pPr>
      <w:r>
        <w:rPr>
          <w:rFonts w:ascii="Times New Roman" w:hAnsi="Times New Roman"/>
          <w:color w:val="000000"/>
          <w:sz w:val="24"/>
        </w:rPr>
        <w:t>Section 14.02.</w:t>
      </w:r>
      <w:r>
        <w:rPr>
          <w:rFonts w:ascii="Times New Roman" w:hAnsi="Times New Roman"/>
          <w:color w:val="000000"/>
          <w:sz w:val="20"/>
        </w:rPr>
        <w:t xml:space="preserve"> </w:t>
      </w:r>
      <w:r>
        <w:rPr>
          <w:rFonts w:ascii="Times New Roman" w:hAnsi="Times New Roman"/>
          <w:color w:val="000000"/>
          <w:sz w:val="24"/>
        </w:rPr>
        <w:t>Notices, Etc.</w:t>
      </w:r>
    </w:p>
    <w:p>
      <w:pPr>
        <w:pStyle w:val="TextBody"/>
        <w:bidi w:val="0"/>
        <w:jc w:val="left"/>
        <w:rPr>
          <w:rFonts w:ascii="Times New Roman" w:hAnsi="Times New Roman"/>
          <w:sz w:val="20"/>
        </w:rPr>
      </w:pPr>
      <w:r>
        <w:rPr>
          <w:rFonts w:ascii="Times New Roman" w:hAnsi="Times New Roman"/>
          <w:color w:val="000000"/>
          <w:sz w:val="24"/>
        </w:rPr>
        <w:t>Section 14.03.</w:t>
      </w:r>
      <w:r>
        <w:rPr>
          <w:rFonts w:ascii="Times New Roman" w:hAnsi="Times New Roman"/>
          <w:color w:val="000000"/>
          <w:sz w:val="20"/>
        </w:rPr>
        <w:t xml:space="preserve"> </w:t>
      </w:r>
      <w:r>
        <w:rPr>
          <w:rFonts w:ascii="Times New Roman" w:hAnsi="Times New Roman"/>
          <w:color w:val="000000"/>
          <w:sz w:val="24"/>
        </w:rPr>
        <w:t>No Waiver, Rights and Remedies</w:t>
      </w:r>
    </w:p>
    <w:p>
      <w:pPr>
        <w:pStyle w:val="TextBody"/>
        <w:bidi w:val="0"/>
        <w:jc w:val="left"/>
        <w:rPr>
          <w:rFonts w:ascii="Times New Roman" w:hAnsi="Times New Roman"/>
          <w:sz w:val="20"/>
        </w:rPr>
      </w:pPr>
      <w:r>
        <w:rPr>
          <w:rFonts w:ascii="Times New Roman" w:hAnsi="Times New Roman"/>
          <w:color w:val="000000"/>
          <w:sz w:val="24"/>
        </w:rPr>
        <w:t>Section 14.04.</w:t>
      </w:r>
      <w:r>
        <w:rPr>
          <w:rFonts w:ascii="Times New Roman" w:hAnsi="Times New Roman"/>
          <w:color w:val="000000"/>
          <w:sz w:val="20"/>
        </w:rPr>
        <w:t xml:space="preserve"> </w:t>
      </w:r>
      <w:r>
        <w:rPr>
          <w:rFonts w:ascii="Times New Roman" w:hAnsi="Times New Roman"/>
          <w:color w:val="000000"/>
          <w:sz w:val="24"/>
        </w:rPr>
        <w:t>Binding Effect</w:t>
      </w:r>
    </w:p>
    <w:p>
      <w:pPr>
        <w:pStyle w:val="TextBody"/>
        <w:bidi w:val="0"/>
        <w:jc w:val="left"/>
        <w:rPr>
          <w:rFonts w:ascii="Times New Roman" w:hAnsi="Times New Roman"/>
          <w:sz w:val="20"/>
        </w:rPr>
      </w:pPr>
      <w:r>
        <w:rPr>
          <w:rFonts w:ascii="Times New Roman" w:hAnsi="Times New Roman"/>
          <w:color w:val="000000"/>
          <w:sz w:val="24"/>
        </w:rPr>
        <w:t>Section 14.05.</w:t>
      </w:r>
      <w:r>
        <w:rPr>
          <w:rFonts w:ascii="Times New Roman" w:hAnsi="Times New Roman"/>
          <w:color w:val="000000"/>
          <w:sz w:val="20"/>
        </w:rPr>
        <w:t xml:space="preserve"> </w:t>
      </w:r>
      <w:r>
        <w:rPr>
          <w:rFonts w:ascii="Times New Roman" w:hAnsi="Times New Roman"/>
          <w:color w:val="000000"/>
          <w:sz w:val="24"/>
        </w:rPr>
        <w:t>Term of this Agreement</w:t>
      </w:r>
    </w:p>
    <w:p>
      <w:pPr>
        <w:pStyle w:val="TextBody"/>
        <w:bidi w:val="0"/>
        <w:jc w:val="left"/>
        <w:rPr>
          <w:rFonts w:ascii="Times New Roman" w:hAnsi="Times New Roman"/>
          <w:sz w:val="20"/>
        </w:rPr>
      </w:pPr>
      <w:r>
        <w:rPr>
          <w:rFonts w:ascii="Times New Roman" w:hAnsi="Times New Roman"/>
          <w:color w:val="000000"/>
          <w:sz w:val="24"/>
        </w:rPr>
        <w:t>Section 14.06.</w:t>
      </w:r>
      <w:r>
        <w:rPr>
          <w:rFonts w:ascii="Times New Roman" w:hAnsi="Times New Roman"/>
          <w:color w:val="000000"/>
          <w:sz w:val="20"/>
        </w:rPr>
        <w:t xml:space="preserve"> </w:t>
      </w:r>
      <w:r>
        <w:rPr>
          <w:rFonts w:ascii="Times New Roman" w:hAnsi="Times New Roman"/>
          <w:color w:val="000000"/>
          <w:sz w:val="24"/>
        </w:rPr>
        <w:t>GOVERNING LAW; CONSENT TO JURISDICTION; WAIVER OF OBJECTION TO VENUE</w:t>
      </w:r>
    </w:p>
    <w:p>
      <w:pPr>
        <w:pStyle w:val="TextBody"/>
        <w:bidi w:val="0"/>
        <w:jc w:val="left"/>
        <w:rPr>
          <w:rFonts w:ascii="Times New Roman" w:hAnsi="Times New Roman"/>
          <w:sz w:val="20"/>
        </w:rPr>
      </w:pPr>
      <w:r>
        <w:rPr>
          <w:rFonts w:ascii="Times New Roman" w:hAnsi="Times New Roman"/>
          <w:color w:val="000000"/>
          <w:sz w:val="24"/>
        </w:rPr>
        <w:t>Section 14.07.</w:t>
      </w:r>
      <w:r>
        <w:rPr>
          <w:rFonts w:ascii="Times New Roman" w:hAnsi="Times New Roman"/>
          <w:color w:val="000000"/>
          <w:sz w:val="20"/>
        </w:rPr>
        <w:t xml:space="preserve"> </w:t>
      </w:r>
      <w:r>
        <w:rPr>
          <w:rFonts w:ascii="Times New Roman" w:hAnsi="Times New Roman"/>
          <w:color w:val="000000"/>
          <w:sz w:val="24"/>
        </w:rPr>
        <w:t>WAIVER OF JURY TRIAL</w:t>
      </w:r>
    </w:p>
    <w:p>
      <w:pPr>
        <w:pStyle w:val="TextBody"/>
        <w:bidi w:val="0"/>
        <w:jc w:val="left"/>
        <w:rPr>
          <w:rFonts w:ascii="Times New Roman" w:hAnsi="Times New Roman"/>
          <w:sz w:val="20"/>
        </w:rPr>
      </w:pPr>
      <w:r>
        <w:rPr>
          <w:rFonts w:ascii="Times New Roman" w:hAnsi="Times New Roman"/>
          <w:color w:val="000000"/>
          <w:sz w:val="24"/>
        </w:rPr>
        <w:t>Section 14.08.</w:t>
      </w:r>
      <w:r>
        <w:rPr>
          <w:rFonts w:ascii="Times New Roman" w:hAnsi="Times New Roman"/>
          <w:color w:val="000000"/>
          <w:sz w:val="20"/>
        </w:rPr>
        <w:t xml:space="preserve"> </w:t>
      </w:r>
      <w:r>
        <w:rPr>
          <w:rFonts w:ascii="Times New Roman" w:hAnsi="Times New Roman"/>
          <w:color w:val="000000"/>
          <w:sz w:val="24"/>
        </w:rPr>
        <w:t>Costs and Expenses</w:t>
      </w:r>
    </w:p>
    <w:p>
      <w:pPr>
        <w:pStyle w:val="TextBody"/>
        <w:bidi w:val="0"/>
        <w:jc w:val="left"/>
        <w:rPr>
          <w:rFonts w:ascii="Times New Roman" w:hAnsi="Times New Roman"/>
          <w:sz w:val="20"/>
        </w:rPr>
      </w:pPr>
      <w:r>
        <w:rPr>
          <w:rFonts w:ascii="Times New Roman" w:hAnsi="Times New Roman"/>
          <w:color w:val="000000"/>
          <w:sz w:val="24"/>
        </w:rPr>
        <w:t>Section 14.09.</w:t>
      </w:r>
      <w:r>
        <w:rPr>
          <w:rFonts w:ascii="Times New Roman" w:hAnsi="Times New Roman"/>
          <w:color w:val="000000"/>
          <w:sz w:val="20"/>
        </w:rPr>
        <w:t xml:space="preserve"> </w:t>
      </w:r>
      <w:r>
        <w:rPr>
          <w:rFonts w:ascii="Times New Roman" w:hAnsi="Times New Roman"/>
          <w:color w:val="000000"/>
          <w:sz w:val="24"/>
        </w:rPr>
        <w:t>No Insolvency Proceedings</w:t>
      </w:r>
    </w:p>
    <w:p>
      <w:pPr>
        <w:pStyle w:val="TextBody"/>
        <w:bidi w:val="0"/>
        <w:jc w:val="left"/>
        <w:rPr>
          <w:rFonts w:ascii="Times New Roman" w:hAnsi="Times New Roman"/>
          <w:sz w:val="20"/>
        </w:rPr>
      </w:pPr>
      <w:r>
        <w:rPr>
          <w:rFonts w:ascii="Times New Roman" w:hAnsi="Times New Roman"/>
          <w:color w:val="000000"/>
          <w:sz w:val="24"/>
        </w:rPr>
        <w:t>Section 14.10.</w:t>
      </w:r>
      <w:r>
        <w:rPr>
          <w:rFonts w:ascii="Times New Roman" w:hAnsi="Times New Roman"/>
          <w:color w:val="000000"/>
          <w:sz w:val="20"/>
        </w:rPr>
        <w:t xml:space="preserve"> </w:t>
      </w:r>
      <w:r>
        <w:rPr>
          <w:rFonts w:ascii="Times New Roman" w:hAnsi="Times New Roman"/>
          <w:color w:val="000000"/>
          <w:sz w:val="24"/>
        </w:rPr>
        <w:t>Recourse Against Certain Parties</w:t>
      </w:r>
    </w:p>
    <w:p>
      <w:pPr>
        <w:pStyle w:val="TextBody"/>
        <w:bidi w:val="0"/>
        <w:jc w:val="left"/>
        <w:rPr>
          <w:rFonts w:ascii="Times New Roman" w:hAnsi="Times New Roman"/>
          <w:sz w:val="20"/>
        </w:rPr>
      </w:pPr>
      <w:r>
        <w:rPr>
          <w:rFonts w:ascii="Times New Roman" w:hAnsi="Times New Roman"/>
          <w:color w:val="000000"/>
          <w:sz w:val="24"/>
        </w:rPr>
        <w:t>Section 14.11.</w:t>
      </w:r>
      <w:r>
        <w:rPr>
          <w:rFonts w:ascii="Times New Roman" w:hAnsi="Times New Roman"/>
          <w:color w:val="000000"/>
          <w:sz w:val="20"/>
        </w:rPr>
        <w:t xml:space="preserve"> </w:t>
      </w:r>
      <w:r>
        <w:rPr>
          <w:rFonts w:ascii="Times New Roman" w:hAnsi="Times New Roman"/>
          <w:color w:val="000000"/>
          <w:sz w:val="24"/>
        </w:rPr>
        <w:t>Limitations on Consequential, Indirect and Certain Other Damages</w:t>
      </w:r>
    </w:p>
    <w:p>
      <w:pPr>
        <w:pStyle w:val="TextBody"/>
        <w:bidi w:val="0"/>
        <w:jc w:val="left"/>
        <w:rPr>
          <w:rFonts w:ascii="Times New Roman" w:hAnsi="Times New Roman"/>
          <w:sz w:val="20"/>
        </w:rPr>
      </w:pPr>
      <w:r>
        <w:rPr>
          <w:rFonts w:ascii="Times New Roman" w:hAnsi="Times New Roman"/>
          <w:color w:val="000000"/>
          <w:sz w:val="24"/>
        </w:rPr>
        <w:t>Section 14.12.</w:t>
      </w:r>
      <w:r>
        <w:rPr>
          <w:rFonts w:ascii="Times New Roman" w:hAnsi="Times New Roman"/>
          <w:color w:val="000000"/>
          <w:sz w:val="20"/>
        </w:rPr>
        <w:t xml:space="preserve"> </w:t>
      </w:r>
      <w:r>
        <w:rPr>
          <w:rFonts w:ascii="Times New Roman" w:hAnsi="Times New Roman"/>
          <w:color w:val="000000"/>
          <w:sz w:val="24"/>
        </w:rPr>
        <w:t>AML Law Compliance</w:t>
      </w:r>
    </w:p>
    <w:p>
      <w:pPr>
        <w:pStyle w:val="TextBody"/>
        <w:bidi w:val="0"/>
        <w:jc w:val="left"/>
        <w:rPr>
          <w:rFonts w:ascii="Times New Roman" w:hAnsi="Times New Roman"/>
          <w:sz w:val="20"/>
        </w:rPr>
      </w:pPr>
      <w:r>
        <w:rPr>
          <w:rFonts w:ascii="Times New Roman" w:hAnsi="Times New Roman"/>
          <w:color w:val="000000"/>
          <w:sz w:val="24"/>
        </w:rPr>
        <w:t>Section 14.13.</w:t>
      </w:r>
      <w:r>
        <w:rPr>
          <w:rFonts w:ascii="Times New Roman" w:hAnsi="Times New Roman"/>
          <w:color w:val="000000"/>
          <w:sz w:val="20"/>
        </w:rPr>
        <w:t xml:space="preserve"> </w:t>
      </w:r>
      <w:r>
        <w:rPr>
          <w:rFonts w:ascii="Times New Roman" w:hAnsi="Times New Roman"/>
          <w:color w:val="000000"/>
          <w:sz w:val="24"/>
        </w:rPr>
        <w:t>Execution in Counterparts; Severability; Integration</w:t>
      </w:r>
    </w:p>
    <w:p>
      <w:pPr>
        <w:pStyle w:val="TextBody"/>
        <w:bidi w:val="0"/>
        <w:jc w:val="left"/>
        <w:rPr>
          <w:rFonts w:ascii="Times New Roman" w:hAnsi="Times New Roman"/>
          <w:sz w:val="20"/>
        </w:rPr>
      </w:pPr>
      <w:r>
        <w:rPr>
          <w:rFonts w:ascii="Times New Roman" w:hAnsi="Times New Roman"/>
          <w:color w:val="000000"/>
          <w:sz w:val="24"/>
        </w:rPr>
        <w:t>Section 14.14.</w:t>
      </w:r>
      <w:r>
        <w:rPr>
          <w:rFonts w:ascii="Times New Roman" w:hAnsi="Times New Roman"/>
          <w:color w:val="000000"/>
          <w:sz w:val="20"/>
        </w:rPr>
        <w:t xml:space="preserve"> </w:t>
      </w:r>
      <w:r>
        <w:rPr>
          <w:rFonts w:ascii="Times New Roman" w:hAnsi="Times New Roman"/>
          <w:color w:val="000000"/>
          <w:sz w:val="24"/>
        </w:rPr>
        <w:t>Limitation of Liability of Owner Trustee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u w:val="single"/>
        </w:rPr>
      </w:pPr>
      <w:r>
        <w:rPr>
          <w:rFonts w:ascii="Times New Roman" w:hAnsi="Times New Roman"/>
          <w:color w:val="000000"/>
          <w:sz w:val="24"/>
          <w:u w:val="single"/>
        </w:rPr>
        <w:t>Page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SCHEDULES</w:t>
      </w:r>
    </w:p>
    <w:p>
      <w:pPr>
        <w:pStyle w:val="TextBody"/>
        <w:bidi w:val="0"/>
        <w:jc w:val="left"/>
        <w:rPr>
          <w:rFonts w:ascii="Times New Roman" w:hAnsi="Times New Roman"/>
          <w:color w:val="000000"/>
          <w:sz w:val="24"/>
        </w:rPr>
      </w:pPr>
      <w:r>
        <w:rPr>
          <w:rFonts w:ascii="Times New Roman" w:hAnsi="Times New Roman"/>
          <w:color w:val="000000"/>
          <w:sz w:val="24"/>
        </w:rPr>
        <w:t>Schedule A – Representations and Warranties Regarding Security Interest SA-1</w:t>
      </w:r>
    </w:p>
    <w:p>
      <w:pPr>
        <w:pStyle w:val="TextBody"/>
        <w:bidi w:val="0"/>
        <w:jc w:val="left"/>
        <w:rPr>
          <w:rFonts w:ascii="Times New Roman" w:hAnsi="Times New Roman"/>
          <w:color w:val="000000"/>
          <w:sz w:val="24"/>
        </w:rPr>
      </w:pPr>
      <w:r>
        <w:rPr>
          <w:rFonts w:ascii="Times New Roman" w:hAnsi="Times New Roman"/>
          <w:color w:val="000000"/>
          <w:sz w:val="24"/>
        </w:rPr>
        <w:t>Schedule B – Eligible Receivable Criteria SB-1</w:t>
      </w:r>
    </w:p>
    <w:p>
      <w:pPr>
        <w:pStyle w:val="TextBody"/>
        <w:bidi w:val="0"/>
        <w:jc w:val="left"/>
        <w:rPr>
          <w:rFonts w:ascii="Times New Roman" w:hAnsi="Times New Roman"/>
          <w:color w:val="000000"/>
          <w:sz w:val="24"/>
        </w:rPr>
      </w:pPr>
      <w:r>
        <w:rPr>
          <w:rFonts w:ascii="Times New Roman" w:hAnsi="Times New Roman"/>
          <w:color w:val="000000"/>
          <w:sz w:val="24"/>
        </w:rPr>
        <w:t>Schedule C – Schedule of Receivables SC-1</w:t>
      </w:r>
    </w:p>
    <w:p>
      <w:pPr>
        <w:pStyle w:val="TextBody"/>
        <w:bidi w:val="0"/>
        <w:jc w:val="left"/>
        <w:rPr>
          <w:rFonts w:ascii="Times New Roman" w:hAnsi="Times New Roman"/>
          <w:sz w:val="20"/>
        </w:rPr>
      </w:pPr>
      <w:r>
        <w:rPr>
          <w:rFonts w:ascii="Times New Roman" w:hAnsi="Times New Roman"/>
          <w:color w:val="000000"/>
          <w:sz w:val="24"/>
        </w:rPr>
        <w:t>Schedule D – Location of Receivable Files</w:t>
      </w:r>
      <w:r>
        <w:rPr>
          <w:rFonts w:ascii="Times New Roman" w:hAnsi="Times New Roman"/>
          <w:color w:val="000000"/>
          <w:sz w:val="20"/>
        </w:rPr>
        <w:t xml:space="preserve"> </w:t>
      </w:r>
      <w:r>
        <w:rPr>
          <w:rFonts w:ascii="Times New Roman" w:hAnsi="Times New Roman"/>
          <w:color w:val="000000"/>
          <w:sz w:val="24"/>
        </w:rPr>
        <w:t>SD-1</w:t>
      </w:r>
    </w:p>
    <w:p>
      <w:pPr>
        <w:pStyle w:val="TextBody"/>
        <w:bidi w:val="0"/>
        <w:jc w:val="left"/>
        <w:rPr>
          <w:rFonts w:ascii="Times New Roman" w:hAnsi="Times New Roman"/>
          <w:sz w:val="20"/>
        </w:rPr>
      </w:pPr>
      <w:r>
        <w:rPr>
          <w:rFonts w:ascii="Times New Roman" w:hAnsi="Times New Roman"/>
          <w:color w:val="000000"/>
          <w:sz w:val="24"/>
        </w:rPr>
        <w:t>Schedule E – [***]</w:t>
      </w:r>
      <w:r>
        <w:rPr>
          <w:rFonts w:ascii="Times New Roman" w:hAnsi="Times New Roman"/>
          <w:color w:val="000000"/>
          <w:sz w:val="20"/>
        </w:rPr>
        <w:t xml:space="preserve"> </w:t>
      </w:r>
      <w:r>
        <w:rPr>
          <w:rFonts w:ascii="Times New Roman" w:hAnsi="Times New Roman"/>
          <w:color w:val="000000"/>
          <w:sz w:val="24"/>
        </w:rPr>
        <w:t>SE-1</w:t>
      </w:r>
    </w:p>
    <w:p>
      <w:pPr>
        <w:pStyle w:val="TextBody"/>
        <w:bidi w:val="0"/>
        <w:jc w:val="left"/>
        <w:rPr/>
      </w:pPr>
      <w:r>
        <w:rPr/>
        <w:t> </w:t>
      </w:r>
    </w:p>
    <w:p>
      <w:pPr>
        <w:pStyle w:val="TextBody"/>
        <w:bidi w:val="0"/>
        <w:spacing w:before="480" w:after="240"/>
        <w:jc w:val="center"/>
        <w:rPr>
          <w:rFonts w:ascii="Times New Roman" w:hAnsi="Times New Roman"/>
          <w:color w:val="000000"/>
          <w:sz w:val="24"/>
        </w:rPr>
      </w:pPr>
      <w:r>
        <w:rPr>
          <w:rFonts w:ascii="Times New Roman" w:hAnsi="Times New Roman"/>
          <w:color w:val="000000"/>
          <w:sz w:val="24"/>
        </w:rPr>
        <w:t>EXHIBITS</w:t>
      </w:r>
    </w:p>
    <w:p>
      <w:pPr>
        <w:pStyle w:val="TextBody"/>
        <w:bidi w:val="0"/>
        <w:jc w:val="left"/>
        <w:rPr>
          <w:rFonts w:ascii="Times New Roman" w:hAnsi="Times New Roman"/>
          <w:color w:val="000000"/>
          <w:sz w:val="24"/>
        </w:rPr>
      </w:pPr>
      <w:r>
        <w:rPr>
          <w:rFonts w:ascii="Times New Roman" w:hAnsi="Times New Roman"/>
          <w:color w:val="000000"/>
          <w:sz w:val="24"/>
        </w:rPr>
        <w:t>Exhibit A – Form of Funding Request A-1</w:t>
      </w:r>
    </w:p>
    <w:p>
      <w:pPr>
        <w:pStyle w:val="TextBody"/>
        <w:bidi w:val="0"/>
        <w:jc w:val="left"/>
        <w:rPr>
          <w:rFonts w:ascii="Times New Roman" w:hAnsi="Times New Roman"/>
          <w:color w:val="000000"/>
          <w:sz w:val="24"/>
        </w:rPr>
      </w:pPr>
      <w:r>
        <w:rPr>
          <w:rFonts w:ascii="Times New Roman" w:hAnsi="Times New Roman"/>
          <w:color w:val="000000"/>
          <w:sz w:val="24"/>
        </w:rPr>
        <w:t>Exhibit B – Form of Note B-1</w:t>
      </w:r>
    </w:p>
    <w:p>
      <w:pPr>
        <w:pStyle w:val="TextBody"/>
        <w:bidi w:val="0"/>
        <w:jc w:val="left"/>
        <w:rPr>
          <w:rFonts w:ascii="Times New Roman" w:hAnsi="Times New Roman"/>
          <w:color w:val="000000"/>
          <w:sz w:val="24"/>
        </w:rPr>
      </w:pPr>
      <w:r>
        <w:rPr>
          <w:rFonts w:ascii="Times New Roman" w:hAnsi="Times New Roman"/>
          <w:color w:val="000000"/>
          <w:sz w:val="24"/>
        </w:rPr>
        <w:t>Exhibit C – Form of Assignment and Acceptance C-1</w:t>
      </w:r>
    </w:p>
    <w:p>
      <w:pPr>
        <w:pStyle w:val="TextBody"/>
        <w:bidi w:val="0"/>
        <w:jc w:val="left"/>
        <w:rPr>
          <w:rFonts w:ascii="Times New Roman" w:hAnsi="Times New Roman"/>
          <w:color w:val="000000"/>
          <w:sz w:val="24"/>
        </w:rPr>
      </w:pPr>
      <w:r>
        <w:rPr>
          <w:rFonts w:ascii="Times New Roman" w:hAnsi="Times New Roman"/>
          <w:color w:val="000000"/>
          <w:sz w:val="24"/>
        </w:rPr>
        <w:t>Exhibit D – Credit and Collection Policy D-1</w:t>
      </w:r>
    </w:p>
    <w:p>
      <w:pPr>
        <w:pStyle w:val="TextBody"/>
        <w:bidi w:val="0"/>
        <w:jc w:val="left"/>
        <w:rPr>
          <w:rFonts w:ascii="Times New Roman" w:hAnsi="Times New Roman"/>
          <w:sz w:val="20"/>
        </w:rPr>
      </w:pPr>
      <w:r>
        <w:rPr>
          <w:rFonts w:ascii="Times New Roman" w:hAnsi="Times New Roman"/>
          <w:color w:val="000000"/>
          <w:sz w:val="24"/>
        </w:rPr>
        <w:t>Exhibit E – Form of Power of Attorney</w:t>
      </w:r>
      <w:r>
        <w:rPr>
          <w:rFonts w:ascii="Times New Roman" w:hAnsi="Times New Roman"/>
          <w:color w:val="000000"/>
          <w:sz w:val="20"/>
        </w:rPr>
        <w:t xml:space="preserve"> </w:t>
      </w:r>
      <w:r>
        <w:rPr>
          <w:rFonts w:ascii="Times New Roman" w:hAnsi="Times New Roman"/>
          <w:color w:val="000000"/>
          <w:sz w:val="24"/>
        </w:rPr>
        <w:t>E-1</w:t>
      </w:r>
    </w:p>
    <w:p>
      <w:pPr>
        <w:pStyle w:val="TextBody"/>
        <w:bidi w:val="0"/>
        <w:jc w:val="left"/>
        <w:rPr>
          <w:rFonts w:ascii="Times New Roman" w:hAnsi="Times New Roman"/>
          <w:sz w:val="20"/>
        </w:rPr>
      </w:pPr>
      <w:r>
        <w:rPr>
          <w:rFonts w:ascii="Times New Roman" w:hAnsi="Times New Roman"/>
          <w:color w:val="000000"/>
          <w:sz w:val="24"/>
        </w:rPr>
        <w:t>Exhibit F – [***]</w:t>
      </w:r>
      <w:r>
        <w:rPr>
          <w:rFonts w:ascii="Times New Roman" w:hAnsi="Times New Roman"/>
          <w:color w:val="000000"/>
          <w:sz w:val="20"/>
        </w:rPr>
        <w:t xml:space="preserve"> </w:t>
      </w:r>
      <w:r>
        <w:rPr>
          <w:rFonts w:ascii="Times New Roman" w:hAnsi="Times New Roman"/>
          <w:color w:val="000000"/>
          <w:sz w:val="24"/>
        </w:rPr>
        <w:t>F-1</w:t>
      </w:r>
    </w:p>
    <w:p>
      <w:pPr>
        <w:pStyle w:val="TextBody"/>
        <w:bidi w:val="0"/>
        <w:jc w:val="left"/>
        <w:rPr>
          <w:rFonts w:ascii="Times New Roman" w:hAnsi="Times New Roman"/>
          <w:color w:val="000000"/>
          <w:sz w:val="24"/>
        </w:rPr>
      </w:pPr>
      <w:r>
        <w:rPr>
          <w:rFonts w:ascii="Times New Roman" w:hAnsi="Times New Roman"/>
          <w:color w:val="000000"/>
          <w:sz w:val="24"/>
        </w:rPr>
        <w:t>Exhibit G – Form of Release of Documents G-1</w:t>
      </w:r>
    </w:p>
    <w:p>
      <w:pPr>
        <w:pStyle w:val="TextBody"/>
        <w:bidi w:val="0"/>
        <w:jc w:val="left"/>
        <w:rPr>
          <w:rFonts w:ascii="Times New Roman" w:hAnsi="Times New Roman"/>
          <w:color w:val="000000"/>
          <w:sz w:val="24"/>
        </w:rPr>
      </w:pPr>
      <w:r>
        <w:rPr>
          <w:rFonts w:ascii="Times New Roman" w:hAnsi="Times New Roman"/>
          <w:color w:val="000000"/>
          <w:sz w:val="24"/>
        </w:rPr>
        <w:t>Exhibit H – Form of Receivable Receipt H-1</w:t>
      </w:r>
    </w:p>
    <w:p>
      <w:pPr>
        <w:pStyle w:val="TextBody"/>
        <w:bidi w:val="0"/>
        <w:jc w:val="left"/>
        <w:rPr>
          <w:rFonts w:ascii="Times New Roman" w:hAnsi="Times New Roman"/>
          <w:sz w:val="20"/>
        </w:rPr>
      </w:pPr>
      <w:r>
        <w:rPr>
          <w:rFonts w:ascii="Times New Roman" w:hAnsi="Times New Roman"/>
          <w:color w:val="000000"/>
          <w:sz w:val="24"/>
        </w:rPr>
        <w:t>Exhibit I – Form of Securitization Release</w:t>
      </w:r>
      <w:r>
        <w:rPr>
          <w:rFonts w:ascii="Times New Roman" w:hAnsi="Times New Roman"/>
          <w:color w:val="000000"/>
          <w:sz w:val="20"/>
        </w:rPr>
        <w:t xml:space="preserve"> </w:t>
      </w:r>
      <w:r>
        <w:rPr>
          <w:rFonts w:ascii="Times New Roman" w:hAnsi="Times New Roman"/>
          <w:color w:val="000000"/>
          <w:sz w:val="24"/>
        </w:rPr>
        <w:t>I-1</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AMENDED AND RESTATED WAREHOUSE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Amended and Restated Warehouse Agreement, dated as of March 29, 2021 (as amended, restated, supplemented or otherwise modified from time to time,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by and among UACC Auto Financing Trust V, a Delaware statutory trust, as borrower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United Auto Credit Corporation, a California corporation (“</w:t>
      </w:r>
      <w:r>
        <w:rPr>
          <w:rFonts w:ascii="Times New Roman" w:hAnsi="Times New Roman"/>
          <w:color w:val="000000"/>
          <w:sz w:val="24"/>
          <w:u w:val="single"/>
        </w:rPr>
        <w:t>UACC</w:t>
      </w:r>
      <w:r>
        <w:rPr>
          <w:rFonts w:ascii="Times New Roman" w:hAnsi="Times New Roman"/>
          <w:color w:val="000000"/>
          <w:sz w:val="20"/>
        </w:rPr>
        <w:t>”</w:t>
      </w:r>
      <w:r>
        <w:rPr>
          <w:rFonts w:ascii="Times New Roman" w:hAnsi="Times New Roman"/>
          <w:color w:val="000000"/>
          <w:sz w:val="24"/>
        </w:rPr>
        <w:t>), as servicer (in such capacity, the “</w:t>
      </w:r>
      <w:r>
        <w:rPr>
          <w:rFonts w:ascii="Times New Roman" w:hAnsi="Times New Roman"/>
          <w:color w:val="000000"/>
          <w:sz w:val="24"/>
          <w:u w:val="single"/>
        </w:rPr>
        <w:t>Servicer</w:t>
      </w:r>
      <w:r>
        <w:rPr>
          <w:rFonts w:ascii="Times New Roman" w:hAnsi="Times New Roman"/>
          <w:color w:val="000000"/>
          <w:sz w:val="20"/>
        </w:rPr>
        <w:t>”</w:t>
      </w:r>
      <w:r>
        <w:rPr>
          <w:rFonts w:ascii="Times New Roman" w:hAnsi="Times New Roman"/>
          <w:color w:val="000000"/>
          <w:sz w:val="24"/>
        </w:rPr>
        <w:t>) and as custodian (in such capacity, the “</w:t>
      </w:r>
      <w:r>
        <w:rPr>
          <w:rFonts w:ascii="Times New Roman" w:hAnsi="Times New Roman"/>
          <w:color w:val="000000"/>
          <w:sz w:val="24"/>
          <w:u w:val="single"/>
        </w:rPr>
        <w:t>Custodian</w:t>
      </w:r>
      <w:r>
        <w:rPr>
          <w:rFonts w:ascii="Times New Roman" w:hAnsi="Times New Roman"/>
          <w:color w:val="000000"/>
          <w:sz w:val="20"/>
        </w:rPr>
        <w:t>”</w:t>
      </w:r>
      <w:r>
        <w:rPr>
          <w:rFonts w:ascii="Times New Roman" w:hAnsi="Times New Roman"/>
          <w:color w:val="000000"/>
          <w:sz w:val="24"/>
        </w:rPr>
        <w:t>), [***] (“[***]”), as backup servicer (in such capacity, the “</w:t>
      </w:r>
      <w:r>
        <w:rPr>
          <w:rFonts w:ascii="Times New Roman" w:hAnsi="Times New Roman"/>
          <w:color w:val="000000"/>
          <w:sz w:val="24"/>
          <w:u w:val="single"/>
        </w:rPr>
        <w:t>Backup Servicer</w:t>
      </w:r>
      <w:r>
        <w:rPr>
          <w:rFonts w:ascii="Times New Roman" w:hAnsi="Times New Roman"/>
          <w:color w:val="000000"/>
          <w:sz w:val="20"/>
        </w:rPr>
        <w:t>”</w:t>
      </w:r>
      <w:r>
        <w:rPr>
          <w:rFonts w:ascii="Times New Roman" w:hAnsi="Times New Roman"/>
          <w:color w:val="000000"/>
          <w:sz w:val="24"/>
        </w:rPr>
        <w:t>), and as account bank (in such capacity, the “</w:t>
      </w:r>
      <w:r>
        <w:rPr>
          <w:rFonts w:ascii="Times New Roman" w:hAnsi="Times New Roman"/>
          <w:color w:val="000000"/>
          <w:sz w:val="24"/>
          <w:u w:val="single"/>
        </w:rPr>
        <w:t>Account Bank</w:t>
      </w:r>
      <w:r>
        <w:rPr>
          <w:rFonts w:ascii="Times New Roman" w:hAnsi="Times New Roman"/>
          <w:color w:val="000000"/>
          <w:sz w:val="20"/>
        </w:rPr>
        <w:t>”</w:t>
      </w:r>
      <w:r>
        <w:rPr>
          <w:rFonts w:ascii="Times New Roman" w:hAnsi="Times New Roman"/>
          <w:color w:val="000000"/>
          <w:sz w:val="24"/>
        </w:rPr>
        <w:t>), the lenders from time to time parties hereto (the “</w:t>
      </w:r>
      <w:r>
        <w:rPr>
          <w:rFonts w:ascii="Times New Roman" w:hAnsi="Times New Roman"/>
          <w:color w:val="000000"/>
          <w:sz w:val="24"/>
          <w:u w:val="single"/>
        </w:rPr>
        <w:t>Lenders</w:t>
      </w:r>
      <w:r>
        <w:rPr>
          <w:rFonts w:ascii="Times New Roman" w:hAnsi="Times New Roman"/>
          <w:color w:val="000000"/>
          <w:sz w:val="20"/>
        </w:rPr>
        <w:t>”</w:t>
      </w:r>
      <w:r>
        <w:rPr>
          <w:rFonts w:ascii="Times New Roman" w:hAnsi="Times New Roman"/>
          <w:color w:val="000000"/>
          <w:sz w:val="24"/>
        </w:rPr>
        <w:t>), and [***], as administrative agent for the Lenders and as agent for the Secured Parties (as defined herein)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and amends and restates in its entirety the Warehouse Agreement, dated as of July 11, 2019 (as amended by Amendment No. 1 thereto dated as of March 11, 2020, Amendment No. 2 thereto dated as of April 27, 2020 and Amendment No. 3 thereto dated as of October 5, 2020, the “</w:t>
      </w:r>
      <w:r>
        <w:rPr>
          <w:rFonts w:ascii="Times New Roman" w:hAnsi="Times New Roman"/>
          <w:color w:val="000000"/>
          <w:sz w:val="24"/>
          <w:u w:val="single"/>
        </w:rPr>
        <w:t>Existing Agreement</w:t>
      </w:r>
      <w:r>
        <w:rPr>
          <w:rFonts w:ascii="Times New Roman" w:hAnsi="Times New Roman"/>
          <w:color w:val="000000"/>
          <w:sz w:val="20"/>
        </w:rPr>
        <w:t>”</w:t>
      </w:r>
      <w:r>
        <w:rPr>
          <w:rFonts w:ascii="Times New Roman" w:hAnsi="Times New Roman"/>
          <w:color w:val="000000"/>
          <w:sz w:val="24"/>
        </w:rPr>
        <w:t>) among the foregoing parties. This Agreement shall not constitute a novation of the obligations and liabilities existing under the Existing Agreement or evidence payment of all or any of such obligations and liabilities.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 I T N E S S E T 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was formed for the purpose of taking assignments of, and holding, various assets, including motor vehicle finance contracts, amounts received on or in respect of such finance contracts and proceeds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has requested that the Lenders make loans to the Borrower from time to time, the proceeds of which will be used to finance the purchase price of motor vehicle retail installment contracts as described herein;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Lenders have agreed to make such loans to the Borrower and [***] has agreed to act as Backup Servicer and Account Bank, in each case upon the terms and subject to the conditions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premises and for other good and valuable consideration, the receipt and sufficiency of which are hereby acknowledged, the parties hereto agree, effective as of the Restatement Closing Date, as follows:</w:t>
      </w:r>
    </w:p>
    <w:p>
      <w:pPr>
        <w:pStyle w:val="TextBody"/>
        <w:bidi w:val="0"/>
        <w:spacing w:before="0" w:after="240"/>
        <w:jc w:val="center"/>
        <w:rPr>
          <w:rFonts w:ascii="Times New Roman" w:hAnsi="Times New Roman"/>
          <w:caps/>
          <w:color w:val="2F5496"/>
          <w:sz w:val="24"/>
        </w:rPr>
      </w:pPr>
      <w:r>
        <w:rPr>
          <w:rFonts w:ascii="Times New Roman" w:hAnsi="Times New Roman"/>
          <w:caps/>
          <w:color w:val="2F5496"/>
          <w:sz w:val="24"/>
        </w:rPr>
        <w:t>ARTICLE 1</w:t>
      </w:r>
    </w:p>
    <w:p>
      <w:pPr>
        <w:pStyle w:val="TextBody"/>
        <w:bidi w:val="0"/>
        <w:spacing w:before="0" w:after="240"/>
        <w:jc w:val="center"/>
        <w:rPr/>
      </w:pPr>
      <w:r>
        <w:rPr>
          <w:rFonts w:ascii="Times New Roman" w:hAnsi="Times New Roman"/>
          <w:b/>
          <w:color w:val="000000"/>
          <w:sz w:val="24"/>
        </w:rPr>
        <w:br/>
      </w:r>
      <w:r>
        <w:rPr>
          <w:rFonts w:ascii="Times New Roman" w:hAnsi="Times New Roman"/>
          <w:color w:val="000000"/>
          <w:sz w:val="24"/>
        </w:rPr>
        <w:t>DEFINITIONS; CONSTRUCTION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1.01.</w:t>
      </w:r>
      <w:r>
        <w:rPr>
          <w:rFonts w:ascii="Times New Roman" w:hAnsi="Times New Roman"/>
          <w:color w:val="000000"/>
          <w:sz w:val="20"/>
          <w:u w:val="single"/>
        </w:rPr>
        <w:t xml:space="preserve"> </w:t>
      </w:r>
      <w:r>
        <w:rPr>
          <w:rFonts w:ascii="Times New Roman" w:hAnsi="Times New Roman"/>
          <w:b w:val="false"/>
          <w:color w:val="000000"/>
          <w:sz w:val="24"/>
          <w:u w:val="single"/>
        </w:rPr>
        <w:t>Definitions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Whenever used herein, unless the context otherwise requires, the following words and phrases shall have the following meanings:</w:t>
      </w:r>
    </w:p>
    <w:p>
      <w:pPr>
        <w:pStyle w:val="TextBody"/>
        <w:bidi w:val="0"/>
        <w:spacing w:before="0" w:after="240"/>
        <w:jc w:val="both"/>
        <w:rPr/>
      </w:pPr>
      <w:r>
        <w:rPr>
          <w:color w:val="000000"/>
        </w:rPr>
        <w:t>“</w:t>
      </w:r>
      <w:r>
        <w:rPr>
          <w:rFonts w:ascii="Times New Roman" w:hAnsi="Times New Roman"/>
          <w:color w:val="000000"/>
          <w:sz w:val="24"/>
          <w:u w:val="single"/>
        </w:rPr>
        <w:t>Account Bank</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Account Bank Fee</w:t>
      </w:r>
      <w:r>
        <w:rPr>
          <w:rFonts w:ascii="Times New Roman" w:hAnsi="Times New Roman"/>
          <w:color w:val="000000"/>
          <w:sz w:val="20"/>
        </w:rPr>
        <w:t xml:space="preserve">” </w:t>
      </w:r>
      <w:r>
        <w:rPr>
          <w:rFonts w:ascii="Times New Roman" w:hAnsi="Times New Roman"/>
          <w:color w:val="000000"/>
          <w:sz w:val="24"/>
        </w:rPr>
        <w:t>means $[***] per month.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Account Collateral</w:t>
      </w:r>
      <w:r>
        <w:rPr>
          <w:rFonts w:ascii="Times New Roman" w:hAnsi="Times New Roman"/>
          <w:color w:val="000000"/>
          <w:sz w:val="20"/>
        </w:rPr>
        <w:t xml:space="preserve">” </w:t>
      </w:r>
      <w:r>
        <w:rPr>
          <w:rFonts w:ascii="Times New Roman" w:hAnsi="Times New Roman"/>
          <w:color w:val="000000"/>
          <w:sz w:val="24"/>
        </w:rPr>
        <w:t>means, with respect to each Account, such Account, together with all cash, securities, financial assets (as defined in Section 8-102(a)(9) of the UCC) and investments and other property from time to time deposited or credited to such Account and all proceeds thereof.</w:t>
      </w:r>
    </w:p>
    <w:p>
      <w:pPr>
        <w:pStyle w:val="TextBody"/>
        <w:bidi w:val="0"/>
        <w:spacing w:before="0" w:after="240"/>
        <w:jc w:val="both"/>
        <w:rPr/>
      </w:pPr>
      <w:r>
        <w:rPr>
          <w:color w:val="000000"/>
        </w:rPr>
        <w:t>“</w:t>
      </w:r>
      <w:r>
        <w:rPr>
          <w:rFonts w:ascii="Times New Roman" w:hAnsi="Times New Roman"/>
          <w:color w:val="000000"/>
          <w:sz w:val="24"/>
          <w:u w:val="single"/>
        </w:rPr>
        <w:t>Account Control Agreement</w:t>
      </w:r>
      <w:r>
        <w:rPr>
          <w:rFonts w:ascii="Times New Roman" w:hAnsi="Times New Roman"/>
          <w:color w:val="000000"/>
          <w:sz w:val="20"/>
        </w:rPr>
        <w:t xml:space="preserve">” </w:t>
      </w:r>
      <w:r>
        <w:rPr>
          <w:rFonts w:ascii="Times New Roman" w:hAnsi="Times New Roman"/>
          <w:color w:val="000000"/>
          <w:sz w:val="24"/>
        </w:rPr>
        <w:t>means the Controlled Accounts Control Agreement relating to the Collection Account and the Reserve Account, dated as of the Closing Date, among the Borrower, the Servicer, the Administrative Agent and the Account Bank.</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Account(s)</w:t>
      </w:r>
      <w:r>
        <w:rPr>
          <w:rFonts w:ascii="Times New Roman" w:hAnsi="Times New Roman"/>
          <w:color w:val="000000"/>
          <w:sz w:val="20"/>
        </w:rPr>
        <w:t xml:space="preserve">” </w:t>
      </w:r>
      <w:r>
        <w:rPr>
          <w:rFonts w:ascii="Times New Roman" w:hAnsi="Times New Roman"/>
          <w:color w:val="000000"/>
          <w:sz w:val="24"/>
        </w:rPr>
        <w:t>means the Collection Account, the Local Bank Account, the Reserve Account and the Hedge Collateral Account.</w:t>
      </w:r>
    </w:p>
    <w:p>
      <w:pPr>
        <w:pStyle w:val="TextBody"/>
        <w:bidi w:val="0"/>
        <w:spacing w:before="0" w:after="240"/>
        <w:jc w:val="both"/>
        <w:rPr/>
      </w:pPr>
      <w:r>
        <w:rPr>
          <w:color w:val="000000"/>
        </w:rPr>
        <w:t>“</w:t>
      </w:r>
      <w:r>
        <w:rPr>
          <w:rFonts w:ascii="Times New Roman" w:hAnsi="Times New Roman"/>
          <w:color w:val="000000"/>
          <w:sz w:val="24"/>
          <w:u w:val="single"/>
        </w:rPr>
        <w:t>Acquired Portfolio Receivables</w:t>
      </w:r>
      <w:r>
        <w:rPr>
          <w:rFonts w:ascii="Times New Roman" w:hAnsi="Times New Roman"/>
          <w:color w:val="000000"/>
          <w:sz w:val="20"/>
        </w:rPr>
        <w:t xml:space="preserve">” </w:t>
      </w:r>
      <w:r>
        <w:rPr>
          <w:rFonts w:ascii="Times New Roman" w:hAnsi="Times New Roman"/>
          <w:color w:val="000000"/>
          <w:sz w:val="24"/>
        </w:rPr>
        <w:t>means Receivables purchased by UACC pursuant to a sale and purchase agreement that is approved by the Administrative Agent. For the avoidance of doubt, Acquired Portfolio Receivables shall include any Receivables that were previously pledged by UACC or any Affiliate thereof to another lender or collateral agent pursuant to another credit facility or to a trustee or collateral agent pursuant to a Securitization; provided, however that Repurchased UACST Receivables shall not constitute “Acquired Portfolio Receivables” for purposes of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Additional Amount</w:t>
      </w:r>
      <w:r>
        <w:rPr>
          <w:rFonts w:ascii="Times New Roman" w:hAnsi="Times New Roman"/>
          <w:color w:val="000000"/>
          <w:sz w:val="20"/>
        </w:rPr>
        <w:t xml:space="preserve">” </w:t>
      </w:r>
      <w:r>
        <w:rPr>
          <w:rFonts w:ascii="Times New Roman" w:hAnsi="Times New Roman"/>
          <w:color w:val="000000"/>
          <w:sz w:val="24"/>
        </w:rPr>
        <w:t>has the meaning given to such term in Section 2.14(a).</w:t>
      </w:r>
    </w:p>
    <w:p>
      <w:pPr>
        <w:pStyle w:val="TextBody"/>
        <w:bidi w:val="0"/>
        <w:spacing w:before="0" w:after="240"/>
        <w:jc w:val="both"/>
        <w:rPr/>
      </w:pPr>
      <w:r>
        <w:rPr>
          <w:color w:val="000000"/>
        </w:rPr>
        <w:t>“</w:t>
      </w:r>
      <w:r>
        <w:rPr>
          <w:rFonts w:ascii="Times New Roman" w:hAnsi="Times New Roman"/>
          <w:color w:val="000000"/>
          <w:sz w:val="24"/>
          <w:u w:val="single"/>
        </w:rPr>
        <w:t>Administrative Agent</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Advance Rate</w:t>
      </w:r>
      <w:r>
        <w:rPr>
          <w:rFonts w:ascii="Times New Roman" w:hAnsi="Times New Roman"/>
          <w:color w:val="000000"/>
          <w:sz w:val="20"/>
        </w:rPr>
        <w:t xml:space="preserve">” </w:t>
      </w:r>
      <w:r>
        <w:rPr>
          <w:rFonts w:ascii="Times New Roman" w:hAnsi="Times New Roman"/>
          <w:color w:val="000000"/>
          <w:sz w:val="24"/>
        </w:rPr>
        <w:t>means, with respect to any day, (i) so long as the Termination Date has not occurred and (a)(1) no Overcollateralization Increase Event has occurred or an Overcollateralization Increase Event has occurred and has been cured and (2) prior to the Commitment Termination Date, with respect to (A) an Acquired Portfolio Receivable, a percentage approved in writing by the Administrative Agent and (B) all Receivables other than an Acquired Portfolio Receivable, [***]% and (b)(1) if only an Overcollateralization Increase Event specified in clause (iii)(b) of the definition thereof has occurred and has not been cured [***]%, or (ii) following the occurrence of the Termination Date, [***]%.</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Advisors</w:t>
      </w:r>
      <w:r>
        <w:rPr>
          <w:rFonts w:ascii="Times New Roman" w:hAnsi="Times New Roman"/>
          <w:color w:val="000000"/>
          <w:sz w:val="20"/>
        </w:rPr>
        <w:t xml:space="preserve">” </w:t>
      </w:r>
      <w:r>
        <w:rPr>
          <w:rFonts w:ascii="Times New Roman" w:hAnsi="Times New Roman"/>
          <w:color w:val="000000"/>
          <w:sz w:val="24"/>
        </w:rPr>
        <w:t>means accountants, attorneys, consultants, advisors, credit enhancers, liquidity providers and Persons similar to the foregoing and the respective directors, officers, employees and managers of each of the foregoing.</w:t>
      </w:r>
    </w:p>
    <w:p>
      <w:pPr>
        <w:pStyle w:val="TextBody"/>
        <w:bidi w:val="0"/>
        <w:spacing w:before="0" w:after="240"/>
        <w:jc w:val="both"/>
        <w:rPr/>
      </w:pPr>
      <w:r>
        <w:rPr>
          <w:color w:val="000000"/>
        </w:rPr>
        <w:t>“</w:t>
      </w:r>
      <w:r>
        <w:rPr>
          <w:rFonts w:ascii="Times New Roman" w:hAnsi="Times New Roman"/>
          <w:color w:val="000000"/>
          <w:sz w:val="24"/>
          <w:u w:val="single"/>
        </w:rPr>
        <w:t>Affected Party</w:t>
      </w:r>
      <w:r>
        <w:rPr>
          <w:rFonts w:ascii="Times New Roman" w:hAnsi="Times New Roman"/>
          <w:color w:val="000000"/>
          <w:sz w:val="20"/>
        </w:rPr>
        <w:t xml:space="preserve">” </w:t>
      </w:r>
      <w:r>
        <w:rPr>
          <w:rFonts w:ascii="Times New Roman" w:hAnsi="Times New Roman"/>
          <w:color w:val="000000"/>
          <w:sz w:val="24"/>
        </w:rPr>
        <w:t>has the meaning given to such term in Section 2.13(a).</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with respect to a Person, any other Person controlling, controlled by or under common control with such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or “controlled” have meanings correlative to the foregoing.</w:t>
      </w:r>
    </w:p>
    <w:p>
      <w:pPr>
        <w:pStyle w:val="TextBody"/>
        <w:bidi w:val="0"/>
        <w:spacing w:before="0" w:after="240"/>
        <w:jc w:val="both"/>
        <w:rPr/>
      </w:pPr>
      <w:r>
        <w:rPr>
          <w:color w:val="000000"/>
        </w:rPr>
        <w:t>“</w:t>
      </w:r>
      <w:r>
        <w:rPr>
          <w:rFonts w:ascii="Times New Roman" w:hAnsi="Times New Roman"/>
          <w:color w:val="000000"/>
          <w:sz w:val="24"/>
          <w:u w:val="single"/>
        </w:rPr>
        <w:t>Aggregate Commitment</w:t>
      </w:r>
      <w:r>
        <w:rPr>
          <w:rFonts w:ascii="Times New Roman" w:hAnsi="Times New Roman"/>
          <w:color w:val="000000"/>
          <w:sz w:val="20"/>
        </w:rPr>
        <w:t xml:space="preserve">” </w:t>
      </w:r>
      <w:r>
        <w:rPr>
          <w:rFonts w:ascii="Times New Roman" w:hAnsi="Times New Roman"/>
          <w:color w:val="000000"/>
          <w:sz w:val="24"/>
        </w:rPr>
        <w:t>means, as of any day, the sum of the Commitments of each Lender.</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Aggregate Net Principal Balance</w:t>
      </w:r>
      <w:r>
        <w:rPr>
          <w:rFonts w:ascii="Times New Roman" w:hAnsi="Times New Roman"/>
          <w:color w:val="000000"/>
          <w:sz w:val="20"/>
        </w:rPr>
        <w:t xml:space="preserve">” </w:t>
      </w:r>
      <w:r>
        <w:rPr>
          <w:rFonts w:ascii="Times New Roman" w:hAnsi="Times New Roman"/>
          <w:color w:val="000000"/>
          <w:sz w:val="24"/>
        </w:rPr>
        <w:t>means, as of any day, (i) the aggregate Net Principal Balance minus (ii) the Excess Concentration Amount.</w:t>
      </w:r>
    </w:p>
    <w:p>
      <w:pPr>
        <w:pStyle w:val="TextBody"/>
        <w:bidi w:val="0"/>
        <w:spacing w:before="0" w:after="240"/>
        <w:jc w:val="both"/>
        <w:rPr/>
      </w:pPr>
      <w:r>
        <w:rPr>
          <w:color w:val="000000"/>
        </w:rPr>
        <w:t>“</w:t>
      </w:r>
      <w:r>
        <w:rPr>
          <w:rFonts w:ascii="Times New Roman" w:hAnsi="Times New Roman"/>
          <w:color w:val="000000"/>
          <w:sz w:val="24"/>
          <w:u w:val="single"/>
        </w:rPr>
        <w:t>Aggregate Unpaids</w:t>
      </w:r>
      <w:r>
        <w:rPr>
          <w:rFonts w:ascii="Times New Roman" w:hAnsi="Times New Roman"/>
          <w:color w:val="000000"/>
          <w:sz w:val="20"/>
        </w:rPr>
        <w:t xml:space="preserve">” </w:t>
      </w:r>
      <w:r>
        <w:rPr>
          <w:rFonts w:ascii="Times New Roman" w:hAnsi="Times New Roman"/>
          <w:color w:val="000000"/>
          <w:sz w:val="24"/>
        </w:rPr>
        <w:t>means, as of any day, an amount equal to the sum of (i) the Loans Outstanding, (ii) all accrued but unpaid Interest and (iii) all Unused Fees and other Obligations owed (whether due or accrued) by the Borrower to the Secured Parties, the Backup Servicer, the Account Bank and the Custodian (if other than UACC) under this Agreement and the other Basic Documents.</w:t>
      </w:r>
    </w:p>
    <w:p>
      <w:pPr>
        <w:pStyle w:val="TextBody"/>
        <w:bidi w:val="0"/>
        <w:spacing w:before="0" w:after="240"/>
        <w:jc w:val="both"/>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Alternate Base Rate</w:t>
      </w:r>
      <w:r>
        <w:rPr>
          <w:rFonts w:ascii="Times New Roman" w:hAnsi="Times New Roman"/>
          <w:color w:val="000000"/>
          <w:sz w:val="20"/>
        </w:rPr>
        <w:t xml:space="preserve">” </w:t>
      </w:r>
      <w:r>
        <w:rPr>
          <w:rFonts w:ascii="Times New Roman" w:hAnsi="Times New Roman"/>
          <w:color w:val="000000"/>
          <w:sz w:val="24"/>
        </w:rPr>
        <w:t xml:space="preserve">means, for any day, a rate per annum equal to the greatest of (i) </w:t>
      </w:r>
      <w:r>
        <w:rPr>
          <w:rFonts w:ascii="Times New Roman" w:hAnsi="Times New Roman"/>
          <w:b/>
          <w:color w:val="000000"/>
          <w:sz w:val="24"/>
        </w:rPr>
        <w:t>[***]</w:t>
      </w:r>
      <w:r>
        <w:rPr>
          <w:rFonts w:ascii="Times New Roman" w:hAnsi="Times New Roman"/>
          <w:color w:val="000000"/>
          <w:sz w:val="24"/>
        </w:rPr>
        <w:t xml:space="preserve">, (ii) the NYFRB Rate in effect on such day plus [***]% and (iii) the applicable Term SOFR Reference Rate on the Reference Date with respect to such day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 Any change in the Alternate Base Rate due to a change in the Prime Rate, the NYFRB Rate or the applicable Term SOFR Reference Rate shall be effective from and including the effective date of such change in the Prime Rate, the NYFRB Rate or the Term SOFR Reference Rate, respectively. If the Alternate Base Rate is being used as an alternate rate of interest pursuant to Section 2.11 (for the avoidance of doubt, only until the earlier to occur of (a) any amendment relating to the Alternate Base Rate becoming effective pursuant to Section 14.01 and (b) the occurrence of a Benchmark Transition Date with respect to the then-applicable Benchmark), then the Alternate Base Rate shall be the greater of the rate determined pursuant to clauses (i) and (ii) above and shall be determined without reference to clause (iii) above;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Alternate Base Rate as so determined would be less than the Floor, such Alternate Base Rate will be deemed to be the Floor for the purposes of this Agreement and the other Basic Documents.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Alternate Base Rate Loan</w:t>
      </w:r>
      <w:r>
        <w:rPr>
          <w:rFonts w:ascii="Times New Roman" w:hAnsi="Times New Roman"/>
          <w:color w:val="000000"/>
          <w:sz w:val="20"/>
        </w:rPr>
        <w:t xml:space="preserve">” </w:t>
      </w:r>
      <w:r>
        <w:rPr>
          <w:rFonts w:ascii="Times New Roman" w:hAnsi="Times New Roman"/>
          <w:color w:val="000000"/>
          <w:sz w:val="24"/>
        </w:rPr>
        <w:t>means a Loan that bears interest based on the Alternate Base Rate.</w:t>
      </w:r>
    </w:p>
    <w:p>
      <w:pPr>
        <w:pStyle w:val="TextBody"/>
        <w:bidi w:val="0"/>
        <w:spacing w:before="0" w:after="240"/>
        <w:jc w:val="both"/>
        <w:rPr/>
      </w:pPr>
      <w:r>
        <w:rPr>
          <w:color w:val="000000"/>
        </w:rPr>
        <w:t>“</w:t>
      </w:r>
      <w:r>
        <w:rPr>
          <w:rFonts w:ascii="Times New Roman" w:hAnsi="Times New Roman"/>
          <w:color w:val="000000"/>
          <w:sz w:val="24"/>
          <w:u w:val="single"/>
        </w:rPr>
        <w:t>Amendment No. 10 Closing Date</w:t>
      </w:r>
      <w:r>
        <w:rPr>
          <w:rFonts w:ascii="Times New Roman" w:hAnsi="Times New Roman"/>
          <w:color w:val="000000"/>
          <w:sz w:val="20"/>
        </w:rPr>
        <w:t xml:space="preserve">” </w:t>
      </w:r>
      <w:r>
        <w:rPr>
          <w:rFonts w:ascii="Times New Roman" w:hAnsi="Times New Roman"/>
          <w:color w:val="000000"/>
          <w:sz w:val="24"/>
        </w:rPr>
        <w:t>means May 29, 2026.</w:t>
      </w:r>
    </w:p>
    <w:p>
      <w:pPr>
        <w:pStyle w:val="TextBody"/>
        <w:bidi w:val="0"/>
        <w:spacing w:before="0" w:after="240"/>
        <w:jc w:val="both"/>
        <w:rPr/>
      </w:pPr>
      <w:r>
        <w:rPr>
          <w:color w:val="000000"/>
        </w:rPr>
        <w:t>“</w:t>
      </w:r>
      <w:r>
        <w:rPr>
          <w:rFonts w:ascii="Times New Roman" w:hAnsi="Times New Roman"/>
          <w:color w:val="000000"/>
          <w:sz w:val="24"/>
          <w:u w:val="single"/>
        </w:rPr>
        <w:t>AML Law</w:t>
      </w:r>
      <w:r>
        <w:rPr>
          <w:rFonts w:ascii="Times New Roman" w:hAnsi="Times New Roman"/>
          <w:color w:val="000000"/>
          <w:sz w:val="20"/>
        </w:rPr>
        <w:t xml:space="preserve">” </w:t>
      </w:r>
      <w:r>
        <w:rPr>
          <w:rFonts w:ascii="Times New Roman" w:hAnsi="Times New Roman"/>
          <w:color w:val="000000"/>
          <w:sz w:val="24"/>
        </w:rPr>
        <w:t>has the meaning given to such term in Section 14.12.</w:t>
      </w:r>
    </w:p>
    <w:p>
      <w:pPr>
        <w:pStyle w:val="TextBody"/>
        <w:bidi w:val="0"/>
        <w:spacing w:before="0" w:after="240"/>
        <w:jc w:val="both"/>
        <w:rPr/>
      </w:pPr>
      <w:r>
        <w:rPr>
          <w:color w:val="000000"/>
        </w:rPr>
        <w:t>“</w:t>
      </w:r>
      <w:r>
        <w:rPr>
          <w:rFonts w:ascii="Times New Roman" w:hAnsi="Times New Roman"/>
          <w:color w:val="000000"/>
          <w:sz w:val="24"/>
          <w:u w:val="single"/>
        </w:rPr>
        <w:t>Amortization Period</w:t>
      </w:r>
      <w:r>
        <w:rPr>
          <w:rFonts w:ascii="Times New Roman" w:hAnsi="Times New Roman"/>
          <w:color w:val="000000"/>
          <w:sz w:val="20"/>
        </w:rPr>
        <w:t xml:space="preserve">” </w:t>
      </w:r>
      <w:r>
        <w:rPr>
          <w:rFonts w:ascii="Times New Roman" w:hAnsi="Times New Roman"/>
          <w:color w:val="000000"/>
          <w:sz w:val="24"/>
        </w:rPr>
        <w:t>means the period commencing on the earlier to occur of (i) the Commitment Termination Date and (ii) the Termination Date, and ending on the Facility Termination Date.</w:t>
      </w:r>
    </w:p>
    <w:p>
      <w:pPr>
        <w:pStyle w:val="TextBody"/>
        <w:bidi w:val="0"/>
        <w:spacing w:before="0" w:after="240"/>
        <w:jc w:val="both"/>
        <w:rPr/>
      </w:pPr>
      <w:r>
        <w:rPr>
          <w:color w:val="000000"/>
        </w:rPr>
        <w:t>“</w:t>
      </w:r>
      <w:r>
        <w:rPr>
          <w:rFonts w:ascii="Times New Roman" w:hAnsi="Times New Roman"/>
          <w:color w:val="000000"/>
          <w:sz w:val="24"/>
          <w:u w:val="single"/>
        </w:rPr>
        <w:t>Amount Financed</w:t>
      </w:r>
      <w:r>
        <w:rPr>
          <w:rFonts w:ascii="Times New Roman" w:hAnsi="Times New Roman"/>
          <w:color w:val="000000"/>
          <w:sz w:val="20"/>
        </w:rPr>
        <w:t xml:space="preserve">” </w:t>
      </w:r>
      <w:r>
        <w:rPr>
          <w:rFonts w:ascii="Times New Roman" w:hAnsi="Times New Roman"/>
          <w:color w:val="000000"/>
          <w:sz w:val="24"/>
        </w:rPr>
        <w:t>means, with respect to a Receivable, the aggregate amount advanced under such Receivable toward the purchase price of the related Financed Vehicle and any related costs, including amounts advanced in respect of accessories, insurance premiums, service and warranty contracts, other items customarily financed as part of a Contract and related costs.</w:t>
      </w:r>
    </w:p>
    <w:p>
      <w:pPr>
        <w:pStyle w:val="TextBody"/>
        <w:bidi w:val="0"/>
        <w:spacing w:before="0" w:after="240"/>
        <w:jc w:val="both"/>
        <w:rPr/>
      </w:pPr>
      <w:r>
        <w:rPr>
          <w:color w:val="000000"/>
        </w:rPr>
        <w:t>“</w:t>
      </w:r>
      <w:r>
        <w:rPr>
          <w:rFonts w:ascii="Times New Roman" w:hAnsi="Times New Roman"/>
          <w:color w:val="000000"/>
          <w:sz w:val="24"/>
          <w:u w:val="single"/>
        </w:rPr>
        <w:t>Annual Percentage Rate</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APR</w:t>
      </w:r>
      <w:r>
        <w:rPr>
          <w:rFonts w:ascii="Times New Roman" w:hAnsi="Times New Roman"/>
          <w:color w:val="000000"/>
          <w:sz w:val="20"/>
        </w:rPr>
        <w:t xml:space="preserve">” </w:t>
      </w:r>
      <w:r>
        <w:rPr>
          <w:rFonts w:ascii="Times New Roman" w:hAnsi="Times New Roman"/>
          <w:color w:val="000000"/>
          <w:sz w:val="24"/>
        </w:rPr>
        <w:t>means, with respect to a Receivable, the rate per annum of finance charges stated in such Receivable as the “annual percentage rate” (within the meaning of the Federal Truth-in-Lending Act). If, after the applicable Funding Date, the rate per annum with respect to a Receivable as of such Funding Date is reduced (i) as a result of an Insolvency Proceeding involving the related Obligor or (ii) pursuant to the Servicemembers Civil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Relief Act or similar State law or any other Applicable Law, “Annual Percentage Rate” or “APR” shall refer to such reduced rate.</w:t>
      </w:r>
    </w:p>
    <w:p>
      <w:pPr>
        <w:pStyle w:val="TextBody"/>
        <w:bidi w:val="0"/>
        <w:spacing w:before="0" w:after="240"/>
        <w:jc w:val="both"/>
        <w:rPr/>
      </w:pPr>
      <w:r>
        <w:rPr>
          <w:color w:val="000000"/>
        </w:rPr>
        <w:t>“</w:t>
      </w:r>
      <w:r>
        <w:rPr>
          <w:rFonts w:ascii="Times New Roman" w:hAnsi="Times New Roman"/>
          <w:color w:val="000000"/>
          <w:sz w:val="24"/>
          <w:u w:val="single"/>
        </w:rPr>
        <w:t>Annualized Default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product of (i) 12 and (ii) the percentage equivalent of a fraction, (a) the numerator of which equals the aggregate Principal Balance of all Receivables that became Defaulted Receivables during such Collection Period and (b) the denominator of which equals the aggregate Principal Balance of all Receivables as of the related Determination Date.</w:t>
      </w:r>
    </w:p>
    <w:p>
      <w:pPr>
        <w:pStyle w:val="TextBody"/>
        <w:bidi w:val="0"/>
        <w:spacing w:before="0" w:after="240"/>
        <w:jc w:val="both"/>
        <w:rPr/>
      </w:pPr>
      <w:r>
        <w:rPr>
          <w:color w:val="000000"/>
        </w:rPr>
        <w:t>“</w:t>
      </w:r>
      <w:r>
        <w:rPr>
          <w:rFonts w:ascii="Times New Roman" w:hAnsi="Times New Roman"/>
          <w:color w:val="000000"/>
          <w:sz w:val="24"/>
          <w:u w:val="single"/>
        </w:rPr>
        <w:t>Annualized Net Loss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product of (i) 12 and (ii) the percentage equivalent of a fraction, (a) the numerator of which equals the aggregate Net Losses for such Collection Period and (b) the denominator of which equals the aggregate Principal Balance of all Receivables as of the related Determination Date.</w:t>
      </w:r>
    </w:p>
    <w:p>
      <w:pPr>
        <w:pStyle w:val="TextBody"/>
        <w:bidi w:val="0"/>
        <w:spacing w:before="0" w:after="240"/>
        <w:jc w:val="both"/>
        <w:rPr/>
      </w:pPr>
      <w:r>
        <w:rPr>
          <w:color w:val="000000"/>
        </w:rPr>
        <w:t>“</w:t>
      </w:r>
      <w:r>
        <w:rPr>
          <w:rFonts w:ascii="Times New Roman" w:hAnsi="Times New Roman"/>
          <w:color w:val="000000"/>
          <w:sz w:val="24"/>
          <w:u w:val="single"/>
        </w:rPr>
        <w:t>Applicable Law</w:t>
      </w:r>
      <w:r>
        <w:rPr>
          <w:rFonts w:ascii="Times New Roman" w:hAnsi="Times New Roman"/>
          <w:color w:val="000000"/>
          <w:sz w:val="20"/>
        </w:rPr>
        <w:t xml:space="preserve">” </w:t>
      </w:r>
      <w:r>
        <w:rPr>
          <w:rFonts w:ascii="Times New Roman" w:hAnsi="Times New Roman"/>
          <w:color w:val="000000"/>
          <w:sz w:val="24"/>
        </w:rPr>
        <w:t>means, with respect to any Person, all existing and future applicable laws, rules, regulations (including proposed, temporary and final income tax regulations), statutes, treaties, codes, ordinances, permits, certificates, orders and licenses of and interpretations by any Governmental Authority (including usury laws, the Federal Truth in Lending Act, Regulation Z and Regulation B of the Consumer Financial Protection Bureau, the Securities Act, including Regulation AB, and the Exchange Act), and applicable judgments, decrees, injunctions, writs, orders or line actions of any court, arbitrator or other administrative, judicial or quasi-judicial tribunal or agency of competent jurisdiction.</w:t>
      </w:r>
    </w:p>
    <w:p>
      <w:pPr>
        <w:pStyle w:val="TextBody"/>
        <w:bidi w:val="0"/>
        <w:spacing w:before="0" w:after="240"/>
        <w:jc w:val="both"/>
        <w:rPr/>
      </w:pPr>
      <w:r>
        <w:rPr>
          <w:color w:val="000000"/>
        </w:rPr>
        <w:t>“</w:t>
      </w:r>
      <w:r>
        <w:rPr>
          <w:rFonts w:ascii="Times New Roman" w:hAnsi="Times New Roman"/>
          <w:color w:val="000000"/>
          <w:sz w:val="24"/>
          <w:u w:val="single"/>
        </w:rPr>
        <w:t>Applicable Margin</w:t>
      </w:r>
      <w:r>
        <w:rPr>
          <w:rFonts w:ascii="Times New Roman" w:hAnsi="Times New Roman"/>
          <w:color w:val="000000"/>
          <w:sz w:val="20"/>
        </w:rPr>
        <w:t xml:space="preserve">” </w:t>
      </w:r>
      <w:r>
        <w:rPr>
          <w:rFonts w:ascii="Times New Roman" w:hAnsi="Times New Roman"/>
          <w:color w:val="000000"/>
          <w:sz w:val="24"/>
        </w:rPr>
        <w:t>has the meaning given to such term in the Fee Letter.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Assignment and Acceptance</w:t>
      </w:r>
      <w:r>
        <w:rPr>
          <w:rFonts w:ascii="Times New Roman" w:hAnsi="Times New Roman"/>
          <w:color w:val="000000"/>
          <w:sz w:val="20"/>
        </w:rPr>
        <w:t xml:space="preserve">” </w:t>
      </w:r>
      <w:r>
        <w:rPr>
          <w:rFonts w:ascii="Times New Roman" w:hAnsi="Times New Roman"/>
          <w:color w:val="000000"/>
          <w:sz w:val="24"/>
        </w:rPr>
        <w:t>means an assignment and acceptance agreement between a Lender and an Eligible Assignee, in substantially the form of Exhibit C hereto.</w:t>
      </w:r>
    </w:p>
    <w:p>
      <w:pPr>
        <w:pStyle w:val="TextBody"/>
        <w:bidi w:val="0"/>
        <w:spacing w:before="0" w:after="240"/>
        <w:jc w:val="both"/>
        <w:rPr/>
      </w:pPr>
      <w:r>
        <w:rPr>
          <w:color w:val="000000"/>
        </w:rPr>
        <w:t>“</w:t>
      </w:r>
      <w:r>
        <w:rPr>
          <w:rFonts w:ascii="Times New Roman" w:hAnsi="Times New Roman"/>
          <w:color w:val="000000"/>
          <w:sz w:val="24"/>
          <w:u w:val="single"/>
        </w:rPr>
        <w:t>Authoritative Copy</w:t>
      </w:r>
      <w:r>
        <w:rPr>
          <w:rFonts w:ascii="Times New Roman" w:hAnsi="Times New Roman"/>
          <w:color w:val="000000"/>
          <w:sz w:val="20"/>
        </w:rPr>
        <w:t xml:space="preserve">” </w:t>
      </w:r>
      <w:r>
        <w:rPr>
          <w:rFonts w:ascii="Times New Roman" w:hAnsi="Times New Roman"/>
          <w:color w:val="000000"/>
          <w:sz w:val="24"/>
        </w:rPr>
        <w:t>means, with respect to any Electronic Contract, a copy of such Contract that is unique, identifiable and, except as otherwise provided in Section 9-105 of the UCC, unalterable, and is marked “original” or has no watermark or other marking that would indicate that it is a “copy” or “duplicate” or not an original or not an “authoritative” copy.</w:t>
      </w:r>
    </w:p>
    <w:p>
      <w:pPr>
        <w:pStyle w:val="TextBody"/>
        <w:bidi w:val="0"/>
        <w:spacing w:before="0" w:after="240"/>
        <w:jc w:val="both"/>
        <w:rPr/>
      </w:pPr>
      <w:r>
        <w:rPr>
          <w:color w:val="000000"/>
        </w:rPr>
        <w:t>“</w:t>
      </w:r>
      <w:r>
        <w:rPr>
          <w:rFonts w:ascii="Times New Roman" w:hAnsi="Times New Roman"/>
          <w:color w:val="000000"/>
          <w:sz w:val="24"/>
          <w:u w:val="single"/>
        </w:rPr>
        <w:t>Authorized Officer</w:t>
      </w:r>
      <w:r>
        <w:rPr>
          <w:rFonts w:ascii="Times New Roman" w:hAnsi="Times New Roman"/>
          <w:color w:val="000000"/>
          <w:sz w:val="20"/>
        </w:rPr>
        <w:t xml:space="preserve">” </w:t>
      </w:r>
      <w:r>
        <w:rPr>
          <w:rFonts w:ascii="Times New Roman" w:hAnsi="Times New Roman"/>
          <w:color w:val="000000"/>
          <w:sz w:val="24"/>
        </w:rPr>
        <w:t>means, with respect to any Person other than a natural person, any officer of such Person, including any president, vice president, executive vice president, assistant vice president, treasurer, assistant treasurer, secretary or assistant secretary or any other officer performing functions similar to those performed by such officers.</w:t>
      </w:r>
    </w:p>
    <w:p>
      <w:pPr>
        <w:pStyle w:val="TextBody"/>
        <w:bidi w:val="0"/>
        <w:spacing w:before="0" w:after="240"/>
        <w:jc w:val="both"/>
        <w:rPr/>
      </w:pPr>
      <w:r>
        <w:rPr>
          <w:color w:val="000000"/>
        </w:rPr>
        <w:t>“</w:t>
      </w:r>
      <w:r>
        <w:rPr>
          <w:rFonts w:ascii="Times New Roman" w:hAnsi="Times New Roman"/>
          <w:color w:val="000000"/>
          <w:sz w:val="24"/>
          <w:u w:val="single"/>
        </w:rPr>
        <w:t>Authorized Representative</w:t>
      </w:r>
      <w:r>
        <w:rPr>
          <w:rFonts w:ascii="Times New Roman" w:hAnsi="Times New Roman"/>
          <w:color w:val="000000"/>
          <w:sz w:val="20"/>
        </w:rPr>
        <w:t xml:space="preserve">” </w:t>
      </w:r>
      <w:r>
        <w:rPr>
          <w:rFonts w:ascii="Times New Roman" w:hAnsi="Times New Roman"/>
          <w:color w:val="000000"/>
          <w:sz w:val="24"/>
        </w:rPr>
        <w:t>means, with respect to the Borrower, the president or any executive vice president of UACC, as attorney-in-fact for the Borrower.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Available Amount</w:t>
      </w:r>
      <w:r>
        <w:rPr>
          <w:rFonts w:ascii="Times New Roman" w:hAnsi="Times New Roman"/>
          <w:color w:val="000000"/>
          <w:sz w:val="20"/>
        </w:rPr>
        <w:t xml:space="preserve">” </w:t>
      </w:r>
      <w:r>
        <w:rPr>
          <w:rFonts w:ascii="Times New Roman" w:hAnsi="Times New Roman"/>
          <w:color w:val="000000"/>
          <w:sz w:val="24"/>
        </w:rPr>
        <w:t>means, as of any day, the positive amount, if any, by which the Facility Amount exceeds the Loans Outstanding on such day.</w:t>
      </w:r>
    </w:p>
    <w:p>
      <w:pPr>
        <w:pStyle w:val="TextBody"/>
        <w:bidi w:val="0"/>
        <w:spacing w:before="0" w:after="240"/>
        <w:jc w:val="both"/>
        <w:rPr/>
      </w:pPr>
      <w:r>
        <w:rPr>
          <w:color w:val="000000"/>
        </w:rPr>
        <w:t>“</w:t>
      </w:r>
      <w:r>
        <w:rPr>
          <w:rFonts w:ascii="Times New Roman" w:hAnsi="Times New Roman"/>
          <w:color w:val="000000"/>
          <w:sz w:val="24"/>
          <w:u w:val="single"/>
        </w:rPr>
        <w:t>Available Funds</w:t>
      </w:r>
      <w:r>
        <w:rPr>
          <w:rFonts w:ascii="Times New Roman" w:hAnsi="Times New Roman"/>
          <w:color w:val="000000"/>
          <w:sz w:val="20"/>
        </w:rPr>
        <w:t xml:space="preserve">” </w:t>
      </w:r>
      <w:r>
        <w:rPr>
          <w:rFonts w:ascii="Times New Roman" w:hAnsi="Times New Roman"/>
          <w:color w:val="000000"/>
          <w:sz w:val="24"/>
        </w:rPr>
        <w:t>means, for any Payment Date and the related Collection Period, the sum of (i) Collections on deposit in the Collection Account, to the extent received during or in respect of the related Collection Period, (ii) any Reserve Account Withdrawal Amount, (iii) any Monthly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Accrued Interest Payment Amount made by UACC pursuant to Section 6.04(o) and (iv) investments earnings pursuant to Section 2.11(f) in excess of the Reserve Account Required Amount described in Section 2.11(f).</w:t>
      </w:r>
    </w:p>
    <w:p>
      <w:pPr>
        <w:pStyle w:val="TextBody"/>
        <w:bidi w:val="0"/>
        <w:spacing w:before="0" w:after="240"/>
        <w:jc w:val="both"/>
        <w:rPr/>
      </w:pPr>
      <w:r>
        <w:rPr>
          <w:color w:val="000000"/>
        </w:rPr>
        <w:t>“</w:t>
      </w:r>
      <w:r>
        <w:rPr>
          <w:rFonts w:ascii="Times New Roman" w:hAnsi="Times New Roman"/>
          <w:color w:val="000000"/>
          <w:sz w:val="24"/>
          <w:u w:val="single"/>
        </w:rPr>
        <w:t>Available Funds Shortfall</w:t>
      </w:r>
      <w:r>
        <w:rPr>
          <w:rFonts w:ascii="Times New Roman" w:hAnsi="Times New Roman"/>
          <w:color w:val="000000"/>
          <w:sz w:val="20"/>
        </w:rPr>
        <w:t xml:space="preserve">” </w:t>
      </w:r>
      <w:r>
        <w:rPr>
          <w:rFonts w:ascii="Times New Roman" w:hAnsi="Times New Roman"/>
          <w:color w:val="000000"/>
          <w:sz w:val="24"/>
        </w:rPr>
        <w:t>means, for any Payment Date and the related Collection Period, the positive excess, if any, of (i) the amount necessary to make all distributions required to be made pursuant to clauses (i) through (v) of Section 2.08 over (ii) Available Funds (without taking into account any Reserve Account Withdrawal Amount).</w:t>
      </w:r>
    </w:p>
    <w:p>
      <w:pPr>
        <w:pStyle w:val="TextBody"/>
        <w:bidi w:val="0"/>
        <w:spacing w:before="0" w:after="240"/>
        <w:jc w:val="both"/>
        <w:rPr/>
      </w:pPr>
      <w:r>
        <w:rPr>
          <w:color w:val="000000"/>
        </w:rPr>
        <w:t>“</w:t>
      </w:r>
      <w:r>
        <w:rPr>
          <w:rFonts w:ascii="Times New Roman" w:hAnsi="Times New Roman"/>
          <w:color w:val="000000"/>
          <w:sz w:val="24"/>
          <w:u w:val="single"/>
        </w:rPr>
        <w:t>Available Liquidity</w:t>
      </w:r>
      <w:r>
        <w:rPr>
          <w:rFonts w:ascii="Times New Roman" w:hAnsi="Times New Roman"/>
          <w:color w:val="000000"/>
          <w:sz w:val="20"/>
        </w:rPr>
        <w:t xml:space="preserve">” </w:t>
      </w:r>
      <w:r>
        <w:rPr>
          <w:rFonts w:ascii="Times New Roman" w:hAnsi="Times New Roman"/>
          <w:color w:val="000000"/>
          <w:sz w:val="24"/>
        </w:rPr>
        <w:t>means, as of any date of determination, the sum of (i) unrestricted cash and Cash Equivalents of the Parent and (ii) undrawn committed availability under each of the Mudrick Capital Facility and the Senior Secured Delayed Draw Convertible Note due 2032, in each case, to the extent not subject to any Lien or other restriction.</w:t>
      </w:r>
    </w:p>
    <w:p>
      <w:pPr>
        <w:pStyle w:val="TextBody"/>
        <w:bidi w:val="0"/>
        <w:spacing w:before="0" w:after="240"/>
        <w:jc w:val="both"/>
        <w:rPr/>
      </w:pPr>
      <w:r>
        <w:rPr>
          <w:color w:val="000000"/>
        </w:rPr>
        <w:t>“</w:t>
      </w:r>
      <w:r>
        <w:rPr>
          <w:rFonts w:ascii="Times New Roman" w:hAnsi="Times New Roman"/>
          <w:color w:val="000000"/>
          <w:sz w:val="24"/>
          <w:u w:val="single"/>
        </w:rPr>
        <w:t>Available Tenor</w:t>
      </w:r>
      <w:r>
        <w:rPr>
          <w:rFonts w:ascii="Times New Roman" w:hAnsi="Times New Roman"/>
          <w:color w:val="000000"/>
          <w:sz w:val="20"/>
        </w:rPr>
        <w:t xml:space="preserve">” </w:t>
      </w:r>
      <w:r>
        <w:rPr>
          <w:rFonts w:ascii="Times New Roman" w:hAnsi="Times New Roman"/>
          <w:color w:val="000000"/>
          <w:sz w:val="24"/>
        </w:rPr>
        <w:t>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2.18(d).</w:t>
      </w:r>
    </w:p>
    <w:p>
      <w:pPr>
        <w:pStyle w:val="TextBody"/>
        <w:bidi w:val="0"/>
        <w:spacing w:before="0" w:after="240"/>
        <w:jc w:val="both"/>
        <w:rPr/>
      </w:pPr>
      <w:r>
        <w:rPr>
          <w:color w:val="000000"/>
        </w:rPr>
        <w:t>“</w:t>
      </w:r>
      <w:r>
        <w:rPr>
          <w:rFonts w:ascii="Times New Roman" w:hAnsi="Times New Roman"/>
          <w:color w:val="000000"/>
          <w:sz w:val="24"/>
          <w:u w:val="single"/>
        </w:rPr>
        <w:t>Backup Servicer</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Backup Servicer Termination Notice</w:t>
      </w:r>
      <w:r>
        <w:rPr>
          <w:rFonts w:ascii="Times New Roman" w:hAnsi="Times New Roman"/>
          <w:color w:val="000000"/>
          <w:sz w:val="20"/>
        </w:rPr>
        <w:t xml:space="preserve">” </w:t>
      </w:r>
      <w:r>
        <w:rPr>
          <w:rFonts w:ascii="Times New Roman" w:hAnsi="Times New Roman"/>
          <w:color w:val="000000"/>
          <w:sz w:val="24"/>
        </w:rPr>
        <w:t>has the meaning given to such term in Section 8.04.</w:t>
      </w:r>
    </w:p>
    <w:p>
      <w:pPr>
        <w:pStyle w:val="TextBody"/>
        <w:bidi w:val="0"/>
        <w:spacing w:before="0" w:after="240"/>
        <w:jc w:val="both"/>
        <w:rPr/>
      </w:pPr>
      <w:r>
        <w:rPr>
          <w:color w:val="000000"/>
        </w:rPr>
        <w:t>“</w:t>
      </w:r>
      <w:r>
        <w:rPr>
          <w:rFonts w:ascii="Times New Roman" w:hAnsi="Times New Roman"/>
          <w:color w:val="000000"/>
          <w:sz w:val="24"/>
          <w:u w:val="single"/>
        </w:rPr>
        <w:t>Backup Servicing Fee</w:t>
      </w:r>
      <w:r>
        <w:rPr>
          <w:rFonts w:ascii="Times New Roman" w:hAnsi="Times New Roman"/>
          <w:color w:val="000000"/>
          <w:sz w:val="20"/>
        </w:rPr>
        <w:t xml:space="preserve">” </w:t>
      </w:r>
      <w:r>
        <w:rPr>
          <w:rFonts w:ascii="Times New Roman" w:hAnsi="Times New Roman"/>
          <w:color w:val="000000"/>
          <w:sz w:val="24"/>
        </w:rPr>
        <w:t>means the fee payable to the Backup Servicer on each Payment Date in accordance with Section 2.12(b) in an amount equal to $</w:t>
      </w:r>
      <w:r>
        <w:rPr>
          <w:rFonts w:ascii="Times New Roman" w:hAnsi="Times New Roman"/>
          <w:b/>
          <w:color w:val="000000"/>
          <w:sz w:val="24"/>
        </w:rPr>
        <w:t xml:space="preserve">[***] </w:t>
      </w:r>
      <w:r>
        <w:rPr>
          <w:rFonts w:ascii="Times New Roman" w:hAnsi="Times New Roman"/>
          <w:color w:val="000000"/>
          <w:sz w:val="24"/>
        </w:rPr>
        <w:t>per month.</w:t>
      </w:r>
    </w:p>
    <w:p>
      <w:pPr>
        <w:pStyle w:val="TextBody"/>
        <w:bidi w:val="0"/>
        <w:spacing w:before="0" w:after="240"/>
        <w:jc w:val="both"/>
        <w:rPr/>
      </w:pPr>
      <w:r>
        <w:rPr>
          <w:color w:val="000000"/>
        </w:rPr>
        <w:t>“</w:t>
      </w:r>
      <w:r>
        <w:rPr>
          <w:rFonts w:ascii="Times New Roman" w:hAnsi="Times New Roman"/>
          <w:color w:val="000000"/>
          <w:sz w:val="24"/>
          <w:u w:val="single"/>
        </w:rPr>
        <w:t>Bankruptcy Code</w:t>
      </w:r>
      <w:r>
        <w:rPr>
          <w:rFonts w:ascii="Times New Roman" w:hAnsi="Times New Roman"/>
          <w:color w:val="000000"/>
          <w:sz w:val="20"/>
        </w:rPr>
        <w:t xml:space="preserve">” </w:t>
      </w:r>
      <w:r>
        <w:rPr>
          <w:rFonts w:ascii="Times New Roman" w:hAnsi="Times New Roman"/>
          <w:color w:val="000000"/>
          <w:sz w:val="24"/>
        </w:rPr>
        <w:t>means the United States Bankruptcy Code (Title 11 of the United States Code).</w:t>
      </w:r>
    </w:p>
    <w:p>
      <w:pPr>
        <w:pStyle w:val="TextBody"/>
        <w:bidi w:val="0"/>
        <w:spacing w:before="0" w:after="240"/>
        <w:jc w:val="both"/>
        <w:rPr/>
      </w:pPr>
      <w:r>
        <w:rPr>
          <w:color w:val="000000"/>
        </w:rPr>
        <w:t>“</w:t>
      </w:r>
      <w:r>
        <w:rPr>
          <w:rFonts w:ascii="Times New Roman" w:hAnsi="Times New Roman"/>
          <w:color w:val="000000"/>
          <w:sz w:val="24"/>
          <w:u w:val="single"/>
        </w:rPr>
        <w:t>Basel II</w:t>
      </w:r>
      <w:r>
        <w:rPr>
          <w:rFonts w:ascii="Times New Roman" w:hAnsi="Times New Roman"/>
          <w:color w:val="000000"/>
          <w:sz w:val="20"/>
        </w:rPr>
        <w:t xml:space="preserve">” </w:t>
      </w:r>
      <w:r>
        <w:rPr>
          <w:rFonts w:ascii="Times New Roman" w:hAnsi="Times New Roman"/>
          <w:color w:val="000000"/>
          <w:sz w:val="24"/>
        </w:rPr>
        <w:t>means the second Basel Accord issued by the Basel Committee on Banking Supervision.</w:t>
      </w:r>
    </w:p>
    <w:p>
      <w:pPr>
        <w:pStyle w:val="TextBody"/>
        <w:bidi w:val="0"/>
        <w:spacing w:before="0" w:after="240"/>
        <w:jc w:val="both"/>
        <w:rPr/>
      </w:pPr>
      <w:r>
        <w:rPr>
          <w:color w:val="000000"/>
        </w:rPr>
        <w:t>“</w:t>
      </w:r>
      <w:r>
        <w:rPr>
          <w:rFonts w:ascii="Times New Roman" w:hAnsi="Times New Roman"/>
          <w:color w:val="000000"/>
          <w:sz w:val="24"/>
          <w:u w:val="single"/>
        </w:rPr>
        <w:t>Basel III</w:t>
      </w:r>
      <w:r>
        <w:rPr>
          <w:rFonts w:ascii="Times New Roman" w:hAnsi="Times New Roman"/>
          <w:color w:val="000000"/>
          <w:sz w:val="20"/>
        </w:rPr>
        <w:t xml:space="preserve">” </w:t>
      </w:r>
      <w:r>
        <w:rPr>
          <w:rFonts w:ascii="Times New Roman" w:hAnsi="Times New Roman"/>
          <w:color w:val="000000"/>
          <w:sz w:val="24"/>
        </w:rPr>
        <w:t>means the third Basel Accord issued by the Basel Committee on Banking Supervision.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Basic Documents</w:t>
      </w:r>
      <w:r>
        <w:rPr>
          <w:rFonts w:ascii="Times New Roman" w:hAnsi="Times New Roman"/>
          <w:color w:val="000000"/>
          <w:sz w:val="20"/>
        </w:rPr>
        <w:t xml:space="preserve">” </w:t>
      </w:r>
      <w:r>
        <w:rPr>
          <w:rFonts w:ascii="Times New Roman" w:hAnsi="Times New Roman"/>
          <w:color w:val="000000"/>
          <w:sz w:val="24"/>
        </w:rPr>
        <w:t>means this Agreement, each Note, the Purchase Agreement, each Transfer Agreement, the Fee Letter, the Intercreditor Agreement, the Intercreditor Party Supplement, the Trust Agreement, the Account Control Agreement, the ICA Account Control Agreement, the E-Vault Access Agreement (if any), the Electronic Collateral Control Agreement (if any), the Title Administrator Agreement (if any), all Hedging Agreements and any other document, certificate, opinion, agreement or writing the execution of which is necessary or incidental to carrying out the transactions contemplated by this Agreement or any of the other foregoing documents.</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Benchmark</w:t>
      </w:r>
      <w:r>
        <w:rPr>
          <w:rFonts w:ascii="Times New Roman" w:hAnsi="Times New Roman"/>
          <w:color w:val="000000"/>
          <w:sz w:val="20"/>
        </w:rPr>
        <w:t xml:space="preserve">” </w:t>
      </w:r>
      <w:r>
        <w:rPr>
          <w:rFonts w:ascii="Times New Roman" w:hAnsi="Times New Roman"/>
          <w:color w:val="000000"/>
          <w:sz w:val="24"/>
        </w:rPr>
        <w:t>means, initially, Term SOFR; provided, that if a Benchmark Transition Event and its related Benchmark Replacement Date have occurred with respect to Term SOFR or the then-current Benchmark, then “Benchmark” means the applicable Benchmark Replacement to the extent that such Benchmark Replacement has replaced such prior benchmark rate pursuant to Section 2.18(a).</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Benchmark Replacement</w:t>
      </w:r>
      <w:r>
        <w:rPr>
          <w:rFonts w:ascii="Times New Roman" w:hAnsi="Times New Roman"/>
          <w:color w:val="000000"/>
          <w:sz w:val="20"/>
        </w:rPr>
        <w:t xml:space="preserve">” </w:t>
      </w:r>
      <w:r>
        <w:rPr>
          <w:rFonts w:ascii="Times New Roman" w:hAnsi="Times New Roman"/>
          <w:color w:val="000000"/>
          <w:sz w:val="24"/>
        </w:rPr>
        <w:t xml:space="preserve">means with respect to any Benchmark Transition Event, the sum of: (i) the alternate benchmark rate that has been selected by the Administrative Agent and the Borrower as the replacement for the then-current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U.S. dollar-denominated syndicated credit facilities at such time in the United States and (ii) the related Benchmark Replacement Adjustment;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Benchmark Replacement as so determined would be less than the Floor, such Benchmark Replacement will be deemed to be the Floor for the purposes of this Agreement and the other Basic Documents.</w:t>
      </w:r>
    </w:p>
    <w:p>
      <w:pPr>
        <w:pStyle w:val="TextBody"/>
        <w:bidi w:val="0"/>
        <w:spacing w:before="0" w:after="240"/>
        <w:jc w:val="both"/>
        <w:rPr/>
      </w:pPr>
      <w:r>
        <w:rPr>
          <w:color w:val="000000"/>
        </w:rPr>
        <w:t>“</w:t>
      </w:r>
      <w:r>
        <w:rPr>
          <w:rFonts w:ascii="Times New Roman" w:hAnsi="Times New Roman"/>
          <w:color w:val="000000"/>
          <w:sz w:val="24"/>
          <w:u w:val="single"/>
        </w:rPr>
        <w:t>Benchmark Replacement Adjustment</w:t>
      </w:r>
      <w:r>
        <w:rPr>
          <w:rFonts w:ascii="Times New Roman" w:hAnsi="Times New Roman"/>
          <w:color w:val="000000"/>
          <w:sz w:val="20"/>
        </w:rPr>
        <w:t xml:space="preserve">” </w:t>
      </w:r>
      <w:r>
        <w:rPr>
          <w:rFonts w:ascii="Times New Roman" w:hAnsi="Times New Roman"/>
          <w:color w:val="000000"/>
          <w:sz w:val="24"/>
        </w:rPr>
        <w:t>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pStyle w:val="TextBody"/>
        <w:bidi w:val="0"/>
        <w:spacing w:before="0" w:after="240"/>
        <w:jc w:val="both"/>
        <w:rPr/>
      </w:pPr>
      <w:r>
        <w:rPr>
          <w:color w:val="000000"/>
        </w:rPr>
        <w:t>“</w:t>
      </w:r>
      <w:r>
        <w:rPr>
          <w:rFonts w:ascii="Times New Roman" w:hAnsi="Times New Roman"/>
          <w:color w:val="000000"/>
          <w:sz w:val="24"/>
          <w:u w:val="single"/>
        </w:rPr>
        <w:t>Benchmark Replacement Date</w:t>
      </w:r>
      <w:r>
        <w:rPr>
          <w:rFonts w:ascii="Times New Roman" w:hAnsi="Times New Roman"/>
          <w:color w:val="000000"/>
          <w:sz w:val="20"/>
        </w:rPr>
        <w:t xml:space="preserve">” </w:t>
      </w:r>
      <w:r>
        <w:rPr>
          <w:rFonts w:ascii="Times New Roman" w:hAnsi="Times New Roman"/>
          <w:color w:val="000000"/>
          <w:sz w:val="24"/>
        </w:rPr>
        <w:t>means the earliest to occur of the following events with respect to the then-current Benchmark:</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clause (i) or (ii) of the definition of “Benchmark Transition Event”, the later of the date (a) of the public statement or publication of information referenced therein and (b)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case of clause (iii)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 representative or non-compliant with or non-aligned with the International Organization of Securities Commissions (IOSCO) Principles for Financial Benchmarks; provided, that such non-representativeness, non-compliance or non-alignment will be determined by reference to the most recent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statement or publication referenced in such clause (iii) and even if any Available Tenor of such Benchmark (or such component thereof) continues to be provided on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the “Benchmark Replacement Date” will be deemed to have occurred in the case of clause (i) or (ii)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4"/>
          <w:u w:val="single"/>
        </w:rPr>
        <w:t>Benchmark Transition Event</w:t>
      </w:r>
      <w:r>
        <w:rPr>
          <w:rFonts w:ascii="Times New Roman" w:hAnsi="Times New Roman"/>
          <w:color w:val="000000"/>
          <w:sz w:val="20"/>
        </w:rPr>
        <w:t xml:space="preserve">” </w:t>
      </w:r>
      <w:r>
        <w:rPr>
          <w:rFonts w:ascii="Times New Roman" w:hAnsi="Times New Roman"/>
          <w:color w:val="000000"/>
          <w:sz w:val="24"/>
        </w:rPr>
        <w:t>means the occurrence of one or more of the following events with respect to the then-current Benchmark: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4"/>
          <w:u w:val="single"/>
        </w:rPr>
        <w:t>Benchmark Transition Start Date</w:t>
      </w:r>
      <w:r>
        <w:rPr>
          <w:rFonts w:ascii="Times New Roman" w:hAnsi="Times New Roman"/>
          <w:color w:val="000000"/>
          <w:sz w:val="20"/>
        </w:rPr>
        <w:t xml:space="preserve">” </w:t>
      </w:r>
      <w:r>
        <w:rPr>
          <w:rFonts w:ascii="Times New Roman" w:hAnsi="Times New Roman"/>
          <w:color w:val="000000"/>
          <w:sz w:val="24"/>
        </w:rPr>
        <w:t>means in the case of a Benchmark Transition Event, the earlier of (i) the applicable Benchmark Replacement Date and (ii) if such Benchmark</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240"/>
        <w:jc w:val="both"/>
        <w:rPr/>
      </w:pPr>
      <w:r>
        <w:rPr>
          <w:color w:val="000000"/>
        </w:rPr>
        <w:t>“</w:t>
      </w:r>
      <w:r>
        <w:rPr>
          <w:rFonts w:ascii="Times New Roman" w:hAnsi="Times New Roman"/>
          <w:color w:val="000000"/>
          <w:sz w:val="24"/>
          <w:u w:val="single"/>
        </w:rPr>
        <w:t>Benchmark Unavailability Period</w:t>
      </w:r>
      <w:r>
        <w:rPr>
          <w:rFonts w:ascii="Times New Roman" w:hAnsi="Times New Roman"/>
          <w:color w:val="000000"/>
          <w:sz w:val="20"/>
        </w:rPr>
        <w:t xml:space="preserve">” </w:t>
      </w:r>
      <w:r>
        <w:rPr>
          <w:rFonts w:ascii="Times New Roman" w:hAnsi="Times New Roman"/>
          <w:color w:val="000000"/>
          <w:sz w:val="24"/>
        </w:rPr>
        <w:t>means the period (if any) (a) beginning at the time that a Benchmark Replacement Date has occurred if, at such time, no Benchmark Replacement has replaced the then-current Benchmark for all purposes hereunder and under any Loan Document in accordance with Section 2.18 and (b) ending at the time that a Benchmark Replacement has replaced the then-current Benchmark for all purposes hereunder and under any Loan Document in accordance with Section 2.18.</w:t>
      </w:r>
    </w:p>
    <w:p>
      <w:pPr>
        <w:pStyle w:val="TextBody"/>
        <w:bidi w:val="0"/>
        <w:spacing w:before="0" w:after="240"/>
        <w:jc w:val="both"/>
        <w:rPr/>
      </w:pPr>
      <w:r>
        <w:rPr>
          <w:color w:val="000000"/>
        </w:rPr>
        <w:t>“</w:t>
      </w:r>
      <w:r>
        <w:rPr>
          <w:rFonts w:ascii="Times New Roman" w:hAnsi="Times New Roman"/>
          <w:color w:val="000000"/>
          <w:sz w:val="24"/>
          <w:u w:val="single"/>
        </w:rPr>
        <w:t>Benefit Plan</w:t>
      </w:r>
      <w:r>
        <w:rPr>
          <w:rFonts w:ascii="Times New Roman" w:hAnsi="Times New Roman"/>
          <w:color w:val="000000"/>
          <w:sz w:val="20"/>
        </w:rPr>
        <w:t xml:space="preserve">” </w:t>
      </w:r>
      <w:r>
        <w:rPr>
          <w:rFonts w:ascii="Times New Roman" w:hAnsi="Times New Roman"/>
          <w:color w:val="000000"/>
          <w:sz w:val="24"/>
        </w:rPr>
        <w:t>means (i) employee benefit plans (as defined in Section 3(3) of ERISA) that are subject to Title I of ERISA, (ii) plans described in Section 4975(e)(1) of the Code, including individual retirement accounts or Keogh Plans that are not exempt under Section 4975(g) of the Code and (iii) any entities whose underlying assets include plan assets by reason of a plan’s investment in such entities.</w:t>
      </w:r>
    </w:p>
    <w:p>
      <w:pPr>
        <w:pStyle w:val="TextBody"/>
        <w:bidi w:val="0"/>
        <w:spacing w:before="0" w:after="240"/>
        <w:jc w:val="both"/>
        <w:rPr/>
      </w:pPr>
      <w:r>
        <w:rPr>
          <w:color w:val="000000"/>
        </w:rPr>
        <w:t>“</w:t>
      </w:r>
      <w:r>
        <w:rPr>
          <w:rFonts w:ascii="Times New Roman" w:hAnsi="Times New Roman"/>
          <w:color w:val="000000"/>
          <w:sz w:val="24"/>
          <w:u w:val="single"/>
        </w:rPr>
        <w:t>Borrower</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Borrower Basic Documents</w:t>
      </w:r>
      <w:r>
        <w:rPr>
          <w:rFonts w:ascii="Times New Roman" w:hAnsi="Times New Roman"/>
          <w:color w:val="000000"/>
          <w:sz w:val="20"/>
        </w:rPr>
        <w:t xml:space="preserve">” </w:t>
      </w:r>
      <w:r>
        <w:rPr>
          <w:rFonts w:ascii="Times New Roman" w:hAnsi="Times New Roman"/>
          <w:color w:val="000000"/>
          <w:sz w:val="24"/>
        </w:rPr>
        <w:t>means all Basic Documents to which the Borrower is a party or by which it is bound.</w:t>
      </w:r>
    </w:p>
    <w:p>
      <w:pPr>
        <w:pStyle w:val="TextBody"/>
        <w:bidi w:val="0"/>
        <w:spacing w:before="0" w:after="240"/>
        <w:jc w:val="both"/>
        <w:rPr/>
      </w:pPr>
      <w:r>
        <w:rPr>
          <w:color w:val="000000"/>
        </w:rPr>
        <w:t>“</w:t>
      </w:r>
      <w:r>
        <w:rPr>
          <w:rFonts w:ascii="Times New Roman" w:hAnsi="Times New Roman"/>
          <w:color w:val="000000"/>
          <w:sz w:val="24"/>
          <w:u w:val="single"/>
        </w:rPr>
        <w:t>Borrower Indemnified Amounts</w:t>
      </w:r>
      <w:r>
        <w:rPr>
          <w:rFonts w:ascii="Times New Roman" w:hAnsi="Times New Roman"/>
          <w:color w:val="000000"/>
          <w:sz w:val="20"/>
        </w:rPr>
        <w:t xml:space="preserve">” </w:t>
      </w:r>
      <w:r>
        <w:rPr>
          <w:rFonts w:ascii="Times New Roman" w:hAnsi="Times New Roman"/>
          <w:color w:val="000000"/>
          <w:sz w:val="24"/>
        </w:rPr>
        <w:t>has the meaning given to such term in Section 10.01(a).</w:t>
      </w:r>
    </w:p>
    <w:p>
      <w:pPr>
        <w:pStyle w:val="TextBody"/>
        <w:bidi w:val="0"/>
        <w:spacing w:before="0" w:after="240"/>
        <w:jc w:val="both"/>
        <w:rPr/>
      </w:pPr>
      <w:r>
        <w:rPr>
          <w:color w:val="000000"/>
        </w:rPr>
        <w:t>“</w:t>
      </w:r>
      <w:r>
        <w:rPr>
          <w:rFonts w:ascii="Times New Roman" w:hAnsi="Times New Roman"/>
          <w:color w:val="000000"/>
          <w:sz w:val="24"/>
          <w:u w:val="single"/>
        </w:rPr>
        <w:t>Borrower Indemnified Party</w:t>
      </w:r>
      <w:r>
        <w:rPr>
          <w:rFonts w:ascii="Times New Roman" w:hAnsi="Times New Roman"/>
          <w:color w:val="000000"/>
          <w:sz w:val="20"/>
        </w:rPr>
        <w:t xml:space="preserve">” </w:t>
      </w:r>
      <w:r>
        <w:rPr>
          <w:rFonts w:ascii="Times New Roman" w:hAnsi="Times New Roman"/>
          <w:color w:val="000000"/>
          <w:sz w:val="24"/>
        </w:rPr>
        <w:t>has the meaning given to such term in Section 10.01(a).</w:t>
      </w:r>
    </w:p>
    <w:p>
      <w:pPr>
        <w:pStyle w:val="TextBody"/>
        <w:bidi w:val="0"/>
        <w:spacing w:before="0" w:after="240"/>
        <w:jc w:val="both"/>
        <w:rPr/>
      </w:pPr>
      <w:r>
        <w:rPr>
          <w:color w:val="000000"/>
        </w:rPr>
        <w:t>“</w:t>
      </w:r>
      <w:r>
        <w:rPr>
          <w:rFonts w:ascii="Times New Roman" w:hAnsi="Times New Roman"/>
          <w:color w:val="000000"/>
          <w:sz w:val="24"/>
          <w:u w:val="single"/>
        </w:rPr>
        <w:t>Borrower’s Account</w:t>
      </w:r>
      <w:r>
        <w:rPr>
          <w:rFonts w:ascii="Times New Roman" w:hAnsi="Times New Roman"/>
          <w:color w:val="000000"/>
          <w:sz w:val="20"/>
        </w:rPr>
        <w:t xml:space="preserve">” </w:t>
      </w:r>
      <w:r>
        <w:rPr>
          <w:rFonts w:ascii="Times New Roman" w:hAnsi="Times New Roman"/>
          <w:color w:val="000000"/>
          <w:sz w:val="24"/>
        </w:rPr>
        <w:t>means the bank account of the Borrower, as notified to the Administrative Agent from time to time in writing by the Borrower, into which all Principal Amounts shall be deposited, which account, as of the Closing Date, is in the name UACC Auto Financing Trust V, at the Local Bank.</w:t>
      </w:r>
    </w:p>
    <w:p>
      <w:pPr>
        <w:pStyle w:val="TextBody"/>
        <w:bidi w:val="0"/>
        <w:spacing w:before="0" w:after="240"/>
        <w:jc w:val="both"/>
        <w:rPr/>
      </w:pPr>
      <w:r>
        <w:rPr>
          <w:color w:val="000000"/>
        </w:rPr>
        <w:t>“</w:t>
      </w:r>
      <w:r>
        <w:rPr>
          <w:rFonts w:ascii="Times New Roman" w:hAnsi="Times New Roman"/>
          <w:color w:val="000000"/>
          <w:sz w:val="24"/>
          <w:u w:val="single"/>
        </w:rPr>
        <w:t>Borrowing Base</w:t>
      </w:r>
      <w:r>
        <w:rPr>
          <w:rFonts w:ascii="Times New Roman" w:hAnsi="Times New Roman"/>
          <w:color w:val="000000"/>
          <w:sz w:val="20"/>
        </w:rPr>
        <w:t xml:space="preserve">” </w:t>
      </w:r>
      <w:r>
        <w:rPr>
          <w:rFonts w:ascii="Times New Roman" w:hAnsi="Times New Roman"/>
          <w:color w:val="000000"/>
          <w:sz w:val="24"/>
        </w:rPr>
        <w:t>means, as of any day, an amount equal to the lesser of (i) the product of the applicable Advance Rate and the Aggregate Net Principal Balance, and (ii) the Aggregate Commitment.</w:t>
      </w:r>
    </w:p>
    <w:p>
      <w:pPr>
        <w:pStyle w:val="TextBody"/>
        <w:bidi w:val="0"/>
        <w:spacing w:before="0" w:after="240"/>
        <w:jc w:val="both"/>
        <w:rPr/>
      </w:pPr>
      <w:r>
        <w:rPr>
          <w:color w:val="000000"/>
        </w:rPr>
        <w:t>“</w:t>
      </w:r>
      <w:r>
        <w:rPr>
          <w:rFonts w:ascii="Times New Roman" w:hAnsi="Times New Roman"/>
          <w:color w:val="000000"/>
          <w:sz w:val="24"/>
          <w:u w:val="single"/>
        </w:rPr>
        <w:t>Borrowing Base Deficiency</w:t>
      </w:r>
      <w:r>
        <w:rPr>
          <w:rFonts w:ascii="Times New Roman" w:hAnsi="Times New Roman"/>
          <w:color w:val="000000"/>
          <w:sz w:val="20"/>
        </w:rPr>
        <w:t xml:space="preserve">” </w:t>
      </w:r>
      <w:r>
        <w:rPr>
          <w:rFonts w:ascii="Times New Roman" w:hAnsi="Times New Roman"/>
          <w:color w:val="000000"/>
          <w:sz w:val="24"/>
        </w:rPr>
        <w:t xml:space="preserve">means the circumstance in which the Loans Outstanding exceed the Borrowing Base;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that</w:t>
      </w:r>
      <w:r>
        <w:rPr>
          <w:rFonts w:ascii="Times New Roman" w:hAnsi="Times New Roman"/>
          <w:color w:val="000000"/>
          <w:sz w:val="20"/>
        </w:rPr>
        <w:t xml:space="preserve"> </w:t>
      </w:r>
      <w:r>
        <w:rPr>
          <w:rFonts w:ascii="Times New Roman" w:hAnsi="Times New Roman"/>
          <w:color w:val="000000"/>
          <w:sz w:val="24"/>
        </w:rPr>
        <w:t xml:space="preserve">(a) a Borrowing Base Deficiency identified in a Monthly Report that is fully cured following the Settlement Procedures specified in </w:t>
      </w:r>
      <w:r>
        <w:rPr>
          <w:rFonts w:ascii="Times New Roman" w:hAnsi="Times New Roman"/>
          <w:color w:val="000000"/>
          <w:sz w:val="24"/>
          <w:u w:val="single"/>
        </w:rPr>
        <w:t>Section 2.08</w:t>
      </w:r>
      <w:r>
        <w:rPr>
          <w:rFonts w:ascii="Times New Roman" w:hAnsi="Times New Roman"/>
          <w:color w:val="000000"/>
          <w:sz w:val="20"/>
        </w:rPr>
        <w:t xml:space="preserve"> </w:t>
      </w:r>
      <w:r>
        <w:rPr>
          <w:rFonts w:ascii="Times New Roman" w:hAnsi="Times New Roman"/>
          <w:color w:val="000000"/>
          <w:sz w:val="24"/>
        </w:rPr>
        <w:t xml:space="preserve">shall not constitute a Borrowing Base Deficiency as referenced in </w:t>
      </w:r>
      <w:r>
        <w:rPr>
          <w:rFonts w:ascii="Times New Roman" w:hAnsi="Times New Roman"/>
          <w:color w:val="000000"/>
          <w:sz w:val="24"/>
          <w:u w:val="single"/>
        </w:rPr>
        <w:t>Section 9.01(a)(xxi)</w:t>
      </w:r>
      <w:r>
        <w:rPr>
          <w:rFonts w:ascii="Times New Roman" w:hAnsi="Times New Roman"/>
          <w:color w:val="000000"/>
          <w:sz w:val="24"/>
        </w:rPr>
        <w:t xml:space="preserve">, and (b) a Borrowing Base Deficiency identified as of the Restatement Closing Date and is cured on or before September 12, 2025 shall not constitute a Borrowing Base Deficiency as referenced in </w:t>
      </w:r>
      <w:r>
        <w:rPr>
          <w:rFonts w:ascii="Times New Roman" w:hAnsi="Times New Roman"/>
          <w:color w:val="000000"/>
          <w:sz w:val="24"/>
          <w:u w:val="single"/>
        </w:rPr>
        <w:t>Section 9.01(a)(xxi)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Breakage Costs</w:t>
      </w:r>
      <w:r>
        <w:rPr>
          <w:rFonts w:ascii="Times New Roman" w:hAnsi="Times New Roman"/>
          <w:color w:val="000000"/>
          <w:sz w:val="20"/>
        </w:rPr>
        <w:t xml:space="preserve">” </w:t>
      </w:r>
      <w:r>
        <w:rPr>
          <w:rFonts w:ascii="Times New Roman" w:hAnsi="Times New Roman"/>
          <w:color w:val="000000"/>
          <w:sz w:val="24"/>
        </w:rPr>
        <w:t>means such amount or amounts as shall compensate any Lender for any loss, cost or expense (but excluding lost profits) incurred by such Lender (as reasonably determined by such Lender) as a result of any prepayment of a Loan (and interest thereon).</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(i) any day other than a Saturday or a Sunday on which commercial banking institutions are not required or authorized to be closed in Los Angeles, California, New York, New York, Chicago, Illinois, Wilmington, Delaware or Minneapolis, Minnesota and (ii) if the term “Business Day” is used in connection with the Term SOFR Reference Rate, such day must also be a U.S. Government Securities Business Day.</w:t>
      </w:r>
    </w:p>
    <w:p>
      <w:pPr>
        <w:pStyle w:val="TextBody"/>
        <w:bidi w:val="0"/>
        <w:jc w:val="both"/>
        <w:rPr/>
      </w:pPr>
      <w:r>
        <w:rPr>
          <w:color w:val="000000"/>
        </w:rPr>
        <w:t>“</w:t>
      </w:r>
      <w:r>
        <w:rPr>
          <w:rFonts w:ascii="Times New Roman" w:hAnsi="Times New Roman"/>
          <w:color w:val="000000"/>
          <w:sz w:val="24"/>
          <w:u w:val="single"/>
        </w:rPr>
        <w:t>Cash Equivalents</w:t>
      </w:r>
      <w:r>
        <w:rPr>
          <w:rFonts w:ascii="Times New Roman" w:hAnsi="Times New Roman"/>
          <w:color w:val="000000"/>
          <w:sz w:val="20"/>
        </w:rPr>
        <w:t xml:space="preserve">” </w:t>
      </w:r>
      <w:r>
        <w:rPr>
          <w:rFonts w:ascii="Times New Roman" w:hAnsi="Times New Roman"/>
          <w:color w:val="000000"/>
          <w:sz w:val="24"/>
        </w:rPr>
        <w:t xml:space="preserve">means (a) securities with maturities of 90 days or less from the date of acquisition issued or fully guaranteed or insured by the United States Government or any agency thereof, (b) certificates of deposit and SOFR time deposits with maturities of 90 days or less from the date of acquisition and overnight bank deposits of any commercial bank having capital and surplus in excess of $500,000,000, (c) repurchase obligations of any commercial bank satisfying the requirements of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of this definition, having a term of not more than seven days with respect to securities issued or fully guaranteed or insured by the United States Government, (d) commercial paper of a domestic issuer rated at least A-1 or the equivalent thereof by Standard &amp; Poor’s Rating Services, a Standard &amp; Poor’s Financial Services LLC business (“S&amp;P”) or P-1 or the equivalent thereof by Moody’s Investors Service, Inc. (“Moody’s”) and in either case maturing within 90 days after the day of acquisition, (e) securities with maturities of 90 days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(f) securities with maturities of 90 days or less from the date of acquisition backed by standby letters of credit issued by any commercial bank satisfying the requirements of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of this definition, (g) shares of money market mutual or similar funds which invest exclusively in assets satisfying the requirements of </w:t>
      </w:r>
      <w:r>
        <w:rPr>
          <w:rFonts w:ascii="Times New Roman" w:hAnsi="Times New Roman"/>
          <w:color w:val="000000"/>
          <w:sz w:val="24"/>
          <w:u w:val="single"/>
        </w:rPr>
        <w:t>clauses (a) through (f)</w:t>
      </w:r>
      <w:r>
        <w:rPr>
          <w:rFonts w:ascii="Times New Roman" w:hAnsi="Times New Roman"/>
          <w:color w:val="000000"/>
          <w:sz w:val="20"/>
        </w:rPr>
        <w:t xml:space="preserve"> </w:t>
      </w:r>
      <w:r>
        <w:rPr>
          <w:rFonts w:ascii="Times New Roman" w:hAnsi="Times New Roman"/>
          <w:color w:val="000000"/>
          <w:sz w:val="24"/>
        </w:rPr>
        <w:t>of this definition, (h) investments in money market or common trust funds having a rating from each of Moody’s and S&amp;P in the highest investment category for short-term unsecured debt obligations or certificates of deposit granted thereby, or (i) undrawn commitments under other credit facilities of UACC or its consolidated subsidiaries (including the Other Warehouse Agreements) for which UACC or any such subsidiary can meet all conditions precedent to borrowing such amounts and for which the use of such amounts is unrestricted under such credit facilities.</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Certificate of Title</w:t>
      </w:r>
      <w:r>
        <w:rPr>
          <w:rFonts w:ascii="Times New Roman" w:hAnsi="Times New Roman"/>
          <w:color w:val="000000"/>
          <w:sz w:val="20"/>
        </w:rPr>
        <w:t xml:space="preserve">” </w:t>
      </w:r>
      <w:r>
        <w:rPr>
          <w:rFonts w:ascii="Times New Roman" w:hAnsi="Times New Roman"/>
          <w:color w:val="000000"/>
          <w:sz w:val="24"/>
        </w:rPr>
        <w:t>means, with respect to a Financed Vehicle, (i) the original certificate of title relating thereto, or copies of correspondence to the applicable Registrar of Titles, and all enclosures thereto, for issuance of the original certificate of title or (ii) if the applicable Registrar of Titles issues a letter or other form of evidence of lien in lieu of a certificate of title (including electronic titling), the original lien entry letter or form or copies of correspondence to such applicable Registrar of Titles, and all enclosures thereto, for issuance of the original lien entry letter or form, which, in either case, shall name the related Obligor as the owner of such Financed Vehicle and the Originator, the Borrower or the Administrative Agent, as secured party.</w:t>
      </w:r>
    </w:p>
    <w:p>
      <w:pPr>
        <w:pStyle w:val="TextBody"/>
        <w:bidi w:val="0"/>
        <w:spacing w:before="0" w:after="240"/>
        <w:jc w:val="both"/>
        <w:rPr/>
      </w:pPr>
      <w:r>
        <w:rPr>
          <w:color w:val="000000"/>
        </w:rPr>
        <w:t>“</w:t>
      </w:r>
      <w:r>
        <w:rPr>
          <w:rFonts w:ascii="Times New Roman" w:hAnsi="Times New Roman"/>
          <w:color w:val="000000"/>
          <w:sz w:val="24"/>
          <w:u w:val="single"/>
        </w:rPr>
        <w:t>Certificate Registrar</w:t>
      </w:r>
      <w:r>
        <w:rPr>
          <w:rFonts w:ascii="Times New Roman" w:hAnsi="Times New Roman"/>
          <w:color w:val="000000"/>
          <w:sz w:val="20"/>
        </w:rPr>
        <w:t xml:space="preserve">” </w:t>
      </w:r>
      <w:r>
        <w:rPr>
          <w:rFonts w:ascii="Times New Roman" w:hAnsi="Times New Roman"/>
          <w:color w:val="000000"/>
          <w:sz w:val="24"/>
        </w:rPr>
        <w:t>has the meaning given to such term in the Trust Agreement.</w:t>
      </w:r>
    </w:p>
    <w:p>
      <w:pPr>
        <w:pStyle w:val="TextBody"/>
        <w:bidi w:val="0"/>
        <w:spacing w:before="0" w:after="240"/>
        <w:jc w:val="both"/>
        <w:rPr/>
      </w:pPr>
      <w:r>
        <w:rPr>
          <w:color w:val="000000"/>
        </w:rPr>
        <w:t>“</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means (A) the failure (i) of Vroom, Inc. to own (directly or through wholly owned subsidiaries or other entities), free and clear of Liens, at least 51% of the outstanding voting interests of UACC, except in the event of an initial public offering of equity securities of UACC, or (ii) by UACC to own, directly or indirectly, all of the outstanding beneficial interests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Borrower, or (B) any transaction or event as a result of which any Person or Persons who were not equity holders of Vroom, Inc. immediately prior to such transaction or event owns, directly or indirectly, more than 50% of the total voting power of the issued and outstanding voting stock of Vroom, Inc. (provided that a change in equity holders in connection with which the Controlling Person of both transferor and transferee stockholders is the same Person shall not be deemed a change in equity holders for purposes of this clause (B)).</w:t>
      </w:r>
    </w:p>
    <w:p>
      <w:pPr>
        <w:pStyle w:val="TextBody"/>
        <w:bidi w:val="0"/>
        <w:spacing w:before="0" w:after="240"/>
        <w:jc w:val="both"/>
        <w:rPr/>
      </w:pPr>
      <w:r>
        <w:rPr>
          <w:color w:val="000000"/>
        </w:rPr>
        <w:t>“</w:t>
      </w:r>
      <w:r>
        <w:rPr>
          <w:rFonts w:ascii="Times New Roman" w:hAnsi="Times New Roman"/>
          <w:color w:val="000000"/>
          <w:sz w:val="24"/>
          <w:u w:val="single"/>
        </w:rPr>
        <w:t>Charged-off Receivable</w:t>
      </w:r>
      <w:r>
        <w:rPr>
          <w:rFonts w:ascii="Times New Roman" w:hAnsi="Times New Roman"/>
          <w:color w:val="000000"/>
          <w:sz w:val="20"/>
        </w:rPr>
        <w:t xml:space="preserve">” </w:t>
      </w:r>
      <w:r>
        <w:rPr>
          <w:rFonts w:ascii="Times New Roman" w:hAnsi="Times New Roman"/>
          <w:color w:val="000000"/>
          <w:sz w:val="24"/>
        </w:rPr>
        <w:t>means any Receivable or Serviced Portfolio Receivable required to be charged off in accordance with the Credit and Collection Policy.</w:t>
      </w:r>
    </w:p>
    <w:p>
      <w:pPr>
        <w:pStyle w:val="TextBody"/>
        <w:bidi w:val="0"/>
        <w:spacing w:before="0" w:after="240"/>
        <w:jc w:val="both"/>
        <w:rPr/>
      </w:pPr>
      <w:r>
        <w:rPr>
          <w:color w:val="000000"/>
        </w:rPr>
        <w:t>“</w:t>
      </w:r>
      <w:r>
        <w:rPr>
          <w:rFonts w:ascii="Times New Roman" w:hAnsi="Times New Roman"/>
          <w:color w:val="000000"/>
          <w:sz w:val="24"/>
          <w:u w:val="single"/>
        </w:rPr>
        <w:t>Closing Date</w:t>
      </w:r>
      <w:r>
        <w:rPr>
          <w:rFonts w:ascii="Times New Roman" w:hAnsi="Times New Roman"/>
          <w:color w:val="000000"/>
          <w:sz w:val="20"/>
        </w:rPr>
        <w:t xml:space="preserve">” </w:t>
      </w:r>
      <w:r>
        <w:rPr>
          <w:rFonts w:ascii="Times New Roman" w:hAnsi="Times New Roman"/>
          <w:color w:val="000000"/>
          <w:sz w:val="24"/>
        </w:rPr>
        <w:t>means July 11, 2019.</w:t>
      </w:r>
    </w:p>
    <w:p>
      <w:pPr>
        <w:pStyle w:val="TextBody"/>
        <w:bidi w:val="0"/>
        <w:spacing w:before="0" w:after="240"/>
        <w:jc w:val="both"/>
        <w:rPr/>
      </w:pPr>
      <w:r>
        <w:rPr>
          <w:color w:val="000000"/>
        </w:rPr>
        <w:t>“</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w:t>
      </w:r>
    </w:p>
    <w:p>
      <w:pPr>
        <w:pStyle w:val="TextBody"/>
        <w:bidi w:val="0"/>
        <w:spacing w:before="0" w:after="240"/>
        <w:jc w:val="both"/>
        <w:rPr/>
      </w:pPr>
      <w:r>
        <w:rPr>
          <w:color w:val="000000"/>
        </w:rPr>
        <w:t>“</w:t>
      </w:r>
      <w:r>
        <w:rPr>
          <w:rFonts w:ascii="Times New Roman" w:hAnsi="Times New Roman"/>
          <w:color w:val="000000"/>
          <w:sz w:val="24"/>
          <w:u w:val="single"/>
        </w:rPr>
        <w:t>Collateral</w:t>
      </w:r>
      <w:r>
        <w:rPr>
          <w:rFonts w:ascii="Times New Roman" w:hAnsi="Times New Roman"/>
          <w:color w:val="000000"/>
          <w:sz w:val="20"/>
        </w:rPr>
        <w:t xml:space="preserve">” </w:t>
      </w:r>
      <w:r>
        <w:rPr>
          <w:rFonts w:ascii="Times New Roman" w:hAnsi="Times New Roman"/>
          <w:color w:val="000000"/>
          <w:sz w:val="24"/>
        </w:rPr>
        <w:t>has the meaning given to such term in Section 3.01(a).</w:t>
      </w:r>
    </w:p>
    <w:p>
      <w:pPr>
        <w:pStyle w:val="TextBody"/>
        <w:bidi w:val="0"/>
        <w:spacing w:before="0" w:after="240"/>
        <w:jc w:val="both"/>
        <w:rPr/>
      </w:pPr>
      <w:r>
        <w:rPr>
          <w:color w:val="000000"/>
        </w:rPr>
        <w:t>“</w:t>
      </w:r>
      <w:r>
        <w:rPr>
          <w:rFonts w:ascii="Times New Roman" w:hAnsi="Times New Roman"/>
          <w:color w:val="000000"/>
          <w:sz w:val="24"/>
          <w:u w:val="single"/>
        </w:rPr>
        <w:t>Collateral Coverage Ratio</w:t>
      </w:r>
      <w:r>
        <w:rPr>
          <w:rFonts w:ascii="Times New Roman" w:hAnsi="Times New Roman"/>
          <w:color w:val="000000"/>
          <w:sz w:val="20"/>
        </w:rPr>
        <w:t xml:space="preserve">” </w:t>
      </w:r>
      <w:r>
        <w:rPr>
          <w:rFonts w:ascii="Times New Roman" w:hAnsi="Times New Roman"/>
          <w:color w:val="000000"/>
          <w:sz w:val="24"/>
        </w:rPr>
        <w:t>means, as of any day, the percentage equivalent of a fraction, the numerator of which equals all Loans Outstanding as of the last day of the most recent Collection Period minus any amounts to be distributed pursuant to Section 2.08(v) or Section 2.08(vi) on the related Payment Date and the denominator of which equals the Aggregate Net Principal Balance as of the last day of such Collection Period.</w:t>
      </w:r>
    </w:p>
    <w:p>
      <w:pPr>
        <w:pStyle w:val="TextBody"/>
        <w:bidi w:val="0"/>
        <w:spacing w:before="0" w:after="240"/>
        <w:jc w:val="both"/>
        <w:rPr/>
      </w:pPr>
      <w:r>
        <w:rPr>
          <w:color w:val="000000"/>
        </w:rPr>
        <w:t>“</w:t>
      </w:r>
      <w:r>
        <w:rPr>
          <w:rFonts w:ascii="Times New Roman" w:hAnsi="Times New Roman"/>
          <w:color w:val="000000"/>
          <w:sz w:val="24"/>
          <w:u w:val="single"/>
        </w:rPr>
        <w:t>Collection Account</w:t>
      </w:r>
      <w:r>
        <w:rPr>
          <w:rFonts w:ascii="Times New Roman" w:hAnsi="Times New Roman"/>
          <w:color w:val="000000"/>
          <w:sz w:val="20"/>
        </w:rPr>
        <w:t xml:space="preserve">” </w:t>
      </w:r>
      <w:r>
        <w:rPr>
          <w:rFonts w:ascii="Times New Roman" w:hAnsi="Times New Roman"/>
          <w:color w:val="000000"/>
          <w:sz w:val="24"/>
        </w:rPr>
        <w:t>means a segregated account established by the Servicer with the Account Bank, in the name of the Borrower, for the benefit of the Secured Parties, into which all Collections shall be deposited.</w:t>
      </w:r>
    </w:p>
    <w:p>
      <w:pPr>
        <w:pStyle w:val="TextBody"/>
        <w:bidi w:val="0"/>
        <w:spacing w:before="0" w:after="240"/>
        <w:jc w:val="both"/>
        <w:rPr/>
      </w:pPr>
      <w:r>
        <w:rPr>
          <w:color w:val="000000"/>
        </w:rPr>
        <w:t>“</w:t>
      </w:r>
      <w:r>
        <w:rPr>
          <w:rFonts w:ascii="Times New Roman" w:hAnsi="Times New Roman"/>
          <w:color w:val="000000"/>
          <w:sz w:val="24"/>
          <w:u w:val="single"/>
        </w:rPr>
        <w:t>Collection Period</w:t>
      </w:r>
      <w:r>
        <w:rPr>
          <w:rFonts w:ascii="Times New Roman" w:hAnsi="Times New Roman"/>
          <w:color w:val="000000"/>
          <w:sz w:val="20"/>
        </w:rPr>
        <w:t xml:space="preserve">” </w:t>
      </w:r>
      <w:r>
        <w:rPr>
          <w:rFonts w:ascii="Times New Roman" w:hAnsi="Times New Roman"/>
          <w:color w:val="000000"/>
          <w:sz w:val="24"/>
        </w:rPr>
        <w:t>means, with respect to any Payment Date, the immediately preceding calendar month, except for the first Payment Date, in which case such term means the period beginning on the initial Cutoff Date to and including the last day of July 2019.</w:t>
      </w:r>
    </w:p>
    <w:p>
      <w:pPr>
        <w:pStyle w:val="TextBody"/>
        <w:bidi w:val="0"/>
        <w:spacing w:before="0" w:after="240"/>
        <w:jc w:val="both"/>
        <w:rPr/>
      </w:pPr>
      <w:r>
        <w:rPr>
          <w:color w:val="000000"/>
        </w:rPr>
        <w:t>“</w:t>
      </w:r>
      <w:r>
        <w:rPr>
          <w:rFonts w:ascii="Times New Roman" w:hAnsi="Times New Roman"/>
          <w:color w:val="000000"/>
          <w:sz w:val="24"/>
          <w:u w:val="single"/>
        </w:rPr>
        <w:t>Collections</w:t>
      </w:r>
      <w:r>
        <w:rPr>
          <w:rFonts w:ascii="Times New Roman" w:hAnsi="Times New Roman"/>
          <w:color w:val="000000"/>
          <w:sz w:val="20"/>
        </w:rPr>
        <w:t xml:space="preserve">” </w:t>
      </w:r>
      <w:r>
        <w:rPr>
          <w:rFonts w:ascii="Times New Roman" w:hAnsi="Times New Roman"/>
          <w:color w:val="000000"/>
          <w:sz w:val="24"/>
        </w:rPr>
        <w:t>means, with respect to any Collection Period and the related Payment Date, (i) all cash collections or other cash proceeds of any Receivable received by the Borrower, the Servicer and the Backup Servicer in its capacity as Successor Servicer (including from the Originator or the Borrower) from or on behalf of any Obligor in payment of any amounts owed in respect of such Receivable, including all Release Amounts or Release Price amounts deposited in the Collection Account pursuant to Section 5.04, Insurance Proceeds, interest earnings in the Accounts and all Recoveries, (ii) any other funds received by the Servicer (including from the Originator or the Borrower) with respect to any Receivable (exclusive of ancillary fees and extension fees, which may be retained by the Servicer), Financed Vehicle or any other Collateral (iii) all payments received by or on behalf of the Borrower pursuant to any Hedging Agreement or Hedge Transaction and (iv) all amounts received by the Borrower or the Servicer as proceeds of Collateral sold pursuant to Section 9.02(b)(iv); in each case received and deposited during or in respect of such Collection Period or such Payment Date.</w:t>
      </w:r>
    </w:p>
    <w:p>
      <w:pPr>
        <w:pStyle w:val="TextBody"/>
        <w:bidi w:val="0"/>
        <w:spacing w:before="0" w:after="240"/>
        <w:jc w:val="both"/>
        <w:rPr/>
      </w:pPr>
      <w:r>
        <w:rPr>
          <w:color w:val="000000"/>
        </w:rPr>
        <w:t>“</w:t>
      </w:r>
      <w:r>
        <w:rPr>
          <w:rFonts w:ascii="Times New Roman" w:hAnsi="Times New Roman"/>
          <w:color w:val="000000"/>
          <w:sz w:val="24"/>
          <w:u w:val="single"/>
        </w:rPr>
        <w:t>Commitmen</w:t>
      </w:r>
      <w:r>
        <w:rPr>
          <w:rFonts w:ascii="Times New Roman" w:hAnsi="Times New Roman"/>
          <w:color w:val="000000"/>
          <w:sz w:val="24"/>
        </w:rPr>
        <w:t>t” means, with respect to any Lender, the commitment of such Lender to fund Loans in an aggregate amount not to exceed the amount set forth below such Lender’s name on the signature pages of this Agreement, as such amount may be modified in accordance with the terms hereof.</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Commitment Proposed Extension Date</w:t>
      </w:r>
      <w:r>
        <w:rPr>
          <w:rFonts w:ascii="Times New Roman" w:hAnsi="Times New Roman"/>
          <w:color w:val="000000"/>
          <w:sz w:val="20"/>
        </w:rPr>
        <w:t xml:space="preserve">” </w:t>
      </w:r>
      <w:r>
        <w:rPr>
          <w:rFonts w:ascii="Times New Roman" w:hAnsi="Times New Roman"/>
          <w:color w:val="000000"/>
          <w:sz w:val="24"/>
        </w:rPr>
        <w:t xml:space="preserve">means the earlier of (i) a date no less than </w:t>
      </w:r>
      <w:r>
        <w:rPr>
          <w:rFonts w:ascii="Times New Roman" w:hAnsi="Times New Roman"/>
          <w:b/>
          <w:color w:val="000000"/>
          <w:sz w:val="24"/>
        </w:rPr>
        <w:t xml:space="preserve">[***] </w:t>
      </w:r>
      <w:r>
        <w:rPr>
          <w:rFonts w:ascii="Times New Roman" w:hAnsi="Times New Roman"/>
          <w:color w:val="000000"/>
          <w:sz w:val="24"/>
        </w:rPr>
        <w:t>days after the Closing Date or any date that the Commitment Termination Date is extended in accordance with Section 2.04 and (ii) each date upon which the Aggregate Commitment has been increased above $</w:t>
      </w:r>
      <w:r>
        <w:rPr>
          <w:rFonts w:ascii="Times New Roman" w:hAnsi="Times New Roman"/>
          <w:b/>
          <w:color w:val="000000"/>
          <w:sz w:val="24"/>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Commitment Termination Date</w:t>
      </w:r>
      <w:r>
        <w:rPr>
          <w:rFonts w:ascii="Times New Roman" w:hAnsi="Times New Roman"/>
          <w:color w:val="000000"/>
          <w:sz w:val="20"/>
        </w:rPr>
        <w:t xml:space="preserve">” </w:t>
      </w:r>
      <w:r>
        <w:rPr>
          <w:rFonts w:ascii="Times New Roman" w:hAnsi="Times New Roman"/>
          <w:color w:val="000000"/>
          <w:sz w:val="24"/>
        </w:rPr>
        <w:t>means the earlier of (i) August 28, 2026 or such later date to which the Commitment Termination Date may be extended in accordance with Section 2.04(a), (ii) the date on which a Commitment Termination Event occurs, and (iii) the Termination Date.</w:t>
      </w:r>
    </w:p>
    <w:p>
      <w:pPr>
        <w:pStyle w:val="TextBody"/>
        <w:bidi w:val="0"/>
        <w:spacing w:before="0" w:after="240"/>
        <w:jc w:val="both"/>
        <w:rPr/>
      </w:pPr>
      <w:r>
        <w:rPr>
          <w:color w:val="000000"/>
        </w:rPr>
        <w:t>“</w:t>
      </w:r>
      <w:r>
        <w:rPr>
          <w:rFonts w:ascii="Times New Roman" w:hAnsi="Times New Roman"/>
          <w:color w:val="000000"/>
          <w:sz w:val="24"/>
          <w:u w:val="single"/>
        </w:rPr>
        <w:t>Commitment Termination Event</w:t>
      </w:r>
      <w:r>
        <w:rPr>
          <w:rFonts w:ascii="Times New Roman" w:hAnsi="Times New Roman"/>
          <w:color w:val="000000"/>
          <w:sz w:val="20"/>
        </w:rPr>
        <w:t xml:space="preserve">” </w:t>
      </w:r>
      <w:r>
        <w:rPr>
          <w:rFonts w:ascii="Times New Roman" w:hAnsi="Times New Roman"/>
          <w:color w:val="000000"/>
          <w:sz w:val="24"/>
        </w:rPr>
        <w:t xml:space="preserve">means the earlier of (i) the failure of the Parent to maintain Available Liquidity equal to or greater than [***], tested on a daily basis and as of any Determination Date, and (ii) the occurrence of any Servicer Termination Event or Termination Event. For the avoidance of doubt, a Commitment Termination Event shall not constitute a Termination Event unless and until a further event specified in </w:t>
      </w:r>
      <w:r>
        <w:rPr>
          <w:rFonts w:ascii="Times New Roman" w:hAnsi="Times New Roman"/>
          <w:color w:val="000000"/>
          <w:sz w:val="24"/>
          <w:u w:val="single"/>
        </w:rPr>
        <w:t>Section 9.01(a)</w:t>
      </w:r>
      <w:r>
        <w:rPr>
          <w:rFonts w:ascii="Times New Roman" w:hAnsi="Times New Roman"/>
          <w:color w:val="000000"/>
          <w:sz w:val="20"/>
        </w:rPr>
        <w:t xml:space="preserve"> </w:t>
      </w:r>
      <w:r>
        <w:rPr>
          <w:rFonts w:ascii="Times New Roman" w:hAnsi="Times New Roman"/>
          <w:color w:val="000000"/>
          <w:sz w:val="24"/>
        </w:rPr>
        <w:t>occurs.</w:t>
      </w:r>
    </w:p>
    <w:p>
      <w:pPr>
        <w:pStyle w:val="TextBody"/>
        <w:bidi w:val="0"/>
        <w:spacing w:before="0" w:after="240"/>
        <w:jc w:val="both"/>
        <w:rPr/>
      </w:pPr>
      <w:r>
        <w:rPr>
          <w:color w:val="000000"/>
        </w:rPr>
        <w:t>“</w:t>
      </w:r>
      <w:r>
        <w:rPr>
          <w:rFonts w:ascii="Times New Roman" w:hAnsi="Times New Roman"/>
          <w:color w:val="000000"/>
          <w:sz w:val="24"/>
          <w:u w:val="single"/>
        </w:rPr>
        <w:t>Committed Lender</w:t>
      </w:r>
      <w:r>
        <w:rPr>
          <w:rFonts w:ascii="Times New Roman" w:hAnsi="Times New Roman"/>
          <w:color w:val="000000"/>
          <w:sz w:val="20"/>
        </w:rPr>
        <w:t xml:space="preserve">” </w:t>
      </w:r>
      <w:r>
        <w:rPr>
          <w:rFonts w:ascii="Times New Roman" w:hAnsi="Times New Roman"/>
          <w:color w:val="000000"/>
          <w:sz w:val="24"/>
        </w:rPr>
        <w:t>means any Lender that is designated as a Committed Lender in the Assignment and Acceptance pursuant to which it became a party to this Agreement, and any assignee of such Lender to the extent of the portion of such Commitment assumed by such assignee pursuant to its respective Assignment and Acceptance.</w:t>
      </w:r>
    </w:p>
    <w:p>
      <w:pPr>
        <w:pStyle w:val="TextBody"/>
        <w:bidi w:val="0"/>
        <w:spacing w:before="0" w:after="240"/>
        <w:jc w:val="both"/>
        <w:rPr/>
      </w:pPr>
      <w:r>
        <w:rPr>
          <w:color w:val="000000"/>
        </w:rPr>
        <w:t>“</w:t>
      </w:r>
      <w:r>
        <w:rPr>
          <w:rFonts w:ascii="Times New Roman" w:hAnsi="Times New Roman"/>
          <w:color w:val="000000"/>
          <w:sz w:val="24"/>
          <w:u w:val="single"/>
        </w:rPr>
        <w:t>Concentration Limits</w:t>
      </w:r>
      <w:r>
        <w:rPr>
          <w:rFonts w:ascii="Times New Roman" w:hAnsi="Times New Roman"/>
          <w:color w:val="000000"/>
          <w:sz w:val="20"/>
        </w:rPr>
        <w:t xml:space="preserve">” </w:t>
      </w:r>
      <w:r>
        <w:rPr>
          <w:rFonts w:ascii="Times New Roman" w:hAnsi="Times New Roman"/>
          <w:color w:val="000000"/>
          <w:sz w:val="24"/>
        </w:rPr>
        <w:t>means that, as of any day, based on the aggregate Net Principal Balance of the Eligible Receivables (excluding any Receivables that are Acquired Portfolio Receivables):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Based on the billing addresses of the related Obligors, (a) the State having the highest aggregate Net Principal Balance of the Receivables does not account for more than with respect to (1) any State other than the States of California and Texas, [***]% of the aggregate Net Principal Balance, (2) the State of California, [***]% of the aggregate Net Principal Balance and (3) the State of Texas, [***]% of the aggregate Net Principal Balance, (b) each of the two States having the second and third highest aggregate Net Principal Balance of the Receivables does not account for more than [***]% of the aggregate Net Principal Balance, (c) the State having the fourth highest aggregate Net Principal Balance of the Receivables does not account for more than [***]% of the aggregate Net Principal Balance and (d) no other State’s aggregate Net Principal Balance of the Receivables accounts for more than [***]% of the aggregate Net Principal Balance;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No more than [***]% of the aggregate Net Principal Balance of the Eligible Receivables has original terms greater than [***] months related to Financed Vehicles with mileages greater than </w:t>
      </w:r>
      <w:r>
        <w:rPr>
          <w:rFonts w:ascii="Times New Roman" w:hAnsi="Times New Roman"/>
          <w:b/>
          <w:color w:val="000000"/>
          <w:sz w:val="24"/>
        </w:rPr>
        <w:t xml:space="preserve">[***] </w:t>
      </w:r>
      <w:r>
        <w:rPr>
          <w:rFonts w:ascii="Times New Roman" w:hAnsi="Times New Roman"/>
          <w:color w:val="000000"/>
          <w:sz w:val="24"/>
        </w:rPr>
        <w:t>miles;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No Dealer (excluding any Dealer associated with the Vroom Origination Channel) accounts for more than [***]% of the aggregate Net Principal Balance of the Eligible Receivables, and (b) the Dealers (excluding any Dealer associated with the Vroom Origination Channel) having the first, second and third highest aggregate Net Principal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Balance of Eligible Receivables collectively do not account for more than [***]% of the aggregate Net Principal Balance of the Eligible Receivables;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more than [***]% of the aggregate Net Principal Balance of the Eligible Receivables relates to Receivables with respect to which the related APR is greater than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more than [***]% of the aggregate Net Principal Balance of the Eligible Receivables relates to Vroom Receivables;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weighted average Payment-to-Income Ratio of all Eligible Receivables shall not exceed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more than [***]% of the aggregate Net Principal Balance of the Eligible Receivables has a Payment-to-Income Ratio greater than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weighted average Debt-to-Income Ratio of all Eligible Receivables shall not exceed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more than [***]% of the aggregate Net Principal Balance of the Eligible Receivables has a Debt-to-Income Ratio greater than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more than [***]% of the aggregate Net Principal Balance of the Eligible Receivables was originated in 2022;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weighted average credit bureau score (for non-zero scores) of all Obligors of Eligible Receivables shall not be less than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w:t>
      </w:r>
    </w:p>
    <w:p>
      <w:pPr>
        <w:pStyle w:val="TextBody"/>
        <w:bidi w:val="0"/>
        <w:spacing w:before="0" w:after="240"/>
        <w:jc w:val="both"/>
        <w:rPr/>
      </w:pPr>
      <w:r>
        <w:rPr>
          <w:rFonts w:ascii="Times New Roman" w:hAnsi="Times New Roman"/>
          <w:color w:val="000000"/>
          <w:sz w:val="24"/>
        </w:rPr>
        <w:t>The weighted average Principal Balance of all Eligible Receivables shall not be greater than $</w:t>
      </w:r>
      <w:r>
        <w:rPr>
          <w:rFonts w:ascii="Times New Roman" w:hAnsi="Times New Roman"/>
          <w:b/>
          <w:color w:val="000000"/>
          <w:sz w:val="24"/>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weighted average Loan-to-Value Ratio (CarStory) of all Eligible Receivables shall not be greater than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more than [***]% of the aggregate Net Principal Balance of the Eligible Receivables has a Loan-to-Value Ratio (KBB/NADA) greater than [***]%;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weighted average Loan-to-Value Ratio (KBB/NADA) of all Eligible Receivables shall not be greater than [***]%.</w:t>
      </w:r>
    </w:p>
    <w:p>
      <w:pPr>
        <w:pStyle w:val="TextBody"/>
        <w:bidi w:val="0"/>
        <w:spacing w:before="0" w:after="240"/>
        <w:jc w:val="both"/>
        <w:rPr/>
      </w:pPr>
      <w:r>
        <w:rPr>
          <w:color w:val="000000"/>
        </w:rPr>
        <w:t>“</w:t>
      </w:r>
      <w:r>
        <w:rPr>
          <w:rFonts w:ascii="Times New Roman" w:hAnsi="Times New Roman"/>
          <w:color w:val="000000"/>
          <w:sz w:val="24"/>
          <w:u w:val="single"/>
        </w:rPr>
        <w:t>Conforming Changes</w:t>
      </w:r>
      <w:r>
        <w:rPr>
          <w:rFonts w:ascii="Times New Roman" w:hAnsi="Times New Roman"/>
          <w:color w:val="000000"/>
          <w:sz w:val="20"/>
        </w:rPr>
        <w:t xml:space="preserve">” </w:t>
      </w:r>
      <w:r>
        <w:rPr>
          <w:rFonts w:ascii="Times New Roman" w:hAnsi="Times New Roman"/>
          <w:color w:val="000000"/>
          <w:sz w:val="24"/>
        </w:rPr>
        <w:t>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2.18 and other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Basic Documents).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Confidential Information</w:t>
      </w:r>
      <w:r>
        <w:rPr>
          <w:rFonts w:ascii="Times New Roman" w:hAnsi="Times New Roman"/>
          <w:color w:val="000000"/>
          <w:sz w:val="20"/>
        </w:rPr>
        <w:t xml:space="preserve">” </w:t>
      </w:r>
      <w:r>
        <w:rPr>
          <w:rFonts w:ascii="Times New Roman" w:hAnsi="Times New Roman"/>
          <w:color w:val="000000"/>
          <w:sz w:val="24"/>
        </w:rPr>
        <w:t>means any information with respect to the Borrower or UACC, their respective businesses or financial condition, the Receivables or Serviced Portfolio Receivables and includes (i) information transmitted in written, oral, magnetic or any other medium, (ii) all copies and reproductions, in whole or in part, of such information and (iii) all summaries, analyses, compilations, studies, notes or other records which contain, reflect or are generated from such information; provided, that Confidential Information does not include, with respect to a Person, information that (a) was already known to such Person and such knowledge was not obtained from any other entity who was known by such Person to be subject to an obligation of confidentiality or otherwise prohibited from transmitting such information to such Person, (b) is or has become part of the public domain through no act or omission of such Person, (c) is or was lawfully disclosed to such Person without restriction on disclosure by a third party, (d) is or was developed independently by such Person or (e) is or was lawfully and independently provided to such Person from a third party who is not known by such Person to be subject to an obligation of confidentiality or otherwise prohibited from transmitting such information.</w:t>
      </w:r>
    </w:p>
    <w:p>
      <w:pPr>
        <w:pStyle w:val="TextBody"/>
        <w:bidi w:val="0"/>
        <w:spacing w:before="0" w:after="240"/>
        <w:jc w:val="both"/>
        <w:rPr/>
      </w:pPr>
      <w:r>
        <w:rPr>
          <w:color w:val="000000"/>
        </w:rPr>
        <w:t>“</w:t>
      </w:r>
      <w:r>
        <w:rPr>
          <w:rFonts w:ascii="Times New Roman" w:hAnsi="Times New Roman"/>
          <w:color w:val="000000"/>
          <w:sz w:val="24"/>
          <w:u w:val="single"/>
        </w:rPr>
        <w:t>Continued Errors</w:t>
      </w:r>
      <w:r>
        <w:rPr>
          <w:rFonts w:ascii="Times New Roman" w:hAnsi="Times New Roman"/>
          <w:color w:val="000000"/>
          <w:sz w:val="20"/>
        </w:rPr>
        <w:t xml:space="preserve">” </w:t>
      </w:r>
      <w:r>
        <w:rPr>
          <w:rFonts w:ascii="Times New Roman" w:hAnsi="Times New Roman"/>
          <w:color w:val="000000"/>
          <w:sz w:val="24"/>
        </w:rPr>
        <w:t>has the meaning given to such term in Section 7.10(e).</w:t>
      </w:r>
    </w:p>
    <w:p>
      <w:pPr>
        <w:pStyle w:val="TextBody"/>
        <w:bidi w:val="0"/>
        <w:spacing w:before="0" w:after="240"/>
        <w:jc w:val="both"/>
        <w:rPr/>
      </w:pPr>
      <w:r>
        <w:rPr>
          <w:color w:val="000000"/>
        </w:rPr>
        <w:t>“</w:t>
      </w:r>
      <w:r>
        <w:rPr>
          <w:rFonts w:ascii="Times New Roman" w:hAnsi="Times New Roman"/>
          <w:color w:val="000000"/>
          <w:sz w:val="24"/>
          <w:u w:val="single"/>
        </w:rPr>
        <w:t>Contract</w:t>
      </w:r>
      <w:r>
        <w:rPr>
          <w:rFonts w:ascii="Times New Roman" w:hAnsi="Times New Roman"/>
          <w:color w:val="000000"/>
          <w:sz w:val="20"/>
        </w:rPr>
        <w:t xml:space="preserve">” </w:t>
      </w:r>
      <w:r>
        <w:rPr>
          <w:rFonts w:ascii="Times New Roman" w:hAnsi="Times New Roman"/>
          <w:color w:val="000000"/>
          <w:sz w:val="24"/>
        </w:rPr>
        <w:t>means any retail installment sale contract executed by an Obligor for a Financed Vehicle under which an extension of credit by the Originator is made in the ordinary course of business to such Obligor and which is secured by the related Financed Vehicle which the Borrower acquires all right, title or interest to from UACC pursuant to the Purchase Agreement or a related Transfer Agreement.</w:t>
      </w:r>
    </w:p>
    <w:p>
      <w:pPr>
        <w:pStyle w:val="TextBody"/>
        <w:bidi w:val="0"/>
        <w:spacing w:before="0" w:after="240"/>
        <w:jc w:val="both"/>
        <w:rPr/>
      </w:pPr>
      <w:r>
        <w:rPr>
          <w:color w:val="000000"/>
        </w:rPr>
        <w:t>“</w:t>
      </w:r>
      <w:r>
        <w:rPr>
          <w:rFonts w:ascii="Times New Roman" w:hAnsi="Times New Roman"/>
          <w:color w:val="000000"/>
          <w:sz w:val="24"/>
          <w:u w:val="single"/>
        </w:rPr>
        <w:t>Contractual Obligation</w:t>
      </w:r>
      <w:r>
        <w:rPr>
          <w:rFonts w:ascii="Times New Roman" w:hAnsi="Times New Roman"/>
          <w:color w:val="000000"/>
          <w:sz w:val="20"/>
        </w:rPr>
        <w:t xml:space="preserve">” </w:t>
      </w:r>
      <w:r>
        <w:rPr>
          <w:rFonts w:ascii="Times New Roman" w:hAnsi="Times New Roman"/>
          <w:color w:val="000000"/>
          <w:sz w:val="24"/>
        </w:rPr>
        <w:t>means, with respect to any Person, any provision of any securities issued by such Person or any indenture, mortgage, deed of trust, contract, undertaking, agreement, instrument or other document to which such Person is a party or by which it or any of its property is bound or is subject.</w:t>
      </w:r>
    </w:p>
    <w:p>
      <w:pPr>
        <w:pStyle w:val="TextBody"/>
        <w:bidi w:val="0"/>
        <w:spacing w:before="0" w:after="240"/>
        <w:jc w:val="both"/>
        <w:rPr/>
      </w:pPr>
      <w:r>
        <w:rPr>
          <w:color w:val="000000"/>
        </w:rPr>
        <w:t>“</w:t>
      </w:r>
      <w:r>
        <w:rPr>
          <w:rFonts w:ascii="Times New Roman" w:hAnsi="Times New Roman"/>
          <w:color w:val="000000"/>
          <w:sz w:val="24"/>
          <w:u w:val="single"/>
        </w:rPr>
        <w:t>Control</w:t>
      </w:r>
      <w:r>
        <w:rPr>
          <w:rFonts w:ascii="Times New Roman" w:hAnsi="Times New Roman"/>
          <w:color w:val="000000"/>
          <w:sz w:val="20"/>
        </w:rPr>
        <w:t xml:space="preserve">” </w:t>
      </w:r>
      <w:r>
        <w:rPr>
          <w:rFonts w:ascii="Times New Roman" w:hAnsi="Times New Roman"/>
          <w:color w:val="000000"/>
          <w:sz w:val="24"/>
        </w:rPr>
        <w:t>means the possession, directly or indirectly, of the power to direct or cause the direction of the management or policies of an entity, whether through the ability to exercise voting power, by contract or otherwise. (“Controlled” and “Controlling” have the meaning correlative thereto).</w:t>
      </w:r>
    </w:p>
    <w:p>
      <w:pPr>
        <w:pStyle w:val="TextBody"/>
        <w:bidi w:val="0"/>
        <w:spacing w:before="0" w:after="240"/>
        <w:jc w:val="both"/>
        <w:rPr/>
      </w:pPr>
      <w:r>
        <w:rPr>
          <w:color w:val="000000"/>
        </w:rPr>
        <w:t>“</w:t>
      </w:r>
      <w:r>
        <w:rPr>
          <w:rFonts w:ascii="Times New Roman" w:hAnsi="Times New Roman"/>
          <w:color w:val="000000"/>
          <w:sz w:val="24"/>
          <w:u w:val="single"/>
        </w:rPr>
        <w:t>Cram Down Loss</w:t>
      </w:r>
      <w:r>
        <w:rPr>
          <w:rFonts w:ascii="Times New Roman" w:hAnsi="Times New Roman"/>
          <w:color w:val="000000"/>
          <w:sz w:val="20"/>
        </w:rPr>
        <w:t xml:space="preserve">” </w:t>
      </w:r>
      <w:r>
        <w:rPr>
          <w:rFonts w:ascii="Times New Roman" w:hAnsi="Times New Roman"/>
          <w:color w:val="000000"/>
          <w:sz w:val="24"/>
        </w:rPr>
        <w:t>means, with respect to a Receivable, if a court of appropriate jurisdiction in an Insolvency Proceeding shall have issued an order reducing the amount owed on a Receivable or otherwise modifying or restructuring Scheduled Payments to be made on a Receivable, an amount equal to such reduction in the Principal Balance of such Receivable or the reduction in the net present value (using as the discount rate the lower of the contract rate or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rate of interest specified by the court in such order) of the Scheduled Payments as so modified or restructured. A “Cram Down Loss” shall be deemed to have occurred on the date such order is entered.</w:t>
      </w:r>
    </w:p>
    <w:p>
      <w:pPr>
        <w:pStyle w:val="TextBody"/>
        <w:bidi w:val="0"/>
        <w:spacing w:before="0" w:after="240"/>
        <w:jc w:val="both"/>
        <w:rPr/>
      </w:pPr>
      <w:r>
        <w:rPr>
          <w:color w:val="000000"/>
        </w:rPr>
        <w:t>“</w:t>
      </w:r>
      <w:r>
        <w:rPr>
          <w:rFonts w:ascii="Times New Roman" w:hAnsi="Times New Roman"/>
          <w:color w:val="000000"/>
          <w:sz w:val="24"/>
          <w:u w:val="single"/>
        </w:rPr>
        <w:t>Credit and Collection Policy</w:t>
      </w:r>
      <w:r>
        <w:rPr>
          <w:rFonts w:ascii="Times New Roman" w:hAnsi="Times New Roman"/>
          <w:color w:val="000000"/>
          <w:sz w:val="20"/>
        </w:rPr>
        <w:t xml:space="preserve">” </w:t>
      </w:r>
      <w:r>
        <w:rPr>
          <w:rFonts w:ascii="Times New Roman" w:hAnsi="Times New Roman"/>
          <w:color w:val="000000"/>
          <w:sz w:val="24"/>
        </w:rPr>
        <w:t>means, (x) with respect to the initial Servicer, the credit and collection policies of the Servicer or (y) with respect to any Successor Servicer, the customary credit and collection policies of such Successor Servicer. The Credit and Collection Policy, as in effect on the Closing Date, is attached hereto as Exhibit D.</w:t>
      </w:r>
    </w:p>
    <w:p>
      <w:pPr>
        <w:pStyle w:val="TextBody"/>
        <w:bidi w:val="0"/>
        <w:spacing w:before="0" w:after="240"/>
        <w:jc w:val="both"/>
        <w:rPr/>
      </w:pPr>
      <w:r>
        <w:rPr>
          <w:color w:val="000000"/>
        </w:rPr>
        <w:t>“</w:t>
      </w:r>
      <w:r>
        <w:rPr>
          <w:rFonts w:ascii="Times New Roman" w:hAnsi="Times New Roman"/>
          <w:color w:val="000000"/>
          <w:sz w:val="24"/>
          <w:u w:val="single"/>
        </w:rPr>
        <w:t>Custodian</w:t>
      </w:r>
      <w:r>
        <w:rPr>
          <w:rFonts w:ascii="Times New Roman" w:hAnsi="Times New Roman"/>
          <w:color w:val="000000"/>
          <w:sz w:val="20"/>
        </w:rPr>
        <w:t xml:space="preserve">” </w:t>
      </w:r>
      <w:r>
        <w:rPr>
          <w:rFonts w:ascii="Times New Roman" w:hAnsi="Times New Roman"/>
          <w:color w:val="000000"/>
          <w:sz w:val="24"/>
        </w:rPr>
        <w:t xml:space="preserve">means, (i) so long as no Custodian Termination Event has occurred, UACC, acting directly as Custodian and/or </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as an agent of UACC, and (ii) following the occurrence of a Custodian Termination Event, [***] or a different successor custodian appointed pursuant to Section 7.19(j).</w:t>
      </w:r>
    </w:p>
    <w:p>
      <w:pPr>
        <w:pStyle w:val="TextBody"/>
        <w:bidi w:val="0"/>
        <w:spacing w:before="0" w:after="240"/>
        <w:jc w:val="both"/>
        <w:rPr/>
      </w:pPr>
      <w:r>
        <w:rPr>
          <w:color w:val="000000"/>
        </w:rPr>
        <w:t>“</w:t>
      </w:r>
      <w:r>
        <w:rPr>
          <w:rFonts w:ascii="Times New Roman" w:hAnsi="Times New Roman"/>
          <w:color w:val="000000"/>
          <w:sz w:val="24"/>
          <w:u w:val="single"/>
        </w:rPr>
        <w:t>Custodian Fee</w:t>
      </w:r>
      <w:r>
        <w:rPr>
          <w:rFonts w:ascii="Times New Roman" w:hAnsi="Times New Roman"/>
          <w:color w:val="000000"/>
          <w:sz w:val="20"/>
        </w:rPr>
        <w:t xml:space="preserve">” </w:t>
      </w:r>
      <w:r>
        <w:rPr>
          <w:rFonts w:ascii="Times New Roman" w:hAnsi="Times New Roman"/>
          <w:color w:val="000000"/>
          <w:sz w:val="24"/>
        </w:rPr>
        <w:t>means the fee payable to the Custodian on each Payment Date in accordance with Section 2.12(b), in an amount equal to, if the Custodian is (i) UACC, $0 (as the Servicing Fee covers the compensation of UACC as Custodian), and (ii) any entity other than UACC, the amount agreed upon by such Custodian, the Borrower and the Administrative Agent.</w:t>
      </w:r>
    </w:p>
    <w:p>
      <w:pPr>
        <w:pStyle w:val="TextBody"/>
        <w:bidi w:val="0"/>
        <w:spacing w:before="0" w:after="240"/>
        <w:jc w:val="both"/>
        <w:rPr/>
      </w:pPr>
      <w:r>
        <w:rPr>
          <w:color w:val="000000"/>
        </w:rPr>
        <w:t>“</w:t>
      </w:r>
      <w:r>
        <w:rPr>
          <w:rFonts w:ascii="Times New Roman" w:hAnsi="Times New Roman"/>
          <w:color w:val="000000"/>
          <w:sz w:val="24"/>
          <w:u w:val="single"/>
        </w:rPr>
        <w:t>Custodian Termination Event</w:t>
      </w:r>
      <w:r>
        <w:rPr>
          <w:rFonts w:ascii="Times New Roman" w:hAnsi="Times New Roman"/>
          <w:color w:val="000000"/>
          <w:sz w:val="20"/>
        </w:rPr>
        <w:t xml:space="preserve">” </w:t>
      </w:r>
      <w:r>
        <w:rPr>
          <w:rFonts w:ascii="Times New Roman" w:hAnsi="Times New Roman"/>
          <w:color w:val="000000"/>
          <w:sz w:val="24"/>
        </w:rPr>
        <w:t xml:space="preserve">means </w:t>
      </w:r>
      <w:r>
        <w:rPr>
          <w:rFonts w:ascii="Times New Roman" w:hAnsi="Times New Roman"/>
          <w:b/>
          <w:color w:val="000000"/>
          <w:sz w:val="24"/>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Cutoff Date</w:t>
      </w:r>
      <w:r>
        <w:rPr>
          <w:rFonts w:ascii="Times New Roman" w:hAnsi="Times New Roman"/>
          <w:color w:val="000000"/>
          <w:sz w:val="20"/>
        </w:rPr>
        <w:t xml:space="preserve">” </w:t>
      </w:r>
      <w:r>
        <w:rPr>
          <w:rFonts w:ascii="Times New Roman" w:hAnsi="Times New Roman"/>
          <w:color w:val="000000"/>
          <w:sz w:val="24"/>
        </w:rPr>
        <w:t>means, with respect to Receivables transferred to the Borrower on each Funding Date, such date as shall be identified as the Cutoff Date in the related Funding Request.</w:t>
      </w:r>
    </w:p>
    <w:p>
      <w:pPr>
        <w:pStyle w:val="TextBody"/>
        <w:bidi w:val="0"/>
        <w:spacing w:before="0" w:after="240"/>
        <w:jc w:val="both"/>
        <w:rPr/>
      </w:pPr>
      <w:r>
        <w:rPr>
          <w:color w:val="000000"/>
        </w:rPr>
        <w:t>“</w:t>
      </w:r>
      <w:r>
        <w:rPr>
          <w:rFonts w:ascii="Times New Roman" w:hAnsi="Times New Roman"/>
          <w:color w:val="000000"/>
          <w:sz w:val="24"/>
          <w:u w:val="single"/>
        </w:rPr>
        <w:t>Dealer</w:t>
      </w:r>
      <w:r>
        <w:rPr>
          <w:rFonts w:ascii="Times New Roman" w:hAnsi="Times New Roman"/>
          <w:color w:val="000000"/>
          <w:sz w:val="20"/>
        </w:rPr>
        <w:t xml:space="preserve">” </w:t>
      </w:r>
      <w:r>
        <w:rPr>
          <w:rFonts w:ascii="Times New Roman" w:hAnsi="Times New Roman"/>
          <w:color w:val="000000"/>
          <w:sz w:val="24"/>
        </w:rPr>
        <w:t>means a franchised or independently owned automobile dealer that sold a Financed Vehicle to an Obligor and through which the Contract and related Receivable were originated by the Dealer, which Contract and Receivable were assigned by such Dealer to the Originator pursuant to the related Dealer Agreement, were assigned by the Originator to the Borrower pursuant to the Purchase Agreement and are collaterally assigned to the Administrative Agent hereunder.</w:t>
      </w:r>
    </w:p>
    <w:p>
      <w:pPr>
        <w:pStyle w:val="TextBody"/>
        <w:bidi w:val="0"/>
        <w:spacing w:before="0" w:after="240"/>
        <w:jc w:val="both"/>
        <w:rPr/>
      </w:pPr>
      <w:r>
        <w:rPr>
          <w:color w:val="000000"/>
        </w:rPr>
        <w:t>“</w:t>
      </w:r>
      <w:r>
        <w:rPr>
          <w:rFonts w:ascii="Times New Roman" w:hAnsi="Times New Roman"/>
          <w:color w:val="000000"/>
          <w:sz w:val="24"/>
          <w:u w:val="single"/>
        </w:rPr>
        <w:t>Dealer Agreement</w:t>
      </w:r>
      <w:r>
        <w:rPr>
          <w:rFonts w:ascii="Times New Roman" w:hAnsi="Times New Roman"/>
          <w:color w:val="000000"/>
          <w:sz w:val="20"/>
        </w:rPr>
        <w:t xml:space="preserve">” </w:t>
      </w:r>
      <w:r>
        <w:rPr>
          <w:rFonts w:ascii="Times New Roman" w:hAnsi="Times New Roman"/>
          <w:color w:val="000000"/>
          <w:sz w:val="24"/>
        </w:rPr>
        <w:t>means an existing agreement between a Dealer and the Originator regarding the terms and conditions of the acquisition by the Originator from such Dealer of Contracts and the related Receivables, which agreement includes (i) certain representations, warranties and covenants of such Dealer with respect to the Contracts and related Receivables sold by such Dealer, including that such Dealer has all applicable licenses and approvals to originate Receivables that are Eligible Receivables, and (ii) the agreement of such Dealer to repurchase Contracts and any related Receivable with respect to which one or more of such representations and warranties has been breached.</w:t>
      </w:r>
    </w:p>
    <w:p>
      <w:pPr>
        <w:pStyle w:val="TextBody"/>
        <w:bidi w:val="0"/>
        <w:spacing w:before="0" w:after="240"/>
        <w:jc w:val="both"/>
        <w:rPr/>
      </w:pPr>
      <w:r>
        <w:rPr>
          <w:color w:val="000000"/>
        </w:rPr>
        <w:t>“</w:t>
      </w:r>
      <w:r>
        <w:rPr>
          <w:rFonts w:ascii="Times New Roman" w:hAnsi="Times New Roman"/>
          <w:color w:val="000000"/>
          <w:sz w:val="24"/>
          <w:u w:val="single"/>
        </w:rPr>
        <w:t>Debt-to-Income Ratio</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DTI</w:t>
      </w:r>
      <w:r>
        <w:rPr>
          <w:rFonts w:ascii="Times New Roman" w:hAnsi="Times New Roman"/>
          <w:color w:val="000000"/>
          <w:sz w:val="20"/>
        </w:rPr>
        <w:t xml:space="preserve">” </w:t>
      </w:r>
      <w:r>
        <w:rPr>
          <w:rFonts w:ascii="Times New Roman" w:hAnsi="Times New Roman"/>
          <w:color w:val="000000"/>
          <w:sz w:val="24"/>
        </w:rPr>
        <w:t>means with respect to any Receivable, , as of the related origination date, the ratio (expressed as a percentage) of (i) the sum of the scheduled monthly payment due from the related Obligor under such Receivable and all other monthly debt obligations of such Obligor (as reported in the related credit application or credit bureau report at the time of origination) to (ii) the gross monthly income of such Obligor as stated in the related credit application or as otherwise verified by the Originator at the time of origination of such Receivable.</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Default Rate</w:t>
      </w:r>
      <w:r>
        <w:rPr>
          <w:rFonts w:ascii="Times New Roman" w:hAnsi="Times New Roman"/>
          <w:color w:val="000000"/>
          <w:sz w:val="20"/>
        </w:rPr>
        <w:t xml:space="preserve">” </w:t>
      </w:r>
      <w:r>
        <w:rPr>
          <w:rFonts w:ascii="Times New Roman" w:hAnsi="Times New Roman"/>
          <w:color w:val="000000"/>
          <w:sz w:val="24"/>
        </w:rPr>
        <w:t>means the sum of (a) the Interest Rate and (b) [***]%.</w:t>
      </w:r>
    </w:p>
    <w:p>
      <w:pPr>
        <w:pStyle w:val="TextBody"/>
        <w:bidi w:val="0"/>
        <w:spacing w:before="0" w:after="240"/>
        <w:jc w:val="both"/>
        <w:rPr/>
      </w:pPr>
      <w:r>
        <w:rPr>
          <w:color w:val="000000"/>
        </w:rPr>
        <w:t>“</w:t>
      </w:r>
      <w:r>
        <w:rPr>
          <w:rFonts w:ascii="Times New Roman" w:hAnsi="Times New Roman"/>
          <w:color w:val="000000"/>
          <w:sz w:val="24"/>
          <w:u w:val="single"/>
        </w:rPr>
        <w:t>Defaulted Receivable</w:t>
      </w:r>
      <w:r>
        <w:rPr>
          <w:rFonts w:ascii="Times New Roman" w:hAnsi="Times New Roman"/>
          <w:color w:val="000000"/>
          <w:sz w:val="20"/>
        </w:rPr>
        <w:t xml:space="preserve">” </w:t>
      </w:r>
      <w:r>
        <w:rPr>
          <w:rFonts w:ascii="Times New Roman" w:hAnsi="Times New Roman"/>
          <w:color w:val="000000"/>
          <w:sz w:val="24"/>
        </w:rPr>
        <w:t>means, with respect to any Collection Period, a Receivable for which, as of the last day of such Collection Period, (i) the Servicer has repossessed the related Financed Vehicle and either (a) the Servicer has sold and received proceeds on each sale for such Financed Vehicle and received the proceeds of such sale or (b) 90 days have passed since repossession, (ii) the Servicer has determined in good faith and in accordance with the Credit and Collection Policy that it has received all amounts it expects to recover, (iii) [***]% or more of a scheduled payment became 121 or more days delinquent (or 211 or more days delinquent, in the case of a repossessed Financed Vehicle) or (iv) the Servicer has settled such Receivable in accordance with the Credit and Collection Policy.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Delinquency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percentage equivalent of a fraction, (i) the numerator of which equals the aggregate Principal Balance of all Delinquent Receivables as of the related Determination Date and (ii) the denominator of which equals the sum of (A) the aggregate Principal Balance of all Eligible Receivables as of such Determination Date and (B) the aggregate Principal Balance of all Delinquent Receivables as of such Determination Date.</w:t>
      </w:r>
    </w:p>
    <w:p>
      <w:pPr>
        <w:pStyle w:val="TextBody"/>
        <w:bidi w:val="0"/>
        <w:spacing w:before="0" w:after="240"/>
        <w:jc w:val="both"/>
        <w:rPr/>
      </w:pPr>
      <w:r>
        <w:rPr>
          <w:color w:val="000000"/>
        </w:rPr>
        <w:t>“</w:t>
      </w:r>
      <w:r>
        <w:rPr>
          <w:rFonts w:ascii="Times New Roman" w:hAnsi="Times New Roman"/>
          <w:color w:val="000000"/>
          <w:sz w:val="24"/>
          <w:u w:val="single"/>
        </w:rPr>
        <w:t>Delinquent Receivable</w:t>
      </w:r>
      <w:r>
        <w:rPr>
          <w:rFonts w:ascii="Times New Roman" w:hAnsi="Times New Roman"/>
          <w:color w:val="000000"/>
          <w:sz w:val="20"/>
        </w:rPr>
        <w:t xml:space="preserve">” </w:t>
      </w:r>
      <w:r>
        <w:rPr>
          <w:rFonts w:ascii="Times New Roman" w:hAnsi="Times New Roman"/>
          <w:color w:val="000000"/>
          <w:sz w:val="24"/>
        </w:rPr>
        <w:t>means any Receivable, other than a Defaulted Receivable, with respect to which more than [***]% of any Scheduled Payment remains unpaid for more than 60 days after the related due date as of any Determination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Deliver</w:t>
      </w:r>
      <w:r>
        <w:rPr>
          <w:rFonts w:ascii="Times New Roman" w:hAnsi="Times New Roman"/>
          <w:color w:val="000000"/>
          <w:sz w:val="20"/>
        </w:rPr>
        <w:t xml:space="preserve">” </w:t>
      </w:r>
      <w:r>
        <w:rPr>
          <w:rFonts w:ascii="Times New Roman" w:hAnsi="Times New Roman"/>
          <w:color w:val="000000"/>
          <w:sz w:val="24"/>
        </w:rPr>
        <w:t>means (x) with respect to a Tangible Contract or other item in a Receivable File (other than an Electronic Contract), to deliver physical possession of such Tangible Contract or item via personal delivery or reputable overnight delivery service and (y) with respect to an Electronic Contract, to initiate a transfer (or cause the Originator to initiate a transfer) of such Electronic Contract from the Originator Vault Partition to the Warehouse Vault Partition. The terms “</w:t>
      </w:r>
      <w:r>
        <w:rPr>
          <w:rFonts w:ascii="Times New Roman" w:hAnsi="Times New Roman"/>
          <w:color w:val="000000"/>
          <w:sz w:val="24"/>
          <w:u w:val="single"/>
        </w:rPr>
        <w:t>Delivery</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Delivered</w:t>
      </w:r>
      <w:r>
        <w:rPr>
          <w:rFonts w:ascii="Times New Roman" w:hAnsi="Times New Roman"/>
          <w:color w:val="000000"/>
          <w:sz w:val="20"/>
        </w:rPr>
        <w:t xml:space="preserve">” </w:t>
      </w:r>
      <w:r>
        <w:rPr>
          <w:rFonts w:ascii="Times New Roman" w:hAnsi="Times New Roman"/>
          <w:color w:val="000000"/>
          <w:sz w:val="24"/>
        </w:rPr>
        <w:t>have corollary meanings.</w:t>
      </w:r>
    </w:p>
    <w:p>
      <w:pPr>
        <w:pStyle w:val="TextBody"/>
        <w:bidi w:val="0"/>
        <w:spacing w:before="0" w:after="240"/>
        <w:jc w:val="both"/>
        <w:rPr/>
      </w:pPr>
      <w:r>
        <w:rPr>
          <w:color w:val="000000"/>
        </w:rPr>
        <w:t>“</w:t>
      </w:r>
      <w:r>
        <w:rPr>
          <w:rFonts w:ascii="Times New Roman" w:hAnsi="Times New Roman"/>
          <w:color w:val="000000"/>
          <w:sz w:val="24"/>
          <w:u w:val="single"/>
        </w:rPr>
        <w:t>Derivative</w:t>
      </w:r>
      <w:r>
        <w:rPr>
          <w:rFonts w:ascii="Times New Roman" w:hAnsi="Times New Roman"/>
          <w:color w:val="000000"/>
          <w:sz w:val="20"/>
        </w:rPr>
        <w:t xml:space="preserve">” </w:t>
      </w:r>
      <w:r>
        <w:rPr>
          <w:rFonts w:ascii="Times New Roman" w:hAnsi="Times New Roman"/>
          <w:color w:val="000000"/>
          <w:sz w:val="24"/>
        </w:rPr>
        <w:t>means any (i) exchange-traded or over-the-counter forward, future, option, swap, cap, collar, floor or foreign exchange contract or any combination of the foregoing, whether for physical delivery or cash settlement, relating to any interest rate, interest rate index, currency, currency exchange rate, currency exchange rate index, debt instrument, debt price, debt index, depository instrument, depository price, depository index, equity instrument, equity price, equity index, commodity, commodity price or commodity index, (ii) similar transaction, contract, instrument, undertaking or security or (iii) transaction, contract, instrument, undertaking or security containing any of the foregoing.</w:t>
      </w:r>
    </w:p>
    <w:p>
      <w:pPr>
        <w:pStyle w:val="TextBody"/>
        <w:bidi w:val="0"/>
        <w:spacing w:before="0" w:after="240"/>
        <w:jc w:val="both"/>
        <w:rPr/>
      </w:pPr>
      <w:r>
        <w:rPr>
          <w:color w:val="000000"/>
        </w:rPr>
        <w:t>“</w:t>
      </w:r>
      <w:r>
        <w:rPr>
          <w:rFonts w:ascii="Times New Roman" w:hAnsi="Times New Roman"/>
          <w:color w:val="000000"/>
          <w:sz w:val="24"/>
          <w:u w:val="single"/>
        </w:rPr>
        <w:t>Determination Date</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last day of such Collection Period.</w:t>
      </w:r>
    </w:p>
    <w:p>
      <w:pPr>
        <w:pStyle w:val="TextBody"/>
        <w:bidi w:val="0"/>
        <w:spacing w:before="0" w:after="240"/>
        <w:jc w:val="both"/>
        <w:rPr/>
      </w:pPr>
      <w:r>
        <w:rPr>
          <w:color w:val="000000"/>
        </w:rPr>
        <w:t>“</w:t>
      </w:r>
      <w:r>
        <w:rPr>
          <w:rFonts w:ascii="Times New Roman" w:hAnsi="Times New Roman"/>
          <w:color w:val="000000"/>
          <w:sz w:val="24"/>
          <w:u w:val="single"/>
        </w:rPr>
        <w:t>Dissenting Lender</w:t>
      </w:r>
      <w:r>
        <w:rPr>
          <w:rFonts w:ascii="Times New Roman" w:hAnsi="Times New Roman"/>
          <w:color w:val="000000"/>
          <w:sz w:val="20"/>
        </w:rPr>
        <w:t xml:space="preserve">” </w:t>
      </w:r>
      <w:r>
        <w:rPr>
          <w:rFonts w:ascii="Times New Roman" w:hAnsi="Times New Roman"/>
          <w:color w:val="000000"/>
          <w:sz w:val="24"/>
        </w:rPr>
        <w:t>means a Non-Extending Lender from the date of its refusal notice or the end of the Election Period.</w:t>
      </w:r>
    </w:p>
    <w:p>
      <w:pPr>
        <w:pStyle w:val="TextBody"/>
        <w:bidi w:val="0"/>
        <w:spacing w:before="0" w:after="240"/>
        <w:jc w:val="both"/>
        <w:rPr/>
      </w:pPr>
      <w:r>
        <w:rPr>
          <w:color w:val="000000"/>
        </w:rPr>
        <w:t>“</w:t>
      </w:r>
      <w:r>
        <w:rPr>
          <w:rFonts w:ascii="Times New Roman" w:hAnsi="Times New Roman"/>
          <w:color w:val="000000"/>
          <w:sz w:val="24"/>
          <w:u w:val="single"/>
        </w:rPr>
        <w:t>Dodd-Frank Act</w:t>
      </w:r>
      <w:r>
        <w:rPr>
          <w:rFonts w:ascii="Times New Roman" w:hAnsi="Times New Roman"/>
          <w:color w:val="000000"/>
          <w:sz w:val="20"/>
        </w:rPr>
        <w:t xml:space="preserve">” </w:t>
      </w:r>
      <w:r>
        <w:rPr>
          <w:rFonts w:ascii="Times New Roman" w:hAnsi="Times New Roman"/>
          <w:color w:val="000000"/>
          <w:sz w:val="24"/>
        </w:rPr>
        <w:t>means The Dodd-Frank Wall Street Reform and Consumer Protection Act (Pub.L. 111-203, H.R. 4173), as amended.</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Dollars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w:t>
      </w:r>
      <w:r>
        <w:rPr>
          <w:rFonts w:ascii="Times New Roman" w:hAnsi="Times New Roman"/>
          <w:color w:val="000000"/>
          <w:sz w:val="20"/>
        </w:rPr>
        <w:t xml:space="preserve">” </w:t>
      </w:r>
      <w:r>
        <w:rPr>
          <w:rFonts w:ascii="Times New Roman" w:hAnsi="Times New Roman"/>
          <w:color w:val="000000"/>
          <w:sz w:val="24"/>
        </w:rPr>
        <w:t>means the lawful currency of the United States.</w:t>
      </w:r>
    </w:p>
    <w:p>
      <w:pPr>
        <w:pStyle w:val="TextBody"/>
        <w:bidi w:val="0"/>
        <w:spacing w:before="0" w:after="240"/>
        <w:jc w:val="both"/>
        <w:rPr/>
      </w:pPr>
      <w:r>
        <w:rPr>
          <w:color w:val="000000"/>
        </w:rPr>
        <w:t>“</w:t>
      </w:r>
      <w:r>
        <w:rPr>
          <w:rFonts w:ascii="Times New Roman" w:hAnsi="Times New Roman"/>
          <w:color w:val="000000"/>
          <w:sz w:val="24"/>
          <w:u w:val="single"/>
        </w:rPr>
        <w:t>E-Vault Access Agreement</w:t>
      </w:r>
      <w:r>
        <w:rPr>
          <w:rFonts w:ascii="Times New Roman" w:hAnsi="Times New Roman"/>
          <w:color w:val="000000"/>
          <w:sz w:val="20"/>
        </w:rPr>
        <w:t xml:space="preserve">” </w:t>
      </w:r>
      <w:r>
        <w:rPr>
          <w:rFonts w:ascii="Times New Roman" w:hAnsi="Times New Roman"/>
          <w:color w:val="000000"/>
          <w:sz w:val="24"/>
        </w:rPr>
        <w:t>means an access agreement by and between the E-Vault Provider and the Custodian in form and substance satisfactory to the Administrative Agent, with such changes as may be agreed to in writing by the Administrative Agent from time to time.</w:t>
      </w:r>
    </w:p>
    <w:p>
      <w:pPr>
        <w:pStyle w:val="TextBody"/>
        <w:bidi w:val="0"/>
        <w:spacing w:before="0" w:after="240"/>
        <w:jc w:val="both"/>
        <w:rPr/>
      </w:pPr>
      <w:r>
        <w:rPr>
          <w:color w:val="000000"/>
        </w:rPr>
        <w:t>“</w:t>
      </w:r>
      <w:r>
        <w:rPr>
          <w:rFonts w:ascii="Times New Roman" w:hAnsi="Times New Roman"/>
          <w:color w:val="000000"/>
          <w:sz w:val="24"/>
          <w:u w:val="single"/>
        </w:rPr>
        <w:t>E-Vault Provider</w:t>
      </w:r>
      <w:r>
        <w:rPr>
          <w:rFonts w:ascii="Times New Roman" w:hAnsi="Times New Roman"/>
          <w:color w:val="000000"/>
          <w:sz w:val="20"/>
        </w:rPr>
        <w:t xml:space="preserve">” </w:t>
      </w:r>
      <w:r>
        <w:rPr>
          <w:rFonts w:ascii="Times New Roman" w:hAnsi="Times New Roman"/>
          <w:color w:val="000000"/>
          <w:sz w:val="24"/>
        </w:rPr>
        <w:t xml:space="preserve">means </w:t>
      </w:r>
      <w:r>
        <w:rPr>
          <w:rFonts w:ascii="Times New Roman" w:hAnsi="Times New Roman"/>
          <w:b/>
          <w:color w:val="000000"/>
          <w:sz w:val="24"/>
        </w:rPr>
        <w:t>[***]</w:t>
      </w:r>
      <w:r>
        <w:rPr>
          <w:rFonts w:ascii="Times New Roman" w:hAnsi="Times New Roman"/>
          <w:color w:val="000000"/>
          <w:sz w:val="24"/>
        </w:rPr>
        <w:t xml:space="preserve">, </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or such other Person that is satisfactory to the Administrative Agent.</w:t>
      </w:r>
    </w:p>
    <w:p>
      <w:pPr>
        <w:pStyle w:val="TextBody"/>
        <w:bidi w:val="0"/>
        <w:spacing w:before="0" w:after="240"/>
        <w:jc w:val="both"/>
        <w:rPr/>
      </w:pPr>
      <w:r>
        <w:rPr>
          <w:color w:val="000000"/>
        </w:rPr>
        <w:t>“</w:t>
      </w:r>
      <w:r>
        <w:rPr>
          <w:rFonts w:ascii="Times New Roman" w:hAnsi="Times New Roman"/>
          <w:color w:val="000000"/>
          <w:sz w:val="24"/>
          <w:u w:val="single"/>
        </w:rPr>
        <w:t>E-Vault System</w:t>
      </w:r>
      <w:r>
        <w:rPr>
          <w:rFonts w:ascii="Times New Roman" w:hAnsi="Times New Roman"/>
          <w:color w:val="000000"/>
          <w:sz w:val="20"/>
        </w:rPr>
        <w:t xml:space="preserve">” </w:t>
      </w:r>
      <w:r>
        <w:rPr>
          <w:rFonts w:ascii="Times New Roman" w:hAnsi="Times New Roman"/>
          <w:color w:val="000000"/>
          <w:sz w:val="24"/>
        </w:rPr>
        <w:t>means the “</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 xml:space="preserve">maintained by the E-Vault Provider (if </w:t>
      </w:r>
      <w:r>
        <w:rPr>
          <w:rFonts w:ascii="Times New Roman" w:hAnsi="Times New Roman"/>
          <w:b/>
          <w:color w:val="000000"/>
          <w:sz w:val="24"/>
        </w:rPr>
        <w:t>[***]</w:t>
      </w:r>
      <w:r>
        <w:rPr>
          <w:rFonts w:ascii="Times New Roman" w:hAnsi="Times New Roman"/>
          <w:color w:val="000000"/>
          <w:sz w:val="24"/>
        </w:rPr>
        <w:t>), the “</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 xml:space="preserve">maintained by the E-Vault Provider (if </w:t>
      </w:r>
      <w:r>
        <w:rPr>
          <w:rFonts w:ascii="Times New Roman" w:hAnsi="Times New Roman"/>
          <w:b/>
          <w:color w:val="000000"/>
          <w:sz w:val="24"/>
        </w:rPr>
        <w:t>[***][***][***]</w:t>
      </w:r>
      <w:r>
        <w:rPr>
          <w:rFonts w:ascii="Times New Roman" w:hAnsi="Times New Roman"/>
          <w:color w:val="000000"/>
          <w:sz w:val="24"/>
        </w:rPr>
        <w:t>) or any similar system maintained by any other E-Vault Provider.</w:t>
      </w:r>
    </w:p>
    <w:p>
      <w:pPr>
        <w:pStyle w:val="TextBody"/>
        <w:bidi w:val="0"/>
        <w:spacing w:before="0" w:after="240"/>
        <w:jc w:val="both"/>
        <w:rPr/>
      </w:pPr>
      <w:r>
        <w:rPr>
          <w:color w:val="000000"/>
        </w:rPr>
        <w:t>“</w:t>
      </w:r>
      <w:r>
        <w:rPr>
          <w:rFonts w:ascii="Times New Roman" w:hAnsi="Times New Roman"/>
          <w:color w:val="000000"/>
          <w:sz w:val="24"/>
          <w:u w:val="single"/>
        </w:rPr>
        <w:t>Election Period</w:t>
      </w:r>
      <w:r>
        <w:rPr>
          <w:rFonts w:ascii="Times New Roman" w:hAnsi="Times New Roman"/>
          <w:color w:val="000000"/>
          <w:sz w:val="20"/>
        </w:rPr>
        <w:t xml:space="preserve">” </w:t>
      </w:r>
      <w:r>
        <w:rPr>
          <w:rFonts w:ascii="Times New Roman" w:hAnsi="Times New Roman"/>
          <w:color w:val="000000"/>
          <w:sz w:val="24"/>
        </w:rPr>
        <w:t>means the 60</w:t>
        <w:noBreakHyphen/>
        <w:t>day period following the date of a request for an extension pursuant to Section 2.04(a).</w:t>
      </w:r>
    </w:p>
    <w:p>
      <w:pPr>
        <w:pStyle w:val="TextBody"/>
        <w:bidi w:val="0"/>
        <w:spacing w:before="0" w:after="240"/>
        <w:jc w:val="both"/>
        <w:rPr/>
      </w:pPr>
      <w:r>
        <w:rPr>
          <w:color w:val="000000"/>
        </w:rPr>
        <w:t>“</w:t>
      </w:r>
      <w:r>
        <w:rPr>
          <w:rFonts w:ascii="Times New Roman" w:hAnsi="Times New Roman"/>
          <w:color w:val="000000"/>
          <w:sz w:val="24"/>
          <w:u w:val="single"/>
        </w:rPr>
        <w:t>Electronic Collateral Control Agreement</w:t>
      </w:r>
      <w:r>
        <w:rPr>
          <w:rFonts w:ascii="Times New Roman" w:hAnsi="Times New Roman"/>
          <w:color w:val="000000"/>
          <w:sz w:val="20"/>
        </w:rPr>
        <w:t xml:space="preserve">” </w:t>
      </w:r>
      <w:r>
        <w:rPr>
          <w:rFonts w:ascii="Times New Roman" w:hAnsi="Times New Roman"/>
          <w:color w:val="000000"/>
          <w:sz w:val="24"/>
        </w:rPr>
        <w:t>means an electronic collateral control agreement by and among the E-Vault Provider, the Custodian and the Administrative Agent in form and substance satisfactory to the Administrative Agent, with such changes as may be agreed to in writing by the Administrative Agent from time to time.</w:t>
      </w:r>
    </w:p>
    <w:p>
      <w:pPr>
        <w:pStyle w:val="TextBody"/>
        <w:bidi w:val="0"/>
        <w:spacing w:before="0" w:after="240"/>
        <w:jc w:val="both"/>
        <w:rPr/>
      </w:pPr>
      <w:r>
        <w:rPr>
          <w:color w:val="000000"/>
        </w:rPr>
        <w:t>“</w:t>
      </w:r>
      <w:r>
        <w:rPr>
          <w:rFonts w:ascii="Times New Roman" w:hAnsi="Times New Roman"/>
          <w:color w:val="000000"/>
          <w:sz w:val="24"/>
          <w:u w:val="single"/>
        </w:rPr>
        <w:t>Electronic Contract</w:t>
      </w:r>
      <w:r>
        <w:rPr>
          <w:rFonts w:ascii="Times New Roman" w:hAnsi="Times New Roman"/>
          <w:color w:val="000000"/>
          <w:sz w:val="20"/>
        </w:rPr>
        <w:t xml:space="preserve">” </w:t>
      </w:r>
      <w:r>
        <w:rPr>
          <w:rFonts w:ascii="Times New Roman" w:hAnsi="Times New Roman"/>
          <w:color w:val="000000"/>
          <w:sz w:val="24"/>
        </w:rPr>
        <w:t>means a Contract that constitutes “electronic chattel paper” under and as defined in Section 9-102(31) of the UCC.</w:t>
      </w:r>
    </w:p>
    <w:p>
      <w:pPr>
        <w:pStyle w:val="TextBody"/>
        <w:bidi w:val="0"/>
        <w:spacing w:before="0" w:after="240"/>
        <w:jc w:val="both"/>
        <w:rPr/>
      </w:pPr>
      <w:r>
        <w:rPr>
          <w:color w:val="000000"/>
        </w:rPr>
        <w:t>“</w:t>
      </w:r>
      <w:r>
        <w:rPr>
          <w:rFonts w:ascii="Times New Roman" w:hAnsi="Times New Roman"/>
          <w:color w:val="000000"/>
          <w:sz w:val="24"/>
          <w:u w:val="single"/>
        </w:rPr>
        <w:t>Eligible Assignee</w:t>
      </w:r>
      <w:r>
        <w:rPr>
          <w:rFonts w:ascii="Times New Roman" w:hAnsi="Times New Roman"/>
          <w:color w:val="000000"/>
          <w:sz w:val="20"/>
        </w:rPr>
        <w:t xml:space="preserve">” </w:t>
      </w:r>
      <w:r>
        <w:rPr>
          <w:rFonts w:ascii="Times New Roman" w:hAnsi="Times New Roman"/>
          <w:color w:val="000000"/>
          <w:sz w:val="24"/>
        </w:rPr>
        <w:t>means a Person (i) whose short-term rating is not less than the Short-Term Rating Requirement, or whose obligations under this Agreement are guaranteed by a Person whose short-term rating is not less than the Short-Term Rating Requirement, (ii) who is either a multi-seller commercial paper conduit or an Affiliate of a Lender or the Administrative Agent or (iii) who is acceptable to the Administrative Agent; provided that, so long as no Termination Event or Servicer Termination Event has occurred and is continuing, such Person, if not an Affiliate of the Lender, or the Administrative Agent, shall be acceptable to the Borrower.</w:t>
      </w:r>
    </w:p>
    <w:p>
      <w:pPr>
        <w:pStyle w:val="TextBody"/>
        <w:bidi w:val="0"/>
        <w:spacing w:before="0" w:after="240"/>
        <w:jc w:val="both"/>
        <w:rPr/>
      </w:pPr>
      <w:r>
        <w:rPr>
          <w:color w:val="000000"/>
        </w:rPr>
        <w:t>“</w:t>
      </w:r>
      <w:r>
        <w:rPr>
          <w:rFonts w:ascii="Times New Roman" w:hAnsi="Times New Roman"/>
          <w:color w:val="000000"/>
          <w:sz w:val="24"/>
          <w:u w:val="single"/>
        </w:rPr>
        <w:t>Eligible Commercial Vehicles</w:t>
      </w:r>
      <w:r>
        <w:rPr>
          <w:rFonts w:ascii="Times New Roman" w:hAnsi="Times New Roman"/>
          <w:color w:val="000000"/>
          <w:sz w:val="20"/>
        </w:rPr>
        <w:t xml:space="preserve">” </w:t>
      </w:r>
      <w:r>
        <w:rPr>
          <w:rFonts w:ascii="Times New Roman" w:hAnsi="Times New Roman"/>
          <w:color w:val="000000"/>
          <w:sz w:val="24"/>
        </w:rPr>
        <w:t>means Ford, Chevrolet, GMC, Dodge or imported trucks with: (i) a rating of 2 tons or less, and (ii) cab and chassis bodies limited to stake body, stake body with lift gate, dump body, cube van, cargo van, Ford transit or other equivalent small commercial vehicles (excluding tow trucks, bobtails, slidebacks, flatbed carriers, food trucks and other catering vehicles).</w:t>
      </w:r>
    </w:p>
    <w:p>
      <w:pPr>
        <w:pStyle w:val="TextBody"/>
        <w:bidi w:val="0"/>
        <w:spacing w:before="0" w:after="240"/>
        <w:jc w:val="both"/>
        <w:rPr/>
      </w:pPr>
      <w:r>
        <w:rPr>
          <w:color w:val="000000"/>
        </w:rPr>
        <w:t>“</w:t>
      </w:r>
      <w:r>
        <w:rPr>
          <w:rFonts w:ascii="Times New Roman" w:hAnsi="Times New Roman"/>
          <w:color w:val="000000"/>
          <w:sz w:val="24"/>
          <w:u w:val="single"/>
        </w:rPr>
        <w:t>Eligible Receivable</w:t>
      </w:r>
      <w:r>
        <w:rPr>
          <w:rFonts w:ascii="Times New Roman" w:hAnsi="Times New Roman"/>
          <w:color w:val="000000"/>
          <w:sz w:val="20"/>
        </w:rPr>
        <w:t xml:space="preserve">” </w:t>
      </w:r>
      <w:r>
        <w:rPr>
          <w:rFonts w:ascii="Times New Roman" w:hAnsi="Times New Roman"/>
          <w:color w:val="000000"/>
          <w:sz w:val="24"/>
        </w:rPr>
        <w:t>means, on any day, any Receivable (i) for which the related Receivable File is in the possession of the Servicer or the Custodian, (ii) which is identified on the Schedule of Receivables delivered by the Borrower to the Administrative Agent as part of a Funding Request and (iii) which satisfies each of the eligibility requirements set forth on Schedule B hereto.</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color w:val="000000"/>
          <w:sz w:val="24"/>
        </w:rPr>
        <w:t>means the Employee Retirement Income Security Act of 1974, and the regulations promulgated and rulings issued thereunder.</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ERISA Affiliate</w:t>
      </w:r>
      <w:r>
        <w:rPr>
          <w:rFonts w:ascii="Times New Roman" w:hAnsi="Times New Roman"/>
          <w:color w:val="000000"/>
          <w:sz w:val="20"/>
        </w:rPr>
        <w:t xml:space="preserve">” </w:t>
      </w:r>
      <w:r>
        <w:rPr>
          <w:rFonts w:ascii="Times New Roman" w:hAnsi="Times New Roman"/>
          <w:color w:val="000000"/>
          <w:sz w:val="24"/>
        </w:rPr>
        <w:t>means (i) any corporation which is a member of the same controlled group of corporations (within the meaning of Section 414(b) of the Code) as the Borrower or as Servicer, as applicable, (ii) a trade or business (whether or not incorporated) under common control (within the meaning of Section 414(c) of the Code) with the Borrower or with the Servicer, as applicable (iii) a member of the same affiliated service group (within the meaning of Section 414(m) of the Code) as the Borrower or as Servicer, as applicable, any corporation described in clause (i) above or any trade or business described in clause (ii) above.</w:t>
      </w:r>
    </w:p>
    <w:p>
      <w:pPr>
        <w:pStyle w:val="TextBody"/>
        <w:bidi w:val="0"/>
        <w:spacing w:before="0" w:after="240"/>
        <w:jc w:val="both"/>
        <w:rPr/>
      </w:pPr>
      <w:r>
        <w:rPr>
          <w:color w:val="000000"/>
        </w:rPr>
        <w:t>“</w:t>
      </w:r>
      <w:r>
        <w:rPr>
          <w:rFonts w:ascii="Times New Roman" w:hAnsi="Times New Roman"/>
          <w:color w:val="000000"/>
          <w:sz w:val="24"/>
          <w:u w:val="single"/>
        </w:rPr>
        <w:t>Errors</w:t>
      </w:r>
      <w:r>
        <w:rPr>
          <w:rFonts w:ascii="Times New Roman" w:hAnsi="Times New Roman"/>
          <w:color w:val="000000"/>
          <w:sz w:val="20"/>
        </w:rPr>
        <w:t xml:space="preserve">” </w:t>
      </w:r>
      <w:r>
        <w:rPr>
          <w:rFonts w:ascii="Times New Roman" w:hAnsi="Times New Roman"/>
          <w:color w:val="000000"/>
          <w:sz w:val="24"/>
        </w:rPr>
        <w:t>has the meaning given to such term in Section 7.10(e).</w:t>
      </w:r>
    </w:p>
    <w:p>
      <w:pPr>
        <w:pStyle w:val="TextBody"/>
        <w:bidi w:val="0"/>
        <w:spacing w:before="0" w:after="240"/>
        <w:jc w:val="both"/>
        <w:rPr/>
      </w:pPr>
      <w:r>
        <w:rPr>
          <w:color w:val="000000"/>
        </w:rPr>
        <w:t>“</w:t>
      </w:r>
      <w:r>
        <w:rPr>
          <w:rFonts w:ascii="Times New Roman" w:hAnsi="Times New Roman"/>
          <w:color w:val="000000"/>
          <w:sz w:val="24"/>
          <w:u w:val="single"/>
        </w:rPr>
        <w:t>Excess Concentration Amount</w:t>
      </w:r>
      <w:r>
        <w:rPr>
          <w:rFonts w:ascii="Times New Roman" w:hAnsi="Times New Roman"/>
          <w:color w:val="000000"/>
          <w:sz w:val="20"/>
        </w:rPr>
        <w:t xml:space="preserve">” </w:t>
      </w:r>
      <w:r>
        <w:rPr>
          <w:rFonts w:ascii="Times New Roman" w:hAnsi="Times New Roman"/>
          <w:color w:val="000000"/>
          <w:sz w:val="24"/>
        </w:rPr>
        <w:t>means, with respect to any day, without duplication, the aggregate Net Principal Balance of Receivables that cause one or more of the Concentration Limits to not be met; provided, however, that the Excess Concentration Amount will be $0 on any day (i) during the first two full Collection Periods following a Securitization (including a Securitization that closed prior to the Closing Date) or (ii) until the Loans Outstanding first exceed $</w:t>
      </w:r>
      <w:r>
        <w:rPr>
          <w:rFonts w:ascii="Times New Roman" w:hAnsi="Times New Roman"/>
          <w:b/>
          <w:color w:val="000000"/>
          <w:sz w:val="24"/>
        </w:rPr>
        <w:t xml:space="preserve">[***] </w:t>
      </w:r>
      <w:r>
        <w:rPr>
          <w:rFonts w:ascii="Times New Roman" w:hAnsi="Times New Roman"/>
          <w:color w:val="000000"/>
          <w:sz w:val="24"/>
        </w:rPr>
        <w:t>following the Closing Date.</w:t>
      </w:r>
    </w:p>
    <w:p>
      <w:pPr>
        <w:pStyle w:val="TextBody"/>
        <w:bidi w:val="0"/>
        <w:spacing w:before="0" w:after="240"/>
        <w:jc w:val="both"/>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w:t>
      </w:r>
    </w:p>
    <w:p>
      <w:pPr>
        <w:pStyle w:val="TextBody"/>
        <w:bidi w:val="0"/>
        <w:spacing w:before="0" w:after="240"/>
        <w:jc w:val="both"/>
        <w:rPr/>
      </w:pPr>
      <w:r>
        <w:rPr>
          <w:color w:val="000000"/>
        </w:rPr>
        <w:t>“</w:t>
      </w:r>
      <w:r>
        <w:rPr>
          <w:rFonts w:ascii="Times New Roman" w:hAnsi="Times New Roman"/>
          <w:color w:val="000000"/>
          <w:sz w:val="24"/>
          <w:u w:val="single"/>
        </w:rPr>
        <w:t>Excluded Taxes</w:t>
      </w:r>
      <w:r>
        <w:rPr>
          <w:rFonts w:ascii="Times New Roman" w:hAnsi="Times New Roman"/>
          <w:color w:val="000000"/>
          <w:sz w:val="20"/>
        </w:rPr>
        <w:t xml:space="preserve">” </w:t>
      </w:r>
      <w:r>
        <w:rPr>
          <w:rFonts w:ascii="Times New Roman" w:hAnsi="Times New Roman"/>
          <w:color w:val="000000"/>
          <w:sz w:val="24"/>
        </w:rPr>
        <w:t>means (i) net income Taxes, franchise Taxes (imposed in lieu of net income Taxes) and branch profits Taxes, in each case imposed on any Lender or the Administrative Agent as a result of a present or former connection between such Lender (including any applicable lending office) or the Administrative Agent and the jurisdiction of the Governmental Authority imposing such Tax or any political subdivision or taxing authority thereof or therein (other than any such connection arising from such Lender’s or the Administrative Agent’s having executed, delivered, become a party to or performed its obligations or received a payment under, received or perfected a security interest under, engaged in any other transaction pursuant to or enforced, this Agreement or the other Basic Documents, or sold or assigned any interest in a Loan or any Basic Document), (ii) any U.S. withholding Taxes that result from a Lender’s failure to comply with the requirements of Section 2.14(d), (iii) in the case of any Non-U.S. Lender, any U.S withholding Taxes that are imposed on amounts payable to such Non-U.S. Lender at the time such Non-U.S. Lender becomes a party to this Agreement or changes the applicable lending office with respect to this Agreement and (iv) any withholding Taxes under FATCA.</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Existing Receivables</w:t>
      </w:r>
      <w:r>
        <w:rPr>
          <w:rFonts w:ascii="Times New Roman" w:hAnsi="Times New Roman"/>
          <w:color w:val="000000"/>
          <w:sz w:val="20"/>
        </w:rPr>
        <w:t xml:space="preserve">” </w:t>
      </w:r>
      <w:r>
        <w:rPr>
          <w:rFonts w:ascii="Times New Roman" w:hAnsi="Times New Roman"/>
          <w:color w:val="000000"/>
          <w:sz w:val="24"/>
        </w:rPr>
        <w:t>means the Receivables that become a part of the Collateral in connection with the Initial Loan.</w:t>
      </w:r>
    </w:p>
    <w:p>
      <w:pPr>
        <w:pStyle w:val="TextBody"/>
        <w:bidi w:val="0"/>
        <w:spacing w:before="0" w:after="240"/>
        <w:jc w:val="both"/>
        <w:rPr/>
      </w:pPr>
      <w:r>
        <w:rPr>
          <w:color w:val="000000"/>
        </w:rPr>
        <w:t>“</w:t>
      </w:r>
      <w:r>
        <w:rPr>
          <w:rFonts w:ascii="Times New Roman" w:hAnsi="Times New Roman"/>
          <w:color w:val="000000"/>
          <w:sz w:val="24"/>
          <w:u w:val="single"/>
        </w:rPr>
        <w:t>Exported</w:t>
      </w:r>
      <w:r>
        <w:rPr>
          <w:rFonts w:ascii="Times New Roman" w:hAnsi="Times New Roman"/>
          <w:color w:val="000000"/>
          <w:sz w:val="20"/>
        </w:rPr>
        <w:t xml:space="preserve">” </w:t>
      </w:r>
      <w:r>
        <w:rPr>
          <w:rFonts w:ascii="Times New Roman" w:hAnsi="Times New Roman"/>
          <w:color w:val="000000"/>
          <w:sz w:val="24"/>
        </w:rPr>
        <w:t>with respect to a Contract, means the Custodian has decommissioned the related electronic chattel paper and the Authoritative Copy of such Contract is printed out pursuant to a “Paper Out” within the meaning specified in the System Description. “Export” and “Exporting” shall have corollary meanings.</w:t>
      </w:r>
    </w:p>
    <w:p>
      <w:pPr>
        <w:pStyle w:val="TextBody"/>
        <w:bidi w:val="0"/>
        <w:spacing w:before="0" w:after="240"/>
        <w:jc w:val="left"/>
        <w:rPr/>
      </w:pPr>
      <w:r>
        <w:rPr>
          <w:color w:val="000000"/>
        </w:rPr>
        <w:t>“</w:t>
      </w:r>
      <w:r>
        <w:rPr>
          <w:rFonts w:ascii="Times New Roman" w:hAnsi="Times New Roman"/>
          <w:color w:val="000000"/>
          <w:sz w:val="24"/>
          <w:u w:val="single"/>
        </w:rPr>
        <w:t>Extended Receivable</w:t>
      </w:r>
      <w:r>
        <w:rPr>
          <w:rFonts w:ascii="Times New Roman" w:hAnsi="Times New Roman"/>
          <w:color w:val="000000"/>
          <w:sz w:val="20"/>
        </w:rPr>
        <w:t xml:space="preserve">” </w:t>
      </w:r>
      <w:r>
        <w:rPr>
          <w:rFonts w:ascii="Times New Roman" w:hAnsi="Times New Roman"/>
          <w:color w:val="000000"/>
          <w:sz w:val="24"/>
        </w:rPr>
        <w:t>means any Receivable for which an extension or payment deferment was made (or is in effect) pursuant to the Credit and Collection Policy.</w:t>
      </w:r>
    </w:p>
    <w:p>
      <w:pPr>
        <w:pStyle w:val="TextBody"/>
        <w:bidi w:val="0"/>
        <w:spacing w:before="0" w:after="240"/>
        <w:jc w:val="both"/>
        <w:rPr/>
      </w:pPr>
      <w:r>
        <w:rPr>
          <w:color w:val="000000"/>
        </w:rPr>
        <w:t>“</w:t>
      </w:r>
      <w:r>
        <w:rPr>
          <w:rFonts w:ascii="Times New Roman" w:hAnsi="Times New Roman"/>
          <w:color w:val="000000"/>
          <w:sz w:val="24"/>
          <w:u w:val="single"/>
        </w:rPr>
        <w:t>Extension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percentage equivalent of a fraction, (i) the numerator of which equals the aggregate Principal Balance of all Receivables that were Extended Receivables during such Collection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Period and (ii) the denominator of which equals the daily average aggregate Principal Balance of all Receivables during such Collection Period.</w:t>
      </w:r>
    </w:p>
    <w:p>
      <w:pPr>
        <w:pStyle w:val="TextBody"/>
        <w:bidi w:val="0"/>
        <w:spacing w:before="0" w:after="240"/>
        <w:jc w:val="both"/>
        <w:rPr/>
      </w:pPr>
      <w:r>
        <w:rPr>
          <w:color w:val="000000"/>
        </w:rPr>
        <w:t>“</w:t>
      </w:r>
      <w:r>
        <w:rPr>
          <w:rFonts w:ascii="Times New Roman" w:hAnsi="Times New Roman"/>
          <w:color w:val="000000"/>
          <w:sz w:val="24"/>
          <w:u w:val="single"/>
        </w:rPr>
        <w:t>Facility Amount</w:t>
      </w:r>
      <w:r>
        <w:rPr>
          <w:rFonts w:ascii="Times New Roman" w:hAnsi="Times New Roman"/>
          <w:color w:val="000000"/>
          <w:sz w:val="20"/>
        </w:rPr>
        <w:t xml:space="preserve">” </w:t>
      </w:r>
      <w:r>
        <w:rPr>
          <w:rFonts w:ascii="Times New Roman" w:hAnsi="Times New Roman"/>
          <w:color w:val="000000"/>
          <w:sz w:val="24"/>
        </w:rPr>
        <w:t>means (i) prior to the Termination Date, the lesser of the Aggregate Commitment on such day and $150,000,000 (if prior to September 24, 2022) or $200,000,000 (if on or after September 24, 2022), and (ii) on and after the Termination Date, the Loans Outstanding.</w:t>
      </w:r>
    </w:p>
    <w:p>
      <w:pPr>
        <w:pStyle w:val="TextBody"/>
        <w:bidi w:val="0"/>
        <w:spacing w:before="0" w:after="240"/>
        <w:jc w:val="both"/>
        <w:rPr/>
      </w:pPr>
      <w:r>
        <w:rPr>
          <w:color w:val="000000"/>
        </w:rPr>
        <w:t>“</w:t>
      </w:r>
      <w:r>
        <w:rPr>
          <w:rFonts w:ascii="Times New Roman" w:hAnsi="Times New Roman"/>
          <w:color w:val="000000"/>
          <w:sz w:val="24"/>
          <w:u w:val="single"/>
        </w:rPr>
        <w:t>Facility Termination Date</w:t>
      </w:r>
      <w:r>
        <w:rPr>
          <w:rFonts w:ascii="Times New Roman" w:hAnsi="Times New Roman"/>
          <w:color w:val="000000"/>
          <w:sz w:val="20"/>
        </w:rPr>
        <w:t xml:space="preserve">” </w:t>
      </w:r>
      <w:r>
        <w:rPr>
          <w:rFonts w:ascii="Times New Roman" w:hAnsi="Times New Roman"/>
          <w:color w:val="000000"/>
          <w:sz w:val="24"/>
        </w:rPr>
        <w:t>means the earlier of (i) the date following the Termination Date on which the Aggregate Unpaids have been indefeasibly paid in full and (ii) the Final Maturity Date.</w:t>
      </w:r>
    </w:p>
    <w:p>
      <w:pPr>
        <w:pStyle w:val="TextBody"/>
        <w:bidi w:val="0"/>
        <w:spacing w:before="0" w:after="240"/>
        <w:jc w:val="both"/>
        <w:rPr/>
      </w:pPr>
      <w:r>
        <w:rPr>
          <w:color w:val="000000"/>
        </w:rPr>
        <w:t>“</w:t>
      </w:r>
      <w:r>
        <w:rPr>
          <w:rFonts w:ascii="Times New Roman" w:hAnsi="Times New Roman"/>
          <w:color w:val="000000"/>
          <w:sz w:val="24"/>
          <w:u w:val="single"/>
        </w:rPr>
        <w:t>FAS 166/167 Rules</w:t>
      </w:r>
      <w:r>
        <w:rPr>
          <w:rFonts w:ascii="Times New Roman" w:hAnsi="Times New Roman"/>
          <w:color w:val="000000"/>
          <w:sz w:val="20"/>
        </w:rPr>
        <w:t xml:space="preserve">” </w:t>
      </w:r>
      <w:r>
        <w:rPr>
          <w:rFonts w:ascii="Times New Roman" w:hAnsi="Times New Roman"/>
          <w:color w:val="000000"/>
          <w:sz w:val="24"/>
        </w:rPr>
        <w:t>means the final rule, titled “Risk-Based Capital Guidelines; Capital Adequacy Guidelines; Capital Maintenance: Regulatory Capital; Impact of Modifications to Generally Accepted Accounting Principles; Consolidation of Asset-Backed Commercial Paper Programs; and Other Related Issues”, adopted December 15, 2009, by the Federal Accounting Standard Board.</w:t>
      </w:r>
    </w:p>
    <w:p>
      <w:pPr>
        <w:pStyle w:val="TextBody"/>
        <w:bidi w:val="0"/>
        <w:spacing w:before="0" w:after="240"/>
        <w:jc w:val="both"/>
        <w:rPr/>
      </w:pPr>
      <w:r>
        <w:rPr>
          <w:color w:val="000000"/>
        </w:rPr>
        <w:t>“</w:t>
      </w:r>
      <w:r>
        <w:rPr>
          <w:rFonts w:ascii="Times New Roman" w:hAnsi="Times New Roman"/>
          <w:color w:val="000000"/>
          <w:sz w:val="24"/>
          <w:u w:val="single"/>
        </w:rPr>
        <w:t>FATCA</w:t>
      </w:r>
      <w:r>
        <w:rPr>
          <w:rFonts w:ascii="Times New Roman" w:hAnsi="Times New Roman"/>
          <w:color w:val="000000"/>
          <w:sz w:val="20"/>
        </w:rPr>
        <w:t xml:space="preserve">” </w:t>
      </w:r>
      <w:r>
        <w:rPr>
          <w:rFonts w:ascii="Times New Roman" w:hAnsi="Times New Roman"/>
          <w:color w:val="000000"/>
          <w:sz w:val="24"/>
        </w:rPr>
        <w:t>means Sections 1471 through 1474 of the Code, as in effect on the date of this Agreement (or any amended or successor version that is substantively comparable and not materially more onerous to comply with) and any regulations or official interpretations thereof (including any revenue ruling, revenue procedure, notice or similar guidance issued by the IRS thereunder as a precondition to relief or exemption from Taxes under such provisions) and any fiscal or regulatory legislation, rules or official administrative practices adopted pursuant to any intergovernmental agreement, treaty or convention among Governmental Authorities and implementing such Sections of the Code.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Federal Reserve Board</w:t>
      </w:r>
      <w:r>
        <w:rPr>
          <w:rFonts w:ascii="Times New Roman" w:hAnsi="Times New Roman"/>
          <w:color w:val="000000"/>
          <w:sz w:val="20"/>
        </w:rPr>
        <w:t xml:space="preserve">” </w:t>
      </w:r>
      <w:r>
        <w:rPr>
          <w:rFonts w:ascii="Times New Roman" w:hAnsi="Times New Roman"/>
          <w:color w:val="000000"/>
          <w:sz w:val="24"/>
        </w:rPr>
        <w:t>means the Board of Governors of the Federal Reserve System.</w:t>
      </w:r>
    </w:p>
    <w:p>
      <w:pPr>
        <w:pStyle w:val="TextBody"/>
        <w:bidi w:val="0"/>
        <w:spacing w:before="0" w:after="240"/>
        <w:jc w:val="both"/>
        <w:rPr/>
      </w:pPr>
      <w:r>
        <w:rPr>
          <w:color w:val="000000"/>
        </w:rPr>
        <w:t>“</w:t>
      </w:r>
      <w:r>
        <w:rPr>
          <w:rFonts w:ascii="Times New Roman" w:hAnsi="Times New Roman"/>
          <w:color w:val="000000"/>
          <w:sz w:val="24"/>
          <w:u w:val="single"/>
        </w:rPr>
        <w:t>Fifth Amended and Restated Fee Letter</w:t>
      </w:r>
      <w:r>
        <w:rPr>
          <w:rFonts w:ascii="Times New Roman" w:hAnsi="Times New Roman"/>
          <w:color w:val="000000"/>
          <w:sz w:val="20"/>
        </w:rPr>
        <w:t xml:space="preserve">” </w:t>
      </w:r>
      <w:r>
        <w:rPr>
          <w:rFonts w:ascii="Times New Roman" w:hAnsi="Times New Roman"/>
          <w:color w:val="000000"/>
          <w:sz w:val="24"/>
        </w:rPr>
        <w:t>means the Fifth Amended and Restated Fee Letter, dated as of August 29, 2025, among the Borrower, the Servicer and the Administrative Agent, setting forth the Unused Fee Rate, the Upfront Fee and the Applicable Margin.</w:t>
      </w:r>
    </w:p>
    <w:p>
      <w:pPr>
        <w:pStyle w:val="TextBody"/>
        <w:bidi w:val="0"/>
        <w:spacing w:before="0" w:after="240"/>
        <w:jc w:val="both"/>
        <w:rPr/>
      </w:pPr>
      <w:r>
        <w:rPr>
          <w:color w:val="000000"/>
        </w:rPr>
        <w:t>“</w:t>
      </w:r>
      <w:r>
        <w:rPr>
          <w:rFonts w:ascii="Times New Roman" w:hAnsi="Times New Roman"/>
          <w:color w:val="000000"/>
          <w:sz w:val="24"/>
          <w:u w:val="single"/>
        </w:rPr>
        <w:t>Final Maturity Date</w:t>
      </w:r>
      <w:r>
        <w:rPr>
          <w:rFonts w:ascii="Times New Roman" w:hAnsi="Times New Roman"/>
          <w:color w:val="000000"/>
          <w:sz w:val="20"/>
        </w:rPr>
        <w:t xml:space="preserve">” </w:t>
      </w:r>
      <w:r>
        <w:rPr>
          <w:rFonts w:ascii="Times New Roman" w:hAnsi="Times New Roman"/>
          <w:color w:val="000000"/>
          <w:sz w:val="24"/>
        </w:rPr>
        <w:t>means August 28, 2027.</w:t>
      </w:r>
    </w:p>
    <w:p>
      <w:pPr>
        <w:pStyle w:val="TextBody"/>
        <w:bidi w:val="0"/>
        <w:spacing w:before="0" w:after="240"/>
        <w:jc w:val="both"/>
        <w:rPr/>
      </w:pPr>
      <w:r>
        <w:rPr>
          <w:color w:val="000000"/>
        </w:rPr>
        <w:t>“</w:t>
      </w:r>
      <w:r>
        <w:rPr>
          <w:rFonts w:ascii="Times New Roman" w:hAnsi="Times New Roman"/>
          <w:color w:val="000000"/>
          <w:sz w:val="24"/>
          <w:u w:val="single"/>
        </w:rPr>
        <w:t>Financed Vehicle</w:t>
      </w:r>
      <w:r>
        <w:rPr>
          <w:rFonts w:ascii="Times New Roman" w:hAnsi="Times New Roman"/>
          <w:color w:val="000000"/>
          <w:sz w:val="20"/>
        </w:rPr>
        <w:t xml:space="preserve">” </w:t>
      </w:r>
      <w:r>
        <w:rPr>
          <w:rFonts w:ascii="Times New Roman" w:hAnsi="Times New Roman"/>
          <w:color w:val="000000"/>
          <w:sz w:val="24"/>
        </w:rPr>
        <w:t>means, with respect to a Receivable or a Serviced Portfolio Receivable, any new or used automobile, light-duty truck, minivan, sport utility vehicle or other passenger vehicle (including any Eligible Commercial Vehicle), together with all accessions thereto, securing the related Obligor’s Indebtedness thereunder.</w:t>
      </w:r>
    </w:p>
    <w:p>
      <w:pPr>
        <w:pStyle w:val="TextBody"/>
        <w:bidi w:val="0"/>
        <w:spacing w:before="0" w:after="240"/>
        <w:jc w:val="both"/>
        <w:rPr/>
      </w:pPr>
      <w:r>
        <w:rPr>
          <w:color w:val="000000"/>
        </w:rPr>
        <w:t>“</w:t>
      </w:r>
      <w:r>
        <w:rPr>
          <w:rFonts w:ascii="Times New Roman" w:hAnsi="Times New Roman"/>
          <w:color w:val="000000"/>
          <w:sz w:val="24"/>
          <w:u w:val="single"/>
        </w:rPr>
        <w:t>Floor</w:t>
      </w:r>
      <w:r>
        <w:rPr>
          <w:rFonts w:ascii="Times New Roman" w:hAnsi="Times New Roman"/>
          <w:color w:val="000000"/>
          <w:sz w:val="20"/>
        </w:rPr>
        <w:t xml:space="preserve">” </w:t>
      </w:r>
      <w:r>
        <w:rPr>
          <w:rFonts w:ascii="Times New Roman" w:hAnsi="Times New Roman"/>
          <w:color w:val="000000"/>
          <w:sz w:val="24"/>
        </w:rPr>
        <w:t>means the benchmark rate floor with respect to the Benchmark provided in this Agreement (as of the Closing Date, the modification, amendment or renewal of this Agreement or otherwise), which, as of the Closing Date, is [***]%.</w:t>
      </w:r>
    </w:p>
    <w:p>
      <w:pPr>
        <w:pStyle w:val="TextBody"/>
        <w:bidi w:val="0"/>
        <w:spacing w:before="0" w:after="240"/>
        <w:jc w:val="both"/>
        <w:rPr/>
      </w:pPr>
      <w:r>
        <w:rPr>
          <w:color w:val="000000"/>
        </w:rPr>
        <w:t>“</w:t>
      </w:r>
      <w:r>
        <w:rPr>
          <w:rFonts w:ascii="Times New Roman" w:hAnsi="Times New Roman"/>
          <w:color w:val="000000"/>
          <w:sz w:val="24"/>
          <w:u w:val="single"/>
        </w:rPr>
        <w:t>Formation Documents</w:t>
      </w:r>
      <w:r>
        <w:rPr>
          <w:rFonts w:ascii="Times New Roman" w:hAnsi="Times New Roman"/>
          <w:color w:val="000000"/>
          <w:sz w:val="20"/>
        </w:rPr>
        <w:t xml:space="preserve">” </w:t>
      </w:r>
      <w:r>
        <w:rPr>
          <w:rFonts w:ascii="Times New Roman" w:hAnsi="Times New Roman"/>
          <w:color w:val="000000"/>
          <w:sz w:val="24"/>
        </w:rPr>
        <w:t>means, with respect to (i) the Borrower, the Trust Agreement and certificate of trust and (ii) UACC, its articles of incorporation and bylaws.</w:t>
      </w:r>
    </w:p>
    <w:p>
      <w:pPr>
        <w:pStyle w:val="TextBody"/>
        <w:bidi w:val="0"/>
        <w:spacing w:before="0" w:after="240"/>
        <w:jc w:val="both"/>
        <w:rPr/>
      </w:pPr>
      <w:r>
        <w:rPr>
          <w:color w:val="000000"/>
        </w:rPr>
        <w:t>“</w:t>
      </w:r>
      <w:r>
        <w:rPr>
          <w:rFonts w:ascii="Times New Roman" w:hAnsi="Times New Roman"/>
          <w:color w:val="000000"/>
          <w:sz w:val="24"/>
          <w:u w:val="single"/>
        </w:rPr>
        <w:t>Funding Date</w:t>
      </w:r>
      <w:r>
        <w:rPr>
          <w:rFonts w:ascii="Times New Roman" w:hAnsi="Times New Roman"/>
          <w:color w:val="000000"/>
          <w:sz w:val="20"/>
        </w:rPr>
        <w:t xml:space="preserve">” </w:t>
      </w:r>
      <w:r>
        <w:rPr>
          <w:rFonts w:ascii="Times New Roman" w:hAnsi="Times New Roman"/>
          <w:color w:val="000000"/>
          <w:sz w:val="24"/>
        </w:rPr>
        <w:t>means each Business Day on which a Loan is made and Receivables are added to the Collateral in connection with such Loan.</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Funding Request</w:t>
      </w:r>
      <w:r>
        <w:rPr>
          <w:rFonts w:ascii="Times New Roman" w:hAnsi="Times New Roman"/>
          <w:color w:val="000000"/>
          <w:sz w:val="20"/>
        </w:rPr>
        <w:t xml:space="preserve">” </w:t>
      </w:r>
      <w:r>
        <w:rPr>
          <w:rFonts w:ascii="Times New Roman" w:hAnsi="Times New Roman"/>
          <w:color w:val="000000"/>
          <w:sz w:val="24"/>
        </w:rPr>
        <w:t>means a written notice from the Borrower requesting a Loan and including the items required by Section 2.01(b), substantially in the form of Exhibit A hereto.</w:t>
      </w:r>
    </w:p>
    <w:p>
      <w:pPr>
        <w:pStyle w:val="TextBody"/>
        <w:bidi w:val="0"/>
        <w:spacing w:before="0" w:after="240"/>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means generally accepted accounting principles as in effect from time to time in the United States.</w:t>
      </w:r>
    </w:p>
    <w:p>
      <w:pPr>
        <w:pStyle w:val="TextBody"/>
        <w:bidi w:val="0"/>
        <w:spacing w:before="0" w:after="240"/>
        <w:jc w:val="both"/>
        <w:rPr/>
      </w:pPr>
      <w:r>
        <w:rPr>
          <w:color w:val="000000"/>
        </w:rPr>
        <w:t>“</w:t>
      </w:r>
      <w:r>
        <w:rPr>
          <w:rFonts w:ascii="Times New Roman" w:hAnsi="Times New Roman"/>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means, with respect to any Person, any nation or government, any State or other political subdivision thereof, any entity exercising executive, legislative, judicial, regulatory or administrative functions of or pertaining to government, any bank examiner, any central bank or comparable agency and any court or arbitrator having jurisdiction over such Person.</w:t>
      </w:r>
    </w:p>
    <w:p>
      <w:pPr>
        <w:pStyle w:val="TextBody"/>
        <w:bidi w:val="0"/>
        <w:spacing w:before="0" w:after="240"/>
        <w:jc w:val="both"/>
        <w:rPr/>
      </w:pPr>
      <w:r>
        <w:rPr>
          <w:color w:val="000000"/>
        </w:rPr>
        <w:t>“</w:t>
      </w:r>
      <w:r>
        <w:rPr>
          <w:rFonts w:ascii="Times New Roman" w:hAnsi="Times New Roman"/>
          <w:color w:val="000000"/>
          <w:sz w:val="24"/>
          <w:u w:val="single"/>
        </w:rPr>
        <w:t>Hedge Breakage Costs</w:t>
      </w:r>
      <w:r>
        <w:rPr>
          <w:rFonts w:ascii="Times New Roman" w:hAnsi="Times New Roman"/>
          <w:color w:val="000000"/>
          <w:sz w:val="20"/>
        </w:rPr>
        <w:t xml:space="preserve">” </w:t>
      </w:r>
      <w:r>
        <w:rPr>
          <w:rFonts w:ascii="Times New Roman" w:hAnsi="Times New Roman"/>
          <w:color w:val="000000"/>
          <w:sz w:val="24"/>
        </w:rPr>
        <w:t>means, with respect to any Hedge Transaction, any amount payable by the Borrower to the related Hedge Counterparty upon the early termination of such Hedge Transaction or any portion thereof.</w:t>
      </w:r>
    </w:p>
    <w:p>
      <w:pPr>
        <w:pStyle w:val="TextBody"/>
        <w:bidi w:val="0"/>
        <w:spacing w:before="0" w:after="240"/>
        <w:jc w:val="both"/>
        <w:rPr/>
      </w:pPr>
      <w:r>
        <w:rPr>
          <w:color w:val="000000"/>
        </w:rPr>
        <w:t>“</w:t>
      </w:r>
      <w:r>
        <w:rPr>
          <w:rFonts w:ascii="Times New Roman" w:hAnsi="Times New Roman"/>
          <w:color w:val="000000"/>
          <w:sz w:val="24"/>
          <w:u w:val="single"/>
        </w:rPr>
        <w:t>Hedge Collateral</w:t>
      </w:r>
      <w:r>
        <w:rPr>
          <w:rFonts w:ascii="Times New Roman" w:hAnsi="Times New Roman"/>
          <w:color w:val="000000"/>
          <w:sz w:val="20"/>
        </w:rPr>
        <w:t xml:space="preserve">” </w:t>
      </w:r>
      <w:r>
        <w:rPr>
          <w:rFonts w:ascii="Times New Roman" w:hAnsi="Times New Roman"/>
          <w:color w:val="000000"/>
          <w:sz w:val="24"/>
        </w:rPr>
        <w:t>means all of the rights of the Borrower, whether now existing or hereafter acquired, in and to all Hedging Agreements, Hedge Transactions, any amounts on deposit in the Hedge Collateral Accounts, and all present and future amounts payable by all Hedge Counterparties to the Borrower under or in connection with such Hedging Agreements and Hedge Transactions with such Hedge Counterparties.</w:t>
      </w:r>
    </w:p>
    <w:p>
      <w:pPr>
        <w:pStyle w:val="TextBody"/>
        <w:bidi w:val="0"/>
        <w:spacing w:before="0" w:after="240"/>
        <w:jc w:val="both"/>
        <w:rPr/>
      </w:pPr>
      <w:r>
        <w:rPr>
          <w:color w:val="000000"/>
        </w:rPr>
        <w:t>“</w:t>
      </w:r>
      <w:r>
        <w:rPr>
          <w:rFonts w:ascii="Times New Roman" w:hAnsi="Times New Roman"/>
          <w:color w:val="000000"/>
          <w:sz w:val="24"/>
          <w:u w:val="single"/>
        </w:rPr>
        <w:t>Hedge Collateral Account</w:t>
      </w:r>
      <w:r>
        <w:rPr>
          <w:rFonts w:ascii="Times New Roman" w:hAnsi="Times New Roman"/>
          <w:color w:val="000000"/>
          <w:sz w:val="20"/>
        </w:rPr>
        <w:t xml:space="preserve">” </w:t>
      </w:r>
      <w:r>
        <w:rPr>
          <w:rFonts w:ascii="Times New Roman" w:hAnsi="Times New Roman"/>
          <w:color w:val="000000"/>
          <w:sz w:val="24"/>
        </w:rPr>
        <w:t>has the meaning given to such term in Section 6.03(c).</w:t>
      </w:r>
    </w:p>
    <w:p>
      <w:pPr>
        <w:pStyle w:val="TextBody"/>
        <w:bidi w:val="0"/>
        <w:spacing w:before="0" w:after="240"/>
        <w:jc w:val="both"/>
        <w:rPr/>
      </w:pPr>
      <w:r>
        <w:rPr>
          <w:color w:val="000000"/>
        </w:rPr>
        <w:t>“</w:t>
      </w:r>
      <w:r>
        <w:rPr>
          <w:rFonts w:ascii="Times New Roman" w:hAnsi="Times New Roman"/>
          <w:color w:val="000000"/>
          <w:sz w:val="24"/>
          <w:u w:val="single"/>
        </w:rPr>
        <w:t>Hedge Counterparty</w:t>
      </w:r>
      <w:r>
        <w:rPr>
          <w:rFonts w:ascii="Times New Roman" w:hAnsi="Times New Roman"/>
          <w:color w:val="000000"/>
          <w:sz w:val="20"/>
        </w:rPr>
        <w:t xml:space="preserve">” </w:t>
      </w:r>
      <w:r>
        <w:rPr>
          <w:rFonts w:ascii="Times New Roman" w:hAnsi="Times New Roman"/>
          <w:color w:val="000000"/>
          <w:sz w:val="24"/>
        </w:rPr>
        <w:t>means any entity that (i) on the date of entering into any Hedging Agreement, is either a Lender or an Affiliate of a Lender or (ii) on the date of entering into any Hedge Transaction (a) is an interest rate swap dealer that has been approved in writing by the Administrative Agent (which approval shall not be unreasonably withheld), (b) whose debt ratings meet each of the Long-Term Rating Requirement and the Short-Term Rating Requirement and (c) agrees that in the event that Moody’s or Standard &amp; Poor’s reduces its long-term unsecured debt rating below the Long-Term Rating Requirement or its short-term unsecured debt rating below the Short-Term Rating Requirement, it shall (1) transfer its rights and obligations under each Hedge Transaction to another entity that meets the requirements of this definition and has entered into a Hedging Agreement with the Borrower on or prior to the date of such transfer or (2) post collateral in an amount and form and upon such terms as are satisfactory to the Administrative Agent in its sole discretion. Each Hedge Counterparty must consent to the assignment of the Borrower’s rights under the Hedging Agreement to the Administrative Agent pursuant to Section 6.03(b).</w:t>
      </w:r>
    </w:p>
    <w:p>
      <w:pPr>
        <w:pStyle w:val="TextBody"/>
        <w:bidi w:val="0"/>
        <w:spacing w:before="0" w:after="240"/>
        <w:jc w:val="both"/>
        <w:rPr/>
      </w:pPr>
      <w:r>
        <w:rPr>
          <w:color w:val="000000"/>
        </w:rPr>
        <w:t>“</w:t>
      </w:r>
      <w:r>
        <w:rPr>
          <w:rFonts w:ascii="Times New Roman" w:hAnsi="Times New Roman"/>
          <w:color w:val="000000"/>
          <w:sz w:val="24"/>
          <w:u w:val="single"/>
        </w:rPr>
        <w:t>Hedge Transaction</w:t>
      </w:r>
      <w:r>
        <w:rPr>
          <w:rFonts w:ascii="Times New Roman" w:hAnsi="Times New Roman"/>
          <w:color w:val="000000"/>
          <w:sz w:val="20"/>
        </w:rPr>
        <w:t xml:space="preserve">” </w:t>
      </w:r>
      <w:r>
        <w:rPr>
          <w:rFonts w:ascii="Times New Roman" w:hAnsi="Times New Roman"/>
          <w:color w:val="000000"/>
          <w:sz w:val="24"/>
        </w:rPr>
        <w:t>means each transaction between the Borrower and a Hedge Counterparty entered into pursuant to Section 6.03(a), which transaction shall be governed by a Hedging Agreement.</w:t>
      </w:r>
    </w:p>
    <w:p>
      <w:pPr>
        <w:pStyle w:val="TextBody"/>
        <w:bidi w:val="0"/>
        <w:spacing w:before="0" w:after="240"/>
        <w:jc w:val="both"/>
        <w:rPr/>
      </w:pPr>
      <w:r>
        <w:rPr>
          <w:color w:val="000000"/>
        </w:rPr>
        <w:t>“</w:t>
      </w:r>
      <w:r>
        <w:rPr>
          <w:rFonts w:ascii="Times New Roman" w:hAnsi="Times New Roman"/>
          <w:color w:val="000000"/>
          <w:sz w:val="24"/>
          <w:u w:val="single"/>
        </w:rPr>
        <w:t>Hedging Agreement</w:t>
      </w:r>
      <w:r>
        <w:rPr>
          <w:rFonts w:ascii="Times New Roman" w:hAnsi="Times New Roman"/>
          <w:color w:val="000000"/>
          <w:sz w:val="20"/>
        </w:rPr>
        <w:t xml:space="preserve">” </w:t>
      </w:r>
      <w:r>
        <w:rPr>
          <w:rFonts w:ascii="Times New Roman" w:hAnsi="Times New Roman"/>
          <w:color w:val="000000"/>
          <w:sz w:val="24"/>
        </w:rPr>
        <w:t>means each agreement between the Borrower and a Hedge Counterparty which governs one or more Hedge Transactions entered into pursuant to Section 6.03(a), which agreement shall be an interest rate cap, interest rate swap or other interest rate hedging agreement evidenced by either (i) a “Master Agreement” in a form published by the International Swaps and Derivatives Association, Inc. (“ISDA”), together with a “Schedule” thereto, any applicable “Credit Support Annex” thereto and each “Confirmation” thereunder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confirming the specific terms of each such Hedge Transaction, in form and substance satisfactory to the Administrative Agent, or (ii) an ISDA long-form confirmation.</w:t>
      </w:r>
    </w:p>
    <w:p>
      <w:pPr>
        <w:pStyle w:val="TextBody"/>
        <w:bidi w:val="0"/>
        <w:spacing w:before="0" w:after="240"/>
        <w:jc w:val="both"/>
        <w:rPr/>
      </w:pPr>
      <w:r>
        <w:rPr>
          <w:color w:val="000000"/>
        </w:rPr>
        <w:t>“</w:t>
      </w:r>
      <w:r>
        <w:rPr>
          <w:rFonts w:ascii="Times New Roman" w:hAnsi="Times New Roman"/>
          <w:color w:val="000000"/>
          <w:sz w:val="24"/>
          <w:u w:val="single"/>
        </w:rPr>
        <w:t>ICA Account Control Agreement</w:t>
      </w:r>
      <w:r>
        <w:rPr>
          <w:rFonts w:ascii="Times New Roman" w:hAnsi="Times New Roman"/>
          <w:color w:val="000000"/>
          <w:sz w:val="20"/>
        </w:rPr>
        <w:t xml:space="preserve">” </w:t>
      </w:r>
      <w:r>
        <w:rPr>
          <w:rFonts w:ascii="Times New Roman" w:hAnsi="Times New Roman"/>
          <w:color w:val="000000"/>
          <w:sz w:val="24"/>
        </w:rPr>
        <w:t>means the Deposit Account Control Agreement relating to the Collateral Account (as defined therein, and subject to the Intercreditor Agreement), dated as of February 2, 2011, among UACC Auto Financing Trust, UACC and [***].</w:t>
      </w:r>
    </w:p>
    <w:p>
      <w:pPr>
        <w:pStyle w:val="TextBody"/>
        <w:bidi w:val="0"/>
        <w:spacing w:before="0" w:after="240"/>
        <w:jc w:val="both"/>
        <w:rPr/>
      </w:pPr>
      <w:r>
        <w:rPr>
          <w:color w:val="000000"/>
        </w:rPr>
        <w:t>“</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means, with respect to any Person and any day, without duplication, (i) all indebtedness of such Person for borrowed money or for the deferred purchase price of property or services (other than current liabilities incurred in the ordinary course of business and payable in accordance with customary trade practices) or which is evidenced by a note, bond, debenture or similar instrument, (ii) all obligations of such Person in respect of acceptances issued or created for the account of such Person, (iii) all liabilities secured by any Lien on any property owned by such Person even though such Person has not assumed or otherwise become liable for the payment thereof and (iv) all indebtedness, obligations or liabilities of that Person in respect of Derivatives.</w:t>
      </w:r>
    </w:p>
    <w:p>
      <w:pPr>
        <w:pStyle w:val="TextBody"/>
        <w:bidi w:val="0"/>
        <w:spacing w:before="0" w:after="240"/>
        <w:jc w:val="both"/>
        <w:rPr/>
      </w:pPr>
      <w:r>
        <w:rPr>
          <w:color w:val="000000"/>
        </w:rPr>
        <w:t>“</w:t>
      </w:r>
      <w:r>
        <w:rPr>
          <w:rFonts w:ascii="Times New Roman" w:hAnsi="Times New Roman"/>
          <w:color w:val="000000"/>
          <w:sz w:val="24"/>
          <w:u w:val="single"/>
        </w:rPr>
        <w:t>Indemnified Amounts</w:t>
      </w:r>
      <w:r>
        <w:rPr>
          <w:rFonts w:ascii="Times New Roman" w:hAnsi="Times New Roman"/>
          <w:color w:val="000000"/>
          <w:sz w:val="20"/>
        </w:rPr>
        <w:t xml:space="preserve">” </w:t>
      </w:r>
      <w:r>
        <w:rPr>
          <w:rFonts w:ascii="Times New Roman" w:hAnsi="Times New Roman"/>
          <w:color w:val="000000"/>
          <w:sz w:val="24"/>
        </w:rPr>
        <w:t>means all Borrower Indemnified Amounts, UACC Indemnified Amounts and Seller Indemnified Amounts.</w:t>
      </w:r>
    </w:p>
    <w:p>
      <w:pPr>
        <w:pStyle w:val="TextBody"/>
        <w:bidi w:val="0"/>
        <w:spacing w:before="0" w:after="240"/>
        <w:jc w:val="both"/>
        <w:rPr/>
      </w:pPr>
      <w:r>
        <w:rPr>
          <w:color w:val="000000"/>
        </w:rPr>
        <w:t>“</w:t>
      </w:r>
      <w:r>
        <w:rPr>
          <w:rFonts w:ascii="Times New Roman" w:hAnsi="Times New Roman"/>
          <w:color w:val="000000"/>
          <w:sz w:val="24"/>
          <w:u w:val="single"/>
        </w:rPr>
        <w:t>Indemnified Party</w:t>
      </w:r>
      <w:r>
        <w:rPr>
          <w:rFonts w:ascii="Times New Roman" w:hAnsi="Times New Roman"/>
          <w:color w:val="000000"/>
          <w:sz w:val="20"/>
        </w:rPr>
        <w:t xml:space="preserve">” </w:t>
      </w:r>
      <w:r>
        <w:rPr>
          <w:rFonts w:ascii="Times New Roman" w:hAnsi="Times New Roman"/>
          <w:color w:val="000000"/>
          <w:sz w:val="24"/>
        </w:rPr>
        <w:t>means the Borrower Indemnified Parties, UACC Indemnified Parties and the Seller Indemnified Parties.</w:t>
      </w:r>
    </w:p>
    <w:p>
      <w:pPr>
        <w:pStyle w:val="TextBody"/>
        <w:bidi w:val="0"/>
        <w:spacing w:before="0" w:after="240"/>
        <w:jc w:val="both"/>
        <w:rPr/>
      </w:pPr>
      <w:r>
        <w:rPr>
          <w:color w:val="000000"/>
        </w:rPr>
        <w:t>“</w:t>
      </w:r>
      <w:r>
        <w:rPr>
          <w:rFonts w:ascii="Times New Roman" w:hAnsi="Times New Roman"/>
          <w:color w:val="000000"/>
          <w:sz w:val="24"/>
          <w:u w:val="single"/>
        </w:rPr>
        <w:t>Indemnified Taxes</w:t>
      </w:r>
      <w:r>
        <w:rPr>
          <w:rFonts w:ascii="Times New Roman" w:hAnsi="Times New Roman"/>
          <w:color w:val="000000"/>
          <w:sz w:val="20"/>
        </w:rPr>
        <w:t xml:space="preserve">” </w:t>
      </w:r>
      <w:r>
        <w:rPr>
          <w:rFonts w:ascii="Times New Roman" w:hAnsi="Times New Roman"/>
          <w:color w:val="000000"/>
          <w:sz w:val="24"/>
        </w:rPr>
        <w:t>means (i) Taxes, other than Excluded Taxes, imposed on or with respect to any payment made by or on account of any obligation of the Borrower under the Loan or any Basic Document and (ii) to the extent not otherwise described in (i) Other Taxes.</w:t>
      </w:r>
    </w:p>
    <w:p>
      <w:pPr>
        <w:pStyle w:val="TextBody"/>
        <w:bidi w:val="0"/>
        <w:spacing w:before="0" w:after="240"/>
        <w:jc w:val="both"/>
        <w:rPr/>
      </w:pPr>
      <w:r>
        <w:rPr>
          <w:color w:val="000000"/>
        </w:rPr>
        <w:t>“</w:t>
      </w:r>
      <w:r>
        <w:rPr>
          <w:rFonts w:ascii="Times New Roman" w:hAnsi="Times New Roman"/>
          <w:color w:val="000000"/>
          <w:sz w:val="24"/>
          <w:u w:val="single"/>
        </w:rPr>
        <w:t>Initial Loan</w:t>
      </w:r>
      <w:r>
        <w:rPr>
          <w:rFonts w:ascii="Times New Roman" w:hAnsi="Times New Roman"/>
          <w:color w:val="000000"/>
          <w:sz w:val="20"/>
        </w:rPr>
        <w:t xml:space="preserve">” </w:t>
      </w:r>
      <w:r>
        <w:rPr>
          <w:rFonts w:ascii="Times New Roman" w:hAnsi="Times New Roman"/>
          <w:color w:val="000000"/>
          <w:sz w:val="24"/>
        </w:rPr>
        <w:t>means the first Loan made on or after the Closing Date.</w:t>
      </w:r>
    </w:p>
    <w:p>
      <w:pPr>
        <w:pStyle w:val="TextBody"/>
        <w:bidi w:val="0"/>
        <w:spacing w:before="0" w:after="240"/>
        <w:jc w:val="both"/>
        <w:rPr/>
      </w:pPr>
      <w:r>
        <w:rPr>
          <w:color w:val="000000"/>
        </w:rPr>
        <w:t>“</w:t>
      </w:r>
      <w:r>
        <w:rPr>
          <w:rFonts w:ascii="Times New Roman" w:hAnsi="Times New Roman"/>
          <w:color w:val="000000"/>
          <w:sz w:val="24"/>
          <w:u w:val="single"/>
        </w:rPr>
        <w:t>Insolvency Event</w:t>
      </w:r>
      <w:r>
        <w:rPr>
          <w:rFonts w:ascii="Times New Roman" w:hAnsi="Times New Roman"/>
          <w:color w:val="000000"/>
          <w:sz w:val="20"/>
        </w:rPr>
        <w:t xml:space="preserve">” </w:t>
      </w:r>
      <w:r>
        <w:rPr>
          <w:rFonts w:ascii="Times New Roman" w:hAnsi="Times New Roman"/>
          <w:color w:val="000000"/>
          <w:sz w:val="24"/>
        </w:rPr>
        <w:t>means, with respect to any Person, (i) the filing of a decree or order for relief by a court having jurisdiction in the premises in respect of such Person or any substantial part of its property in an involuntary case under any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60 consecutive days or (ii) the commencement by such Person of a voluntary case under any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pStyle w:val="TextBody"/>
        <w:bidi w:val="0"/>
        <w:spacing w:before="0" w:after="240"/>
        <w:jc w:val="both"/>
        <w:rPr/>
      </w:pPr>
      <w:r>
        <w:rPr>
          <w:color w:val="000000"/>
        </w:rPr>
        <w:t>“</w:t>
      </w:r>
      <w:r>
        <w:rPr>
          <w:rFonts w:ascii="Times New Roman" w:hAnsi="Times New Roman"/>
          <w:color w:val="000000"/>
          <w:sz w:val="24"/>
          <w:u w:val="single"/>
        </w:rPr>
        <w:t>Insolvency Laws</w:t>
      </w:r>
      <w:r>
        <w:rPr>
          <w:rFonts w:ascii="Times New Roman" w:hAnsi="Times New Roman"/>
          <w:color w:val="000000"/>
          <w:sz w:val="20"/>
        </w:rPr>
        <w:t xml:space="preserve">” </w:t>
      </w:r>
      <w:r>
        <w:rPr>
          <w:rFonts w:ascii="Times New Roman" w:hAnsi="Times New Roman"/>
          <w:color w:val="000000"/>
          <w:sz w:val="24"/>
        </w:rPr>
        <w:t>means the Bankruptcy Code and all other applicable liquidation, conservatorship, bankruptcy, moratorium, arrangement, rearrangement, receivership, insolvency, reorganization, suspension of payments, marshaling of assets and liabilities or similar debtor relief laws from time to time in effect affecting the rights of creditors generally.</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Insolvency Proceeding</w:t>
      </w:r>
      <w:r>
        <w:rPr>
          <w:rFonts w:ascii="Times New Roman" w:hAnsi="Times New Roman"/>
          <w:color w:val="000000"/>
          <w:sz w:val="20"/>
        </w:rPr>
        <w:t xml:space="preserve">” </w:t>
      </w:r>
      <w:r>
        <w:rPr>
          <w:rFonts w:ascii="Times New Roman" w:hAnsi="Times New Roman"/>
          <w:color w:val="000000"/>
          <w:sz w:val="24"/>
        </w:rPr>
        <w:t>means, with respect to any Person, any bankruptcy, insolvency, arrangement, rearrangement, conservatorship, moratorium, suspension of payments, readjustment of debt, reorganization, receivership, liquidation, marshaling of assets and liabilities or similar proceeding of or relating to such Person under any Insolvency Laws.</w:t>
      </w:r>
    </w:p>
    <w:p>
      <w:pPr>
        <w:pStyle w:val="TextBody"/>
        <w:bidi w:val="0"/>
        <w:spacing w:before="0" w:after="240"/>
        <w:jc w:val="both"/>
        <w:rPr/>
      </w:pPr>
      <w:r>
        <w:rPr>
          <w:color w:val="000000"/>
        </w:rPr>
        <w:t>“</w:t>
      </w:r>
      <w:r>
        <w:rPr>
          <w:rFonts w:ascii="Times New Roman" w:hAnsi="Times New Roman"/>
          <w:color w:val="000000"/>
          <w:sz w:val="24"/>
          <w:u w:val="single"/>
        </w:rPr>
        <w:t>Instrument</w:t>
      </w:r>
      <w:r>
        <w:rPr>
          <w:rFonts w:ascii="Times New Roman" w:hAnsi="Times New Roman"/>
          <w:color w:val="000000"/>
          <w:sz w:val="20"/>
        </w:rPr>
        <w:t xml:space="preserve">” </w:t>
      </w:r>
      <w:r>
        <w:rPr>
          <w:rFonts w:ascii="Times New Roman" w:hAnsi="Times New Roman"/>
          <w:color w:val="000000"/>
          <w:sz w:val="24"/>
        </w:rPr>
        <w:t>means any “instrument” (as defined in Article 9 of the UCC), other than an instrument that constitutes part of chattel paper.</w:t>
      </w:r>
    </w:p>
    <w:p>
      <w:pPr>
        <w:pStyle w:val="TextBody"/>
        <w:bidi w:val="0"/>
        <w:spacing w:before="0" w:after="240"/>
        <w:jc w:val="both"/>
        <w:rPr/>
      </w:pPr>
      <w:r>
        <w:rPr>
          <w:color w:val="000000"/>
        </w:rPr>
        <w:t>“</w:t>
      </w:r>
      <w:r>
        <w:rPr>
          <w:rFonts w:ascii="Times New Roman" w:hAnsi="Times New Roman"/>
          <w:color w:val="000000"/>
          <w:sz w:val="24"/>
          <w:u w:val="single"/>
        </w:rPr>
        <w:t>Insurance Policy</w:t>
      </w:r>
      <w:r>
        <w:rPr>
          <w:rFonts w:ascii="Times New Roman" w:hAnsi="Times New Roman"/>
          <w:color w:val="000000"/>
          <w:sz w:val="20"/>
        </w:rPr>
        <w:t xml:space="preserve">” </w:t>
      </w:r>
      <w:r>
        <w:rPr>
          <w:rFonts w:ascii="Times New Roman" w:hAnsi="Times New Roman"/>
          <w:color w:val="000000"/>
          <w:sz w:val="24"/>
        </w:rPr>
        <w:t>means, with respect to any Receivable, (i) an insurance policy covering physical damage to or loss of the related Financed Vehicle or (ii) any lender’s single interest, credit life, disability, hospitalization or similar insurance policy with respect to the related Obligor.</w:t>
      </w:r>
    </w:p>
    <w:p>
      <w:pPr>
        <w:pStyle w:val="TextBody"/>
        <w:bidi w:val="0"/>
        <w:spacing w:before="0" w:after="240"/>
        <w:jc w:val="both"/>
        <w:rPr/>
      </w:pPr>
      <w:r>
        <w:rPr>
          <w:color w:val="000000"/>
        </w:rPr>
        <w:t>“</w:t>
      </w:r>
      <w:r>
        <w:rPr>
          <w:rFonts w:ascii="Times New Roman" w:hAnsi="Times New Roman"/>
          <w:color w:val="000000"/>
          <w:sz w:val="24"/>
          <w:u w:val="single"/>
        </w:rPr>
        <w:t>Insurance Proceeds</w:t>
      </w:r>
      <w:r>
        <w:rPr>
          <w:rFonts w:ascii="Times New Roman" w:hAnsi="Times New Roman"/>
          <w:color w:val="000000"/>
          <w:sz w:val="20"/>
        </w:rPr>
        <w:t xml:space="preserve">” </w:t>
      </w:r>
      <w:r>
        <w:rPr>
          <w:rFonts w:ascii="Times New Roman" w:hAnsi="Times New Roman"/>
          <w:color w:val="000000"/>
          <w:sz w:val="24"/>
        </w:rPr>
        <w:t>means any amounts payable or any payments made under any Insurance Policy.</w:t>
      </w:r>
    </w:p>
    <w:p>
      <w:pPr>
        <w:pStyle w:val="TextBody"/>
        <w:bidi w:val="0"/>
        <w:spacing w:before="0" w:after="240"/>
        <w:jc w:val="both"/>
        <w:rPr/>
      </w:pPr>
      <w:r>
        <w:rPr>
          <w:color w:val="000000"/>
        </w:rPr>
        <w:t>“</w:t>
      </w:r>
      <w:r>
        <w:rPr>
          <w:rFonts w:ascii="Times New Roman" w:hAnsi="Times New Roman"/>
          <w:color w:val="000000"/>
          <w:sz w:val="24"/>
          <w:u w:val="single"/>
        </w:rPr>
        <w:t>Intercreditor Agreement</w:t>
      </w:r>
      <w:r>
        <w:rPr>
          <w:rFonts w:ascii="Times New Roman" w:hAnsi="Times New Roman"/>
          <w:color w:val="000000"/>
          <w:sz w:val="20"/>
        </w:rPr>
        <w:t xml:space="preserve">” </w:t>
      </w:r>
      <w:r>
        <w:rPr>
          <w:rFonts w:ascii="Times New Roman" w:hAnsi="Times New Roman"/>
          <w:color w:val="000000"/>
          <w:sz w:val="24"/>
        </w:rPr>
        <w:t>means that certain Intercreditor Agreement, dated as of February 2, 2011, among [***], UACC, UACC Auto Financing Trust and each of the intercreditor parties thereto.</w:t>
      </w:r>
    </w:p>
    <w:p>
      <w:pPr>
        <w:pStyle w:val="TextBody"/>
        <w:bidi w:val="0"/>
        <w:spacing w:before="0" w:after="240"/>
        <w:jc w:val="both"/>
        <w:rPr/>
      </w:pPr>
      <w:r>
        <w:rPr>
          <w:color w:val="000000"/>
        </w:rPr>
        <w:t>“</w:t>
      </w:r>
      <w:r>
        <w:rPr>
          <w:rFonts w:ascii="Times New Roman" w:hAnsi="Times New Roman"/>
          <w:color w:val="000000"/>
          <w:sz w:val="24"/>
          <w:u w:val="single"/>
        </w:rPr>
        <w:t>Intercreditor Party Supplement</w:t>
      </w:r>
      <w:r>
        <w:rPr>
          <w:rFonts w:ascii="Times New Roman" w:hAnsi="Times New Roman"/>
          <w:color w:val="000000"/>
          <w:sz w:val="20"/>
        </w:rPr>
        <w:t xml:space="preserve">” </w:t>
      </w:r>
      <w:r>
        <w:rPr>
          <w:rFonts w:ascii="Times New Roman" w:hAnsi="Times New Roman"/>
          <w:color w:val="000000"/>
          <w:sz w:val="24"/>
        </w:rPr>
        <w:t>means the Intercreditor Party Supplement, dated as of the Closing Date, among the Borrower, the Administrative Agent and the parties to the Intercreditor Agreement.</w:t>
      </w:r>
    </w:p>
    <w:p>
      <w:pPr>
        <w:pStyle w:val="TextBody"/>
        <w:bidi w:val="0"/>
        <w:spacing w:before="0" w:after="240"/>
        <w:jc w:val="both"/>
        <w:rPr/>
      </w:pPr>
      <w:r>
        <w:rPr>
          <w:color w:val="000000"/>
        </w:rPr>
        <w:t>“</w:t>
      </w:r>
      <w:r>
        <w:rPr>
          <w:rFonts w:ascii="Times New Roman" w:hAnsi="Times New Roman"/>
          <w:color w:val="000000"/>
          <w:sz w:val="24"/>
          <w:u w:val="single"/>
        </w:rPr>
        <w:t>Interpayments</w:t>
      </w:r>
      <w:r>
        <w:rPr>
          <w:rFonts w:ascii="Times New Roman" w:hAnsi="Times New Roman"/>
          <w:color w:val="000000"/>
          <w:sz w:val="20"/>
        </w:rPr>
        <w:t xml:space="preserve">” </w:t>
      </w:r>
      <w:r>
        <w:rPr>
          <w:rFonts w:ascii="Times New Roman" w:hAnsi="Times New Roman"/>
          <w:color w:val="000000"/>
          <w:sz w:val="24"/>
        </w:rPr>
        <w:t>means Collections on deposit in the Collection Account that are used to repay at least $</w:t>
      </w:r>
      <w:r>
        <w:rPr>
          <w:rFonts w:ascii="Times New Roman" w:hAnsi="Times New Roman"/>
          <w:b/>
          <w:color w:val="000000"/>
          <w:sz w:val="24"/>
        </w:rPr>
        <w:t xml:space="preserve">[***] </w:t>
      </w:r>
      <w:r>
        <w:rPr>
          <w:rFonts w:ascii="Times New Roman" w:hAnsi="Times New Roman"/>
          <w:color w:val="000000"/>
          <w:sz w:val="24"/>
        </w:rPr>
        <w:t>in principal amount of Loans Outstanding pursuant to Section 2.06(e).</w:t>
      </w:r>
    </w:p>
    <w:p>
      <w:pPr>
        <w:pStyle w:val="TextBody"/>
        <w:bidi w:val="0"/>
        <w:spacing w:before="0" w:after="240"/>
        <w:jc w:val="both"/>
        <w:rPr/>
      </w:pPr>
      <w:r>
        <w:rPr>
          <w:color w:val="000000"/>
        </w:rPr>
        <w:t>“</w:t>
      </w:r>
      <w:r>
        <w:rPr>
          <w:rFonts w:ascii="Times New Roman" w:hAnsi="Times New Roman"/>
          <w:color w:val="000000"/>
          <w:sz w:val="24"/>
          <w:u w:val="single"/>
        </w:rPr>
        <w:t>Interest</w:t>
      </w:r>
      <w:r>
        <w:rPr>
          <w:rFonts w:ascii="Times New Roman" w:hAnsi="Times New Roman"/>
          <w:color w:val="000000"/>
          <w:sz w:val="20"/>
        </w:rPr>
        <w:t xml:space="preserve">” </w:t>
      </w:r>
      <w:r>
        <w:rPr>
          <w:rFonts w:ascii="Times New Roman" w:hAnsi="Times New Roman"/>
          <w:color w:val="000000"/>
          <w:sz w:val="24"/>
        </w:rPr>
        <w:t>means, for any Interest Period and each Loan (or portion thereof) outstanding during such Interest Period, interest on the outstanding Principal Amount of such Loan computed pursuant to Section 2.07; provided, however, that (i) no provision of this Agreement shall require or permit the collection of Interest in excess of the Maximum Lawful Rate and (ii) Interest shall not be considered paid by any distribution if at any time such distribution is rescinded or must otherwise be returned for any reason.</w:t>
      </w:r>
    </w:p>
    <w:p>
      <w:pPr>
        <w:pStyle w:val="TextBody"/>
        <w:bidi w:val="0"/>
        <w:spacing w:before="0" w:after="240"/>
        <w:jc w:val="both"/>
        <w:rPr/>
      </w:pPr>
      <w:r>
        <w:rPr>
          <w:color w:val="000000"/>
        </w:rPr>
        <w:t>“</w:t>
      </w:r>
      <w:r>
        <w:rPr>
          <w:rFonts w:ascii="Times New Roman" w:hAnsi="Times New Roman"/>
          <w:color w:val="000000"/>
          <w:sz w:val="24"/>
          <w:u w:val="single"/>
        </w:rPr>
        <w:t>Interest Period</w:t>
      </w:r>
      <w:r>
        <w:rPr>
          <w:rFonts w:ascii="Times New Roman" w:hAnsi="Times New Roman"/>
          <w:color w:val="000000"/>
          <w:sz w:val="20"/>
        </w:rPr>
        <w:t xml:space="preserve">” </w:t>
      </w:r>
      <w:r>
        <w:rPr>
          <w:rFonts w:ascii="Times New Roman" w:hAnsi="Times New Roman"/>
          <w:color w:val="000000"/>
          <w:sz w:val="24"/>
        </w:rPr>
        <w:t>means, with respect to any Payment Date, the immediately preceding Collection Period (or, in the case of the first Payment Date following the Closing Date, from and including the Closing Date to and including the last day of the Collection Period in which the Closing Date occurs); provided, however, that any Interest Period that commences before the Facility Termination Date that would otherwise end after the Facility Termination Date shall end on the Facility Termination Date.</w:t>
      </w:r>
    </w:p>
    <w:p>
      <w:pPr>
        <w:pStyle w:val="TextBody"/>
        <w:bidi w:val="0"/>
        <w:spacing w:before="0" w:after="240"/>
        <w:jc w:val="both"/>
        <w:rPr/>
      </w:pPr>
      <w:r>
        <w:rPr>
          <w:color w:val="000000"/>
        </w:rPr>
        <w:t>“</w:t>
      </w:r>
      <w:r>
        <w:rPr>
          <w:rFonts w:ascii="Times New Roman" w:hAnsi="Times New Roman"/>
          <w:color w:val="000000"/>
          <w:sz w:val="24"/>
          <w:u w:val="single"/>
        </w:rPr>
        <w:t>Interest Rate</w:t>
      </w:r>
      <w:r>
        <w:rPr>
          <w:rFonts w:ascii="Times New Roman" w:hAnsi="Times New Roman"/>
          <w:color w:val="000000"/>
          <w:sz w:val="20"/>
        </w:rPr>
        <w:t xml:space="preserve">” </w:t>
      </w:r>
      <w:r>
        <w:rPr>
          <w:rFonts w:ascii="Times New Roman" w:hAnsi="Times New Roman"/>
          <w:color w:val="000000"/>
          <w:sz w:val="24"/>
        </w:rPr>
        <w:t xml:space="preserve">means, with respect to any Loan (or portion thereof) on any day, the sum of (i) Term SOFR on such day and (ii) the Applicable Margin; provided, however, that for the avoidance of doubt, upon the automatic occurrence, or the declaration of the occurrence, of the Termination Date in accordance with </w:t>
      </w:r>
      <w:r>
        <w:rPr>
          <w:rFonts w:ascii="Times New Roman" w:hAnsi="Times New Roman"/>
          <w:color w:val="000000"/>
          <w:sz w:val="24"/>
          <w:u w:val="single"/>
        </w:rPr>
        <w:t>Section 9.01(b)</w:t>
      </w:r>
      <w:r>
        <w:rPr>
          <w:rFonts w:ascii="Times New Roman" w:hAnsi="Times New Roman"/>
          <w:color w:val="000000"/>
          <w:sz w:val="24"/>
        </w:rPr>
        <w:t>, the Interest Rate for each Loan (or portion thereof) shall be a rate per annum equal to the Default Rate.</w:t>
      </w:r>
    </w:p>
    <w:p>
      <w:pPr>
        <w:pStyle w:val="TextBody"/>
        <w:bidi w:val="0"/>
        <w:spacing w:before="0" w:after="240"/>
        <w:jc w:val="both"/>
        <w:rPr/>
      </w:pPr>
      <w:r>
        <w:rPr>
          <w:color w:val="000000"/>
        </w:rPr>
        <w:t>“</w:t>
      </w:r>
      <w:r>
        <w:rPr>
          <w:rFonts w:ascii="Times New Roman" w:hAnsi="Times New Roman"/>
          <w:color w:val="000000"/>
          <w:sz w:val="24"/>
          <w:u w:val="single"/>
        </w:rPr>
        <w:t>Invested Percentage</w:t>
      </w:r>
      <w:r>
        <w:rPr>
          <w:rFonts w:ascii="Times New Roman" w:hAnsi="Times New Roman"/>
          <w:color w:val="000000"/>
          <w:sz w:val="20"/>
        </w:rPr>
        <w:t xml:space="preserve">” </w:t>
      </w:r>
      <w:r>
        <w:rPr>
          <w:rFonts w:ascii="Times New Roman" w:hAnsi="Times New Roman"/>
          <w:color w:val="000000"/>
          <w:sz w:val="24"/>
        </w:rPr>
        <w:t>means, for a Lender on any day, the percentage equivalent of (i) the sum of (a) the portion of the Loans Outstanding (if any) funded by such Lender on or prior to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day, plus (b) any portion of the Loans Outstanding acquired by such Lender on or prior to such day as an assignee from another Lender pursuant to an Assignment and Acceptance, minus (c) any portion of the Loans Outstanding assigned by such Lender to an assignee on or prior to such day pursuant to an Assignment and Acceptance, divided by (ii) the Loans Outstanding on such day.</w:t>
      </w:r>
    </w:p>
    <w:p>
      <w:pPr>
        <w:pStyle w:val="TextBody"/>
        <w:bidi w:val="0"/>
        <w:spacing w:before="0" w:after="240"/>
        <w:jc w:val="both"/>
        <w:rPr/>
      </w:pPr>
      <w:r>
        <w:rPr>
          <w:color w:val="000000"/>
        </w:rPr>
        <w:t>“</w:t>
      </w:r>
      <w:r>
        <w:rPr>
          <w:rFonts w:ascii="Times New Roman" w:hAnsi="Times New Roman"/>
          <w:color w:val="000000"/>
          <w:sz w:val="24"/>
          <w:u w:val="single"/>
        </w:rPr>
        <w:t>Investment</w:t>
      </w:r>
      <w:r>
        <w:rPr>
          <w:rFonts w:ascii="Times New Roman" w:hAnsi="Times New Roman"/>
          <w:color w:val="000000"/>
          <w:sz w:val="20"/>
        </w:rPr>
        <w:t xml:space="preserve">” </w:t>
      </w:r>
      <w:r>
        <w:rPr>
          <w:rFonts w:ascii="Times New Roman" w:hAnsi="Times New Roman"/>
          <w:color w:val="000000"/>
          <w:sz w:val="24"/>
        </w:rPr>
        <w:t>means, with respect to any Person, any direct or indirect loan, advance or investment by such Person in any other Person, whether by means of share purchase, capital contribution, loan or otherwise, and excluding commission, travel and similar advances to officers, employees and directors made in the ordinary course of business.</w:t>
      </w:r>
    </w:p>
    <w:p>
      <w:pPr>
        <w:pStyle w:val="TextBody"/>
        <w:bidi w:val="0"/>
        <w:spacing w:before="0" w:after="240"/>
        <w:jc w:val="both"/>
        <w:rPr/>
      </w:pPr>
      <w:r>
        <w:rPr>
          <w:color w:val="000000"/>
        </w:rPr>
        <w:t>“</w:t>
      </w:r>
      <w:r>
        <w:rPr>
          <w:rFonts w:ascii="Times New Roman" w:hAnsi="Times New Roman"/>
          <w:color w:val="000000"/>
          <w:sz w:val="24"/>
          <w:u w:val="single"/>
        </w:rPr>
        <w:t>Investment Company Act</w:t>
      </w:r>
      <w:r>
        <w:rPr>
          <w:rFonts w:ascii="Times New Roman" w:hAnsi="Times New Roman"/>
          <w:color w:val="000000"/>
          <w:sz w:val="20"/>
        </w:rPr>
        <w:t xml:space="preserve">” </w:t>
      </w:r>
      <w:r>
        <w:rPr>
          <w:rFonts w:ascii="Times New Roman" w:hAnsi="Times New Roman"/>
          <w:color w:val="000000"/>
          <w:sz w:val="24"/>
        </w:rPr>
        <w:t>means the Investment Company Act of 1940, as amended.</w:t>
      </w:r>
    </w:p>
    <w:p>
      <w:pPr>
        <w:pStyle w:val="TextBody"/>
        <w:bidi w:val="0"/>
        <w:spacing w:before="0" w:after="240"/>
        <w:jc w:val="both"/>
        <w:rPr/>
      </w:pPr>
      <w:r>
        <w:rPr>
          <w:color w:val="000000"/>
        </w:rPr>
        <w:t>“</w:t>
      </w:r>
      <w:r>
        <w:rPr>
          <w:rFonts w:ascii="Times New Roman" w:hAnsi="Times New Roman"/>
          <w:color w:val="000000"/>
          <w:sz w:val="24"/>
          <w:u w:val="single"/>
        </w:rPr>
        <w:t>IRS</w:t>
      </w:r>
      <w:r>
        <w:rPr>
          <w:rFonts w:ascii="Times New Roman" w:hAnsi="Times New Roman"/>
          <w:color w:val="000000"/>
          <w:sz w:val="20"/>
        </w:rPr>
        <w:t xml:space="preserve">” </w:t>
      </w:r>
      <w:r>
        <w:rPr>
          <w:rFonts w:ascii="Times New Roman" w:hAnsi="Times New Roman"/>
          <w:color w:val="000000"/>
          <w:sz w:val="24"/>
        </w:rPr>
        <w:t>means the U.S. Internal Revenue Service.</w:t>
      </w:r>
    </w:p>
    <w:p>
      <w:pPr>
        <w:pStyle w:val="TextBody"/>
        <w:bidi w:val="0"/>
        <w:spacing w:before="0" w:after="240"/>
        <w:jc w:val="both"/>
        <w:rPr/>
      </w:pPr>
      <w:r>
        <w:rPr>
          <w:color w:val="000000"/>
        </w:rPr>
        <w:t>“</w:t>
      </w:r>
      <w:r>
        <w:rPr>
          <w:rFonts w:ascii="Times New Roman" w:hAnsi="Times New Roman"/>
          <w:color w:val="000000"/>
          <w:sz w:val="24"/>
          <w:u w:val="single"/>
        </w:rPr>
        <w:t>Lender</w:t>
      </w:r>
      <w:r>
        <w:rPr>
          <w:rFonts w:ascii="Times New Roman" w:hAnsi="Times New Roman"/>
          <w:color w:val="000000"/>
          <w:sz w:val="20"/>
        </w:rPr>
        <w:t xml:space="preserve">” </w:t>
      </w:r>
      <w:r>
        <w:rPr>
          <w:rFonts w:ascii="Times New Roman" w:hAnsi="Times New Roman"/>
          <w:color w:val="000000"/>
          <w:sz w:val="24"/>
        </w:rPr>
        <w:t>means a Committed Lender, and “</w:t>
      </w:r>
      <w:r>
        <w:rPr>
          <w:rFonts w:ascii="Times New Roman" w:hAnsi="Times New Roman"/>
          <w:color w:val="000000"/>
          <w:sz w:val="24"/>
          <w:u w:val="single"/>
        </w:rPr>
        <w:t>Lenders</w:t>
      </w:r>
      <w:r>
        <w:rPr>
          <w:rFonts w:ascii="Times New Roman" w:hAnsi="Times New Roman"/>
          <w:color w:val="000000"/>
          <w:sz w:val="20"/>
        </w:rPr>
        <w:t xml:space="preserve">” </w:t>
      </w:r>
      <w:r>
        <w:rPr>
          <w:rFonts w:ascii="Times New Roman" w:hAnsi="Times New Roman"/>
          <w:color w:val="000000"/>
          <w:sz w:val="24"/>
        </w:rPr>
        <w:t>means, collectively, all of the Committed Lenders.</w:t>
      </w:r>
    </w:p>
    <w:p>
      <w:pPr>
        <w:pStyle w:val="TextBody"/>
        <w:bidi w:val="0"/>
        <w:spacing w:before="0" w:after="240"/>
        <w:jc w:val="both"/>
        <w:rPr/>
      </w:pPr>
      <w:r>
        <w:rPr>
          <w:color w:val="000000"/>
        </w:rPr>
        <w:t>“</w:t>
      </w:r>
      <w:r>
        <w:rPr>
          <w:rFonts w:ascii="Times New Roman" w:hAnsi="Times New Roman"/>
          <w:color w:val="000000"/>
          <w:sz w:val="24"/>
          <w:u w:val="single"/>
        </w:rPr>
        <w:t>Lender Advance</w:t>
      </w:r>
      <w:r>
        <w:rPr>
          <w:rFonts w:ascii="Times New Roman" w:hAnsi="Times New Roman"/>
          <w:color w:val="000000"/>
          <w:sz w:val="20"/>
        </w:rPr>
        <w:t xml:space="preserve">” </w:t>
      </w:r>
      <w:r>
        <w:rPr>
          <w:rFonts w:ascii="Times New Roman" w:hAnsi="Times New Roman"/>
          <w:color w:val="000000"/>
          <w:sz w:val="24"/>
        </w:rPr>
        <w:t>means, with respect to a Committed Lender, such Lender’s Lender Percentage of the Principal Amount of a particular Loan to be made to the Borrower on a Funding Date.</w:t>
      </w:r>
    </w:p>
    <w:p>
      <w:pPr>
        <w:pStyle w:val="TextBody"/>
        <w:bidi w:val="0"/>
        <w:spacing w:before="0" w:after="240"/>
        <w:jc w:val="both"/>
        <w:rPr/>
      </w:pPr>
      <w:r>
        <w:rPr>
          <w:color w:val="000000"/>
        </w:rPr>
        <w:t>“</w:t>
      </w:r>
      <w:r>
        <w:rPr>
          <w:rFonts w:ascii="Times New Roman" w:hAnsi="Times New Roman"/>
          <w:color w:val="000000"/>
          <w:sz w:val="24"/>
          <w:u w:val="single"/>
        </w:rPr>
        <w:t>Lender Percentage</w:t>
      </w:r>
      <w:r>
        <w:rPr>
          <w:rFonts w:ascii="Times New Roman" w:hAnsi="Times New Roman"/>
          <w:color w:val="000000"/>
          <w:sz w:val="20"/>
        </w:rPr>
        <w:t xml:space="preserve">” </w:t>
      </w:r>
      <w:r>
        <w:rPr>
          <w:rFonts w:ascii="Times New Roman" w:hAnsi="Times New Roman"/>
          <w:color w:val="000000"/>
          <w:sz w:val="24"/>
        </w:rPr>
        <w:t>means, with respect to a Committed Lender, its Commitment as a percentage of the Aggregate Commitment.</w:t>
      </w:r>
    </w:p>
    <w:p>
      <w:pPr>
        <w:pStyle w:val="TextBody"/>
        <w:bidi w:val="0"/>
        <w:spacing w:before="0" w:after="240"/>
        <w:jc w:val="both"/>
        <w:rPr/>
      </w:pPr>
      <w:r>
        <w:rPr>
          <w:color w:val="000000"/>
        </w:rPr>
        <w:t>“</w:t>
      </w:r>
      <w:r>
        <w:rPr>
          <w:rFonts w:ascii="Times New Roman" w:hAnsi="Times New Roman"/>
          <w:color w:val="000000"/>
          <w:sz w:val="24"/>
          <w:u w:val="single"/>
        </w:rPr>
        <w:t>Lender Register</w:t>
      </w:r>
      <w:r>
        <w:rPr>
          <w:rFonts w:ascii="Times New Roman" w:hAnsi="Times New Roman"/>
          <w:color w:val="000000"/>
          <w:sz w:val="20"/>
        </w:rPr>
        <w:t xml:space="preserve">” </w:t>
      </w:r>
      <w:r>
        <w:rPr>
          <w:rFonts w:ascii="Times New Roman" w:hAnsi="Times New Roman"/>
          <w:color w:val="000000"/>
          <w:sz w:val="24"/>
        </w:rPr>
        <w:t>has the meaning given to such term in Section 12.01(d).</w:t>
      </w:r>
    </w:p>
    <w:p>
      <w:pPr>
        <w:pStyle w:val="TextBody"/>
        <w:bidi w:val="0"/>
        <w:spacing w:before="0" w:after="240"/>
        <w:jc w:val="both"/>
        <w:rPr/>
      </w:pPr>
      <w:r>
        <w:rPr>
          <w:color w:val="000000"/>
        </w:rPr>
        <w:t>“</w:t>
      </w:r>
      <w:r>
        <w:rPr>
          <w:rFonts w:ascii="Times New Roman" w:hAnsi="Times New Roman"/>
          <w:color w:val="000000"/>
          <w:sz w:val="24"/>
          <w:u w:val="single"/>
        </w:rPr>
        <w:t>Leverage Ratio</w:t>
      </w:r>
      <w:r>
        <w:rPr>
          <w:rFonts w:ascii="Times New Roman" w:hAnsi="Times New Roman"/>
          <w:color w:val="000000"/>
          <w:sz w:val="20"/>
        </w:rPr>
        <w:t xml:space="preserve">” </w:t>
      </w:r>
      <w:r>
        <w:rPr>
          <w:rFonts w:ascii="Times New Roman" w:hAnsi="Times New Roman"/>
          <w:color w:val="000000"/>
          <w:sz w:val="24"/>
        </w:rPr>
        <w:t>means, with respect to any Person as of any day, the ratio of such Person’s total Indebtedness (less the sum of such Person’s (i) unrestricted cash on hand in excess of $</w:t>
      </w:r>
      <w:r>
        <w:rPr>
          <w:rFonts w:ascii="Times New Roman" w:hAnsi="Times New Roman"/>
          <w:b/>
          <w:color w:val="000000"/>
          <w:sz w:val="24"/>
        </w:rPr>
        <w:t xml:space="preserve">[***] </w:t>
      </w:r>
      <w:r>
        <w:rPr>
          <w:rFonts w:ascii="Times New Roman" w:hAnsi="Times New Roman"/>
          <w:color w:val="000000"/>
          <w:sz w:val="24"/>
        </w:rPr>
        <w:t>and (ii) restricted cash used for any prefunding of Securitizations) to its Tangible Net Worth, in each case, as of the last day of the immediately preceding calendar quarter.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Lien</w:t>
      </w:r>
      <w:r>
        <w:rPr>
          <w:rFonts w:ascii="Times New Roman" w:hAnsi="Times New Roman"/>
          <w:color w:val="000000"/>
          <w:sz w:val="20"/>
        </w:rPr>
        <w:t xml:space="preserve">” </w:t>
      </w:r>
      <w:r>
        <w:rPr>
          <w:rFonts w:ascii="Times New Roman" w:hAnsi="Times New Roman"/>
          <w:color w:val="000000"/>
          <w:sz w:val="24"/>
        </w:rPr>
        <w:t>means any mortgage, lien, pledge, charge, claim, security interest or encumbrance of any kind.</w:t>
      </w:r>
    </w:p>
    <w:p>
      <w:pPr>
        <w:pStyle w:val="TextBody"/>
        <w:bidi w:val="0"/>
        <w:spacing w:before="0" w:after="240"/>
        <w:jc w:val="both"/>
        <w:rPr/>
      </w:pPr>
      <w:r>
        <w:rPr>
          <w:color w:val="000000"/>
        </w:rPr>
        <w:t>“</w:t>
      </w:r>
      <w:r>
        <w:rPr>
          <w:rFonts w:ascii="Times New Roman" w:hAnsi="Times New Roman"/>
          <w:color w:val="000000"/>
          <w:sz w:val="24"/>
          <w:u w:val="single"/>
        </w:rPr>
        <w:t>Loan</w:t>
      </w:r>
      <w:r>
        <w:rPr>
          <w:rFonts w:ascii="Times New Roman" w:hAnsi="Times New Roman"/>
          <w:color w:val="000000"/>
          <w:sz w:val="20"/>
        </w:rPr>
        <w:t xml:space="preserve">” </w:t>
      </w:r>
      <w:r>
        <w:rPr>
          <w:rFonts w:ascii="Times New Roman" w:hAnsi="Times New Roman"/>
          <w:color w:val="000000"/>
          <w:sz w:val="24"/>
        </w:rPr>
        <w:t>has the meaning given to such term in Section 2.01(a).</w:t>
      </w:r>
    </w:p>
    <w:p>
      <w:pPr>
        <w:pStyle w:val="TextBody"/>
        <w:bidi w:val="0"/>
        <w:spacing w:before="0" w:after="240"/>
        <w:jc w:val="both"/>
        <w:rPr/>
      </w:pPr>
      <w:r>
        <w:rPr>
          <w:color w:val="000000"/>
        </w:rPr>
        <w:t>“</w:t>
      </w:r>
      <w:r>
        <w:rPr>
          <w:rFonts w:ascii="Times New Roman" w:hAnsi="Times New Roman"/>
          <w:color w:val="000000"/>
          <w:sz w:val="24"/>
          <w:u w:val="single"/>
        </w:rPr>
        <w:t>Loan-to-Value Ratio (CarStory)</w:t>
      </w:r>
      <w:r>
        <w:rPr>
          <w:rFonts w:ascii="Times New Roman" w:hAnsi="Times New Roman"/>
          <w:color w:val="000000"/>
          <w:sz w:val="20"/>
        </w:rPr>
        <w:t xml:space="preserve">” </w:t>
      </w:r>
      <w:r>
        <w:rPr>
          <w:rFonts w:ascii="Times New Roman" w:hAnsi="Times New Roman"/>
          <w:color w:val="000000"/>
          <w:sz w:val="24"/>
        </w:rPr>
        <w:t>means, with respect to any Receivable, the percentage equivalent of a fraction, (i) the numerator of which is the original Principal Balance of such Receivable and (ii) the denominator of which is the wholesale trade-in book value of the related Financed Vehicle as determined by the CarStory valuation data (taking into account specific features and mileage of such Financed Vehicle) as of the date of origination of such Receivable.</w:t>
      </w:r>
    </w:p>
    <w:p>
      <w:pPr>
        <w:pStyle w:val="TextBody"/>
        <w:bidi w:val="0"/>
        <w:spacing w:before="0" w:after="240"/>
        <w:jc w:val="both"/>
        <w:rPr/>
      </w:pPr>
      <w:r>
        <w:rPr>
          <w:color w:val="000000"/>
        </w:rPr>
        <w:t>“</w:t>
      </w:r>
      <w:r>
        <w:rPr>
          <w:rFonts w:ascii="Times New Roman" w:hAnsi="Times New Roman"/>
          <w:color w:val="000000"/>
          <w:sz w:val="24"/>
          <w:u w:val="single"/>
        </w:rPr>
        <w:t>Loan-to-Value Ratio (KBB/NADA)</w:t>
      </w:r>
      <w:r>
        <w:rPr>
          <w:rFonts w:ascii="Times New Roman" w:hAnsi="Times New Roman"/>
          <w:color w:val="000000"/>
          <w:sz w:val="20"/>
        </w:rPr>
        <w:t xml:space="preserve">” </w:t>
      </w:r>
      <w:r>
        <w:rPr>
          <w:rFonts w:ascii="Times New Roman" w:hAnsi="Times New Roman"/>
          <w:color w:val="000000"/>
          <w:sz w:val="24"/>
        </w:rPr>
        <w:t>means, with respect to any Receivable, the percentage equivalent of a fraction, (i) the numerator of which is the original Principal Balance of such Receivable and (ii) the denominator of which is the wholesale trade-in book value of the related Financed Vehicle as reflected in the N.A.D.A. or Kelley Blue Book appraisal guides (taking into account specific features and mileage of such Financed Vehicle) at the date of origination of such Receivable.</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Loans Outstanding</w:t>
      </w:r>
      <w:r>
        <w:rPr>
          <w:rFonts w:ascii="Times New Roman" w:hAnsi="Times New Roman"/>
          <w:color w:val="000000"/>
          <w:sz w:val="20"/>
        </w:rPr>
        <w:t xml:space="preserve">” </w:t>
      </w:r>
      <w:r>
        <w:rPr>
          <w:rFonts w:ascii="Times New Roman" w:hAnsi="Times New Roman"/>
          <w:color w:val="000000"/>
          <w:sz w:val="24"/>
        </w:rPr>
        <w:t>means, on any day, the aggregate Principal Amount of Loans made on or prior to such day, reduced from time to time by payments and distributions in respect of principal of such Loans in accordance with the terms hereof.</w:t>
      </w:r>
    </w:p>
    <w:p>
      <w:pPr>
        <w:pStyle w:val="TextBody"/>
        <w:bidi w:val="0"/>
        <w:spacing w:before="0" w:after="240"/>
        <w:jc w:val="both"/>
        <w:rPr/>
      </w:pPr>
      <w:r>
        <w:rPr>
          <w:color w:val="000000"/>
        </w:rPr>
        <w:t>“</w:t>
      </w:r>
      <w:r>
        <w:rPr>
          <w:rFonts w:ascii="Times New Roman" w:hAnsi="Times New Roman"/>
          <w:color w:val="000000"/>
          <w:sz w:val="24"/>
          <w:u w:val="single"/>
        </w:rPr>
        <w:t>Local Bank</w:t>
      </w:r>
      <w:r>
        <w:rPr>
          <w:rFonts w:ascii="Times New Roman" w:hAnsi="Times New Roman"/>
          <w:color w:val="000000"/>
          <w:sz w:val="20"/>
        </w:rPr>
        <w:t xml:space="preserve">” </w:t>
      </w:r>
      <w:r>
        <w:rPr>
          <w:rFonts w:ascii="Times New Roman" w:hAnsi="Times New Roman"/>
          <w:color w:val="000000"/>
          <w:sz w:val="24"/>
        </w:rPr>
        <w:t>means [***] or, so long as no Termination Event or Servicer Termination Event shall have occurred and is continuing, any other bank selected by the Servicer (and consented to by the Administrative Agent, such consent not to be unreasonably withheld, conditioned or delayed) that is a Qualified Institution.</w:t>
      </w:r>
    </w:p>
    <w:p>
      <w:pPr>
        <w:pStyle w:val="TextBody"/>
        <w:bidi w:val="0"/>
        <w:spacing w:before="0" w:after="240"/>
        <w:jc w:val="both"/>
        <w:rPr/>
      </w:pPr>
      <w:r>
        <w:rPr>
          <w:color w:val="000000"/>
        </w:rPr>
        <w:t>“</w:t>
      </w:r>
      <w:r>
        <w:rPr>
          <w:rFonts w:ascii="Times New Roman" w:hAnsi="Times New Roman"/>
          <w:color w:val="000000"/>
          <w:sz w:val="24"/>
          <w:u w:val="single"/>
        </w:rPr>
        <w:t>Local Bank Account</w:t>
      </w:r>
      <w:r>
        <w:rPr>
          <w:rFonts w:ascii="Times New Roman" w:hAnsi="Times New Roman"/>
          <w:color w:val="000000"/>
          <w:sz w:val="20"/>
        </w:rPr>
        <w:t xml:space="preserve">” </w:t>
      </w:r>
      <w:r>
        <w:rPr>
          <w:rFonts w:ascii="Times New Roman" w:hAnsi="Times New Roman"/>
          <w:color w:val="000000"/>
          <w:sz w:val="24"/>
        </w:rPr>
        <w:t>means a bank account established and maintained by the Servicer at the Local Bank for the benefit of the Secured Parties pursuant to the Intercreditor Agreement and the Intercreditor Party Supplement.</w:t>
      </w:r>
    </w:p>
    <w:p>
      <w:pPr>
        <w:pStyle w:val="TextBody"/>
        <w:bidi w:val="0"/>
        <w:spacing w:before="0" w:after="240"/>
        <w:jc w:val="both"/>
        <w:rPr/>
      </w:pPr>
      <w:r>
        <w:rPr>
          <w:color w:val="000000"/>
        </w:rPr>
        <w:t>“</w:t>
      </w:r>
      <w:r>
        <w:rPr>
          <w:rFonts w:ascii="Times New Roman" w:hAnsi="Times New Roman"/>
          <w:color w:val="000000"/>
          <w:sz w:val="24"/>
          <w:u w:val="single"/>
        </w:rPr>
        <w:t>Long-Term Rating Requirement</w:t>
      </w:r>
      <w:r>
        <w:rPr>
          <w:rFonts w:ascii="Times New Roman" w:hAnsi="Times New Roman"/>
          <w:color w:val="000000"/>
          <w:sz w:val="20"/>
        </w:rPr>
        <w:t xml:space="preserve">” </w:t>
      </w:r>
      <w:r>
        <w:rPr>
          <w:rFonts w:ascii="Times New Roman" w:hAnsi="Times New Roman"/>
          <w:color w:val="000000"/>
          <w:sz w:val="24"/>
        </w:rPr>
        <w:t>means, with respect to any Person, that such Person has a long-term unsecured debt rating of not less than A by Standard &amp; Poor’s and not less than A2 by Moody’s.</w:t>
      </w:r>
    </w:p>
    <w:p>
      <w:pPr>
        <w:pStyle w:val="TextBody"/>
        <w:bidi w:val="0"/>
        <w:spacing w:before="0" w:after="240"/>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means, with respect to any Person and to any event or circumstance, a material adverse effect on (i) the business, condition (financial or otherwise), operations, performance or properties of such Person, taken as a whole, (ii) the validity, enforceability or collectability of this Agreement or any other Basic Document or the validity, enforceability or collectability of a material portion of (a) the Contracts, (b) the Receivables or (c) any other Collateral, in each of clauses (a), (b) and (c), taken as a whole, (iii) the rights and remedies of the Secured Parties under this Agreement or any other Basic Document, (iv) the ability of such Person to perform its obligations under this Agreement or any other Basic Document to which it is a party or (v) the status, existence, perfection, priority or enforceability of the interest of the Administrative Agent or the Lenders in the Collateral.</w:t>
      </w:r>
    </w:p>
    <w:p>
      <w:pPr>
        <w:pStyle w:val="TextBody"/>
        <w:bidi w:val="0"/>
        <w:spacing w:before="0" w:after="240"/>
        <w:jc w:val="both"/>
        <w:rPr/>
      </w:pPr>
      <w:r>
        <w:rPr>
          <w:color w:val="000000"/>
        </w:rPr>
        <w:t>“</w:t>
      </w:r>
      <w:r>
        <w:rPr>
          <w:rFonts w:ascii="Times New Roman" w:hAnsi="Times New Roman"/>
          <w:color w:val="000000"/>
          <w:sz w:val="24"/>
          <w:u w:val="single"/>
        </w:rPr>
        <w:t>Maximum Lawful Rate</w:t>
      </w:r>
      <w:r>
        <w:rPr>
          <w:rFonts w:ascii="Times New Roman" w:hAnsi="Times New Roman"/>
          <w:color w:val="000000"/>
          <w:sz w:val="20"/>
        </w:rPr>
        <w:t xml:space="preserve">” </w:t>
      </w:r>
      <w:r>
        <w:rPr>
          <w:rFonts w:ascii="Times New Roman" w:hAnsi="Times New Roman"/>
          <w:color w:val="000000"/>
          <w:sz w:val="24"/>
        </w:rPr>
        <w:t>means the highest rate of interest permissible under Applicable Law.</w:t>
      </w:r>
    </w:p>
    <w:p>
      <w:pPr>
        <w:pStyle w:val="TextBody"/>
        <w:bidi w:val="0"/>
        <w:spacing w:before="0" w:after="240"/>
        <w:jc w:val="both"/>
        <w:rPr/>
      </w:pPr>
      <w:r>
        <w:rPr>
          <w:color w:val="000000"/>
        </w:rPr>
        <w:t>“</w:t>
      </w:r>
      <w:r>
        <w:rPr>
          <w:rFonts w:ascii="Times New Roman" w:hAnsi="Times New Roman"/>
          <w:color w:val="000000"/>
          <w:sz w:val="24"/>
          <w:u w:val="single"/>
        </w:rPr>
        <w:t>Monthly Accrued Interest Payment Amount</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during which an Interpayment is made, an amount equal to the sum of, without duplication, (i) the amount, if any, by which Collections for such Collection Period are not sufficient to make the Interest payments described in clause (iv) of Section 2.08 on such Payment Date and (ii) an amount equal to Interest on the Loans repaid by such Interpayment through the end of the related Interest Period.</w:t>
      </w:r>
    </w:p>
    <w:p>
      <w:pPr>
        <w:pStyle w:val="TextBody"/>
        <w:bidi w:val="0"/>
        <w:spacing w:before="0" w:after="240"/>
        <w:jc w:val="both"/>
        <w:rPr/>
      </w:pPr>
      <w:r>
        <w:rPr>
          <w:color w:val="000000"/>
        </w:rPr>
        <w:t>“</w:t>
      </w:r>
      <w:r>
        <w:rPr>
          <w:rFonts w:ascii="Times New Roman" w:hAnsi="Times New Roman"/>
          <w:color w:val="000000"/>
          <w:sz w:val="24"/>
          <w:u w:val="single"/>
        </w:rPr>
        <w:t>Monthly Backup Servicer Certificate</w:t>
      </w:r>
      <w:r>
        <w:rPr>
          <w:rFonts w:ascii="Times New Roman" w:hAnsi="Times New Roman"/>
          <w:color w:val="000000"/>
          <w:sz w:val="20"/>
        </w:rPr>
        <w:t xml:space="preserve">” </w:t>
      </w:r>
      <w:r>
        <w:rPr>
          <w:rFonts w:ascii="Times New Roman" w:hAnsi="Times New Roman"/>
          <w:color w:val="000000"/>
          <w:sz w:val="24"/>
        </w:rPr>
        <w:t>means a monthly report of the Backup Servicer in the form agreed upon among the Backup Servicer, the Borrower and the Administrative Agent.</w:t>
      </w:r>
    </w:p>
    <w:p>
      <w:pPr>
        <w:pStyle w:val="TextBody"/>
        <w:bidi w:val="0"/>
        <w:spacing w:before="0" w:after="240"/>
        <w:jc w:val="both"/>
        <w:rPr/>
      </w:pPr>
      <w:r>
        <w:rPr>
          <w:color w:val="000000"/>
        </w:rPr>
        <w:t>“</w:t>
      </w:r>
      <w:r>
        <w:rPr>
          <w:rFonts w:ascii="Times New Roman" w:hAnsi="Times New Roman"/>
          <w:color w:val="000000"/>
          <w:sz w:val="24"/>
          <w:u w:val="single"/>
        </w:rPr>
        <w:t>Monthly Principal Payment Amount</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amount, if any, necessary to reduce the Loans Outstanding to the Borrowing Base as of the last day of such Collection Period.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Monthly Report</w:t>
      </w:r>
      <w:r>
        <w:rPr>
          <w:rFonts w:ascii="Times New Roman" w:hAnsi="Times New Roman"/>
          <w:color w:val="000000"/>
          <w:sz w:val="20"/>
        </w:rPr>
        <w:t xml:space="preserve">” </w:t>
      </w:r>
      <w:r>
        <w:rPr>
          <w:rFonts w:ascii="Times New Roman" w:hAnsi="Times New Roman"/>
          <w:color w:val="000000"/>
          <w:sz w:val="24"/>
        </w:rPr>
        <w:t xml:space="preserve">means a monthly statement of the Servicer delivered on each Reporting Date with respect to the immediately preceding Collection Period, </w:t>
      </w:r>
      <w:r>
        <w:rPr>
          <w:rFonts w:ascii="Times New Roman" w:hAnsi="Times New Roman"/>
          <w:b/>
          <w:color w:val="000000"/>
          <w:sz w:val="24"/>
        </w:rPr>
        <w:t>[***]</w:t>
      </w:r>
      <w:r>
        <w:rPr>
          <w:rFonts w:ascii="Times New Roman" w:hAnsi="Times New Roman"/>
          <w:color w:val="000000"/>
          <w:sz w:val="24"/>
        </w:rPr>
        <w:t>, which may be modified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time to time as mutually agreed by the Servicer, the Backup Servicer, the Account Bank and the Administrative Agent.</w:t>
      </w:r>
    </w:p>
    <w:p>
      <w:pPr>
        <w:pStyle w:val="TextBody"/>
        <w:bidi w:val="0"/>
        <w:spacing w:before="0" w:after="240"/>
        <w:jc w:val="left"/>
        <w:rPr/>
      </w:pPr>
      <w:r>
        <w:rPr>
          <w:color w:val="000000"/>
        </w:rPr>
        <w:t>“</w:t>
      </w:r>
      <w:r>
        <w:rPr>
          <w:rFonts w:ascii="Times New Roman" w:hAnsi="Times New Roman"/>
          <w:color w:val="000000"/>
          <w:sz w:val="24"/>
          <w:u w:val="single"/>
        </w:rPr>
        <w:t>Moody’s</w:t>
      </w:r>
      <w:r>
        <w:rPr>
          <w:rFonts w:ascii="Times New Roman" w:hAnsi="Times New Roman"/>
          <w:color w:val="000000"/>
          <w:sz w:val="20"/>
        </w:rPr>
        <w:t xml:space="preserve">” </w:t>
      </w:r>
      <w:r>
        <w:rPr>
          <w:rFonts w:ascii="Times New Roman" w:hAnsi="Times New Roman"/>
          <w:color w:val="000000"/>
          <w:sz w:val="24"/>
        </w:rPr>
        <w:t>means Moody’s Investors Service, Inc.</w:t>
      </w:r>
    </w:p>
    <w:p>
      <w:pPr>
        <w:pStyle w:val="TextBody"/>
        <w:bidi w:val="0"/>
        <w:spacing w:before="0" w:after="240"/>
        <w:jc w:val="both"/>
        <w:rPr/>
      </w:pPr>
      <w:r>
        <w:rPr>
          <w:color w:val="000000"/>
        </w:rPr>
        <w:t>“</w:t>
      </w:r>
      <w:r>
        <w:rPr>
          <w:rFonts w:ascii="Times New Roman" w:hAnsi="Times New Roman"/>
          <w:color w:val="000000"/>
          <w:sz w:val="24"/>
          <w:u w:val="single"/>
        </w:rPr>
        <w:t>Mudrick Capital Facility</w:t>
      </w:r>
      <w:r>
        <w:rPr>
          <w:rFonts w:ascii="Times New Roman" w:hAnsi="Times New Roman"/>
          <w:color w:val="000000"/>
          <w:sz w:val="20"/>
        </w:rPr>
        <w:t xml:space="preserve">” </w:t>
      </w:r>
      <w:r>
        <w:rPr>
          <w:rFonts w:ascii="Times New Roman" w:hAnsi="Times New Roman"/>
          <w:color w:val="000000"/>
          <w:sz w:val="24"/>
        </w:rPr>
        <w:t>means that certain line of credit provided by Mudrick Capital Management, L.P to Vroom, Inc, Darkwater Funding, LLC, and United Auto Credit Corporation pursuant to that certain Loan and Security Agreement dated as of March 8, 2025 with undrawn availability of $27,000,000 as of the Amendment No. 10 Closing Date.</w:t>
      </w:r>
    </w:p>
    <w:p>
      <w:pPr>
        <w:pStyle w:val="TextBody"/>
        <w:bidi w:val="0"/>
        <w:spacing w:before="0" w:after="240"/>
        <w:jc w:val="both"/>
        <w:rPr/>
      </w:pPr>
      <w:r>
        <w:rPr>
          <w:color w:val="000000"/>
        </w:rPr>
        <w:t>“</w:t>
      </w:r>
      <w:r>
        <w:rPr>
          <w:rFonts w:ascii="Times New Roman" w:hAnsi="Times New Roman"/>
          <w:color w:val="000000"/>
          <w:sz w:val="24"/>
          <w:u w:val="single"/>
        </w:rPr>
        <w:t>Multiemployer Plan</w:t>
      </w:r>
      <w:r>
        <w:rPr>
          <w:rFonts w:ascii="Times New Roman" w:hAnsi="Times New Roman"/>
          <w:color w:val="000000"/>
          <w:sz w:val="20"/>
        </w:rPr>
        <w:t xml:space="preserve">” </w:t>
      </w:r>
      <w:r>
        <w:rPr>
          <w:rFonts w:ascii="Times New Roman" w:hAnsi="Times New Roman"/>
          <w:color w:val="000000"/>
          <w:sz w:val="24"/>
        </w:rPr>
        <w:t>means a “multiemployer plan” as defined in Section 4001(a)(3) of ERISA which is or was at any time during the current year or the immediately preceding five years contributed to by the Borrower or any ERISA Affiliate of the Borrower, or by the Servicer or any ERISA Affiliate of the Servicer, as applicable, on behalf of its employees.</w:t>
      </w:r>
    </w:p>
    <w:p>
      <w:pPr>
        <w:pStyle w:val="TextBody"/>
        <w:bidi w:val="0"/>
        <w:spacing w:before="0" w:after="240"/>
        <w:jc w:val="both"/>
        <w:rPr/>
      </w:pPr>
      <w:r>
        <w:rPr>
          <w:color w:val="000000"/>
        </w:rPr>
        <w:t>“</w:t>
      </w:r>
      <w:r>
        <w:rPr>
          <w:rFonts w:ascii="Times New Roman" w:hAnsi="Times New Roman"/>
          <w:color w:val="000000"/>
          <w:sz w:val="24"/>
          <w:u w:val="single"/>
        </w:rPr>
        <w:t>Net Loss</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an amount equal to (i) the aggregate Principal Balance of all Receivables that first became Defaulted Receivables during such Collection Period minus (ii) all Recoveries received by the Servicer during such Collection Period.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Net Principal Balance</w:t>
      </w:r>
      <w:r>
        <w:rPr>
          <w:rFonts w:ascii="Times New Roman" w:hAnsi="Times New Roman"/>
          <w:color w:val="000000"/>
          <w:sz w:val="20"/>
        </w:rPr>
        <w:t xml:space="preserve">” </w:t>
      </w:r>
      <w:r>
        <w:rPr>
          <w:rFonts w:ascii="Times New Roman" w:hAnsi="Times New Roman"/>
          <w:color w:val="000000"/>
          <w:sz w:val="24"/>
        </w:rPr>
        <w:t>means on any day with respect to all of the Receivables or a specified portion of the Receivables, as indicated by the context, the aggregate Principal Balance of all such Receivables that are Eligible Receivables.</w:t>
      </w:r>
    </w:p>
    <w:p>
      <w:pPr>
        <w:pStyle w:val="TextBody"/>
        <w:bidi w:val="0"/>
        <w:spacing w:before="0" w:after="240"/>
        <w:jc w:val="both"/>
        <w:rPr/>
      </w:pPr>
      <w:r>
        <w:rPr>
          <w:color w:val="000000"/>
        </w:rPr>
        <w:t>“</w:t>
      </w:r>
      <w:r>
        <w:rPr>
          <w:rFonts w:ascii="Times New Roman" w:hAnsi="Times New Roman"/>
          <w:color w:val="000000"/>
          <w:sz w:val="24"/>
          <w:u w:val="single"/>
        </w:rPr>
        <w:t>Non-Extending Lender</w:t>
      </w:r>
      <w:r>
        <w:rPr>
          <w:rFonts w:ascii="Times New Roman" w:hAnsi="Times New Roman"/>
          <w:color w:val="000000"/>
          <w:sz w:val="20"/>
        </w:rPr>
        <w:t xml:space="preserve">” </w:t>
      </w:r>
      <w:r>
        <w:rPr>
          <w:rFonts w:ascii="Times New Roman" w:hAnsi="Times New Roman"/>
          <w:color w:val="000000"/>
          <w:sz w:val="24"/>
        </w:rPr>
        <w:t>means, after its respective Commitment Termination Date, each Committed Lender that has declined to extend such Commitment Termination Date in accordance with Section 2.04, to the extent not replaced pursuant to Section 2.04(b).</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Non-U.S. Lender</w:t>
      </w:r>
      <w:r>
        <w:rPr>
          <w:rFonts w:ascii="Times New Roman" w:hAnsi="Times New Roman"/>
          <w:color w:val="000000"/>
          <w:sz w:val="20"/>
        </w:rPr>
        <w:t xml:space="preserve">” </w:t>
      </w:r>
      <w:r>
        <w:rPr>
          <w:rFonts w:ascii="Times New Roman" w:hAnsi="Times New Roman"/>
          <w:color w:val="000000"/>
          <w:sz w:val="24"/>
        </w:rPr>
        <w:t>means a Lender that is not a “United States person” as defined in Code Section 7701(a)(30).</w:t>
      </w:r>
    </w:p>
    <w:p>
      <w:pPr>
        <w:pStyle w:val="TextBody"/>
        <w:bidi w:val="0"/>
        <w:spacing w:before="0" w:after="240"/>
        <w:jc w:val="both"/>
        <w:rPr/>
      </w:pPr>
      <w:r>
        <w:rPr>
          <w:color w:val="000000"/>
        </w:rPr>
        <w:t>“</w:t>
      </w:r>
      <w:r>
        <w:rPr>
          <w:rFonts w:ascii="Times New Roman" w:hAnsi="Times New Roman"/>
          <w:color w:val="000000"/>
          <w:sz w:val="24"/>
          <w:u w:val="single"/>
        </w:rPr>
        <w:t>Note</w:t>
      </w:r>
      <w:r>
        <w:rPr>
          <w:rFonts w:ascii="Times New Roman" w:hAnsi="Times New Roman"/>
          <w:color w:val="000000"/>
          <w:sz w:val="20"/>
        </w:rPr>
        <w:t xml:space="preserve">” </w:t>
      </w:r>
      <w:r>
        <w:rPr>
          <w:rFonts w:ascii="Times New Roman" w:hAnsi="Times New Roman"/>
          <w:color w:val="000000"/>
          <w:sz w:val="24"/>
        </w:rPr>
        <w:t>has the meaning given to such term in Section 2.05(a).</w:t>
      </w:r>
    </w:p>
    <w:p>
      <w:pPr>
        <w:pStyle w:val="TextBody"/>
        <w:bidi w:val="0"/>
        <w:spacing w:before="0" w:after="240"/>
        <w:jc w:val="both"/>
        <w:rPr/>
      </w:pPr>
      <w:r>
        <w:rPr>
          <w:color w:val="000000"/>
        </w:rPr>
        <w:t>“</w:t>
      </w:r>
      <w:r>
        <w:rPr>
          <w:rFonts w:ascii="Times New Roman" w:hAnsi="Times New Roman"/>
          <w:color w:val="000000"/>
          <w:sz w:val="24"/>
          <w:u w:val="single"/>
        </w:rPr>
        <w:t>NYFRB Rate</w:t>
      </w:r>
      <w:r>
        <w:rPr>
          <w:rFonts w:ascii="Times New Roman" w:hAnsi="Times New Roman"/>
          <w:color w:val="000000"/>
          <w:sz w:val="20"/>
        </w:rPr>
        <w:t xml:space="preserve">” </w:t>
      </w:r>
      <w:r>
        <w:rPr>
          <w:rFonts w:ascii="Times New Roman" w:hAnsi="Times New Roman"/>
          <w:color w:val="000000"/>
          <w:sz w:val="24"/>
        </w:rPr>
        <w:t>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pStyle w:val="TextBody"/>
        <w:bidi w:val="0"/>
        <w:spacing w:before="0" w:after="240"/>
        <w:jc w:val="both"/>
        <w:rPr/>
      </w:pPr>
      <w:r>
        <w:rPr>
          <w:color w:val="000000"/>
        </w:rPr>
        <w:t>“</w:t>
      </w:r>
      <w:r>
        <w:rPr>
          <w:rFonts w:ascii="Times New Roman" w:hAnsi="Times New Roman"/>
          <w:color w:val="000000"/>
          <w:sz w:val="24"/>
          <w:u w:val="single"/>
        </w:rPr>
        <w:t>Obligations</w:t>
      </w:r>
      <w:r>
        <w:rPr>
          <w:rFonts w:ascii="Times New Roman" w:hAnsi="Times New Roman"/>
          <w:color w:val="000000"/>
          <w:sz w:val="20"/>
        </w:rPr>
        <w:t xml:space="preserve">” </w:t>
      </w:r>
      <w:r>
        <w:rPr>
          <w:rFonts w:ascii="Times New Roman" w:hAnsi="Times New Roman"/>
          <w:color w:val="000000"/>
          <w:sz w:val="24"/>
        </w:rPr>
        <w:t>means all loans, advances, debts, liabilities, indemnities and obligations for monetary amounts owing by the Borrower to the Secured Parties, the Administrative Agent, the Backup Servicer, the Account Bank, the Custodian (if other than UACC) or any of their respective assigns, as the case may be, whether due or to become due, matured or unmatured, liquidated or unliquidated, contingent or non-contingent and all covenants and duties regarding such amounts, of any kind or nature, present or future, arising under or in respect of any of the Loans, any Hedging Agreement or any other Basic Document, whether or not evidenced by any separate note, agreement or other instrument, including all principal, interest (including interest that accrues after the commencement against the Borrower of any action under the Bankruptcy Code), amounts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payable pursuant to Section 2.13, Breakage Costs, Hedge Breakage Costs, Indemnified Amounts, fees, including any and all arrangement fees, loan fees and Unused Fees, and any and all other fees, expenses, costs, indemnities or other sums (including attorney fees and disbursements) chargeable to the Borrower under the Basic Documents.</w:t>
      </w:r>
    </w:p>
    <w:p>
      <w:pPr>
        <w:pStyle w:val="TextBody"/>
        <w:bidi w:val="0"/>
        <w:spacing w:before="0" w:after="240"/>
        <w:jc w:val="both"/>
        <w:rPr/>
      </w:pPr>
      <w:r>
        <w:rPr>
          <w:color w:val="000000"/>
        </w:rPr>
        <w:t>“</w:t>
      </w:r>
      <w:r>
        <w:rPr>
          <w:rFonts w:ascii="Times New Roman" w:hAnsi="Times New Roman"/>
          <w:color w:val="000000"/>
          <w:sz w:val="24"/>
          <w:u w:val="single"/>
        </w:rPr>
        <w:t>Obligor</w:t>
      </w:r>
      <w:r>
        <w:rPr>
          <w:rFonts w:ascii="Times New Roman" w:hAnsi="Times New Roman"/>
          <w:color w:val="000000"/>
          <w:sz w:val="20"/>
        </w:rPr>
        <w:t xml:space="preserve">” </w:t>
      </w:r>
      <w:r>
        <w:rPr>
          <w:rFonts w:ascii="Times New Roman" w:hAnsi="Times New Roman"/>
          <w:color w:val="000000"/>
          <w:sz w:val="24"/>
        </w:rPr>
        <w:t>means each Person obligated to make payments pursuant to a Receivable or Serviced Portfolio Receivable, including any guarantor thereof.</w:t>
      </w:r>
    </w:p>
    <w:p>
      <w:pPr>
        <w:pStyle w:val="TextBody"/>
        <w:bidi w:val="0"/>
        <w:spacing w:before="0" w:after="240"/>
        <w:jc w:val="both"/>
        <w:rPr/>
      </w:pPr>
      <w:r>
        <w:rPr>
          <w:color w:val="000000"/>
        </w:rPr>
        <w:t>“</w:t>
      </w:r>
      <w:r>
        <w:rPr>
          <w:rFonts w:ascii="Times New Roman" w:hAnsi="Times New Roman"/>
          <w:color w:val="000000"/>
          <w:sz w:val="24"/>
          <w:u w:val="single"/>
        </w:rPr>
        <w:t>OFAC</w:t>
      </w:r>
      <w:r>
        <w:rPr>
          <w:rFonts w:ascii="Times New Roman" w:hAnsi="Times New Roman"/>
          <w:color w:val="000000"/>
          <w:sz w:val="20"/>
        </w:rPr>
        <w:t xml:space="preserve">” </w:t>
      </w:r>
      <w:r>
        <w:rPr>
          <w:rFonts w:ascii="Times New Roman" w:hAnsi="Times New Roman"/>
          <w:color w:val="000000"/>
          <w:sz w:val="24"/>
        </w:rPr>
        <w:t>means the U.S. Department of the Treasury’s Office of Foreign Assets Control.</w:t>
      </w:r>
    </w:p>
    <w:p>
      <w:pPr>
        <w:pStyle w:val="TextBody"/>
        <w:bidi w:val="0"/>
        <w:spacing w:before="0" w:after="240"/>
        <w:jc w:val="both"/>
        <w:rPr/>
      </w:pPr>
      <w:r>
        <w:rPr>
          <w:color w:val="000000"/>
        </w:rPr>
        <w:t>“</w:t>
      </w:r>
      <w:r>
        <w:rPr>
          <w:rFonts w:ascii="Times New Roman" w:hAnsi="Times New Roman"/>
          <w:color w:val="000000"/>
          <w:sz w:val="24"/>
          <w:u w:val="single"/>
        </w:rPr>
        <w:t>Officer’s Certificate</w:t>
      </w:r>
      <w:r>
        <w:rPr>
          <w:rFonts w:ascii="Times New Roman" w:hAnsi="Times New Roman"/>
          <w:color w:val="000000"/>
          <w:sz w:val="20"/>
        </w:rPr>
        <w:t xml:space="preserve">” </w:t>
      </w:r>
      <w:r>
        <w:rPr>
          <w:rFonts w:ascii="Times New Roman" w:hAnsi="Times New Roman"/>
          <w:color w:val="000000"/>
          <w:sz w:val="24"/>
        </w:rPr>
        <w:t>means a certificate signed by any officer of the Borrower, the Servicer, the Originator, the Backup Servicer or the Custodian, as the case may be, and delivered to the Administrative Agent.</w:t>
      </w:r>
    </w:p>
    <w:p>
      <w:pPr>
        <w:pStyle w:val="TextBody"/>
        <w:bidi w:val="0"/>
        <w:spacing w:before="0" w:after="240"/>
        <w:jc w:val="both"/>
        <w:rPr/>
      </w:pPr>
      <w:r>
        <w:rPr>
          <w:color w:val="000000"/>
        </w:rPr>
        <w:t>“</w:t>
      </w:r>
      <w:r>
        <w:rPr>
          <w:rFonts w:ascii="Times New Roman" w:hAnsi="Times New Roman"/>
          <w:color w:val="000000"/>
          <w:sz w:val="24"/>
          <w:u w:val="single"/>
        </w:rPr>
        <w:t>Opinion of Counsel</w:t>
      </w:r>
      <w:r>
        <w:rPr>
          <w:rFonts w:ascii="Times New Roman" w:hAnsi="Times New Roman"/>
          <w:color w:val="000000"/>
          <w:sz w:val="20"/>
        </w:rPr>
        <w:t xml:space="preserve">” </w:t>
      </w:r>
      <w:r>
        <w:rPr>
          <w:rFonts w:ascii="Times New Roman" w:hAnsi="Times New Roman"/>
          <w:color w:val="000000"/>
          <w:sz w:val="24"/>
        </w:rPr>
        <w:t>means, with respect to any Person, a written opinion of counsel, who is reasonably acceptable to the Administrative Agent.</w:t>
      </w:r>
    </w:p>
    <w:p>
      <w:pPr>
        <w:pStyle w:val="TextBody"/>
        <w:bidi w:val="0"/>
        <w:spacing w:before="0" w:after="240"/>
        <w:jc w:val="both"/>
        <w:rPr/>
      </w:pPr>
      <w:r>
        <w:rPr>
          <w:color w:val="000000"/>
        </w:rPr>
        <w:t>“</w:t>
      </w:r>
      <w:r>
        <w:rPr>
          <w:rFonts w:ascii="Times New Roman" w:hAnsi="Times New Roman"/>
          <w:color w:val="000000"/>
          <w:sz w:val="24"/>
          <w:u w:val="single"/>
        </w:rPr>
        <w:t>Originator</w:t>
      </w:r>
      <w:r>
        <w:rPr>
          <w:rFonts w:ascii="Times New Roman" w:hAnsi="Times New Roman"/>
          <w:color w:val="000000"/>
          <w:sz w:val="20"/>
        </w:rPr>
        <w:t xml:space="preserve">” </w:t>
      </w:r>
      <w:r>
        <w:rPr>
          <w:rFonts w:ascii="Times New Roman" w:hAnsi="Times New Roman"/>
          <w:color w:val="000000"/>
          <w:sz w:val="24"/>
        </w:rPr>
        <w:t>means UACC.</w:t>
      </w:r>
    </w:p>
    <w:p>
      <w:pPr>
        <w:pStyle w:val="TextBody"/>
        <w:bidi w:val="0"/>
        <w:spacing w:before="0" w:after="240"/>
        <w:jc w:val="both"/>
        <w:rPr/>
      </w:pPr>
      <w:r>
        <w:rPr>
          <w:color w:val="000000"/>
        </w:rPr>
        <w:t>“</w:t>
      </w:r>
      <w:r>
        <w:rPr>
          <w:rFonts w:ascii="Times New Roman" w:hAnsi="Times New Roman"/>
          <w:color w:val="000000"/>
          <w:sz w:val="24"/>
          <w:u w:val="single"/>
        </w:rPr>
        <w:t>Originator Vault Partition</w:t>
      </w:r>
      <w:r>
        <w:rPr>
          <w:rFonts w:ascii="Times New Roman" w:hAnsi="Times New Roman"/>
          <w:color w:val="000000"/>
          <w:sz w:val="20"/>
        </w:rPr>
        <w:t xml:space="preserve">” </w:t>
      </w:r>
      <w:r>
        <w:rPr>
          <w:rFonts w:ascii="Times New Roman" w:hAnsi="Times New Roman"/>
          <w:color w:val="000000"/>
          <w:sz w:val="24"/>
        </w:rPr>
        <w:t>means the segregated partition of the E-Vault System governed by an E-Vault Access Agreement which reflects the owner of record as UACC.</w:t>
      </w:r>
    </w:p>
    <w:p>
      <w:pPr>
        <w:pStyle w:val="TextBody"/>
        <w:bidi w:val="0"/>
        <w:spacing w:before="0" w:after="240"/>
        <w:jc w:val="both"/>
        <w:rPr/>
      </w:pPr>
      <w:r>
        <w:rPr>
          <w:color w:val="000000"/>
        </w:rPr>
        <w:t>“</w:t>
      </w:r>
      <w:r>
        <w:rPr>
          <w:rFonts w:ascii="Times New Roman" w:hAnsi="Times New Roman"/>
          <w:color w:val="000000"/>
          <w:sz w:val="24"/>
          <w:u w:val="single"/>
        </w:rPr>
        <w:t>Other Receivable</w:t>
      </w:r>
      <w:r>
        <w:rPr>
          <w:rFonts w:ascii="Times New Roman" w:hAnsi="Times New Roman"/>
          <w:color w:val="000000"/>
          <w:sz w:val="20"/>
        </w:rPr>
        <w:t xml:space="preserve">” </w:t>
      </w:r>
      <w:r>
        <w:rPr>
          <w:rFonts w:ascii="Times New Roman" w:hAnsi="Times New Roman"/>
          <w:color w:val="000000"/>
          <w:sz w:val="24"/>
        </w:rPr>
        <w:t>means a Serviced Portfolio Receivable that is not a Receivable.</w:t>
      </w:r>
    </w:p>
    <w:p>
      <w:pPr>
        <w:pStyle w:val="TextBody"/>
        <w:bidi w:val="0"/>
        <w:spacing w:before="0" w:after="240"/>
        <w:jc w:val="both"/>
        <w:rPr/>
      </w:pPr>
      <w:r>
        <w:rPr>
          <w:color w:val="000000"/>
        </w:rPr>
        <w:t>“</w:t>
      </w:r>
      <w:r>
        <w:rPr>
          <w:rFonts w:ascii="Times New Roman" w:hAnsi="Times New Roman"/>
          <w:color w:val="000000"/>
          <w:sz w:val="24"/>
          <w:u w:val="single"/>
        </w:rPr>
        <w:t>Other Taxes</w:t>
      </w:r>
      <w:r>
        <w:rPr>
          <w:rFonts w:ascii="Times New Roman" w:hAnsi="Times New Roman"/>
          <w:color w:val="000000"/>
          <w:sz w:val="20"/>
        </w:rPr>
        <w:t xml:space="preserve">” </w:t>
      </w:r>
      <w:r>
        <w:rPr>
          <w:rFonts w:ascii="Times New Roman" w:hAnsi="Times New Roman"/>
          <w:color w:val="000000"/>
          <w:sz w:val="24"/>
        </w:rPr>
        <w:t>means any and all present or future recording, stamp, documentary, court, intangible, recording, filing or similar taxes, charges or levies arising from any payment made under this Agreement or from the execution, delivery, performance, registration or enforcement of, from the receipt or perfection of a security interest under, or otherwise with respect to this Agreement or other Basic Document.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Other Warehouse Agreements</w:t>
      </w:r>
      <w:r>
        <w:rPr>
          <w:rFonts w:ascii="Times New Roman" w:hAnsi="Times New Roman"/>
          <w:color w:val="000000"/>
          <w:sz w:val="20"/>
        </w:rPr>
        <w:t xml:space="preserve">” </w:t>
      </w:r>
      <w:r>
        <w:rPr>
          <w:rFonts w:ascii="Times New Roman" w:hAnsi="Times New Roman"/>
          <w:color w:val="000000"/>
          <w:sz w:val="24"/>
        </w:rPr>
        <w:t>means all warehouse agreements, credit agreements, funding agreements or similar agreements of UACC and its Affiliates, other than this Agreement, that are secured or collateralized by motor vehicle receivables.</w:t>
      </w:r>
    </w:p>
    <w:p>
      <w:pPr>
        <w:pStyle w:val="TextBody"/>
        <w:bidi w:val="0"/>
        <w:spacing w:before="0" w:after="240"/>
        <w:jc w:val="both"/>
        <w:rPr/>
      </w:pPr>
      <w:r>
        <w:rPr>
          <w:color w:val="000000"/>
        </w:rPr>
        <w:t>“</w:t>
      </w:r>
      <w:r>
        <w:rPr>
          <w:rFonts w:ascii="Times New Roman" w:hAnsi="Times New Roman"/>
          <w:color w:val="000000"/>
          <w:sz w:val="24"/>
          <w:u w:val="single"/>
        </w:rPr>
        <w:t>Overcollateralization Increase Events</w:t>
      </w:r>
      <w:r>
        <w:rPr>
          <w:rFonts w:ascii="Times New Roman" w:hAnsi="Times New Roman"/>
          <w:color w:val="000000"/>
          <w:sz w:val="20"/>
        </w:rPr>
        <w:t xml:space="preserve">” </w:t>
      </w:r>
      <w:r>
        <w:rPr>
          <w:rFonts w:ascii="Times New Roman" w:hAnsi="Times New Roman"/>
          <w:color w:val="000000"/>
          <w:sz w:val="24"/>
        </w:rPr>
        <w:t>means, that as of any Payment Date, any of the following events occurs: (i) the arithmetic mean of the Serviced Portfolio Delinquency Ratio for the related Collection Period and the two previous Collection Periods exceeds [***]%; (ii) the arithmetic mean of the Delinquency Ratio for the related Collection Period and the two previous Collection Periods exceeds [***]%; (iii)(a) with respect to Payment Dates occurring in the months of April through October, the arithmetic mean of the Serviced Portfolio Annualized Net Loss Ratio for the related Collection Period and the two previous Collection Periods exceeds [***]% and (b) with respect to all other Payment Dates, the arithmetic mean of the Serviced Portfolio Annualized Net Loss Ratio for the related Collection Period and the two previous Collection Periods exceeds [***]%; provided however, with respect to the Payment Dates occurring in October 2025 and November 2025, the arithmetic mean of the Serviced Portfolio Annualized Net Loss Ratio for the related Collection Period and the two previous Collection Periods exceeds [***]%; (iv) the UACC Excess Spread Percentage for the related Collection Period is less than [***]% or the Vroom Excess Spread Percentage for the related Collection Period is less than [***]%; (v) the arithmetic</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mean of the Serviced Portfolio Extension Ratio for the related Collection Period and the two previous Collection Period exceeds [***]%; (vi) the arithmetic mean of the Serviced Portfolio Annualized Default Ratio for the related Collection Period and the two previous Collection Periods exceeds [***]%, (vii)(a) with respect to Payment Dates occurring in the months of April through October, the arithmetic mean of the Annualized Net Loss Ratio for the related Collection Period and the two previous Collection Periods exceeds [***]% and (b) with respect to all other Payment Dates, the arithmetic mean of the Annualized Net Loss Ratio for the related Collection Period and the two previous Collection Periods exceeds [***]%; (viii) the arithmetic mean of the Extension Ratio for the related Collection Period and the two previous Collection Period exceeds [***]%; (ix) the arithmetic mean of the Annualized Default Ratio for the related Collection Period and the two previous Collection Periods exceeds [***]% or (x) the failure of the Parent to maintain Available Liquidity equal to or greater than $</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at any time, including as of any Determination Date; provided that no Overcollateralization Increase Event specified in the foregoing clauses (ii) and (iv) and clauses (vii) through (ix) shall be deemed to have occurred until the Loans Outstanding first exceed $</w:t>
      </w:r>
      <w:r>
        <w:rPr>
          <w:rFonts w:ascii="Times New Roman" w:hAnsi="Times New Roman"/>
          <w:b/>
          <w:color w:val="000000"/>
          <w:sz w:val="24"/>
        </w:rPr>
        <w:t xml:space="preserve">[***] </w:t>
      </w:r>
      <w:r>
        <w:rPr>
          <w:rFonts w:ascii="Times New Roman" w:hAnsi="Times New Roman"/>
          <w:color w:val="000000"/>
          <w:sz w:val="24"/>
        </w:rPr>
        <w:t>following the Closing Date or any Securitization Date. Notwithstanding the foregoing, any Overcollateralization Increase Event may be cured and deemed not to exist if for three consecutive Payment Dates following a Payment Date on which such Overcollateralization Increase Event occurred, (a) such Overcollateralization Increase Event shall not exist and (b) no other Overcollateralization Increase Event shall have occurred.</w:t>
      </w:r>
    </w:p>
    <w:p>
      <w:pPr>
        <w:pStyle w:val="TextBody"/>
        <w:bidi w:val="0"/>
        <w:spacing w:before="0" w:after="240"/>
        <w:jc w:val="both"/>
        <w:rPr/>
      </w:pPr>
      <w:r>
        <w:rPr>
          <w:color w:val="000000"/>
        </w:rPr>
        <w:t>“</w:t>
      </w:r>
      <w:r>
        <w:rPr>
          <w:rFonts w:ascii="Times New Roman" w:hAnsi="Times New Roman"/>
          <w:color w:val="000000"/>
          <w:sz w:val="24"/>
          <w:u w:val="single"/>
        </w:rPr>
        <w:t>Overcollateralization Percentage</w:t>
      </w:r>
      <w:r>
        <w:rPr>
          <w:rFonts w:ascii="Times New Roman" w:hAnsi="Times New Roman"/>
          <w:color w:val="000000"/>
          <w:sz w:val="20"/>
        </w:rPr>
        <w:t xml:space="preserve">” </w:t>
      </w:r>
      <w:r>
        <w:rPr>
          <w:rFonts w:ascii="Times New Roman" w:hAnsi="Times New Roman"/>
          <w:color w:val="000000"/>
          <w:sz w:val="24"/>
        </w:rPr>
        <w:t>means, as of any date of determination, a fraction, expressed as a percentage, equal to (a) the excess of (x) the Aggregate Net Principal Balance of all Eligible Receivables as of such date over (y) the Loans Outstanding on such date, divided by (b) the Aggregate Net Principal Balance of all Eligible Receivables as of such date.</w:t>
      </w:r>
    </w:p>
    <w:p>
      <w:pPr>
        <w:pStyle w:val="TextBody"/>
        <w:bidi w:val="0"/>
        <w:spacing w:before="0" w:after="240"/>
        <w:jc w:val="both"/>
        <w:rPr/>
      </w:pPr>
      <w:r>
        <w:rPr>
          <w:color w:val="000000"/>
        </w:rPr>
        <w:t>“</w:t>
      </w:r>
      <w:r>
        <w:rPr>
          <w:rFonts w:ascii="Times New Roman" w:hAnsi="Times New Roman"/>
          <w:color w:val="000000"/>
          <w:sz w:val="24"/>
          <w:u w:val="single"/>
        </w:rPr>
        <w:t>Owner Trustee</w:t>
      </w:r>
      <w:r>
        <w:rPr>
          <w:rFonts w:ascii="Times New Roman" w:hAnsi="Times New Roman"/>
          <w:color w:val="000000"/>
          <w:sz w:val="20"/>
        </w:rPr>
        <w:t xml:space="preserve">” </w:t>
      </w:r>
      <w:r>
        <w:rPr>
          <w:rFonts w:ascii="Times New Roman" w:hAnsi="Times New Roman"/>
          <w:color w:val="000000"/>
          <w:sz w:val="24"/>
        </w:rPr>
        <w:t>means [***].</w:t>
      </w:r>
    </w:p>
    <w:p>
      <w:pPr>
        <w:pStyle w:val="TextBody"/>
        <w:bidi w:val="0"/>
        <w:spacing w:before="0" w:after="240"/>
        <w:jc w:val="both"/>
        <w:rPr/>
      </w:pPr>
      <w:r>
        <w:rPr>
          <w:color w:val="000000"/>
        </w:rPr>
        <w:t>“</w:t>
      </w:r>
      <w:r>
        <w:rPr>
          <w:rFonts w:ascii="Times New Roman" w:hAnsi="Times New Roman"/>
          <w:color w:val="000000"/>
          <w:sz w:val="24"/>
          <w:u w:val="single"/>
        </w:rPr>
        <w:t>Owners</w:t>
      </w:r>
      <w:r>
        <w:rPr>
          <w:rFonts w:ascii="Times New Roman" w:hAnsi="Times New Roman"/>
          <w:color w:val="000000"/>
          <w:sz w:val="20"/>
        </w:rPr>
        <w:t xml:space="preserve">” </w:t>
      </w:r>
      <w:r>
        <w:rPr>
          <w:rFonts w:ascii="Times New Roman" w:hAnsi="Times New Roman"/>
          <w:color w:val="000000"/>
          <w:sz w:val="24"/>
        </w:rPr>
        <w:t>means the Lenders that are owners of record of the Notes.</w:t>
      </w:r>
    </w:p>
    <w:p>
      <w:pPr>
        <w:pStyle w:val="TextBody"/>
        <w:bidi w:val="0"/>
        <w:spacing w:before="0" w:after="240"/>
        <w:jc w:val="both"/>
        <w:rPr/>
      </w:pPr>
      <w:r>
        <w:rPr>
          <w:color w:val="000000"/>
        </w:rPr>
        <w:t>“</w:t>
      </w:r>
      <w:r>
        <w:rPr>
          <w:rFonts w:ascii="Times New Roman" w:hAnsi="Times New Roman"/>
          <w:color w:val="000000"/>
          <w:sz w:val="24"/>
          <w:u w:val="single"/>
        </w:rPr>
        <w:t>Paper-In Contract</w:t>
      </w:r>
      <w:r>
        <w:rPr>
          <w:rFonts w:ascii="Times New Roman" w:hAnsi="Times New Roman"/>
          <w:color w:val="000000"/>
          <w:sz w:val="20"/>
        </w:rPr>
        <w:t xml:space="preserve">” </w:t>
      </w:r>
      <w:r>
        <w:rPr>
          <w:rFonts w:ascii="Times New Roman" w:hAnsi="Times New Roman"/>
          <w:color w:val="000000"/>
          <w:sz w:val="24"/>
        </w:rPr>
        <w:t>means a Tangible Contract that has been converted to an Electronic Contract in accordance with the requirements of the E-Vault System.</w:t>
      </w:r>
    </w:p>
    <w:p>
      <w:pPr>
        <w:pStyle w:val="TextBody"/>
        <w:bidi w:val="0"/>
        <w:spacing w:before="0" w:after="240"/>
        <w:jc w:val="both"/>
        <w:rPr/>
      </w:pPr>
      <w:r>
        <w:rPr>
          <w:color w:val="000000"/>
        </w:rPr>
        <w:t>“</w:t>
      </w:r>
      <w:r>
        <w:rPr>
          <w:rFonts w:ascii="Times New Roman" w:hAnsi="Times New Roman"/>
          <w:color w:val="000000"/>
          <w:sz w:val="24"/>
          <w:u w:val="single"/>
        </w:rPr>
        <w:t>Parent</w:t>
      </w:r>
      <w:r>
        <w:rPr>
          <w:rFonts w:ascii="Times New Roman" w:hAnsi="Times New Roman"/>
          <w:color w:val="000000"/>
          <w:sz w:val="20"/>
        </w:rPr>
        <w:t xml:space="preserve">” </w:t>
      </w:r>
      <w:r>
        <w:rPr>
          <w:rFonts w:ascii="Times New Roman" w:hAnsi="Times New Roman"/>
          <w:color w:val="000000"/>
          <w:sz w:val="24"/>
        </w:rPr>
        <w:t>means Vroom Finance Holdings, LLC, a Delaware limited liability company, and its successors.</w:t>
      </w:r>
    </w:p>
    <w:p>
      <w:pPr>
        <w:pStyle w:val="TextBody"/>
        <w:bidi w:val="0"/>
        <w:spacing w:before="0" w:after="240"/>
        <w:jc w:val="both"/>
        <w:rPr/>
      </w:pPr>
      <w:r>
        <w:rPr>
          <w:color w:val="000000"/>
        </w:rPr>
        <w:t>“</w:t>
      </w:r>
      <w:r>
        <w:rPr>
          <w:rFonts w:ascii="Times New Roman" w:hAnsi="Times New Roman"/>
          <w:color w:val="000000"/>
          <w:sz w:val="24"/>
          <w:u w:val="single"/>
        </w:rPr>
        <w:t>Partial Expiration Event</w:t>
      </w:r>
      <w:r>
        <w:rPr>
          <w:rFonts w:ascii="Times New Roman" w:hAnsi="Times New Roman"/>
          <w:color w:val="000000"/>
          <w:sz w:val="20"/>
        </w:rPr>
        <w:t xml:space="preserve">” </w:t>
      </w:r>
      <w:r>
        <w:rPr>
          <w:rFonts w:ascii="Times New Roman" w:hAnsi="Times New Roman"/>
          <w:color w:val="000000"/>
          <w:sz w:val="24"/>
        </w:rPr>
        <w:t>means the occurrence of the election of one or more Non-Extending Lenders after the Commitment Termination Date to not extend its Commitment, unless such Non-Extending Lender is replaced pursuant to Section 2.04(b) or unless the Termination Date shall have occurred.</w:t>
      </w:r>
    </w:p>
    <w:p>
      <w:pPr>
        <w:pStyle w:val="TextBody"/>
        <w:bidi w:val="0"/>
        <w:spacing w:before="0" w:after="240"/>
        <w:jc w:val="both"/>
        <w:rPr/>
      </w:pPr>
      <w:r>
        <w:rPr>
          <w:color w:val="000000"/>
        </w:rPr>
        <w:t>“</w:t>
      </w:r>
      <w:r>
        <w:rPr>
          <w:rFonts w:ascii="Times New Roman" w:hAnsi="Times New Roman"/>
          <w:color w:val="000000"/>
          <w:sz w:val="24"/>
          <w:u w:val="single"/>
        </w:rPr>
        <w:t>Partial Expiration Event Amount</w:t>
      </w:r>
      <w:r>
        <w:rPr>
          <w:rFonts w:ascii="Times New Roman" w:hAnsi="Times New Roman"/>
          <w:color w:val="000000"/>
          <w:sz w:val="20"/>
        </w:rPr>
        <w:t xml:space="preserve">” </w:t>
      </w:r>
      <w:r>
        <w:rPr>
          <w:rFonts w:ascii="Times New Roman" w:hAnsi="Times New Roman"/>
          <w:color w:val="000000"/>
          <w:sz w:val="24"/>
        </w:rPr>
        <w:t>means the portion of Loans Outstanding payable in connection with a Partial Expiration Event.</w:t>
      </w:r>
    </w:p>
    <w:p>
      <w:pPr>
        <w:pStyle w:val="TextBody"/>
        <w:bidi w:val="0"/>
        <w:spacing w:before="0" w:after="240"/>
        <w:jc w:val="both"/>
        <w:rPr/>
      </w:pPr>
      <w:r>
        <w:rPr>
          <w:color w:val="000000"/>
        </w:rPr>
        <w:t>“</w:t>
      </w:r>
      <w:r>
        <w:rPr>
          <w:rFonts w:ascii="Times New Roman" w:hAnsi="Times New Roman"/>
          <w:color w:val="000000"/>
          <w:sz w:val="24"/>
          <w:u w:val="single"/>
        </w:rPr>
        <w:t>Payment Date</w:t>
      </w:r>
      <w:r>
        <w:rPr>
          <w:rFonts w:ascii="Times New Roman" w:hAnsi="Times New Roman"/>
          <w:color w:val="000000"/>
          <w:sz w:val="20"/>
        </w:rPr>
        <w:t xml:space="preserve">” </w:t>
      </w:r>
      <w:r>
        <w:rPr>
          <w:rFonts w:ascii="Times New Roman" w:hAnsi="Times New Roman"/>
          <w:color w:val="000000"/>
          <w:sz w:val="24"/>
        </w:rPr>
        <w:t>means the 12</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each calendar month or, if any such day is not a Business Day, the next succeeding Business Day, commencing August 12, 2019.</w:t>
      </w:r>
    </w:p>
    <w:p>
      <w:pPr>
        <w:pStyle w:val="TextBody"/>
        <w:bidi w:val="0"/>
        <w:spacing w:before="0" w:after="240"/>
        <w:jc w:val="both"/>
        <w:rPr/>
      </w:pPr>
      <w:r>
        <w:rPr>
          <w:color w:val="000000"/>
        </w:rPr>
        <w:t>“</w:t>
      </w:r>
      <w:r>
        <w:rPr>
          <w:rFonts w:ascii="Times New Roman" w:hAnsi="Times New Roman"/>
          <w:color w:val="000000"/>
          <w:sz w:val="24"/>
          <w:u w:val="single"/>
        </w:rPr>
        <w:t>Payment-to-Income Ratio</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PTI</w:t>
      </w:r>
      <w:r>
        <w:rPr>
          <w:rFonts w:ascii="Times New Roman" w:hAnsi="Times New Roman"/>
          <w:color w:val="000000"/>
          <w:sz w:val="20"/>
        </w:rPr>
        <w:t xml:space="preserve">” </w:t>
      </w:r>
      <w:r>
        <w:rPr>
          <w:rFonts w:ascii="Times New Roman" w:hAnsi="Times New Roman"/>
          <w:color w:val="000000"/>
          <w:sz w:val="24"/>
        </w:rPr>
        <w:t>means, with respect to any Receivable, , as of the related origination date, the ratio (expressed as a percentage) of (i) the scheduled monthly payment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due from the related Obligor under such Receivable (including principal and interest, but excluding taxes, insurance, and ancillary fees) to (ii) the gross monthly income of such Obligor as stated in the related credit application or as otherwise verified by the Originator at the time of origination of such Receivable.</w:t>
      </w:r>
    </w:p>
    <w:p>
      <w:pPr>
        <w:pStyle w:val="TextBody"/>
        <w:bidi w:val="0"/>
        <w:spacing w:before="0" w:after="240"/>
        <w:jc w:val="both"/>
        <w:rPr/>
      </w:pPr>
      <w:r>
        <w:rPr>
          <w:color w:val="000000"/>
        </w:rPr>
        <w:t>“</w:t>
      </w:r>
      <w:r>
        <w:rPr>
          <w:rFonts w:ascii="Times New Roman" w:hAnsi="Times New Roman"/>
          <w:color w:val="000000"/>
          <w:sz w:val="24"/>
          <w:u w:val="single"/>
        </w:rPr>
        <w:t>Pension Plans</w:t>
      </w:r>
      <w:r>
        <w:rPr>
          <w:rFonts w:ascii="Times New Roman" w:hAnsi="Times New Roman"/>
          <w:color w:val="000000"/>
          <w:sz w:val="20"/>
        </w:rPr>
        <w:t xml:space="preserve">” </w:t>
      </w:r>
      <w:r>
        <w:rPr>
          <w:rFonts w:ascii="Times New Roman" w:hAnsi="Times New Roman"/>
          <w:color w:val="000000"/>
          <w:sz w:val="24"/>
        </w:rPr>
        <w:t>means an “employee pension benefit plan,” as such term is defined in Section 3 of ERISA, which is subject to Title IV of ERISA or Section 412 of the Code and which is or was at any time during the current year or the immediately preceding five years contributed to by the Borrower or any ERISA Affiliate of the Borrower, or by the Servicer or any ERISA Affiliate of the Servicer, as applicable, for any of its employees or (b) maintained pursuant to a collective bargaining agreement or any other arrangement under which more than one employer makes contributions and to which the Borrower or any ERISA Affiliate of the Borrower, or to which the Servicer or any ERISA Affiliate of the Servicer, as applicable, is then making or accruing an obligation to make contributions or has within the preceding five plan years made contributions.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Permitted Investments</w:t>
      </w:r>
      <w:r>
        <w:rPr>
          <w:rFonts w:ascii="Times New Roman" w:hAnsi="Times New Roman"/>
          <w:color w:val="000000"/>
          <w:sz w:val="20"/>
        </w:rPr>
        <w:t xml:space="preserve">” </w:t>
      </w:r>
      <w:r>
        <w:rPr>
          <w:rFonts w:ascii="Times New Roman" w:hAnsi="Times New Roman"/>
          <w:color w:val="000000"/>
          <w:sz w:val="24"/>
        </w:rPr>
        <w:t>means any of the following types of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marketable obligations of the United States, the full and timely payment of which are backed by the full faith and credit of the United States and which have a maturity of not more than 270 days from the date of acquisition;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bankers’ acceptances and certificates of deposit and other interest-bearing obligations (in each case having a maturity of not more than 270 days from the date of acquisition) denominated in Dollars and issued by any bank with capital, surplus and undivided profits aggregating at least $100,000,000, the short-term obligations of which meet or exceed the Short</w:t>
        <w:noBreakHyphen/>
        <w:t>Term Rating Requirement;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repurchase obligations with a term of not more than ten days for underlying securities of the types described in clauses (i) and (ii) above entered into with any bank of the type described in clause (ii)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commercial paper rated at least A</w:t>
        <w:noBreakHyphen/>
        <w:t>1 by Standard &amp; Poor’s and Prime</w:t>
        <w:noBreakHyphen/>
        <w:t>1 by Moody’s;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money market funds registered under the Investment Company Act having a rating, at the time of such investment, of not less than Aaa by Moody’s and AAAm by Standard &amp; Poor’s (including any such funds for which the Account Bank in its individual capacity, or any of its Affiliates, receives compensation as administrator, sponsor, agent or the like);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demand deposits, time deposits or certificates of deposit (having original maturities of no more than 365 days) of depository institutions or trust companies incorporated under the laws of the United States or any State (or domestic branches of any foreign bank) and subject to supervision and examination by federal or State banking or depository institution authorities; provided, however, that at the time such investment, or the commitment to make such investment, is entered into, the short-term debt rating of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depository institution or trust company shall meet or exceed the Short</w:t>
        <w:noBreakHyphen/>
        <w:t>Term Rating Requirement;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other investments approved in writing by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that each of the Permitted Investments may be purchased by the Account Bank or through an Affiliate of the Account Bank.</w:t>
      </w:r>
    </w:p>
    <w:p>
      <w:pPr>
        <w:pStyle w:val="TextBody"/>
        <w:bidi w:val="0"/>
        <w:spacing w:before="0" w:after="240"/>
        <w:jc w:val="both"/>
        <w:rPr/>
      </w:pPr>
      <w:r>
        <w:rPr>
          <w:color w:val="000000"/>
        </w:rPr>
        <w:t>“</w:t>
      </w:r>
      <w:r>
        <w:rPr>
          <w:rFonts w:ascii="Times New Roman" w:hAnsi="Times New Roman"/>
          <w:color w:val="000000"/>
          <w:sz w:val="24"/>
          <w:u w:val="single"/>
        </w:rPr>
        <w:t>Permitted Liens</w:t>
      </w:r>
      <w:r>
        <w:rPr>
          <w:rFonts w:ascii="Times New Roman" w:hAnsi="Times New Roman"/>
          <w:color w:val="000000"/>
          <w:sz w:val="20"/>
        </w:rPr>
        <w:t xml:space="preserve">” </w:t>
      </w:r>
      <w:r>
        <w:rPr>
          <w:rFonts w:ascii="Times New Roman" w:hAnsi="Times New Roman"/>
          <w:color w:val="000000"/>
          <w:sz w:val="24"/>
        </w:rPr>
        <w:t>means (i) Liens in favor of the Administrative Agent, as agent for the Secured Parties, created pursuant to this Agreement or any other Basic Document and (ii) Liens related to a Financed Vehicle for taxes, labor, materials or storage, (iii) Liens for taxes and assessments and governmental charges or levies that are not yet due and payable or that are being contested in good faith and by proper proceedings and as to which appropriate reserves are being maintained, provided that they have been fully reserved for in accordance with GAAP, and (iv) with respect to the Accounts, Liens in favor of the Account Bank.</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individual, partnership, corporation, limited liability company, joint stock company, trust (including a business or statutory trust), unincorporated association, sole proprietorship, joint venture, government (or any agency or political subdivision thereof) or other entity.</w:t>
      </w:r>
    </w:p>
    <w:p>
      <w:pPr>
        <w:pStyle w:val="TextBody"/>
        <w:bidi w:val="0"/>
        <w:spacing w:before="0" w:after="240"/>
        <w:jc w:val="both"/>
        <w:rPr/>
      </w:pPr>
      <w:r>
        <w:rPr>
          <w:color w:val="000000"/>
        </w:rPr>
        <w:t>“</w:t>
      </w:r>
      <w:r>
        <w:rPr>
          <w:rFonts w:ascii="Times New Roman" w:hAnsi="Times New Roman"/>
          <w:color w:val="000000"/>
          <w:sz w:val="24"/>
          <w:u w:val="single"/>
        </w:rPr>
        <w:t>Post Office Box</w:t>
      </w:r>
      <w:r>
        <w:rPr>
          <w:rFonts w:ascii="Times New Roman" w:hAnsi="Times New Roman"/>
          <w:color w:val="000000"/>
          <w:sz w:val="20"/>
        </w:rPr>
        <w:t xml:space="preserve">” </w:t>
      </w:r>
      <w:r>
        <w:rPr>
          <w:rFonts w:ascii="Times New Roman" w:hAnsi="Times New Roman"/>
          <w:color w:val="000000"/>
          <w:sz w:val="24"/>
        </w:rPr>
        <w:t>means one or more post office boxes established and maintained by the Servicer for the benefit of the Secured Parties pursuant to the Intercreditor Agreement and the Intercreditor Party Supplement.</w:t>
      </w:r>
    </w:p>
    <w:p>
      <w:pPr>
        <w:pStyle w:val="TextBody"/>
        <w:bidi w:val="0"/>
        <w:spacing w:before="0" w:after="240"/>
        <w:jc w:val="both"/>
        <w:rPr/>
      </w:pPr>
      <w:r>
        <w:rPr>
          <w:color w:val="000000"/>
        </w:rPr>
        <w:t>“</w:t>
      </w:r>
      <w:r>
        <w:rPr>
          <w:rFonts w:ascii="Times New Roman" w:hAnsi="Times New Roman"/>
          <w:color w:val="000000"/>
          <w:sz w:val="24"/>
          <w:u w:val="single"/>
        </w:rPr>
        <w:t>Post Office Box Processor</w:t>
      </w:r>
      <w:r>
        <w:rPr>
          <w:rFonts w:ascii="Times New Roman" w:hAnsi="Times New Roman"/>
          <w:color w:val="000000"/>
          <w:sz w:val="20"/>
        </w:rPr>
        <w:t xml:space="preserve">” </w:t>
      </w:r>
      <w:r>
        <w:rPr>
          <w:rFonts w:ascii="Times New Roman" w:hAnsi="Times New Roman"/>
          <w:color w:val="000000"/>
          <w:sz w:val="24"/>
        </w:rPr>
        <w:t>means [***] and any other Person that may from time to time perform lockbox services with respect to one or more Post Office Boxes.</w:t>
      </w:r>
    </w:p>
    <w:p>
      <w:pPr>
        <w:pStyle w:val="TextBody"/>
        <w:bidi w:val="0"/>
        <w:spacing w:before="0" w:after="240"/>
        <w:jc w:val="both"/>
        <w:rPr/>
      </w:pPr>
      <w:r>
        <w:rPr>
          <w:color w:val="000000"/>
        </w:rPr>
        <w:t>“</w:t>
      </w:r>
      <w:r>
        <w:rPr>
          <w:rFonts w:ascii="Times New Roman" w:hAnsi="Times New Roman"/>
          <w:color w:val="000000"/>
          <w:sz w:val="24"/>
          <w:u w:val="single"/>
        </w:rPr>
        <w:t>Power of Attorney</w:t>
      </w:r>
      <w:r>
        <w:rPr>
          <w:rFonts w:ascii="Times New Roman" w:hAnsi="Times New Roman"/>
          <w:color w:val="000000"/>
          <w:sz w:val="20"/>
        </w:rPr>
        <w:t xml:space="preserve">” </w:t>
      </w:r>
      <w:r>
        <w:rPr>
          <w:rFonts w:ascii="Times New Roman" w:hAnsi="Times New Roman"/>
          <w:color w:val="000000"/>
          <w:sz w:val="24"/>
        </w:rPr>
        <w:t>means a Power of Attorney of the Borrower appointing the Administrative Agent as its lawful attorney in accordance with Section 9.05, in substantially the form of Exhibit E.</w:t>
      </w:r>
    </w:p>
    <w:p>
      <w:pPr>
        <w:pStyle w:val="TextBody"/>
        <w:bidi w:val="0"/>
        <w:spacing w:before="0" w:after="240"/>
        <w:jc w:val="both"/>
        <w:rPr/>
      </w:pPr>
      <w:r>
        <w:rPr>
          <w:color w:val="000000"/>
        </w:rPr>
        <w:t>“</w:t>
      </w:r>
      <w:r>
        <w:rPr>
          <w:rFonts w:ascii="Times New Roman" w:hAnsi="Times New Roman"/>
          <w:color w:val="000000"/>
          <w:sz w:val="24"/>
          <w:u w:val="single"/>
        </w:rPr>
        <w:t>Prime Rate</w:t>
      </w:r>
      <w:r>
        <w:rPr>
          <w:rFonts w:ascii="Times New Roman" w:hAnsi="Times New Roman"/>
          <w:color w:val="000000"/>
          <w:sz w:val="20"/>
        </w:rPr>
        <w:t xml:space="preserve">” </w:t>
      </w:r>
      <w:r>
        <w:rPr>
          <w:rFonts w:ascii="Times New Roman" w:hAnsi="Times New Roman"/>
          <w:color w:val="000000"/>
          <w:sz w:val="24"/>
        </w:rPr>
        <w:t xml:space="preserve">for any date of determination means the highest rate of interest (or if a range is given, the highest prime rate) published in </w:t>
      </w:r>
      <w:r>
        <w:rPr>
          <w:rFonts w:ascii="Times New Roman" w:hAnsi="Times New Roman"/>
          <w:b/>
          <w:color w:val="000000"/>
          <w:sz w:val="24"/>
        </w:rPr>
        <w:t xml:space="preserve">[***] </w:t>
      </w:r>
      <w:r>
        <w:rPr>
          <w:rFonts w:ascii="Times New Roman" w:hAnsi="Times New Roman"/>
          <w:color w:val="000000"/>
          <w:sz w:val="24"/>
        </w:rPr>
        <w:t xml:space="preserve">on such date as constituting the “prime rate” or “base rate” in such publication’s table of </w:t>
      </w:r>
      <w:r>
        <w:rPr>
          <w:rFonts w:ascii="Times New Roman" w:hAnsi="Times New Roman"/>
          <w:b/>
          <w:color w:val="000000"/>
          <w:sz w:val="24"/>
        </w:rPr>
        <w:t xml:space="preserve">[***] </w:t>
      </w:r>
      <w:r>
        <w:rPr>
          <w:rFonts w:ascii="Times New Roman" w:hAnsi="Times New Roman"/>
          <w:color w:val="000000"/>
          <w:sz w:val="24"/>
        </w:rPr>
        <w:t xml:space="preserve">or, if </w:t>
      </w:r>
      <w:r>
        <w:rPr>
          <w:rFonts w:ascii="Times New Roman" w:hAnsi="Times New Roman"/>
          <w:b/>
          <w:color w:val="000000"/>
          <w:sz w:val="24"/>
        </w:rPr>
        <w:t xml:space="preserve">[***] </w:t>
      </w:r>
      <w:r>
        <w:rPr>
          <w:rFonts w:ascii="Times New Roman" w:hAnsi="Times New Roman"/>
          <w:color w:val="000000"/>
          <w:sz w:val="24"/>
        </w:rPr>
        <w:t xml:space="preserve">is not published on such date, then in </w:t>
      </w:r>
      <w:r>
        <w:rPr>
          <w:rFonts w:ascii="Times New Roman" w:hAnsi="Times New Roman"/>
          <w:b/>
          <w:color w:val="000000"/>
          <w:sz w:val="24"/>
        </w:rPr>
        <w:t xml:space="preserve">[***] </w:t>
      </w:r>
      <w:r>
        <w:rPr>
          <w:rFonts w:ascii="Times New Roman" w:hAnsi="Times New Roman"/>
          <w:color w:val="000000"/>
          <w:sz w:val="24"/>
        </w:rPr>
        <w:t>most recently published.</w:t>
      </w:r>
    </w:p>
    <w:p>
      <w:pPr>
        <w:pStyle w:val="TextBody"/>
        <w:bidi w:val="0"/>
        <w:spacing w:before="0" w:after="240"/>
        <w:jc w:val="both"/>
        <w:rPr/>
      </w:pPr>
      <w:r>
        <w:rPr>
          <w:color w:val="000000"/>
        </w:rPr>
        <w:t>“</w:t>
      </w:r>
      <w:r>
        <w:rPr>
          <w:rFonts w:ascii="Times New Roman" w:hAnsi="Times New Roman"/>
          <w:color w:val="000000"/>
          <w:sz w:val="24"/>
          <w:u w:val="single"/>
        </w:rPr>
        <w:t>Principal Amount</w:t>
      </w:r>
      <w:r>
        <w:rPr>
          <w:rFonts w:ascii="Times New Roman" w:hAnsi="Times New Roman"/>
          <w:color w:val="000000"/>
          <w:sz w:val="20"/>
        </w:rPr>
        <w:t xml:space="preserve">” </w:t>
      </w:r>
      <w:r>
        <w:rPr>
          <w:rFonts w:ascii="Times New Roman" w:hAnsi="Times New Roman"/>
          <w:color w:val="000000"/>
          <w:sz w:val="24"/>
        </w:rPr>
        <w:t>means, with respect to any Loan, the aggregate amount advanced by the Lenders on the Funding Date in respect of such Loan.</w:t>
      </w:r>
    </w:p>
    <w:p>
      <w:pPr>
        <w:pStyle w:val="TextBody"/>
        <w:bidi w:val="0"/>
        <w:spacing w:before="0" w:after="240"/>
        <w:jc w:val="both"/>
        <w:rPr/>
      </w:pPr>
      <w:r>
        <w:rPr>
          <w:color w:val="000000"/>
        </w:rPr>
        <w:t>“</w:t>
      </w:r>
      <w:r>
        <w:rPr>
          <w:rFonts w:ascii="Times New Roman" w:hAnsi="Times New Roman"/>
          <w:color w:val="000000"/>
          <w:sz w:val="24"/>
          <w:u w:val="single"/>
        </w:rPr>
        <w:t>Principal Balance</w:t>
      </w:r>
      <w:r>
        <w:rPr>
          <w:rFonts w:ascii="Times New Roman" w:hAnsi="Times New Roman"/>
          <w:color w:val="000000"/>
          <w:sz w:val="20"/>
        </w:rPr>
        <w:t xml:space="preserve">” </w:t>
      </w:r>
      <w:r>
        <w:rPr>
          <w:rFonts w:ascii="Times New Roman" w:hAnsi="Times New Roman"/>
          <w:color w:val="000000"/>
          <w:sz w:val="24"/>
        </w:rPr>
        <w:t>means, with respect to a Receivable or Serviced Portfolio Receivable, as of the close of business on a Determination Date, the Amount Financed of such Receivable or Serviced Portfolio Receivable minus the sum of the following related amounts, without duplication, (i) that portion of all Scheduled Payments actually received on or prior to such day allocable to principal using the Simple Interest Method, (ii) any payment of the Release Price or Release Amount with respect to a Receivable allocable to principal, (iii) any Cram Down Loss and (iv) any prepayment in full or any partial prepayment applied in reduction of principal.</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Purchase Agreement</w:t>
      </w:r>
      <w:r>
        <w:rPr>
          <w:rFonts w:ascii="Times New Roman" w:hAnsi="Times New Roman"/>
          <w:color w:val="000000"/>
          <w:sz w:val="20"/>
        </w:rPr>
        <w:t xml:space="preserve">” </w:t>
      </w:r>
      <w:r>
        <w:rPr>
          <w:rFonts w:ascii="Times New Roman" w:hAnsi="Times New Roman"/>
          <w:color w:val="000000"/>
          <w:sz w:val="24"/>
        </w:rPr>
        <w:t>means the Purchase and Contribution Agreement, dated as of the Closing Date, between UACC and the Borrower, and each Transfer Agreement.</w:t>
      </w:r>
    </w:p>
    <w:p>
      <w:pPr>
        <w:pStyle w:val="TextBody"/>
        <w:bidi w:val="0"/>
        <w:spacing w:before="0" w:after="240"/>
        <w:jc w:val="both"/>
        <w:rPr/>
      </w:pPr>
      <w:r>
        <w:rPr>
          <w:color w:val="000000"/>
        </w:rPr>
        <w:t>“</w:t>
      </w:r>
      <w:r>
        <w:rPr>
          <w:rFonts w:ascii="Times New Roman" w:hAnsi="Times New Roman"/>
          <w:color w:val="000000"/>
          <w:sz w:val="24"/>
          <w:u w:val="single"/>
        </w:rPr>
        <w:t>Qualified Institution</w:t>
      </w:r>
      <w:r>
        <w:rPr>
          <w:rFonts w:ascii="Times New Roman" w:hAnsi="Times New Roman"/>
          <w:color w:val="000000"/>
          <w:sz w:val="20"/>
        </w:rPr>
        <w:t xml:space="preserve">” </w:t>
      </w:r>
      <w:r>
        <w:rPr>
          <w:rFonts w:ascii="Times New Roman" w:hAnsi="Times New Roman"/>
          <w:color w:val="000000"/>
          <w:sz w:val="24"/>
        </w:rPr>
        <w:t>means any depository institution or trust company organized under the laws of the United States or any State (or any domestic branch of a foreign bank), (i) (a) that meets, or the parent of which meets, either (1) the Long-Term Rating Requirement or (2) the Short-Term Rating Requirement or (b) is otherwise acceptable to the Administrative Agent and (ii) whose deposits are insured by the Federal Deposit Insurance Corporation.</w:t>
      </w:r>
    </w:p>
    <w:p>
      <w:pPr>
        <w:pStyle w:val="TextBody"/>
        <w:bidi w:val="0"/>
        <w:spacing w:before="0" w:after="240"/>
        <w:jc w:val="both"/>
        <w:rPr/>
      </w:pPr>
      <w:r>
        <w:rPr>
          <w:color w:val="000000"/>
        </w:rPr>
        <w:t>“</w:t>
      </w:r>
      <w:r>
        <w:rPr>
          <w:rFonts w:ascii="Times New Roman" w:hAnsi="Times New Roman"/>
          <w:color w:val="000000"/>
          <w:sz w:val="24"/>
          <w:u w:val="single"/>
        </w:rPr>
        <w:t>Quarterly Report</w:t>
      </w:r>
      <w:r>
        <w:rPr>
          <w:rFonts w:ascii="Times New Roman" w:hAnsi="Times New Roman"/>
          <w:color w:val="000000"/>
          <w:sz w:val="20"/>
        </w:rPr>
        <w:t xml:space="preserve">” </w:t>
      </w:r>
      <w:r>
        <w:rPr>
          <w:rFonts w:ascii="Times New Roman" w:hAnsi="Times New Roman"/>
          <w:color w:val="000000"/>
          <w:sz w:val="24"/>
        </w:rPr>
        <w:t>means a data tape, which shall include as to each Receivable and each Other Receivable, as applicable, such information provided in Schedule E and other such information as agreed upon by the Administrative Agent and the Servicer, including such information as the Administrative Agent may reasonably request from time to time to satisfy or fulfill regulatory requirements applicable to the Secured Parties, including capital treatment under Basel II or Basel III.</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Rating Agency</w:t>
      </w:r>
      <w:r>
        <w:rPr>
          <w:rFonts w:ascii="Times New Roman" w:hAnsi="Times New Roman"/>
          <w:color w:val="000000"/>
          <w:sz w:val="20"/>
        </w:rPr>
        <w:t xml:space="preserve">” </w:t>
      </w:r>
      <w:r>
        <w:rPr>
          <w:rFonts w:ascii="Times New Roman" w:hAnsi="Times New Roman"/>
          <w:color w:val="000000"/>
          <w:sz w:val="24"/>
        </w:rPr>
        <w:t>means any nationally recognized statistical ratings organization acceptable to the Administrative Agent.</w:t>
      </w:r>
    </w:p>
    <w:p>
      <w:pPr>
        <w:pStyle w:val="TextBody"/>
        <w:bidi w:val="0"/>
        <w:spacing w:before="0" w:after="240"/>
        <w:jc w:val="both"/>
        <w:rPr/>
      </w:pPr>
      <w:r>
        <w:rPr>
          <w:color w:val="000000"/>
        </w:rPr>
        <w:t>“</w:t>
      </w:r>
      <w:r>
        <w:rPr>
          <w:rFonts w:ascii="Times New Roman" w:hAnsi="Times New Roman"/>
          <w:color w:val="000000"/>
          <w:sz w:val="24"/>
          <w:u w:val="single"/>
        </w:rPr>
        <w:t>Rating Request</w:t>
      </w:r>
      <w:r>
        <w:rPr>
          <w:rFonts w:ascii="Times New Roman" w:hAnsi="Times New Roman"/>
          <w:color w:val="000000"/>
          <w:sz w:val="20"/>
        </w:rPr>
        <w:t xml:space="preserve">” </w:t>
      </w:r>
      <w:r>
        <w:rPr>
          <w:rFonts w:ascii="Times New Roman" w:hAnsi="Times New Roman"/>
          <w:color w:val="000000"/>
          <w:sz w:val="24"/>
        </w:rPr>
        <w:t>means a written request by the Administrative Agent to the Borrower and the Servicer, stating that the Administrative Agent intends to request that one or more Rating Agencies publicly issue a rating of at least the Required Rating to the transactions contemplated by this Agreement.</w:t>
      </w:r>
    </w:p>
    <w:p>
      <w:pPr>
        <w:pStyle w:val="TextBody"/>
        <w:bidi w:val="0"/>
        <w:spacing w:before="0" w:after="240"/>
        <w:jc w:val="both"/>
        <w:rPr/>
      </w:pPr>
      <w:r>
        <w:rPr>
          <w:color w:val="000000"/>
        </w:rPr>
        <w:t>“</w:t>
      </w:r>
      <w:r>
        <w:rPr>
          <w:rFonts w:ascii="Times New Roman" w:hAnsi="Times New Roman"/>
          <w:color w:val="000000"/>
          <w:sz w:val="24"/>
          <w:u w:val="single"/>
        </w:rPr>
        <w:t>Reborrowing</w:t>
      </w:r>
      <w:r>
        <w:rPr>
          <w:rFonts w:ascii="Times New Roman" w:hAnsi="Times New Roman"/>
          <w:color w:val="000000"/>
          <w:sz w:val="20"/>
        </w:rPr>
        <w:t xml:space="preserve">” </w:t>
      </w:r>
      <w:r>
        <w:rPr>
          <w:rFonts w:ascii="Times New Roman" w:hAnsi="Times New Roman"/>
          <w:color w:val="000000"/>
          <w:sz w:val="24"/>
        </w:rPr>
        <w:t>means, to the extent that any portion of the Loans has been repaid in connection with a repayment pursuant to Section 2.06 or a Securitization pursuant to Section 2.15, the reborrowing by the Borrower of all or a portion of such repaid amounts otherwise subject to and in accordance with the terms hereof.</w:t>
      </w:r>
    </w:p>
    <w:p>
      <w:pPr>
        <w:pStyle w:val="TextBody"/>
        <w:bidi w:val="0"/>
        <w:spacing w:before="0" w:after="240"/>
        <w:jc w:val="both"/>
        <w:rPr/>
      </w:pPr>
      <w:r>
        <w:rPr>
          <w:color w:val="000000"/>
        </w:rPr>
        <w:t>“</w:t>
      </w:r>
      <w:r>
        <w:rPr>
          <w:rFonts w:ascii="Times New Roman" w:hAnsi="Times New Roman"/>
          <w:color w:val="000000"/>
          <w:sz w:val="24"/>
          <w:u w:val="single"/>
        </w:rPr>
        <w:t>Receivable</w:t>
      </w:r>
      <w:r>
        <w:rPr>
          <w:rFonts w:ascii="Times New Roman" w:hAnsi="Times New Roman"/>
          <w:color w:val="000000"/>
          <w:sz w:val="20"/>
        </w:rPr>
        <w:t xml:space="preserve">” </w:t>
      </w:r>
      <w:r>
        <w:rPr>
          <w:rFonts w:ascii="Times New Roman" w:hAnsi="Times New Roman"/>
          <w:color w:val="000000"/>
          <w:sz w:val="24"/>
        </w:rPr>
        <w:t>means Indebtedness owed to the Originator or the Borrower by an Obligor (without giving effect to any transfer hereunder) under a Contract included as part of the Collateral, whether constituting an account, chattel paper, instrument or general intangible, arising out of or in connection with the sale, refinancing or loan made by a Dealer or the Originator with respect to a Financed Vehicle in connection therewith, and includes the right of payment of any finance charges and other obligations of the Obligor with respect thereto. Notwithstanding the foregoing, once the Administrative Agent has released its security interest in a Receivable and the related Contract in accordance with the terms of this Agreement, such Receivable shall no longer be a Receivable hereunder.</w:t>
      </w:r>
    </w:p>
    <w:p>
      <w:pPr>
        <w:pStyle w:val="TextBody"/>
        <w:bidi w:val="0"/>
        <w:spacing w:before="0" w:after="240"/>
        <w:jc w:val="both"/>
        <w:rPr/>
      </w:pPr>
      <w:r>
        <w:rPr>
          <w:color w:val="000000"/>
        </w:rPr>
        <w:t>“</w:t>
      </w:r>
      <w:r>
        <w:rPr>
          <w:rFonts w:ascii="Times New Roman" w:hAnsi="Times New Roman"/>
          <w:color w:val="000000"/>
          <w:sz w:val="24"/>
          <w:u w:val="single"/>
        </w:rPr>
        <w:t>Receivable File</w:t>
      </w:r>
      <w:r>
        <w:rPr>
          <w:rFonts w:ascii="Times New Roman" w:hAnsi="Times New Roman"/>
          <w:color w:val="000000"/>
          <w:sz w:val="20"/>
        </w:rPr>
        <w:t xml:space="preserve">” </w:t>
      </w:r>
      <w:r>
        <w:rPr>
          <w:rFonts w:ascii="Times New Roman" w:hAnsi="Times New Roman"/>
          <w:color w:val="000000"/>
          <w:sz w:val="24"/>
        </w:rPr>
        <w:t>means, with respect to each Receivable and the related Contract, (i) (x) in the case of a Tangible Contract, the original fully executed Contract, (y) in the case of an Electronic Contract, an Authoritative Copy of the executed Contract and (z) in the case of a Contract which has been Exported, the physical rendering of the related Electronic Contract produced upon Export, together with the related document history report, and (ii) any instruments or documents that may modify the terms and conditions of such Receivable or Contract and the original endorsements or assignments of such Contract.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Receivable Receipt</w:t>
      </w:r>
      <w:r>
        <w:rPr>
          <w:rFonts w:ascii="Times New Roman" w:hAnsi="Times New Roman"/>
          <w:color w:val="000000"/>
          <w:sz w:val="20"/>
        </w:rPr>
        <w:t xml:space="preserve">” </w:t>
      </w:r>
      <w:r>
        <w:rPr>
          <w:rFonts w:ascii="Times New Roman" w:hAnsi="Times New Roman"/>
          <w:color w:val="000000"/>
          <w:sz w:val="24"/>
        </w:rPr>
        <w:t>means the receivable receipt substantially in the form attached hereto as Exhibit H executed by the Custodian for the benefit of the Administrative Agent.</w:t>
      </w:r>
    </w:p>
    <w:p>
      <w:pPr>
        <w:pStyle w:val="TextBody"/>
        <w:bidi w:val="0"/>
        <w:spacing w:before="0" w:after="240"/>
        <w:jc w:val="both"/>
        <w:rPr/>
      </w:pPr>
      <w:r>
        <w:rPr>
          <w:color w:val="000000"/>
        </w:rPr>
        <w:t>“</w:t>
      </w:r>
      <w:r>
        <w:rPr>
          <w:rFonts w:ascii="Times New Roman" w:hAnsi="Times New Roman"/>
          <w:color w:val="000000"/>
          <w:sz w:val="24"/>
          <w:u w:val="single"/>
        </w:rPr>
        <w:t>Records</w:t>
      </w:r>
      <w:r>
        <w:rPr>
          <w:rFonts w:ascii="Times New Roman" w:hAnsi="Times New Roman"/>
          <w:color w:val="000000"/>
          <w:sz w:val="20"/>
        </w:rPr>
        <w:t xml:space="preserve">” </w:t>
      </w:r>
      <w:r>
        <w:rPr>
          <w:rFonts w:ascii="Times New Roman" w:hAnsi="Times New Roman"/>
          <w:color w:val="000000"/>
          <w:sz w:val="24"/>
        </w:rPr>
        <w:t>means, with respect to any Contract, all documents, books, records and other information (including computer programs, tapes, disks, punch cards, data processing software and related property and rights) maintained with respect to any related item of Collateral and the related Obligor.</w:t>
      </w:r>
    </w:p>
    <w:p>
      <w:pPr>
        <w:pStyle w:val="TextBody"/>
        <w:bidi w:val="0"/>
        <w:spacing w:before="0" w:after="240"/>
        <w:jc w:val="both"/>
        <w:rPr/>
      </w:pPr>
      <w:r>
        <w:rPr>
          <w:color w:val="000000"/>
        </w:rPr>
        <w:t>“</w:t>
      </w:r>
      <w:r>
        <w:rPr>
          <w:rFonts w:ascii="Times New Roman" w:hAnsi="Times New Roman"/>
          <w:color w:val="000000"/>
          <w:sz w:val="24"/>
          <w:u w:val="single"/>
        </w:rPr>
        <w:t>Recoveries</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all monies collected from whatever source during such Collection Period in respect of a Defaulted Receivable, including Insurance Proceeds (but excluding payment of the related Release Price or Release Amount), net of any amounts required by Applicable Law to be remitted to the related Obligor and net of the Servicer’s reasonable out-of-pocket expenses (other than overhead) incurred in connection with the liquidation of such Defaulted Receivable and the related Financed Vehicle, to the extent not previously reimbursed to the Servicer.</w:t>
      </w:r>
    </w:p>
    <w:p>
      <w:pPr>
        <w:pStyle w:val="TextBody"/>
        <w:bidi w:val="0"/>
        <w:spacing w:before="0" w:after="240"/>
        <w:jc w:val="both"/>
        <w:rPr/>
      </w:pPr>
      <w:r>
        <w:rPr>
          <w:color w:val="000000"/>
        </w:rPr>
        <w:t>“</w:t>
      </w:r>
      <w:r>
        <w:rPr>
          <w:rFonts w:ascii="Times New Roman" w:hAnsi="Times New Roman"/>
          <w:color w:val="000000"/>
          <w:sz w:val="24"/>
          <w:u w:val="single"/>
        </w:rPr>
        <w:t>Reference Date</w:t>
      </w:r>
      <w:r>
        <w:rPr>
          <w:rFonts w:ascii="Times New Roman" w:hAnsi="Times New Roman"/>
          <w:color w:val="000000"/>
          <w:sz w:val="20"/>
        </w:rPr>
        <w:t xml:space="preserve">” </w:t>
      </w:r>
      <w:r>
        <w:rPr>
          <w:rFonts w:ascii="Times New Roman" w:hAnsi="Times New Roman"/>
          <w:color w:val="000000"/>
          <w:sz w:val="24"/>
        </w:rPr>
        <w:t>with respect to any setting of the then-current Benchmark means (a) if such Benchmark is Term SOFR, then two (2) U.S. Government Securities Business Days prior to such setting and (b) if such Benchmark is not Term SOFR, then the time determined by the Administrative Agent in accordance with the Conforming Changes.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Registrar of Titles</w:t>
      </w:r>
      <w:r>
        <w:rPr>
          <w:rFonts w:ascii="Times New Roman" w:hAnsi="Times New Roman"/>
          <w:color w:val="000000"/>
          <w:sz w:val="20"/>
        </w:rPr>
        <w:t xml:space="preserve">” </w:t>
      </w:r>
      <w:r>
        <w:rPr>
          <w:rFonts w:ascii="Times New Roman" w:hAnsi="Times New Roman"/>
          <w:color w:val="000000"/>
          <w:sz w:val="24"/>
        </w:rPr>
        <w:t>means, with respect to any State, the governmental agency or body responsible for the registration of, and the issuance of certificates of title relating to, motor vehicles and liens thereon.</w:t>
      </w:r>
    </w:p>
    <w:p>
      <w:pPr>
        <w:pStyle w:val="TextBody"/>
        <w:bidi w:val="0"/>
        <w:spacing w:before="0" w:after="240"/>
        <w:jc w:val="both"/>
        <w:rPr/>
      </w:pPr>
      <w:r>
        <w:rPr>
          <w:color w:val="000000"/>
        </w:rPr>
        <w:t>“</w:t>
      </w:r>
      <w:r>
        <w:rPr>
          <w:rFonts w:ascii="Times New Roman" w:hAnsi="Times New Roman"/>
          <w:color w:val="000000"/>
          <w:sz w:val="24"/>
          <w:u w:val="single"/>
        </w:rPr>
        <w:t>Regulation AB</w:t>
      </w:r>
      <w:r>
        <w:rPr>
          <w:rFonts w:ascii="Times New Roman" w:hAnsi="Times New Roman"/>
          <w:color w:val="000000"/>
          <w:sz w:val="20"/>
        </w:rPr>
        <w:t xml:space="preserve">” </w:t>
      </w:r>
      <w:r>
        <w:rPr>
          <w:rFonts w:ascii="Times New Roman" w:hAnsi="Times New Roman"/>
          <w:color w:val="000000"/>
          <w:sz w:val="24"/>
        </w:rPr>
        <w:t>means Subpart 229.1100 – Asset Backed Securities (Regulation AB), 17 C.F.R. §§229.1100-229.1125, as such may be amended from time to time, and subject to such clarification and interpretation as have been provided by the Commission in the adopting releases (Asset Backed Securities, Securities Act Release No. 33 8518, 70 Fed. Reg. 1,506, 1,531 (Jan. 7, 2005) and the portions of Asset-Backed Securities Disclosure and Registration, Securities Act Release No. 33-9638, 79 Fed. Reg. 57,184 (Sept. 24, 2014)) that are in effect on any specific date or by the staff of the Commission, or as may be provided by the Commission or its staff from time to time.</w:t>
      </w:r>
    </w:p>
    <w:p>
      <w:pPr>
        <w:pStyle w:val="TextBody"/>
        <w:bidi w:val="0"/>
        <w:spacing w:before="0" w:after="240"/>
        <w:jc w:val="both"/>
        <w:rPr/>
      </w:pPr>
      <w:r>
        <w:rPr>
          <w:color w:val="000000"/>
        </w:rPr>
        <w:t>“</w:t>
      </w:r>
      <w:r>
        <w:rPr>
          <w:rFonts w:ascii="Times New Roman" w:hAnsi="Times New Roman"/>
          <w:color w:val="000000"/>
          <w:sz w:val="24"/>
          <w:u w:val="single"/>
        </w:rPr>
        <w:t>Relevant Governmental Body</w:t>
      </w:r>
      <w:r>
        <w:rPr>
          <w:rFonts w:ascii="Times New Roman" w:hAnsi="Times New Roman"/>
          <w:color w:val="000000"/>
          <w:sz w:val="20"/>
        </w:rPr>
        <w:t xml:space="preserve">” </w:t>
      </w:r>
      <w:r>
        <w:rPr>
          <w:rFonts w:ascii="Times New Roman" w:hAnsi="Times New Roman"/>
          <w:color w:val="000000"/>
          <w:sz w:val="24"/>
        </w:rPr>
        <w:t>means the Federal Reserve Board or the Federal Reserve Bank of New York, or a committee officially endorsed or convened by the Federal Reserve Board or the Federal Reserve Bank of New York, or any successor thereto.</w:t>
      </w:r>
    </w:p>
    <w:p>
      <w:pPr>
        <w:pStyle w:val="TextBody"/>
        <w:bidi w:val="0"/>
        <w:spacing w:before="0" w:after="240"/>
        <w:jc w:val="both"/>
        <w:rPr/>
      </w:pPr>
      <w:r>
        <w:rPr>
          <w:color w:val="000000"/>
        </w:rPr>
        <w:t>“</w:t>
      </w:r>
      <w:r>
        <w:rPr>
          <w:rFonts w:ascii="Times New Roman" w:hAnsi="Times New Roman"/>
          <w:color w:val="000000"/>
          <w:sz w:val="24"/>
          <w:u w:val="single"/>
        </w:rPr>
        <w:t>Release Amount</w:t>
      </w:r>
      <w:r>
        <w:rPr>
          <w:rFonts w:ascii="Times New Roman" w:hAnsi="Times New Roman"/>
          <w:color w:val="000000"/>
          <w:sz w:val="20"/>
        </w:rPr>
        <w:t xml:space="preserve">” </w:t>
      </w:r>
      <w:r>
        <w:rPr>
          <w:rFonts w:ascii="Times New Roman" w:hAnsi="Times New Roman"/>
          <w:color w:val="000000"/>
          <w:sz w:val="24"/>
        </w:rPr>
        <w:t>means, as of the related Release Date, the deposit amount for a retransfer of Receivables under Section 5.04(b), in an amount equal to (i) the related Aggregate Unpaids minus (ii) the related amount, if any, available in the Collection Account and the Reserve Account on such Payment Date.</w:t>
      </w:r>
    </w:p>
    <w:p>
      <w:pPr>
        <w:pStyle w:val="TextBody"/>
        <w:bidi w:val="0"/>
        <w:spacing w:before="0" w:after="240"/>
        <w:jc w:val="both"/>
        <w:rPr/>
      </w:pPr>
      <w:r>
        <w:rPr>
          <w:color w:val="000000"/>
        </w:rPr>
        <w:t>“</w:t>
      </w:r>
      <w:r>
        <w:rPr>
          <w:rFonts w:ascii="Times New Roman" w:hAnsi="Times New Roman"/>
          <w:color w:val="000000"/>
          <w:sz w:val="24"/>
          <w:u w:val="single"/>
        </w:rPr>
        <w:t>Release Date</w:t>
      </w:r>
      <w:r>
        <w:rPr>
          <w:rFonts w:ascii="Times New Roman" w:hAnsi="Times New Roman"/>
          <w:color w:val="000000"/>
          <w:sz w:val="20"/>
        </w:rPr>
        <w:t xml:space="preserve">” </w:t>
      </w:r>
      <w:r>
        <w:rPr>
          <w:rFonts w:ascii="Times New Roman" w:hAnsi="Times New Roman"/>
          <w:color w:val="000000"/>
          <w:sz w:val="24"/>
        </w:rPr>
        <w:t>means a Payment Date specified by the Borrower in connection with the retransfer of the Receivables under Section 5.04(b).</w:t>
      </w:r>
    </w:p>
    <w:p>
      <w:pPr>
        <w:pStyle w:val="TextBody"/>
        <w:bidi w:val="0"/>
        <w:spacing w:before="0" w:after="240"/>
        <w:jc w:val="both"/>
        <w:rPr/>
      </w:pPr>
      <w:r>
        <w:rPr>
          <w:color w:val="000000"/>
        </w:rPr>
        <w:t>“</w:t>
      </w:r>
      <w:r>
        <w:rPr>
          <w:rFonts w:ascii="Times New Roman" w:hAnsi="Times New Roman"/>
          <w:color w:val="000000"/>
          <w:sz w:val="24"/>
          <w:u w:val="single"/>
        </w:rPr>
        <w:t>Release Price</w:t>
      </w:r>
      <w:r>
        <w:rPr>
          <w:rFonts w:ascii="Times New Roman" w:hAnsi="Times New Roman"/>
          <w:color w:val="000000"/>
          <w:sz w:val="20"/>
        </w:rPr>
        <w:t xml:space="preserve">” </w:t>
      </w:r>
      <w:r>
        <w:rPr>
          <w:rFonts w:ascii="Times New Roman" w:hAnsi="Times New Roman"/>
          <w:color w:val="000000"/>
          <w:sz w:val="24"/>
        </w:rPr>
        <w:t>means an amount equal to the Principal Balance of each Receivable retransferred or repurchased pursuant to Section 5.04(a) or (b), plus accrued interest on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Receivable (at the related APR) through the date of such retransfer or repurchase, all Breakage Costs, if any, arising out of or relating to such retransfer or repurchase, and all Hedge Breakage Costs, if any, due to the relevant Hedge Counterparties for any termination in whole or in part of one or more transactions related to the relevant Hedging Agreement, as required by the terms of any Hedging Agreement as a result of such retransfer or repurchase.</w:t>
      </w:r>
    </w:p>
    <w:p>
      <w:pPr>
        <w:pStyle w:val="TextBody"/>
        <w:bidi w:val="0"/>
        <w:spacing w:before="0" w:after="240"/>
        <w:jc w:val="both"/>
        <w:rPr/>
      </w:pPr>
      <w:r>
        <w:rPr>
          <w:color w:val="000000"/>
        </w:rPr>
        <w:t>“</w:t>
      </w:r>
      <w:r>
        <w:rPr>
          <w:rFonts w:ascii="Times New Roman" w:hAnsi="Times New Roman"/>
          <w:color w:val="000000"/>
          <w:sz w:val="24"/>
          <w:u w:val="single"/>
        </w:rPr>
        <w:t>Reportable Event</w:t>
      </w:r>
      <w:r>
        <w:rPr>
          <w:rFonts w:ascii="Times New Roman" w:hAnsi="Times New Roman"/>
          <w:color w:val="000000"/>
          <w:sz w:val="20"/>
        </w:rPr>
        <w:t xml:space="preserve">” </w:t>
      </w:r>
      <w:r>
        <w:rPr>
          <w:rFonts w:ascii="Times New Roman" w:hAnsi="Times New Roman"/>
          <w:color w:val="000000"/>
          <w:sz w:val="24"/>
        </w:rPr>
        <w:t>means any of the events set forth in Section 4043(c) of ERISA for which the 30-day notice provision has not been waived.</w:t>
      </w:r>
    </w:p>
    <w:p>
      <w:pPr>
        <w:pStyle w:val="TextBody"/>
        <w:bidi w:val="0"/>
        <w:spacing w:before="0" w:after="240"/>
        <w:jc w:val="both"/>
        <w:rPr/>
      </w:pPr>
      <w:r>
        <w:rPr>
          <w:color w:val="000000"/>
        </w:rPr>
        <w:t>“</w:t>
      </w:r>
      <w:r>
        <w:rPr>
          <w:rFonts w:ascii="Times New Roman" w:hAnsi="Times New Roman"/>
          <w:color w:val="000000"/>
          <w:sz w:val="24"/>
          <w:u w:val="single"/>
        </w:rPr>
        <w:t>Reporting Date</w:t>
      </w:r>
      <w:r>
        <w:rPr>
          <w:rFonts w:ascii="Times New Roman" w:hAnsi="Times New Roman"/>
          <w:color w:val="000000"/>
          <w:sz w:val="20"/>
        </w:rPr>
        <w:t xml:space="preserve">” </w:t>
      </w:r>
      <w:r>
        <w:rPr>
          <w:rFonts w:ascii="Times New Roman" w:hAnsi="Times New Roman"/>
          <w:color w:val="000000"/>
          <w:sz w:val="24"/>
        </w:rPr>
        <w:t>means the date which is two Business Days prior to any Payment Date.</w:t>
      </w:r>
    </w:p>
    <w:p>
      <w:pPr>
        <w:pStyle w:val="TextBody"/>
        <w:bidi w:val="0"/>
        <w:spacing w:before="0" w:after="240"/>
        <w:jc w:val="both"/>
        <w:rPr/>
      </w:pPr>
      <w:r>
        <w:rPr>
          <w:color w:val="000000"/>
        </w:rPr>
        <w:t>“</w:t>
      </w:r>
      <w:r>
        <w:rPr>
          <w:rFonts w:ascii="Times New Roman" w:hAnsi="Times New Roman"/>
          <w:color w:val="000000"/>
          <w:sz w:val="24"/>
          <w:u w:val="single"/>
        </w:rPr>
        <w:t>Repurchased UACST Receivables</w:t>
      </w:r>
      <w:r>
        <w:rPr>
          <w:rFonts w:ascii="Times New Roman" w:hAnsi="Times New Roman"/>
          <w:color w:val="000000"/>
          <w:sz w:val="20"/>
        </w:rPr>
        <w:t xml:space="preserve">” </w:t>
      </w:r>
      <w:r>
        <w:rPr>
          <w:rFonts w:ascii="Times New Roman" w:hAnsi="Times New Roman"/>
          <w:color w:val="000000"/>
          <w:sz w:val="24"/>
        </w:rPr>
        <w:t>means Receivables repurchased by UACC or an Affiliate of UACC from a UACST Securitization in which all of the issued and previously outstanding securities have been paid in full.</w:t>
      </w:r>
    </w:p>
    <w:p>
      <w:pPr>
        <w:pStyle w:val="TextBody"/>
        <w:bidi w:val="0"/>
        <w:spacing w:before="0" w:after="240"/>
        <w:jc w:val="both"/>
        <w:rPr/>
      </w:pPr>
      <w:r>
        <w:rPr>
          <w:color w:val="000000"/>
        </w:rPr>
        <w:t>“</w:t>
      </w:r>
      <w:r>
        <w:rPr>
          <w:rFonts w:ascii="Times New Roman" w:hAnsi="Times New Roman"/>
          <w:color w:val="000000"/>
          <w:sz w:val="24"/>
          <w:u w:val="single"/>
        </w:rPr>
        <w:t>Required Hedging Period</w:t>
      </w:r>
      <w:r>
        <w:rPr>
          <w:rFonts w:ascii="Times New Roman" w:hAnsi="Times New Roman"/>
          <w:color w:val="000000"/>
          <w:sz w:val="20"/>
        </w:rPr>
        <w:t xml:space="preserve">” </w:t>
      </w:r>
      <w:r>
        <w:rPr>
          <w:rFonts w:ascii="Times New Roman" w:hAnsi="Times New Roman"/>
          <w:color w:val="000000"/>
          <w:sz w:val="24"/>
        </w:rPr>
        <w:t>means the period commencing 90 days after the occurrence of an Overcollateralization Increase Event resulting from the breach of the UACC Excess Spread Percentage or Vroom Excess Spread Percentage, as applicable, and ending on the earlier of (i) the date on which such Overcollateralization Increase Event has been cured or waived and (ii) the Termination Date.</w:t>
      </w:r>
    </w:p>
    <w:p>
      <w:pPr>
        <w:pStyle w:val="TextBody"/>
        <w:bidi w:val="0"/>
        <w:spacing w:before="0" w:after="240"/>
        <w:jc w:val="both"/>
        <w:rPr/>
      </w:pPr>
      <w:r>
        <w:rPr>
          <w:color w:val="000000"/>
        </w:rPr>
        <w:t>“</w:t>
      </w:r>
      <w:r>
        <w:rPr>
          <w:rFonts w:ascii="Times New Roman" w:hAnsi="Times New Roman"/>
          <w:color w:val="000000"/>
          <w:sz w:val="24"/>
          <w:u w:val="single"/>
        </w:rPr>
        <w:t>Required Legend</w:t>
      </w:r>
      <w:r>
        <w:rPr>
          <w:rFonts w:ascii="Times New Roman" w:hAnsi="Times New Roman"/>
          <w:color w:val="000000"/>
          <w:sz w:val="20"/>
        </w:rPr>
        <w:t xml:space="preserve">” </w:t>
      </w:r>
      <w:r>
        <w:rPr>
          <w:rFonts w:ascii="Times New Roman" w:hAnsi="Times New Roman"/>
          <w:color w:val="000000"/>
          <w:sz w:val="24"/>
        </w:rPr>
        <w:t>means a legend applied by the E-Vault System to every page of a Contract which identifies the owner of Record as “UACC Auto Financing Trust V, with [***], as Administrative Agent, as secured party through its designated custodian, United Auto Credit Corporation”.</w:t>
      </w:r>
    </w:p>
    <w:p>
      <w:pPr>
        <w:pStyle w:val="TextBody"/>
        <w:bidi w:val="0"/>
        <w:spacing w:before="0" w:after="240"/>
        <w:jc w:val="both"/>
        <w:rPr/>
      </w:pPr>
      <w:r>
        <w:rPr>
          <w:color w:val="000000"/>
        </w:rPr>
        <w:t>“</w:t>
      </w:r>
      <w:r>
        <w:rPr>
          <w:rFonts w:ascii="Times New Roman" w:hAnsi="Times New Roman"/>
          <w:color w:val="000000"/>
          <w:sz w:val="24"/>
          <w:u w:val="single"/>
        </w:rPr>
        <w:t>Required Lenders</w:t>
      </w:r>
      <w:r>
        <w:rPr>
          <w:rFonts w:ascii="Times New Roman" w:hAnsi="Times New Roman"/>
          <w:color w:val="000000"/>
          <w:sz w:val="20"/>
        </w:rPr>
        <w:t xml:space="preserve">” </w:t>
      </w:r>
      <w:r>
        <w:rPr>
          <w:rFonts w:ascii="Times New Roman" w:hAnsi="Times New Roman"/>
          <w:color w:val="000000"/>
          <w:sz w:val="24"/>
        </w:rPr>
        <w:t>means at a particular time, Lenders with aggregate Commitments in excess of [***]% of the Aggregate Commitment.</w:t>
      </w:r>
    </w:p>
    <w:p>
      <w:pPr>
        <w:pStyle w:val="TextBody"/>
        <w:bidi w:val="0"/>
        <w:spacing w:before="0" w:after="240"/>
        <w:jc w:val="both"/>
        <w:rPr/>
      </w:pPr>
      <w:r>
        <w:rPr>
          <w:color w:val="000000"/>
        </w:rPr>
        <w:t>“</w:t>
      </w:r>
      <w:r>
        <w:rPr>
          <w:rFonts w:ascii="Times New Roman" w:hAnsi="Times New Roman"/>
          <w:color w:val="000000"/>
          <w:sz w:val="24"/>
          <w:u w:val="single"/>
        </w:rPr>
        <w:t>Required Rating</w:t>
      </w:r>
      <w:r>
        <w:rPr>
          <w:rFonts w:ascii="Times New Roman" w:hAnsi="Times New Roman"/>
          <w:color w:val="000000"/>
          <w:sz w:val="20"/>
        </w:rPr>
        <w:t xml:space="preserve">” </w:t>
      </w:r>
      <w:r>
        <w:rPr>
          <w:rFonts w:ascii="Times New Roman" w:hAnsi="Times New Roman"/>
          <w:color w:val="000000"/>
          <w:sz w:val="24"/>
        </w:rPr>
        <w:t>means, with respect to any Rating Agency, a long-term unsecured debt rating of [***] or its equivalent issued by such Rating Agency.</w:t>
      </w:r>
    </w:p>
    <w:p>
      <w:pPr>
        <w:pStyle w:val="TextBody"/>
        <w:bidi w:val="0"/>
        <w:spacing w:before="0" w:after="240"/>
        <w:jc w:val="both"/>
        <w:rPr/>
      </w:pPr>
      <w:r>
        <w:rPr>
          <w:color w:val="000000"/>
        </w:rPr>
        <w:t>“</w:t>
      </w:r>
      <w:r>
        <w:rPr>
          <w:rFonts w:ascii="Times New Roman" w:hAnsi="Times New Roman"/>
          <w:color w:val="000000"/>
          <w:sz w:val="24"/>
          <w:u w:val="single"/>
        </w:rPr>
        <w:t>Requirements of Law</w:t>
      </w:r>
      <w:r>
        <w:rPr>
          <w:rFonts w:ascii="Times New Roman" w:hAnsi="Times New Roman"/>
          <w:color w:val="000000"/>
          <w:sz w:val="20"/>
        </w:rPr>
        <w:t xml:space="preserve">” </w:t>
      </w:r>
      <w:r>
        <w:rPr>
          <w:rFonts w:ascii="Times New Roman" w:hAnsi="Times New Roman"/>
          <w:color w:val="000000"/>
          <w:sz w:val="24"/>
        </w:rPr>
        <w:t>means, for any Person, its certificate of incorporation or articles of association and by-laws or other organizational or governing documents, and any law, treaty, rule or regulation, or order or determination of an arbitrator or Governmental Authority, in each case applicable to or binding</w:t>
      </w:r>
      <w:r>
        <w:rPr>
          <w:rFonts w:ascii="Times New Roman" w:hAnsi="Times New Roman"/>
          <w:color w:val="000000"/>
          <w:sz w:val="20"/>
        </w:rPr>
        <w:t xml:space="preserve"> </w:t>
      </w:r>
      <w:r>
        <w:rPr>
          <w:rFonts w:ascii="Times New Roman" w:hAnsi="Times New Roman"/>
          <w:color w:val="000000"/>
          <w:sz w:val="24"/>
        </w:rPr>
        <w:t>upon such Person or to which such Person is subject, whether federal, State or local (including usury laws, the Federal Truth in Lending Act, Regulations U and T of the Federal Reserve Board and Regulations B, X and Z of the Consumer Financial Protection Bureau).</w:t>
      </w:r>
    </w:p>
    <w:p>
      <w:pPr>
        <w:pStyle w:val="TextBody"/>
        <w:bidi w:val="0"/>
        <w:spacing w:before="0" w:after="240"/>
        <w:jc w:val="both"/>
        <w:rPr/>
      </w:pPr>
      <w:r>
        <w:rPr>
          <w:color w:val="000000"/>
        </w:rPr>
        <w:t>“</w:t>
      </w:r>
      <w:r>
        <w:rPr>
          <w:rFonts w:ascii="Times New Roman" w:hAnsi="Times New Roman"/>
          <w:color w:val="000000"/>
          <w:sz w:val="24"/>
          <w:u w:val="single"/>
        </w:rPr>
        <w:t>Reserve Account</w:t>
      </w:r>
      <w:r>
        <w:rPr>
          <w:rFonts w:ascii="Times New Roman" w:hAnsi="Times New Roman"/>
          <w:color w:val="000000"/>
          <w:sz w:val="20"/>
        </w:rPr>
        <w:t xml:space="preserve">” </w:t>
      </w:r>
      <w:r>
        <w:rPr>
          <w:rFonts w:ascii="Times New Roman" w:hAnsi="Times New Roman"/>
          <w:color w:val="000000"/>
          <w:sz w:val="24"/>
        </w:rPr>
        <w:t>means a segregated account established by the Servicer with the Account Bank, for the benefit of the Secured Parties.</w:t>
      </w:r>
    </w:p>
    <w:p>
      <w:pPr>
        <w:pStyle w:val="TextBody"/>
        <w:bidi w:val="0"/>
        <w:spacing w:before="0" w:after="240"/>
        <w:jc w:val="both"/>
        <w:rPr/>
      </w:pPr>
      <w:r>
        <w:rPr>
          <w:color w:val="000000"/>
        </w:rPr>
        <w:t>“</w:t>
      </w:r>
      <w:r>
        <w:rPr>
          <w:rFonts w:ascii="Times New Roman" w:hAnsi="Times New Roman"/>
          <w:color w:val="000000"/>
          <w:sz w:val="24"/>
          <w:u w:val="single"/>
        </w:rPr>
        <w:t>Reserve Account Amount</w:t>
      </w:r>
      <w:r>
        <w:rPr>
          <w:rFonts w:ascii="Times New Roman" w:hAnsi="Times New Roman"/>
          <w:color w:val="000000"/>
          <w:sz w:val="20"/>
        </w:rPr>
        <w:t xml:space="preserve">” </w:t>
      </w:r>
      <w:r>
        <w:rPr>
          <w:rFonts w:ascii="Times New Roman" w:hAnsi="Times New Roman"/>
          <w:color w:val="000000"/>
          <w:sz w:val="24"/>
        </w:rPr>
        <w:t>means on any day, the amount on deposit in the Reserve Account.</w:t>
      </w:r>
    </w:p>
    <w:p>
      <w:pPr>
        <w:pStyle w:val="TextBody"/>
        <w:bidi w:val="0"/>
        <w:spacing w:before="0" w:after="240"/>
        <w:jc w:val="both"/>
        <w:rPr/>
      </w:pPr>
      <w:r>
        <w:rPr>
          <w:color w:val="000000"/>
        </w:rPr>
        <w:t>“</w:t>
      </w:r>
      <w:r>
        <w:rPr>
          <w:rFonts w:ascii="Times New Roman" w:hAnsi="Times New Roman"/>
          <w:color w:val="000000"/>
          <w:sz w:val="24"/>
          <w:u w:val="single"/>
        </w:rPr>
        <w:t>Reserve Account Required Amount</w:t>
      </w:r>
      <w:r>
        <w:rPr>
          <w:rFonts w:ascii="Times New Roman" w:hAnsi="Times New Roman"/>
          <w:color w:val="000000"/>
          <w:sz w:val="20"/>
        </w:rPr>
        <w:t xml:space="preserve">” </w:t>
      </w:r>
      <w:r>
        <w:rPr>
          <w:rFonts w:ascii="Times New Roman" w:hAnsi="Times New Roman"/>
          <w:color w:val="000000"/>
          <w:sz w:val="24"/>
        </w:rPr>
        <w:t>means, on any day, if the Loans Outstanding are (i) $[***], $[***] and (ii) greater than $[***], the greater of (a) $[***] and (b) the product of (1)</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and (2) the highest aggregate Principal Balance of the Receivables included in the Collateral since the later of the Closing Date or the most recent Securitization Date.</w:t>
      </w:r>
    </w:p>
    <w:p>
      <w:pPr>
        <w:pStyle w:val="TextBody"/>
        <w:bidi w:val="0"/>
        <w:spacing w:before="0" w:after="240"/>
        <w:jc w:val="both"/>
        <w:rPr/>
      </w:pPr>
      <w:r>
        <w:rPr>
          <w:color w:val="000000"/>
        </w:rPr>
        <w:t>“</w:t>
      </w:r>
      <w:r>
        <w:rPr>
          <w:rFonts w:ascii="Times New Roman" w:hAnsi="Times New Roman"/>
          <w:color w:val="000000"/>
          <w:sz w:val="24"/>
          <w:u w:val="single"/>
        </w:rPr>
        <w:t>Reserve Account Withdrawal Amount</w:t>
      </w:r>
      <w:r>
        <w:rPr>
          <w:rFonts w:ascii="Times New Roman" w:hAnsi="Times New Roman"/>
          <w:color w:val="000000"/>
          <w:sz w:val="20"/>
        </w:rPr>
        <w:t xml:space="preserve">” </w:t>
      </w:r>
      <w:r>
        <w:rPr>
          <w:rFonts w:ascii="Times New Roman" w:hAnsi="Times New Roman"/>
          <w:color w:val="000000"/>
          <w:sz w:val="24"/>
        </w:rPr>
        <w:t>means, with respect to any Payment Date (i) during the Revolving Period on which an Available Funds Shortfall exists, an amount equal to the lesser of (a) the Reserve Account Amount and (b) the Available Funds Shortfall and (ii) following the occurrence of the Termination Date, the Reserve Account Amount.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Responsible Officer</w:t>
      </w:r>
      <w:r>
        <w:rPr>
          <w:rFonts w:ascii="Times New Roman" w:hAnsi="Times New Roman"/>
          <w:color w:val="000000"/>
          <w:sz w:val="20"/>
        </w:rPr>
        <w:t xml:space="preserve">” </w:t>
      </w:r>
      <w:r>
        <w:rPr>
          <w:rFonts w:ascii="Times New Roman" w:hAnsi="Times New Roman"/>
          <w:color w:val="000000"/>
          <w:sz w:val="24"/>
        </w:rPr>
        <w:t>means, when used with respect to (i) any Person other than the Borrower, any officer of such Person, including any president, vice president, executive vice president, assistant vice president, treasurer, secretary, assistant secretary or any other officer thereof customarily performing functions similar to those performed by the individuals who at the time shall be such officers, respectively, or to whom any matter is referred because of such officer’s knowledge of or familiarity with the particular subject and having direct responsibility for the administration of this Agreement and the other Basic Documents to which such Person is a party, and (ii) the Borrower, any Authorized Representative or officer of the Owner Trustee having direct responsibility for the Owner Trustee’s duties under the Trust Agreement.</w:t>
      </w:r>
    </w:p>
    <w:p>
      <w:pPr>
        <w:pStyle w:val="TextBody"/>
        <w:bidi w:val="0"/>
        <w:spacing w:before="0" w:after="240"/>
        <w:jc w:val="both"/>
        <w:rPr/>
      </w:pPr>
      <w:r>
        <w:rPr>
          <w:color w:val="000000"/>
        </w:rPr>
        <w:t>“</w:t>
      </w:r>
      <w:r>
        <w:rPr>
          <w:rFonts w:ascii="Times New Roman" w:hAnsi="Times New Roman"/>
          <w:color w:val="000000"/>
          <w:sz w:val="24"/>
          <w:u w:val="single"/>
        </w:rPr>
        <w:t>Restatement Closing Date</w:t>
      </w:r>
      <w:r>
        <w:rPr>
          <w:rFonts w:ascii="Times New Roman" w:hAnsi="Times New Roman"/>
          <w:color w:val="000000"/>
          <w:sz w:val="20"/>
        </w:rPr>
        <w:t xml:space="preserve">” </w:t>
      </w:r>
      <w:r>
        <w:rPr>
          <w:rFonts w:ascii="Times New Roman" w:hAnsi="Times New Roman"/>
          <w:color w:val="000000"/>
          <w:sz w:val="24"/>
        </w:rPr>
        <w:t>means August 29, 2025.</w:t>
      </w:r>
    </w:p>
    <w:p>
      <w:pPr>
        <w:pStyle w:val="TextBody"/>
        <w:bidi w:val="0"/>
        <w:spacing w:before="0" w:after="240"/>
        <w:jc w:val="both"/>
        <w:rPr/>
      </w:pPr>
      <w:r>
        <w:rPr>
          <w:color w:val="000000"/>
        </w:rPr>
        <w:t>“</w:t>
      </w:r>
      <w:r>
        <w:rPr>
          <w:rFonts w:ascii="Times New Roman" w:hAnsi="Times New Roman"/>
          <w:color w:val="000000"/>
          <w:sz w:val="24"/>
          <w:u w:val="single"/>
        </w:rPr>
        <w:t>Revolving Period</w:t>
      </w:r>
      <w:r>
        <w:rPr>
          <w:rFonts w:ascii="Times New Roman" w:hAnsi="Times New Roman"/>
          <w:color w:val="000000"/>
          <w:sz w:val="20"/>
        </w:rPr>
        <w:t xml:space="preserve">” </w:t>
      </w:r>
      <w:r>
        <w:rPr>
          <w:rFonts w:ascii="Times New Roman" w:hAnsi="Times New Roman"/>
          <w:color w:val="000000"/>
          <w:sz w:val="24"/>
        </w:rPr>
        <w:t>means the period commencing on the Restatement Closing Date and ending on the earlier to occur of (i) the Commitment Termination Date and (ii) the day immediately preceding the Termination Date.</w:t>
      </w:r>
    </w:p>
    <w:p>
      <w:pPr>
        <w:pStyle w:val="TextBody"/>
        <w:bidi w:val="0"/>
        <w:spacing w:before="0" w:after="240"/>
        <w:jc w:val="both"/>
        <w:rPr/>
      </w:pPr>
      <w:r>
        <w:rPr>
          <w:color w:val="000000"/>
        </w:rPr>
        <w:t>“</w:t>
      </w:r>
      <w:r>
        <w:rPr>
          <w:rFonts w:ascii="Times New Roman" w:hAnsi="Times New Roman"/>
          <w:color w:val="000000"/>
          <w:sz w:val="24"/>
          <w:u w:val="single"/>
        </w:rPr>
        <w:t>Sanctioned Country</w:t>
      </w:r>
      <w:r>
        <w:rPr>
          <w:rFonts w:ascii="Times New Roman" w:hAnsi="Times New Roman"/>
          <w:color w:val="000000"/>
          <w:sz w:val="20"/>
        </w:rPr>
        <w:t xml:space="preserve">” </w:t>
      </w:r>
      <w:r>
        <w:rPr>
          <w:rFonts w:ascii="Times New Roman" w:hAnsi="Times New Roman"/>
          <w:color w:val="000000"/>
          <w:sz w:val="24"/>
        </w:rPr>
        <w:t>means, at any time, a country or territory which is the subject or target of any Sanctions broadly restricting or prohibiting dealings with such country or territory (as of the date of this Agreement, the Sanctioned Countries include the Crimea region of Ukraine and the countries of Cuba, Iran, North Korea and Syria).</w:t>
      </w:r>
    </w:p>
    <w:p>
      <w:pPr>
        <w:pStyle w:val="TextBody"/>
        <w:bidi w:val="0"/>
        <w:spacing w:before="0" w:after="240"/>
        <w:jc w:val="both"/>
        <w:rPr/>
      </w:pPr>
      <w:r>
        <w:rPr>
          <w:color w:val="000000"/>
        </w:rPr>
        <w:t>“</w:t>
      </w:r>
      <w:r>
        <w:rPr>
          <w:rFonts w:ascii="Times New Roman" w:hAnsi="Times New Roman"/>
          <w:color w:val="000000"/>
          <w:sz w:val="24"/>
          <w:u w:val="single"/>
        </w:rPr>
        <w:t>Sanctioned Person</w:t>
      </w:r>
      <w:r>
        <w:rPr>
          <w:rFonts w:ascii="Times New Roman" w:hAnsi="Times New Roman"/>
          <w:color w:val="000000"/>
          <w:sz w:val="20"/>
        </w:rPr>
        <w:t xml:space="preserve">” </w:t>
      </w:r>
      <w:r>
        <w:rPr>
          <w:rFonts w:ascii="Times New Roman" w:hAnsi="Times New Roman"/>
          <w:color w:val="000000"/>
          <w:sz w:val="24"/>
        </w:rPr>
        <w:t>means, at any time, any Person, or Person acting on behalf of any Person, with whom dealings are restricted or prohibited under Sanctions, including (a) any Person named on any Sanctions-related the list of designated Persons maintained by OFAC, the U.S. Department of State, or by the United Nations Security Council, her Majesty’s Treasury of the United Kingdom, the European Union or any EU member state, (b) any Person located, operating under the laws of, organized or resident in, or any Governmental Authority or governmental instrumentality of, a Sanctioned Country or (c) any Person directly or indirectly, in whole or in part, owned by, controlled by, or acting on behalf of any Person described in (a) or (b) above.</w:t>
      </w:r>
    </w:p>
    <w:p>
      <w:pPr>
        <w:pStyle w:val="TextBody"/>
        <w:bidi w:val="0"/>
        <w:spacing w:before="0" w:after="240"/>
        <w:jc w:val="both"/>
        <w:rPr/>
      </w:pPr>
      <w:r>
        <w:rPr>
          <w:color w:val="000000"/>
        </w:rPr>
        <w:t>“</w:t>
      </w:r>
      <w:r>
        <w:rPr>
          <w:rFonts w:ascii="Times New Roman" w:hAnsi="Times New Roman"/>
          <w:color w:val="000000"/>
          <w:sz w:val="24"/>
          <w:u w:val="single"/>
        </w:rPr>
        <w:t>Sanctions</w:t>
      </w:r>
      <w:r>
        <w:rPr>
          <w:rFonts w:ascii="Times New Roman" w:hAnsi="Times New Roman"/>
          <w:color w:val="000000"/>
          <w:sz w:val="20"/>
        </w:rPr>
        <w:t xml:space="preserve">” </w:t>
      </w:r>
      <w:r>
        <w:rPr>
          <w:rFonts w:ascii="Times New Roman" w:hAnsi="Times New Roman"/>
          <w:color w:val="000000"/>
          <w:sz w:val="24"/>
        </w:rPr>
        <w:t>means economic or financial sanctions or trade embargoes imposed, administered or enforced from time to time by (a) the U.S. government, including those administered by OFAC, the U.S. Department of Commerce, or the U.S. Department of State (b) the United Nations Security Council, the European Union or Her Majesty’s Treasury of the United Kingdom, or (c) any other similar sanctions imposed by a governmental body to which the Borrower or Servicer, or any of the Borrower or Servicer’s Subsidiaries and/or Affiliates are subject, as applicable.</w:t>
      </w:r>
    </w:p>
    <w:p>
      <w:pPr>
        <w:pStyle w:val="TextBody"/>
        <w:bidi w:val="0"/>
        <w:spacing w:before="0" w:after="240"/>
        <w:jc w:val="both"/>
        <w:rPr/>
      </w:pPr>
      <w:r>
        <w:rPr>
          <w:color w:val="000000"/>
        </w:rPr>
        <w:t>“</w:t>
      </w:r>
      <w:r>
        <w:rPr>
          <w:rFonts w:ascii="Times New Roman" w:hAnsi="Times New Roman"/>
          <w:color w:val="000000"/>
          <w:sz w:val="24"/>
          <w:u w:val="single"/>
        </w:rPr>
        <w:t>Schedule of Receivables</w:t>
      </w:r>
      <w:r>
        <w:rPr>
          <w:rFonts w:ascii="Times New Roman" w:hAnsi="Times New Roman"/>
          <w:color w:val="000000"/>
          <w:sz w:val="20"/>
        </w:rPr>
        <w:t xml:space="preserve">” </w:t>
      </w:r>
      <w:r>
        <w:rPr>
          <w:rFonts w:ascii="Times New Roman" w:hAnsi="Times New Roman"/>
          <w:color w:val="000000"/>
          <w:sz w:val="24"/>
        </w:rPr>
        <w:t>means the schedule of Receivables attached hereto as Schedule C, as updated from time to time in connection with each Funding Request.</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Scheduled Payments</w:t>
      </w:r>
      <w:r>
        <w:rPr>
          <w:rFonts w:ascii="Times New Roman" w:hAnsi="Times New Roman"/>
          <w:color w:val="000000"/>
          <w:sz w:val="20"/>
        </w:rPr>
        <w:t xml:space="preserve">” </w:t>
      </w:r>
      <w:r>
        <w:rPr>
          <w:rFonts w:ascii="Times New Roman" w:hAnsi="Times New Roman"/>
          <w:color w:val="000000"/>
          <w:sz w:val="24"/>
        </w:rPr>
        <w:t>means regularly scheduled payments to be made by an Obligor pursuant to the terms of the related Contract.</w:t>
      </w:r>
    </w:p>
    <w:p>
      <w:pPr>
        <w:pStyle w:val="TextBody"/>
        <w:bidi w:val="0"/>
        <w:spacing w:before="0" w:after="240"/>
        <w:jc w:val="both"/>
        <w:rPr/>
      </w:pPr>
      <w:r>
        <w:rPr>
          <w:color w:val="000000"/>
        </w:rPr>
        <w:t>“</w:t>
      </w:r>
      <w:r>
        <w:rPr>
          <w:rFonts w:ascii="Times New Roman" w:hAnsi="Times New Roman"/>
          <w:color w:val="000000"/>
          <w:sz w:val="24"/>
          <w:u w:val="single"/>
        </w:rPr>
        <w:t>Secured Party</w:t>
      </w:r>
      <w:r>
        <w:rPr>
          <w:rFonts w:ascii="Times New Roman" w:hAnsi="Times New Roman"/>
          <w:color w:val="000000"/>
          <w:sz w:val="20"/>
        </w:rPr>
        <w:t xml:space="preserve">” </w:t>
      </w:r>
      <w:r>
        <w:rPr>
          <w:rFonts w:ascii="Times New Roman" w:hAnsi="Times New Roman"/>
          <w:color w:val="000000"/>
          <w:sz w:val="24"/>
        </w:rPr>
        <w:t>means (i) the Administrative Agent, (ii) each Lender and (iii) each Hedge Counterparty.</w:t>
      </w:r>
    </w:p>
    <w:p>
      <w:pPr>
        <w:pStyle w:val="TextBody"/>
        <w:bidi w:val="0"/>
        <w:spacing w:before="0" w:after="240"/>
        <w:jc w:val="both"/>
        <w:rPr/>
      </w:pPr>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Securities Act of 1933, as amended.</w:t>
      </w:r>
    </w:p>
    <w:p>
      <w:pPr>
        <w:pStyle w:val="TextBody"/>
        <w:bidi w:val="0"/>
        <w:spacing w:before="0" w:after="240"/>
        <w:jc w:val="left"/>
        <w:rPr/>
      </w:pPr>
      <w:r>
        <w:rPr>
          <w:color w:val="000000"/>
        </w:rPr>
        <w:t>“</w:t>
      </w:r>
      <w:r>
        <w:rPr>
          <w:rFonts w:ascii="Times New Roman" w:hAnsi="Times New Roman"/>
          <w:color w:val="000000"/>
          <w:sz w:val="24"/>
          <w:u w:val="single"/>
        </w:rPr>
        <w:t>Securitization</w:t>
      </w:r>
      <w:r>
        <w:rPr>
          <w:rFonts w:ascii="Times New Roman" w:hAnsi="Times New Roman"/>
          <w:color w:val="000000"/>
          <w:sz w:val="20"/>
        </w:rPr>
        <w:t xml:space="preserve">” </w:t>
      </w:r>
      <w:r>
        <w:rPr>
          <w:rFonts w:ascii="Times New Roman" w:hAnsi="Times New Roman"/>
          <w:color w:val="000000"/>
          <w:sz w:val="24"/>
        </w:rPr>
        <w:t>means any public SEC-registered, Rule 144A or 4(a)(2) private offering of asset-backed term notes or secured loan or similar transaction involving all or a portion of the Collateral, provided, that in each case no adverse selection procedures were used by the Borrower or such Special Purpose Affiliate with respect to such Collateral.</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Securitization Date</w:t>
      </w:r>
      <w:r>
        <w:rPr>
          <w:rFonts w:ascii="Times New Roman" w:hAnsi="Times New Roman"/>
          <w:color w:val="000000"/>
          <w:sz w:val="20"/>
        </w:rPr>
        <w:t xml:space="preserve">” </w:t>
      </w:r>
      <w:r>
        <w:rPr>
          <w:rFonts w:ascii="Times New Roman" w:hAnsi="Times New Roman"/>
          <w:color w:val="000000"/>
          <w:sz w:val="24"/>
        </w:rPr>
        <w:t>means the date upon which a Securitization is consummated.</w:t>
      </w:r>
    </w:p>
    <w:p>
      <w:pPr>
        <w:pStyle w:val="TextBody"/>
        <w:bidi w:val="0"/>
        <w:spacing w:before="0" w:after="240"/>
        <w:jc w:val="both"/>
        <w:rPr/>
      </w:pPr>
      <w:r>
        <w:rPr>
          <w:color w:val="000000"/>
        </w:rPr>
        <w:t>“</w:t>
      </w:r>
      <w:r>
        <w:rPr>
          <w:rFonts w:ascii="Times New Roman" w:hAnsi="Times New Roman"/>
          <w:color w:val="000000"/>
          <w:sz w:val="24"/>
          <w:u w:val="single"/>
        </w:rPr>
        <w:t>Securitization Date Certificate</w:t>
      </w:r>
      <w:r>
        <w:rPr>
          <w:rFonts w:ascii="Times New Roman" w:hAnsi="Times New Roman"/>
          <w:color w:val="000000"/>
          <w:sz w:val="20"/>
        </w:rPr>
        <w:t xml:space="preserve">” </w:t>
      </w:r>
      <w:r>
        <w:rPr>
          <w:rFonts w:ascii="Times New Roman" w:hAnsi="Times New Roman"/>
          <w:color w:val="000000"/>
          <w:sz w:val="24"/>
        </w:rPr>
        <w:t xml:space="preserve">means a certificate, substantially in the form attached as Annex 1 to </w:t>
      </w:r>
      <w:r>
        <w:rPr>
          <w:rFonts w:ascii="Times New Roman" w:hAnsi="Times New Roman"/>
          <w:color w:val="000000"/>
          <w:sz w:val="24"/>
          <w:u w:val="single"/>
        </w:rPr>
        <w:t>Exhibit I</w:t>
      </w:r>
      <w:r>
        <w:rPr>
          <w:rFonts w:ascii="Times New Roman" w:hAnsi="Times New Roman"/>
          <w:color w:val="000000"/>
          <w:sz w:val="20"/>
        </w:rPr>
        <w:t xml:space="preserve"> </w:t>
      </w:r>
      <w:r>
        <w:rPr>
          <w:rFonts w:ascii="Times New Roman" w:hAnsi="Times New Roman"/>
          <w:color w:val="000000"/>
          <w:sz w:val="24"/>
        </w:rPr>
        <w:t>hereto, delivered by an Authorized Officer of the Borrower on a Securitization Date indicating that the requirements set forth in this Agreement for a Securitization have been satisfied.</w:t>
      </w:r>
    </w:p>
    <w:p>
      <w:pPr>
        <w:pStyle w:val="TextBody"/>
        <w:bidi w:val="0"/>
        <w:spacing w:before="0" w:after="240"/>
        <w:jc w:val="both"/>
        <w:rPr/>
      </w:pPr>
      <w:r>
        <w:rPr>
          <w:color w:val="000000"/>
        </w:rPr>
        <w:t>“</w:t>
      </w:r>
      <w:r>
        <w:rPr>
          <w:rFonts w:ascii="Times New Roman" w:hAnsi="Times New Roman"/>
          <w:color w:val="000000"/>
          <w:sz w:val="24"/>
          <w:u w:val="single"/>
        </w:rPr>
        <w:t>Securitization Release</w:t>
      </w:r>
      <w:r>
        <w:rPr>
          <w:rFonts w:ascii="Times New Roman" w:hAnsi="Times New Roman"/>
          <w:color w:val="000000"/>
          <w:sz w:val="20"/>
        </w:rPr>
        <w:t xml:space="preserve">” </w:t>
      </w:r>
      <w:r>
        <w:rPr>
          <w:rFonts w:ascii="Times New Roman" w:hAnsi="Times New Roman"/>
          <w:color w:val="000000"/>
          <w:sz w:val="24"/>
        </w:rPr>
        <w:t xml:space="preserve">means a release executed pursuant to </w:t>
      </w:r>
      <w:r>
        <w:rPr>
          <w:rFonts w:ascii="Times New Roman" w:hAnsi="Times New Roman"/>
          <w:color w:val="000000"/>
          <w:sz w:val="24"/>
          <w:u w:val="single"/>
        </w:rPr>
        <w:t>Section 2.15</w:t>
      </w:r>
      <w:r>
        <w:rPr>
          <w:rFonts w:ascii="Times New Roman" w:hAnsi="Times New Roman"/>
          <w:color w:val="000000"/>
          <w:sz w:val="24"/>
        </w:rPr>
        <w:t xml:space="preserve">, substantially in the form of </w:t>
      </w:r>
      <w:r>
        <w:rPr>
          <w:rFonts w:ascii="Times New Roman" w:hAnsi="Times New Roman"/>
          <w:color w:val="000000"/>
          <w:sz w:val="24"/>
          <w:u w:val="single"/>
        </w:rPr>
        <w:t>Exhibit I</w:t>
      </w:r>
      <w:r>
        <w:rPr>
          <w:rFonts w:ascii="Times New Roman" w:hAnsi="Times New Roman"/>
          <w:color w:val="000000"/>
          <w:sz w:val="20"/>
        </w:rPr>
        <w:t xml:space="preserve"> </w:t>
      </w:r>
      <w:r>
        <w:rPr>
          <w:rFonts w:ascii="Times New Roman" w:hAnsi="Times New Roman"/>
          <w:color w:val="000000"/>
          <w:sz w:val="24"/>
        </w:rPr>
        <w:t>hereto.</w:t>
      </w:r>
    </w:p>
    <w:p>
      <w:pPr>
        <w:pStyle w:val="TextBody"/>
        <w:bidi w:val="0"/>
        <w:spacing w:before="0" w:after="240"/>
        <w:jc w:val="both"/>
        <w:rPr/>
      </w:pPr>
      <w:r>
        <w:rPr>
          <w:color w:val="000000"/>
        </w:rPr>
        <w:t>“</w:t>
      </w:r>
      <w:r>
        <w:rPr>
          <w:rFonts w:ascii="Times New Roman" w:hAnsi="Times New Roman"/>
          <w:color w:val="000000"/>
          <w:sz w:val="24"/>
          <w:u w:val="single"/>
        </w:rPr>
        <w:t>Seller Indemnified Amounts</w:t>
      </w:r>
      <w:r>
        <w:rPr>
          <w:rFonts w:ascii="Times New Roman" w:hAnsi="Times New Roman"/>
          <w:color w:val="000000"/>
          <w:sz w:val="20"/>
        </w:rPr>
        <w:t xml:space="preserve">” </w:t>
      </w:r>
      <w:r>
        <w:rPr>
          <w:rFonts w:ascii="Times New Roman" w:hAnsi="Times New Roman"/>
          <w:color w:val="000000"/>
          <w:sz w:val="24"/>
        </w:rPr>
        <w:t>has the meaning given to such term in Section 5.07 of the Purchase Agreement.</w:t>
      </w:r>
    </w:p>
    <w:p>
      <w:pPr>
        <w:pStyle w:val="TextBody"/>
        <w:bidi w:val="0"/>
        <w:spacing w:before="0" w:after="240"/>
        <w:jc w:val="both"/>
        <w:rPr/>
      </w:pPr>
      <w:r>
        <w:rPr>
          <w:color w:val="000000"/>
        </w:rPr>
        <w:t>“</w:t>
      </w:r>
      <w:r>
        <w:rPr>
          <w:rFonts w:ascii="Times New Roman" w:hAnsi="Times New Roman"/>
          <w:color w:val="000000"/>
          <w:sz w:val="24"/>
          <w:u w:val="single"/>
        </w:rPr>
        <w:t>Seller Indemnified Parties</w:t>
      </w:r>
      <w:r>
        <w:rPr>
          <w:rFonts w:ascii="Times New Roman" w:hAnsi="Times New Roman"/>
          <w:color w:val="000000"/>
          <w:sz w:val="20"/>
        </w:rPr>
        <w:t xml:space="preserve">” </w:t>
      </w:r>
      <w:r>
        <w:rPr>
          <w:rFonts w:ascii="Times New Roman" w:hAnsi="Times New Roman"/>
          <w:color w:val="000000"/>
          <w:sz w:val="24"/>
        </w:rPr>
        <w:t>has the meaning given to such term in Section 5.07 of the Purchase Agreement.</w:t>
      </w:r>
    </w:p>
    <w:p>
      <w:pPr>
        <w:pStyle w:val="TextBody"/>
        <w:bidi w:val="0"/>
        <w:spacing w:before="0" w:after="240"/>
        <w:jc w:val="both"/>
        <w:rPr/>
      </w:pPr>
      <w:r>
        <w:rPr>
          <w:color w:val="000000"/>
        </w:rPr>
        <w:t>“</w:t>
      </w:r>
      <w:r>
        <w:rPr>
          <w:rFonts w:ascii="Times New Roman" w:hAnsi="Times New Roman"/>
          <w:color w:val="000000"/>
          <w:sz w:val="24"/>
          <w:u w:val="single"/>
        </w:rPr>
        <w:t>Senior Secured Delayed Draw Convertible Note due 2032</w:t>
      </w:r>
      <w:r>
        <w:rPr>
          <w:rFonts w:ascii="Times New Roman" w:hAnsi="Times New Roman"/>
          <w:color w:val="000000"/>
          <w:sz w:val="20"/>
        </w:rPr>
        <w:t xml:space="preserve">” </w:t>
      </w:r>
      <w:r>
        <w:rPr>
          <w:rFonts w:ascii="Times New Roman" w:hAnsi="Times New Roman"/>
          <w:color w:val="000000"/>
          <w:sz w:val="24"/>
        </w:rPr>
        <w:t>means that certain senior secured delayed draw convertible note provided [***], to Vroom, Inc., and UACC pursuant to that certain Loan and Security Agreement dated as of May 15, 2026 with undrawn availability of $10,000,000 as of the Amendment No. 10 Closing Date.</w:t>
      </w:r>
    </w:p>
    <w:p>
      <w:pPr>
        <w:pStyle w:val="TextBody"/>
        <w:bidi w:val="0"/>
        <w:spacing w:before="0" w:after="240"/>
        <w:jc w:val="both"/>
        <w:rPr/>
      </w:pPr>
      <w:r>
        <w:rPr>
          <w:color w:val="000000"/>
        </w:rPr>
        <w:t>“</w:t>
      </w:r>
      <w:r>
        <w:rPr>
          <w:rFonts w:ascii="Times New Roman" w:hAnsi="Times New Roman"/>
          <w:color w:val="000000"/>
          <w:sz w:val="24"/>
          <w:u w:val="single"/>
        </w:rPr>
        <w:t>Serviced Portfolio</w:t>
      </w:r>
      <w:r>
        <w:rPr>
          <w:rFonts w:ascii="Times New Roman" w:hAnsi="Times New Roman"/>
          <w:color w:val="000000"/>
          <w:sz w:val="20"/>
        </w:rPr>
        <w:t xml:space="preserve">” </w:t>
      </w:r>
      <w:r>
        <w:rPr>
          <w:rFonts w:ascii="Times New Roman" w:hAnsi="Times New Roman"/>
          <w:color w:val="000000"/>
          <w:sz w:val="24"/>
        </w:rPr>
        <w:t>means all motor vehicle receivables that have been originated or purchased by UACC or an Affiliate thereof and are serviced by UACC or an Affiliate thereof, including motor vehicle receivables that have been securitized in a transaction for which UACC, the Borrower or any of their respective Affiliates is the sponsor.</w:t>
      </w:r>
    </w:p>
    <w:p>
      <w:pPr>
        <w:pStyle w:val="TextBody"/>
        <w:bidi w:val="0"/>
        <w:spacing w:before="0" w:after="240"/>
        <w:jc w:val="both"/>
        <w:rPr/>
      </w:pPr>
      <w:r>
        <w:rPr>
          <w:color w:val="000000"/>
        </w:rPr>
        <w:t>“</w:t>
      </w:r>
      <w:r>
        <w:rPr>
          <w:rFonts w:ascii="Times New Roman" w:hAnsi="Times New Roman"/>
          <w:color w:val="000000"/>
          <w:sz w:val="24"/>
          <w:u w:val="single"/>
        </w:rPr>
        <w:t>Serviced Portfolio Annualized Default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product of (i) 12 and (ii) the percentage equivalent of a fraction, (a) the numerator of which equals the aggregate Principal Balance of all Serviced Portfolio Receivables that became Serviced Portfolio Defaulted Receivables during such Collection Period and (b) the denominator of which equals the aggregate Principal Balance of all Serviced Portfolio Receivables as of the related Determination Date.</w:t>
      </w:r>
    </w:p>
    <w:p>
      <w:pPr>
        <w:pStyle w:val="TextBody"/>
        <w:bidi w:val="0"/>
        <w:spacing w:before="0" w:after="240"/>
        <w:jc w:val="both"/>
        <w:rPr/>
      </w:pPr>
      <w:r>
        <w:rPr>
          <w:color w:val="000000"/>
        </w:rPr>
        <w:t>“</w:t>
      </w:r>
      <w:r>
        <w:rPr>
          <w:rFonts w:ascii="Times New Roman" w:hAnsi="Times New Roman"/>
          <w:color w:val="000000"/>
          <w:sz w:val="24"/>
          <w:u w:val="single"/>
        </w:rPr>
        <w:t>Serviced Portfolio Annualized Net Loss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product of (i) 12 and (ii) the percentage equivalent of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fraction, (a) the numerator of which equals the aggregate Serviced Portfolio Net Losses for such Collection Period and (b) the denominator of which equals the aggregate Principal Balance of all Serviced Portfolio Receivables as of the related Determination Date.</w:t>
      </w:r>
    </w:p>
    <w:p>
      <w:pPr>
        <w:pStyle w:val="TextBody"/>
        <w:bidi w:val="0"/>
        <w:spacing w:before="0" w:after="240"/>
        <w:jc w:val="both"/>
        <w:rPr/>
      </w:pPr>
      <w:r>
        <w:rPr>
          <w:color w:val="000000"/>
        </w:rPr>
        <w:t>“</w:t>
      </w:r>
      <w:r>
        <w:rPr>
          <w:rFonts w:ascii="Times New Roman" w:hAnsi="Times New Roman"/>
          <w:color w:val="000000"/>
          <w:sz w:val="24"/>
          <w:u w:val="single"/>
        </w:rPr>
        <w:t>Serviced Portfolio Defaulted Receivable</w:t>
      </w:r>
      <w:r>
        <w:rPr>
          <w:rFonts w:ascii="Times New Roman" w:hAnsi="Times New Roman"/>
          <w:color w:val="000000"/>
          <w:sz w:val="20"/>
        </w:rPr>
        <w:t xml:space="preserve">” </w:t>
      </w:r>
      <w:r>
        <w:rPr>
          <w:rFonts w:ascii="Times New Roman" w:hAnsi="Times New Roman"/>
          <w:color w:val="000000"/>
          <w:sz w:val="24"/>
        </w:rPr>
        <w:t>means any Serviced Portfolio Receivable (i) with respect to which more than [***]% of any scheduled monthly payment remains unpaid for more than 120 days after the related due date as of any Determination Date, (ii) with respect to which 90 days have elapsed since the related Financed Vehicle was repossessed and any applicable redemption period has expired or (iii) that is a Charged-off Receivable.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Serviced Portfolio Delinquency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percentage equivalent of a fraction, (i) the numerator of which equals the aggregate Principal Balance of all Serviced Portfolio Delinquent Receivables as of the last day of such Collection Period and (ii) the denominator of which equals the aggregate Principal Balance of all Serviced Portfolio Receivables as of such last day.</w:t>
      </w:r>
    </w:p>
    <w:p>
      <w:pPr>
        <w:pStyle w:val="TextBody"/>
        <w:bidi w:val="0"/>
        <w:spacing w:before="0" w:after="240"/>
        <w:jc w:val="both"/>
        <w:rPr/>
      </w:pPr>
      <w:r>
        <w:rPr>
          <w:color w:val="000000"/>
        </w:rPr>
        <w:t>“</w:t>
      </w:r>
      <w:r>
        <w:rPr>
          <w:rFonts w:ascii="Times New Roman" w:hAnsi="Times New Roman"/>
          <w:color w:val="000000"/>
          <w:sz w:val="24"/>
          <w:u w:val="single"/>
        </w:rPr>
        <w:t>Serviced Portfolio Delinquent Receivable</w:t>
      </w:r>
      <w:r>
        <w:rPr>
          <w:rFonts w:ascii="Times New Roman" w:hAnsi="Times New Roman"/>
          <w:color w:val="000000"/>
          <w:sz w:val="20"/>
        </w:rPr>
        <w:t xml:space="preserve">” </w:t>
      </w:r>
      <w:r>
        <w:rPr>
          <w:rFonts w:ascii="Times New Roman" w:hAnsi="Times New Roman"/>
          <w:color w:val="000000"/>
          <w:sz w:val="24"/>
        </w:rPr>
        <w:t>means any Serviced Portfolio Receivable (i) in respect of which more than [***]% of any scheduled monthly payment remains unpaid for more than 60 days after the related due date as of any Determination Date, (ii) that is not a Serviced Portfolio Defaulted Receivable and (iii) that is not a Receivable for which the related vehicle has been repossessed.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Serviced Portfolio Extended Receivable</w:t>
      </w:r>
      <w:r>
        <w:rPr>
          <w:rFonts w:ascii="Times New Roman" w:hAnsi="Times New Roman"/>
          <w:color w:val="000000"/>
          <w:sz w:val="20"/>
        </w:rPr>
        <w:t xml:space="preserve">” </w:t>
      </w:r>
      <w:r>
        <w:rPr>
          <w:rFonts w:ascii="Times New Roman" w:hAnsi="Times New Roman"/>
          <w:color w:val="000000"/>
          <w:sz w:val="24"/>
        </w:rPr>
        <w:t>means any Serviced Portfolio Receivable for which an extension or payment deferment was made (or is in effect) pursuant to the Credit and Collection Policy.</w:t>
      </w:r>
    </w:p>
    <w:p>
      <w:pPr>
        <w:pStyle w:val="TextBody"/>
        <w:bidi w:val="0"/>
        <w:spacing w:before="0" w:after="240"/>
        <w:jc w:val="both"/>
        <w:rPr/>
      </w:pPr>
      <w:r>
        <w:rPr>
          <w:color w:val="000000"/>
        </w:rPr>
        <w:t>“</w:t>
      </w:r>
      <w:r>
        <w:rPr>
          <w:rFonts w:ascii="Times New Roman" w:hAnsi="Times New Roman"/>
          <w:color w:val="000000"/>
          <w:sz w:val="24"/>
          <w:u w:val="single"/>
        </w:rPr>
        <w:t>Serviced Portfolio Extension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percentage equivalent of a fraction, (i) the numerator of which equals the aggregate Principal Balance of all Serviced Portfolio Receivables that were Serviced Portfolio Extended Receivables during such Collection Period and (ii) the denominator of which equals the daily average aggregate Principal Balance of all Serviced Portfolio Receivables during such Collection Period.</w:t>
      </w:r>
    </w:p>
    <w:p>
      <w:pPr>
        <w:pStyle w:val="TextBody"/>
        <w:bidi w:val="0"/>
        <w:spacing w:before="0" w:after="240"/>
        <w:jc w:val="both"/>
        <w:rPr/>
      </w:pPr>
      <w:r>
        <w:rPr>
          <w:color w:val="000000"/>
        </w:rPr>
        <w:t>“</w:t>
      </w:r>
      <w:r>
        <w:rPr>
          <w:rFonts w:ascii="Times New Roman" w:hAnsi="Times New Roman"/>
          <w:color w:val="000000"/>
          <w:sz w:val="24"/>
          <w:u w:val="single"/>
        </w:rPr>
        <w:t>Serviced Portfolio Net Loss</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an amount equal to (i) the aggregate Principal Balance of all Serviced Portfolio Receivables that first became Serviced Portfolio Defaulted Receivables during such Collection Period minus (ii) all Serviced Portfolio Recoveries received by the Servicer during such Collection Period.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Serviced Portfolio Receivable</w:t>
      </w:r>
      <w:r>
        <w:rPr>
          <w:rFonts w:ascii="Times New Roman" w:hAnsi="Times New Roman"/>
          <w:color w:val="000000"/>
          <w:sz w:val="20"/>
        </w:rPr>
        <w:t xml:space="preserve">” </w:t>
      </w:r>
      <w:r>
        <w:rPr>
          <w:rFonts w:ascii="Times New Roman" w:hAnsi="Times New Roman"/>
          <w:color w:val="000000"/>
          <w:sz w:val="24"/>
        </w:rPr>
        <w:t>means any motor vehicle receivable included in the Serviced Portfolio.</w:t>
      </w:r>
    </w:p>
    <w:p>
      <w:pPr>
        <w:pStyle w:val="TextBody"/>
        <w:bidi w:val="0"/>
        <w:spacing w:before="0" w:after="240"/>
        <w:jc w:val="both"/>
        <w:rPr/>
      </w:pPr>
      <w:r>
        <w:rPr>
          <w:color w:val="000000"/>
        </w:rPr>
        <w:t>“</w:t>
      </w:r>
      <w:r>
        <w:rPr>
          <w:rFonts w:ascii="Times New Roman" w:hAnsi="Times New Roman"/>
          <w:color w:val="000000"/>
          <w:sz w:val="24"/>
          <w:u w:val="single"/>
        </w:rPr>
        <w:t>Serviced Portfolio Recoveries</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all monies collected from whatever source during such Collection Period in respect of such Serviced Portfolio Defaulted Receivables, including insurance proceeds, net of any amounts required by Applicable Law to be remitted to the related Obligor and net of the Servicer’s expenses (other than overhead) incurred in connection with the liquidation of such Serviced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Portfolio Defaulted Receivables and the related Financed Vehicles, to the extent not previously reimbursed to the Servicer.</w:t>
      </w:r>
    </w:p>
    <w:p>
      <w:pPr>
        <w:pStyle w:val="TextBody"/>
        <w:bidi w:val="0"/>
        <w:spacing w:before="0" w:after="240"/>
        <w:jc w:val="both"/>
        <w:rPr/>
      </w:pPr>
      <w:r>
        <w:rPr>
          <w:color w:val="000000"/>
        </w:rPr>
        <w:t>“</w:t>
      </w:r>
      <w:r>
        <w:rPr>
          <w:rFonts w:ascii="Times New Roman" w:hAnsi="Times New Roman"/>
          <w:color w:val="000000"/>
          <w:sz w:val="24"/>
          <w:u w:val="single"/>
        </w:rPr>
        <w:t>Servicer</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Servicer Basic Documents</w:t>
      </w:r>
      <w:r>
        <w:rPr>
          <w:rFonts w:ascii="Times New Roman" w:hAnsi="Times New Roman"/>
          <w:color w:val="000000"/>
          <w:sz w:val="20"/>
        </w:rPr>
        <w:t xml:space="preserve">” </w:t>
      </w:r>
      <w:r>
        <w:rPr>
          <w:rFonts w:ascii="Times New Roman" w:hAnsi="Times New Roman"/>
          <w:color w:val="000000"/>
          <w:sz w:val="24"/>
        </w:rPr>
        <w:t>means all Basic Documents to which the Servicer is a party or by which it is bound.</w:t>
      </w:r>
    </w:p>
    <w:p>
      <w:pPr>
        <w:pStyle w:val="TextBody"/>
        <w:bidi w:val="0"/>
        <w:spacing w:before="0" w:after="240"/>
        <w:jc w:val="both"/>
        <w:rPr/>
      </w:pPr>
      <w:r>
        <w:rPr>
          <w:color w:val="000000"/>
        </w:rPr>
        <w:t>“</w:t>
      </w:r>
      <w:r>
        <w:rPr>
          <w:rFonts w:ascii="Times New Roman" w:hAnsi="Times New Roman"/>
          <w:color w:val="000000"/>
          <w:sz w:val="24"/>
          <w:u w:val="single"/>
        </w:rPr>
        <w:t>Servicer File</w:t>
      </w:r>
      <w:r>
        <w:rPr>
          <w:rFonts w:ascii="Times New Roman" w:hAnsi="Times New Roman"/>
          <w:color w:val="000000"/>
          <w:sz w:val="20"/>
        </w:rPr>
        <w:t xml:space="preserve">” </w:t>
      </w:r>
      <w:r>
        <w:rPr>
          <w:rFonts w:ascii="Times New Roman" w:hAnsi="Times New Roman"/>
          <w:color w:val="000000"/>
          <w:sz w:val="24"/>
        </w:rPr>
        <w:t>means, with respect to a Receivable, each of the following documents: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b/>
          <w:color w:val="000000"/>
          <w:sz w:val="24"/>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Servicer Termination Event</w:t>
      </w:r>
      <w:r>
        <w:rPr>
          <w:rFonts w:ascii="Times New Roman" w:hAnsi="Times New Roman"/>
          <w:color w:val="000000"/>
          <w:sz w:val="20"/>
        </w:rPr>
        <w:t xml:space="preserve">” </w:t>
      </w:r>
      <w:r>
        <w:rPr>
          <w:rFonts w:ascii="Times New Roman" w:hAnsi="Times New Roman"/>
          <w:color w:val="000000"/>
          <w:sz w:val="24"/>
        </w:rPr>
        <w:t>has the meaning given to such term in Section 7.14.</w:t>
      </w:r>
    </w:p>
    <w:p>
      <w:pPr>
        <w:pStyle w:val="TextBody"/>
        <w:bidi w:val="0"/>
        <w:spacing w:before="0" w:after="240"/>
        <w:jc w:val="both"/>
        <w:rPr/>
      </w:pPr>
      <w:r>
        <w:rPr>
          <w:color w:val="000000"/>
        </w:rPr>
        <w:t>“</w:t>
      </w:r>
      <w:r>
        <w:rPr>
          <w:rFonts w:ascii="Times New Roman" w:hAnsi="Times New Roman"/>
          <w:color w:val="000000"/>
          <w:sz w:val="24"/>
          <w:u w:val="single"/>
        </w:rPr>
        <w:t>Servicer Termination Notice</w:t>
      </w:r>
      <w:r>
        <w:rPr>
          <w:rFonts w:ascii="Times New Roman" w:hAnsi="Times New Roman"/>
          <w:color w:val="000000"/>
          <w:sz w:val="20"/>
        </w:rPr>
        <w:t xml:space="preserve">” </w:t>
      </w:r>
      <w:r>
        <w:rPr>
          <w:rFonts w:ascii="Times New Roman" w:hAnsi="Times New Roman"/>
          <w:color w:val="000000"/>
          <w:sz w:val="24"/>
        </w:rPr>
        <w:t>has the meaning given to such term in Section 7.14.</w:t>
      </w:r>
    </w:p>
    <w:p>
      <w:pPr>
        <w:pStyle w:val="TextBody"/>
        <w:bidi w:val="0"/>
        <w:spacing w:before="0" w:after="240"/>
        <w:jc w:val="both"/>
        <w:rPr/>
      </w:pPr>
      <w:r>
        <w:rPr>
          <w:color w:val="000000"/>
        </w:rPr>
        <w:t>“</w:t>
      </w:r>
      <w:r>
        <w:rPr>
          <w:rFonts w:ascii="Times New Roman" w:hAnsi="Times New Roman"/>
          <w:color w:val="000000"/>
          <w:sz w:val="24"/>
          <w:u w:val="single"/>
        </w:rPr>
        <w:t>Servicing Fee</w:t>
      </w:r>
      <w:r>
        <w:rPr>
          <w:rFonts w:ascii="Times New Roman" w:hAnsi="Times New Roman"/>
          <w:color w:val="000000"/>
          <w:sz w:val="20"/>
        </w:rPr>
        <w:t xml:space="preserve">” </w:t>
      </w:r>
      <w:r>
        <w:rPr>
          <w:rFonts w:ascii="Times New Roman" w:hAnsi="Times New Roman"/>
          <w:color w:val="000000"/>
          <w:sz w:val="24"/>
        </w:rPr>
        <w:t>means the fee payable to the Servicer on each Payment Date in accordance with Section 2.12(b) in an amount equal to the product of (i) one-twelfth, (ii) the Servicing Fee Rate and (iii) the daily average aggregate Principal Balance of the Receivables during the related Collection Period; provided, that if UACC is no longer the Servicer, the “Servicing Fee” shall be adjusted by the Administrative Agent at the request of the Servicer to reflect the then market rates for the servicing of motor vehicles receivables similar to the Receivables.</w:t>
      </w:r>
    </w:p>
    <w:p>
      <w:pPr>
        <w:pStyle w:val="TextBody"/>
        <w:bidi w:val="0"/>
        <w:spacing w:before="0" w:after="240"/>
        <w:jc w:val="both"/>
        <w:rPr/>
      </w:pPr>
      <w:r>
        <w:rPr>
          <w:color w:val="000000"/>
        </w:rPr>
        <w:t>“</w:t>
      </w:r>
      <w:r>
        <w:rPr>
          <w:rFonts w:ascii="Times New Roman" w:hAnsi="Times New Roman"/>
          <w:color w:val="000000"/>
          <w:sz w:val="24"/>
          <w:u w:val="single"/>
        </w:rPr>
        <w:t>Servicing Fee Rate</w:t>
      </w:r>
      <w:r>
        <w:rPr>
          <w:rFonts w:ascii="Times New Roman" w:hAnsi="Times New Roman"/>
          <w:color w:val="000000"/>
          <w:sz w:val="20"/>
        </w:rPr>
        <w:t xml:space="preserve">” </w:t>
      </w:r>
      <w:r>
        <w:rPr>
          <w:rFonts w:ascii="Times New Roman" w:hAnsi="Times New Roman"/>
          <w:color w:val="000000"/>
          <w:sz w:val="24"/>
        </w:rPr>
        <w:t>means [***]% per annum.</w:t>
      </w:r>
    </w:p>
    <w:p>
      <w:pPr>
        <w:pStyle w:val="TextBody"/>
        <w:bidi w:val="0"/>
        <w:spacing w:before="0" w:after="240"/>
        <w:jc w:val="both"/>
        <w:rPr/>
      </w:pPr>
      <w:r>
        <w:rPr>
          <w:color w:val="000000"/>
        </w:rPr>
        <w:t>“</w:t>
      </w:r>
      <w:r>
        <w:rPr>
          <w:rFonts w:ascii="Times New Roman" w:hAnsi="Times New Roman"/>
          <w:color w:val="000000"/>
          <w:sz w:val="24"/>
          <w:u w:val="single"/>
        </w:rPr>
        <w:t>Short-Term Rating Requirement</w:t>
      </w:r>
      <w:r>
        <w:rPr>
          <w:rFonts w:ascii="Times New Roman" w:hAnsi="Times New Roman"/>
          <w:color w:val="000000"/>
          <w:sz w:val="20"/>
        </w:rPr>
        <w:t xml:space="preserve">” </w:t>
      </w:r>
      <w:r>
        <w:rPr>
          <w:rFonts w:ascii="Times New Roman" w:hAnsi="Times New Roman"/>
          <w:color w:val="000000"/>
          <w:sz w:val="24"/>
        </w:rPr>
        <w:t>means, with respect to any Person, that such Person has a short-term unsecured debt rating of not less than A</w:t>
        <w:noBreakHyphen/>
        <w:t>1 by Standard &amp; Poor’s and not less than Prime</w:t>
        <w:noBreakHyphen/>
        <w:t>1 by Moody’s.</w:t>
      </w:r>
    </w:p>
    <w:p>
      <w:pPr>
        <w:pStyle w:val="TextBody"/>
        <w:bidi w:val="0"/>
        <w:spacing w:before="0" w:after="240"/>
        <w:jc w:val="both"/>
        <w:rPr/>
      </w:pPr>
      <w:r>
        <w:rPr>
          <w:color w:val="000000"/>
        </w:rPr>
        <w:t>“</w:t>
      </w:r>
      <w:r>
        <w:rPr>
          <w:rFonts w:ascii="Times New Roman" w:hAnsi="Times New Roman"/>
          <w:color w:val="000000"/>
          <w:sz w:val="24"/>
          <w:u w:val="single"/>
        </w:rPr>
        <w:t>Simple Interest Contract</w:t>
      </w:r>
      <w:r>
        <w:rPr>
          <w:rFonts w:ascii="Times New Roman" w:hAnsi="Times New Roman"/>
          <w:color w:val="000000"/>
          <w:sz w:val="20"/>
        </w:rPr>
        <w:t xml:space="preserve">” </w:t>
      </w:r>
      <w:r>
        <w:rPr>
          <w:rFonts w:ascii="Times New Roman" w:hAnsi="Times New Roman"/>
          <w:color w:val="000000"/>
          <w:sz w:val="24"/>
        </w:rPr>
        <w:t>means any Contract under which the portion of a payment allocable to interest and the portion allocable to principal are determined in accordance with the Simple Interest Method.</w:t>
      </w:r>
    </w:p>
    <w:p>
      <w:pPr>
        <w:pStyle w:val="TextBody"/>
        <w:bidi w:val="0"/>
        <w:spacing w:before="0" w:after="240"/>
        <w:jc w:val="both"/>
        <w:rPr/>
      </w:pPr>
      <w:r>
        <w:rPr>
          <w:color w:val="000000"/>
        </w:rPr>
        <w:t>“</w:t>
      </w:r>
      <w:r>
        <w:rPr>
          <w:rFonts w:ascii="Times New Roman" w:hAnsi="Times New Roman"/>
          <w:color w:val="000000"/>
          <w:sz w:val="24"/>
          <w:u w:val="single"/>
        </w:rPr>
        <w:t>Simple Interest Method</w:t>
      </w:r>
      <w:r>
        <w:rPr>
          <w:rFonts w:ascii="Times New Roman" w:hAnsi="Times New Roman"/>
          <w:color w:val="000000"/>
          <w:sz w:val="20"/>
        </w:rPr>
        <w:t xml:space="preserve">” </w:t>
      </w:r>
      <w:r>
        <w:rPr>
          <w:rFonts w:ascii="Times New Roman" w:hAnsi="Times New Roman"/>
          <w:color w:val="000000"/>
          <w:sz w:val="24"/>
        </w:rPr>
        <w:t>means the method of allocating a fixed level payment to principal and interest, pursuant to which the portion of such payment that is allocated to interest is equal to the product of the fixed rate of interest multiplied by the unpaid principal balance multiplied by the period of time elapsed since the preceding payment of interest was made.</w:t>
      </w:r>
    </w:p>
    <w:p>
      <w:pPr>
        <w:pStyle w:val="TextBody"/>
        <w:bidi w:val="0"/>
        <w:spacing w:before="0" w:after="240"/>
        <w:jc w:val="both"/>
        <w:rPr/>
      </w:pPr>
      <w:r>
        <w:rPr>
          <w:color w:val="000000"/>
        </w:rPr>
        <w:t>“</w:t>
      </w:r>
      <w:r>
        <w:rPr>
          <w:rFonts w:ascii="Times New Roman" w:hAnsi="Times New Roman"/>
          <w:color w:val="000000"/>
          <w:sz w:val="24"/>
          <w:u w:val="single"/>
        </w:rPr>
        <w:t>SOFR</w:t>
      </w:r>
      <w:r>
        <w:rPr>
          <w:rFonts w:ascii="Times New Roman" w:hAnsi="Times New Roman"/>
          <w:color w:val="000000"/>
          <w:sz w:val="20"/>
        </w:rPr>
        <w:t xml:space="preserve">” </w:t>
      </w:r>
      <w:r>
        <w:rPr>
          <w:rFonts w:ascii="Times New Roman" w:hAnsi="Times New Roman"/>
          <w:color w:val="000000"/>
          <w:sz w:val="24"/>
        </w:rPr>
        <w:t>means a rate equal to the secured overnight financing rate as administered by the SOFR Administrator.</w:t>
      </w:r>
    </w:p>
    <w:p>
      <w:pPr>
        <w:pStyle w:val="TextBody"/>
        <w:bidi w:val="0"/>
        <w:spacing w:before="0" w:after="240"/>
        <w:jc w:val="both"/>
        <w:rPr/>
      </w:pPr>
      <w:r>
        <w:rPr>
          <w:color w:val="000000"/>
        </w:rPr>
        <w:t>“</w:t>
      </w:r>
      <w:r>
        <w:rPr>
          <w:rFonts w:ascii="Times New Roman" w:hAnsi="Times New Roman"/>
          <w:color w:val="000000"/>
          <w:sz w:val="24"/>
          <w:u w:val="single"/>
        </w:rPr>
        <w:t>SOFR Administrator</w:t>
      </w:r>
      <w:r>
        <w:rPr>
          <w:rFonts w:ascii="Times New Roman" w:hAnsi="Times New Roman"/>
          <w:color w:val="000000"/>
          <w:sz w:val="20"/>
        </w:rPr>
        <w:t xml:space="preserve">” </w:t>
      </w:r>
      <w:r>
        <w:rPr>
          <w:rFonts w:ascii="Times New Roman" w:hAnsi="Times New Roman"/>
          <w:color w:val="000000"/>
          <w:sz w:val="24"/>
        </w:rPr>
        <w:t>means the CME Group Benchmark Administration Limited (CBA) (or any successor administrator of the Term SOFR Reference Rate).</w:t>
      </w:r>
    </w:p>
    <w:p>
      <w:pPr>
        <w:pStyle w:val="TextBody"/>
        <w:bidi w:val="0"/>
        <w:spacing w:before="0" w:after="240"/>
        <w:jc w:val="both"/>
        <w:rPr/>
      </w:pPr>
      <w:r>
        <w:rPr>
          <w:color w:val="000000"/>
        </w:rPr>
        <w:t>“</w:t>
      </w:r>
      <w:r>
        <w:rPr>
          <w:rFonts w:ascii="Times New Roman" w:hAnsi="Times New Roman"/>
          <w:color w:val="000000"/>
          <w:sz w:val="24"/>
          <w:u w:val="single"/>
        </w:rPr>
        <w:t>Solvent</w:t>
      </w:r>
      <w:r>
        <w:rPr>
          <w:rFonts w:ascii="Times New Roman" w:hAnsi="Times New Roman"/>
          <w:color w:val="000000"/>
          <w:sz w:val="20"/>
        </w:rPr>
        <w:t xml:space="preserve">” </w:t>
      </w:r>
      <w:r>
        <w:rPr>
          <w:rFonts w:ascii="Times New Roman" w:hAnsi="Times New Roman"/>
          <w:color w:val="000000"/>
          <w:sz w:val="24"/>
        </w:rPr>
        <w:t>means, with respect to any Person at any time, having a state of affairs such that (i) the fair value of the property owned by such Person is greater than the amount of such Person’s liabilities (including disputed, contingent and unliquidated liabilities) as such value is established and liabilities evaluated for purposes of Section 101(32) of the Bankruptcy Code; (ii) the present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fair salable value of the property owned by such Person in an orderly liquidation of such Person is not less than the amount that will be required to pay the probable liability of such Person on its debts as they become absolute and matured; (iii) such Person is able to realize upon its property and pay its debts and other liabilities (including disputed, contingent and unliquidated liabilities) as they</w:t>
      </w:r>
      <w:r>
        <w:rPr>
          <w:rFonts w:ascii="Times New Roman" w:hAnsi="Times New Roman"/>
          <w:color w:val="000000"/>
          <w:sz w:val="20"/>
        </w:rPr>
        <w:t xml:space="preserve"> </w:t>
      </w:r>
      <w:r>
        <w:rPr>
          <w:rFonts w:ascii="Times New Roman" w:hAnsi="Times New Roman"/>
          <w:color w:val="000000"/>
          <w:sz w:val="24"/>
        </w:rPr>
        <w:t>mature in the normal course of</w:t>
      </w:r>
      <w:r>
        <w:rPr>
          <w:rFonts w:ascii="Times New Roman" w:hAnsi="Times New Roman"/>
          <w:color w:val="000000"/>
          <w:sz w:val="20"/>
        </w:rPr>
        <w:t xml:space="preserve"> </w:t>
      </w:r>
      <w:r>
        <w:rPr>
          <w:rFonts w:ascii="Times New Roman" w:hAnsi="Times New Roman"/>
          <w:color w:val="000000"/>
          <w:sz w:val="24"/>
        </w:rPr>
        <w:t>business; (iv) such Person does not intend to, and does not believe that it will, incur debts or liabilities beyond such Person’s ability</w:t>
      </w:r>
      <w:r>
        <w:rPr>
          <w:rFonts w:ascii="Times New Roman" w:hAnsi="Times New Roman"/>
          <w:color w:val="000000"/>
          <w:sz w:val="20"/>
        </w:rPr>
        <w:t xml:space="preserve"> </w:t>
      </w:r>
      <w:r>
        <w:rPr>
          <w:rFonts w:ascii="Times New Roman" w:hAnsi="Times New Roman"/>
          <w:color w:val="000000"/>
          <w:sz w:val="24"/>
        </w:rPr>
        <w:t>to pay as such debts and liabilities</w:t>
      </w:r>
      <w:r>
        <w:rPr>
          <w:rFonts w:ascii="Times New Roman" w:hAnsi="Times New Roman"/>
          <w:color w:val="000000"/>
          <w:sz w:val="20"/>
        </w:rPr>
        <w:t xml:space="preserve"> </w:t>
      </w:r>
      <w:r>
        <w:rPr>
          <w:rFonts w:ascii="Times New Roman" w:hAnsi="Times New Roman"/>
          <w:color w:val="000000"/>
          <w:sz w:val="24"/>
        </w:rPr>
        <w:t>mature; and (v) such Person is</w:t>
      </w:r>
      <w:r>
        <w:rPr>
          <w:rFonts w:ascii="Times New Roman" w:hAnsi="Times New Roman"/>
          <w:color w:val="000000"/>
          <w:sz w:val="20"/>
        </w:rPr>
        <w:t xml:space="preserve"> </w:t>
      </w:r>
      <w:r>
        <w:rPr>
          <w:rFonts w:ascii="Times New Roman" w:hAnsi="Times New Roman"/>
          <w:color w:val="000000"/>
          <w:sz w:val="24"/>
        </w:rPr>
        <w:t>not engaged in business or a transaction, and is not about to engage in a business or a transaction, for which such Person’s property would constitute unreasonably small capital.</w:t>
      </w:r>
    </w:p>
    <w:p>
      <w:pPr>
        <w:pStyle w:val="TextBody"/>
        <w:bidi w:val="0"/>
        <w:spacing w:before="0" w:after="240"/>
        <w:jc w:val="both"/>
        <w:rPr/>
      </w:pPr>
      <w:r>
        <w:rPr>
          <w:color w:val="000000"/>
        </w:rPr>
        <w:t>“</w:t>
      </w:r>
      <w:r>
        <w:rPr>
          <w:rFonts w:ascii="Times New Roman" w:hAnsi="Times New Roman"/>
          <w:color w:val="000000"/>
          <w:sz w:val="24"/>
          <w:u w:val="single"/>
        </w:rPr>
        <w:t>Special Purpose Affiliate</w:t>
      </w:r>
      <w:r>
        <w:rPr>
          <w:rFonts w:ascii="Times New Roman" w:hAnsi="Times New Roman"/>
          <w:color w:val="000000"/>
          <w:sz w:val="20"/>
        </w:rPr>
        <w:t xml:space="preserve">” </w:t>
      </w:r>
      <w:r>
        <w:rPr>
          <w:rFonts w:ascii="Times New Roman" w:hAnsi="Times New Roman"/>
          <w:color w:val="000000"/>
          <w:sz w:val="24"/>
        </w:rPr>
        <w:t>means any bankruptcy-remote special purpose entity that is an Affiliate of the Borrower and was created for the purpose of one or more Securitizations.</w:t>
      </w:r>
    </w:p>
    <w:p>
      <w:pPr>
        <w:pStyle w:val="TextBody"/>
        <w:bidi w:val="0"/>
        <w:spacing w:before="0" w:after="240"/>
        <w:jc w:val="both"/>
        <w:rPr/>
      </w:pPr>
      <w:r>
        <w:rPr>
          <w:color w:val="000000"/>
        </w:rPr>
        <w:t>“</w:t>
      </w:r>
      <w:r>
        <w:rPr>
          <w:rFonts w:ascii="Times New Roman" w:hAnsi="Times New Roman"/>
          <w:color w:val="000000"/>
          <w:sz w:val="24"/>
          <w:u w:val="single"/>
        </w:rPr>
        <w:t>Standard &amp; Poor’s</w:t>
      </w:r>
      <w:r>
        <w:rPr>
          <w:rFonts w:ascii="Times New Roman" w:hAnsi="Times New Roman"/>
          <w:color w:val="000000"/>
          <w:sz w:val="20"/>
        </w:rPr>
        <w:t xml:space="preserve">” </w:t>
      </w:r>
      <w:r>
        <w:rPr>
          <w:rFonts w:ascii="Times New Roman" w:hAnsi="Times New Roman"/>
          <w:color w:val="000000"/>
          <w:sz w:val="24"/>
        </w:rPr>
        <w:t>means Standard &amp; Poor’s Ratings Services, a Standard &amp; Poor’s Financial Services LLC business.</w:t>
      </w:r>
    </w:p>
    <w:p>
      <w:pPr>
        <w:pStyle w:val="TextBody"/>
        <w:bidi w:val="0"/>
        <w:spacing w:before="0" w:after="240"/>
        <w:jc w:val="both"/>
        <w:rPr/>
      </w:pPr>
      <w:r>
        <w:rPr>
          <w:color w:val="000000"/>
        </w:rPr>
        <w:t>“</w:t>
      </w:r>
      <w:r>
        <w:rPr>
          <w:rFonts w:ascii="Times New Roman" w:hAnsi="Times New Roman"/>
          <w:color w:val="000000"/>
          <w:sz w:val="24"/>
          <w:u w:val="single"/>
        </w:rPr>
        <w:t>State</w:t>
      </w:r>
      <w:r>
        <w:rPr>
          <w:rFonts w:ascii="Times New Roman" w:hAnsi="Times New Roman"/>
          <w:color w:val="000000"/>
          <w:sz w:val="20"/>
        </w:rPr>
        <w:t xml:space="preserve">” </w:t>
      </w:r>
      <w:r>
        <w:rPr>
          <w:rFonts w:ascii="Times New Roman" w:hAnsi="Times New Roman"/>
          <w:color w:val="000000"/>
          <w:sz w:val="24"/>
        </w:rPr>
        <w:t>means any state of the United States or the District of Columbia.</w:t>
      </w:r>
    </w:p>
    <w:p>
      <w:pPr>
        <w:pStyle w:val="TextBody"/>
        <w:bidi w:val="0"/>
        <w:spacing w:before="0" w:after="240"/>
        <w:jc w:val="both"/>
        <w:rPr/>
      </w:pPr>
      <w:r>
        <w:rPr>
          <w:color w:val="000000"/>
        </w:rPr>
        <w:t>“</w:t>
      </w:r>
      <w:r>
        <w:rPr>
          <w:rFonts w:ascii="Times New Roman" w:hAnsi="Times New Roman"/>
          <w:color w:val="000000"/>
          <w:sz w:val="24"/>
          <w:u w:val="single"/>
        </w:rPr>
        <w:t>Subsequent Loan</w:t>
      </w:r>
      <w:r>
        <w:rPr>
          <w:rFonts w:ascii="Times New Roman" w:hAnsi="Times New Roman"/>
          <w:color w:val="000000"/>
          <w:sz w:val="20"/>
        </w:rPr>
        <w:t xml:space="preserve">” </w:t>
      </w:r>
      <w:r>
        <w:rPr>
          <w:rFonts w:ascii="Times New Roman" w:hAnsi="Times New Roman"/>
          <w:color w:val="000000"/>
          <w:sz w:val="24"/>
        </w:rPr>
        <w:t>means each Loan made following the Initial Loan.</w:t>
      </w:r>
    </w:p>
    <w:p>
      <w:pPr>
        <w:pStyle w:val="TextBody"/>
        <w:bidi w:val="0"/>
        <w:spacing w:before="0" w:after="240"/>
        <w:jc w:val="both"/>
        <w:rPr/>
      </w:pPr>
      <w:r>
        <w:rPr>
          <w:color w:val="000000"/>
        </w:rPr>
        <w:t>“</w:t>
      </w:r>
      <w:r>
        <w:rPr>
          <w:rFonts w:ascii="Times New Roman" w:hAnsi="Times New Roman"/>
          <w:color w:val="000000"/>
          <w:sz w:val="24"/>
          <w:u w:val="single"/>
        </w:rPr>
        <w:t>Subsequent Receivable</w:t>
      </w:r>
      <w:r>
        <w:rPr>
          <w:rFonts w:ascii="Times New Roman" w:hAnsi="Times New Roman"/>
          <w:color w:val="000000"/>
          <w:sz w:val="20"/>
        </w:rPr>
        <w:t xml:space="preserve">” </w:t>
      </w:r>
      <w:r>
        <w:rPr>
          <w:rFonts w:ascii="Times New Roman" w:hAnsi="Times New Roman"/>
          <w:color w:val="000000"/>
          <w:sz w:val="24"/>
        </w:rPr>
        <w:t>means each Receivable that becomes a part of the Collateral on a Funding Date other than the Funding Date relating to the Initial Loan.</w:t>
      </w:r>
    </w:p>
    <w:p>
      <w:pPr>
        <w:pStyle w:val="TextBody"/>
        <w:bidi w:val="0"/>
        <w:spacing w:before="0" w:after="240"/>
        <w:jc w:val="both"/>
        <w:rPr/>
      </w:pPr>
      <w:r>
        <w:rPr>
          <w:color w:val="000000"/>
        </w:rPr>
        <w:t>“</w:t>
      </w:r>
      <w:r>
        <w:rPr>
          <w:rFonts w:ascii="Times New Roman" w:hAnsi="Times New Roman"/>
          <w:color w:val="000000"/>
          <w:sz w:val="24"/>
          <w:u w:val="single"/>
        </w:rPr>
        <w:t>Subservicer</w:t>
      </w:r>
      <w:r>
        <w:rPr>
          <w:rFonts w:ascii="Times New Roman" w:hAnsi="Times New Roman"/>
          <w:color w:val="000000"/>
          <w:sz w:val="20"/>
        </w:rPr>
        <w:t xml:space="preserve">” </w:t>
      </w:r>
      <w:r>
        <w:rPr>
          <w:rFonts w:ascii="Times New Roman" w:hAnsi="Times New Roman"/>
          <w:color w:val="000000"/>
          <w:sz w:val="24"/>
        </w:rPr>
        <w:t>means a subservicer appointed by the Servicer and acceptable to the Administrative Agent for the servicing and administration of the Receivables.</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with respect to a Person, any entity with respect to which more than 50% of the outstanding voting securities shall at any time be owned or controlled, directly or indirectly, by such Person and/or one or more of its Subsidiaries, or any similar business organization which is so owned or controlled.</w:t>
      </w:r>
    </w:p>
    <w:p>
      <w:pPr>
        <w:pStyle w:val="TextBody"/>
        <w:bidi w:val="0"/>
        <w:spacing w:before="0" w:after="240"/>
        <w:jc w:val="both"/>
        <w:rPr/>
      </w:pPr>
      <w:r>
        <w:rPr>
          <w:color w:val="000000"/>
        </w:rPr>
        <w:t>“</w:t>
      </w:r>
      <w:r>
        <w:rPr>
          <w:rFonts w:ascii="Times New Roman" w:hAnsi="Times New Roman"/>
          <w:color w:val="000000"/>
          <w:sz w:val="24"/>
          <w:u w:val="single"/>
        </w:rPr>
        <w:t>Successor Servicer</w:t>
      </w:r>
      <w:r>
        <w:rPr>
          <w:rFonts w:ascii="Times New Roman" w:hAnsi="Times New Roman"/>
          <w:color w:val="000000"/>
          <w:sz w:val="20"/>
        </w:rPr>
        <w:t xml:space="preserve">” </w:t>
      </w:r>
      <w:r>
        <w:rPr>
          <w:rFonts w:ascii="Times New Roman" w:hAnsi="Times New Roman"/>
          <w:color w:val="000000"/>
          <w:sz w:val="24"/>
        </w:rPr>
        <w:t>has the meaning given to such term in Section 7.15(b).</w:t>
      </w:r>
    </w:p>
    <w:p>
      <w:pPr>
        <w:pStyle w:val="TextBody"/>
        <w:bidi w:val="0"/>
        <w:spacing w:before="0" w:after="240"/>
        <w:jc w:val="both"/>
        <w:rPr/>
      </w:pPr>
      <w:r>
        <w:rPr>
          <w:color w:val="000000"/>
        </w:rPr>
        <w:t>“</w:t>
      </w:r>
      <w:r>
        <w:rPr>
          <w:rFonts w:ascii="Times New Roman" w:hAnsi="Times New Roman"/>
          <w:color w:val="000000"/>
          <w:sz w:val="24"/>
          <w:u w:val="single"/>
        </w:rPr>
        <w:t>System Description</w:t>
      </w:r>
      <w:r>
        <w:rPr>
          <w:rFonts w:ascii="Times New Roman" w:hAnsi="Times New Roman"/>
          <w:color w:val="000000"/>
          <w:sz w:val="20"/>
        </w:rPr>
        <w:t xml:space="preserve">” </w:t>
      </w:r>
      <w:r>
        <w:rPr>
          <w:rFonts w:ascii="Times New Roman" w:hAnsi="Times New Roman"/>
          <w:color w:val="000000"/>
          <w:sz w:val="24"/>
        </w:rPr>
        <w:t>shall mean a description of the E-Vault System in form and substance satisfactory to the Administrative Agent.</w:t>
      </w:r>
    </w:p>
    <w:p>
      <w:pPr>
        <w:pStyle w:val="TextBody"/>
        <w:bidi w:val="0"/>
        <w:spacing w:before="0" w:after="240"/>
        <w:jc w:val="both"/>
        <w:rPr/>
      </w:pPr>
      <w:r>
        <w:rPr>
          <w:color w:val="000000"/>
        </w:rPr>
        <w:t>“</w:t>
      </w:r>
      <w:r>
        <w:rPr>
          <w:rFonts w:ascii="Times New Roman" w:hAnsi="Times New Roman"/>
          <w:color w:val="000000"/>
          <w:sz w:val="24"/>
          <w:u w:val="single"/>
        </w:rPr>
        <w:t>Tangible Contract</w:t>
      </w:r>
      <w:r>
        <w:rPr>
          <w:rFonts w:ascii="Times New Roman" w:hAnsi="Times New Roman"/>
          <w:color w:val="000000"/>
          <w:sz w:val="20"/>
        </w:rPr>
        <w:t xml:space="preserve">” </w:t>
      </w:r>
      <w:r>
        <w:rPr>
          <w:rFonts w:ascii="Times New Roman" w:hAnsi="Times New Roman"/>
          <w:color w:val="000000"/>
          <w:sz w:val="24"/>
        </w:rPr>
        <w:t>means a Contract that constitutes “tangible chattel paper” under and as defined in Section 9-102(78) of the UCC.</w:t>
      </w:r>
    </w:p>
    <w:p>
      <w:pPr>
        <w:pStyle w:val="TextBody"/>
        <w:bidi w:val="0"/>
        <w:spacing w:before="0" w:after="240"/>
        <w:jc w:val="both"/>
        <w:rPr/>
      </w:pPr>
      <w:r>
        <w:rPr>
          <w:color w:val="000000"/>
        </w:rPr>
        <w:t>“</w:t>
      </w:r>
      <w:r>
        <w:rPr>
          <w:rFonts w:ascii="Times New Roman" w:hAnsi="Times New Roman"/>
          <w:color w:val="000000"/>
          <w:sz w:val="24"/>
          <w:u w:val="single"/>
        </w:rPr>
        <w:t>Tangible Net Worth</w:t>
      </w:r>
      <w:r>
        <w:rPr>
          <w:rFonts w:ascii="Times New Roman" w:hAnsi="Times New Roman"/>
          <w:color w:val="000000"/>
          <w:sz w:val="20"/>
        </w:rPr>
        <w:t xml:space="preserve">” </w:t>
      </w:r>
      <w:r>
        <w:rPr>
          <w:rFonts w:ascii="Times New Roman" w:hAnsi="Times New Roman"/>
          <w:color w:val="000000"/>
          <w:sz w:val="24"/>
        </w:rPr>
        <w:t>means, with respect to any Person, the net worth of such Person calculated in accordance with GAAP, after subtracting therefrom the aggregate amount of such Person’s intangible assets, including goodwill, franchises, licenses, patents, trademarks, tradenames, copyrights and service marks.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Tax</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color w:val="000000"/>
          <w:sz w:val="24"/>
        </w:rPr>
        <w:t>means any present or future taxes, levies, imposts, duties, charges, withholding (including backup withholding), assessments or fees of any nature (including interest, penalties and additions thereto) that are imposed by any Government Authority.</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Term SOFR</w:t>
      </w:r>
      <w:r>
        <w:rPr>
          <w:rFonts w:ascii="Times New Roman" w:hAnsi="Times New Roman"/>
          <w:color w:val="000000"/>
          <w:sz w:val="20"/>
        </w:rPr>
        <w:t xml:space="preserve">” </w:t>
      </w:r>
      <w:r>
        <w:rPr>
          <w:rFonts w:ascii="Times New Roman" w:hAnsi="Times New Roman"/>
          <w:color w:val="000000"/>
          <w:sz w:val="24"/>
        </w:rPr>
        <w:t>means, for any calculation on any day, the Term SOFR Reference Rate as of 5:00 p.m. (New York City time) on the Reference Date prior to the applicable Interest Period (each, a “</w:t>
      </w:r>
      <w:r>
        <w:rPr>
          <w:rFonts w:ascii="Times New Roman" w:hAnsi="Times New Roman"/>
          <w:color w:val="000000"/>
          <w:sz w:val="24"/>
          <w:u w:val="single"/>
        </w:rPr>
        <w:t>Term SOFR Determination Day</w:t>
      </w:r>
      <w:r>
        <w:rPr>
          <w:rFonts w:ascii="Times New Roman" w:hAnsi="Times New Roman"/>
          <w:color w:val="000000"/>
          <w:sz w:val="20"/>
        </w:rPr>
        <w:t>”</w:t>
      </w:r>
      <w:r>
        <w:rPr>
          <w:rFonts w:ascii="Times New Roman" w:hAnsi="Times New Roman"/>
          <w:color w:val="000000"/>
          <w:sz w:val="24"/>
        </w:rPr>
        <w:t>), as such rate is published by the SOFR Administrator; provided, however, that if as of 5:00 p.m. (New York City time) on any Term SOFR Determination Date the Term SOFR Reference Rate has not been published by the SOFR Administrator and a Benchmark Replacement Date with respect to the Term SOFR Reference Rate has not occurred, then Term SOFR will be the Term SOFR Reference Rate for such tenor as published by the SOFR Administrator on the first preceding U.S. Government Securities Business Day for which such Term SOFR Reference Rate was published by the SOFR Administrator so long as such first preceding U.S. Government Securities Business Day is not more than three U.S. Government Securities Business Days prior to such Term SOFR Determination Day.</w:t>
      </w:r>
    </w:p>
    <w:p>
      <w:pPr>
        <w:pStyle w:val="TextBody"/>
        <w:bidi w:val="0"/>
        <w:spacing w:before="0" w:after="240"/>
        <w:jc w:val="both"/>
        <w:rPr/>
      </w:pPr>
      <w:r>
        <w:rPr>
          <w:color w:val="000000"/>
        </w:rPr>
        <w:t>“</w:t>
      </w:r>
      <w:r>
        <w:rPr>
          <w:rFonts w:ascii="Times New Roman" w:hAnsi="Times New Roman"/>
          <w:color w:val="000000"/>
          <w:sz w:val="24"/>
          <w:u w:val="single"/>
        </w:rPr>
        <w:t>Term SOFR Reference Rate</w:t>
      </w:r>
      <w:r>
        <w:rPr>
          <w:rFonts w:ascii="Times New Roman" w:hAnsi="Times New Roman"/>
          <w:color w:val="000000"/>
          <w:sz w:val="20"/>
        </w:rPr>
        <w:t xml:space="preserve">” </w:t>
      </w:r>
      <w:r>
        <w:rPr>
          <w:rFonts w:ascii="Times New Roman" w:hAnsi="Times New Roman"/>
          <w:color w:val="000000"/>
          <w:sz w:val="24"/>
        </w:rPr>
        <w:t>means the rate per annum determined by the SOFR Administrator as the forward-looking term rate based on SOFR; provided, that if the Term SOFR Reference Rate determined as provided above shall ever be less than the Floor, then Term SOFR Reference Rate shall be deemed to be the Floor.</w:t>
      </w:r>
    </w:p>
    <w:p>
      <w:pPr>
        <w:pStyle w:val="TextBody"/>
        <w:bidi w:val="0"/>
        <w:spacing w:before="0" w:after="240"/>
        <w:jc w:val="both"/>
        <w:rPr/>
      </w:pPr>
      <w:r>
        <w:rPr>
          <w:color w:val="000000"/>
        </w:rPr>
        <w:t>“</w:t>
      </w:r>
      <w:r>
        <w:rPr>
          <w:rFonts w:ascii="Times New Roman" w:hAnsi="Times New Roman"/>
          <w:color w:val="000000"/>
          <w:sz w:val="24"/>
          <w:u w:val="single"/>
        </w:rPr>
        <w:t>Termination Date</w:t>
      </w:r>
      <w:r>
        <w:rPr>
          <w:rFonts w:ascii="Times New Roman" w:hAnsi="Times New Roman"/>
          <w:color w:val="000000"/>
          <w:sz w:val="20"/>
        </w:rPr>
        <w:t xml:space="preserve">” </w:t>
      </w:r>
      <w:r>
        <w:rPr>
          <w:rFonts w:ascii="Times New Roman" w:hAnsi="Times New Roman"/>
          <w:color w:val="000000"/>
          <w:sz w:val="24"/>
        </w:rPr>
        <w:t>means the earliest to occur of (i) the Business Day designated by the Borrower to the Lenders as the Termination Date at any time following 30 days’ prior written notice, and (ii) the automatic occurrence, or the declaration of the occurrence, of the Termination Date pursuant to Section 9.01(b), or (iii) the Facility Termination Date.</w:t>
      </w:r>
    </w:p>
    <w:p>
      <w:pPr>
        <w:pStyle w:val="TextBody"/>
        <w:bidi w:val="0"/>
        <w:spacing w:before="0" w:after="240"/>
        <w:jc w:val="both"/>
        <w:rPr/>
      </w:pPr>
      <w:r>
        <w:rPr>
          <w:color w:val="000000"/>
        </w:rPr>
        <w:t>“</w:t>
      </w:r>
      <w:r>
        <w:rPr>
          <w:rFonts w:ascii="Times New Roman" w:hAnsi="Times New Roman"/>
          <w:color w:val="000000"/>
          <w:sz w:val="24"/>
          <w:u w:val="single"/>
        </w:rPr>
        <w:t>Termination Event</w:t>
      </w:r>
      <w:r>
        <w:rPr>
          <w:rFonts w:ascii="Times New Roman" w:hAnsi="Times New Roman"/>
          <w:color w:val="000000"/>
          <w:sz w:val="20"/>
        </w:rPr>
        <w:t xml:space="preserve">” </w:t>
      </w:r>
      <w:r>
        <w:rPr>
          <w:rFonts w:ascii="Times New Roman" w:hAnsi="Times New Roman"/>
          <w:color w:val="000000"/>
          <w:sz w:val="24"/>
        </w:rPr>
        <w:t>has the meaning given to such term in Section 9.01(a).</w:t>
      </w:r>
    </w:p>
    <w:p>
      <w:pPr>
        <w:pStyle w:val="TextBody"/>
        <w:bidi w:val="0"/>
        <w:spacing w:before="0" w:after="240"/>
        <w:jc w:val="both"/>
        <w:rPr/>
      </w:pPr>
      <w:r>
        <w:rPr>
          <w:color w:val="000000"/>
        </w:rPr>
        <w:t>“</w:t>
      </w:r>
      <w:r>
        <w:rPr>
          <w:rFonts w:ascii="Times New Roman" w:hAnsi="Times New Roman"/>
          <w:color w:val="000000"/>
          <w:sz w:val="24"/>
          <w:u w:val="single"/>
        </w:rPr>
        <w:t>Test Data File</w:t>
      </w:r>
      <w:r>
        <w:rPr>
          <w:rFonts w:ascii="Times New Roman" w:hAnsi="Times New Roman"/>
          <w:color w:val="000000"/>
          <w:sz w:val="20"/>
        </w:rPr>
        <w:t xml:space="preserve">” </w:t>
      </w:r>
      <w:r>
        <w:rPr>
          <w:rFonts w:ascii="Times New Roman" w:hAnsi="Times New Roman"/>
          <w:color w:val="000000"/>
          <w:sz w:val="24"/>
        </w:rPr>
        <w:t>means a test data file, which shall include the loan master file, the transaction history file and all other files necessary to carry out the servicing obligations hereunder.</w:t>
      </w:r>
    </w:p>
    <w:p>
      <w:pPr>
        <w:pStyle w:val="TextBody"/>
        <w:bidi w:val="0"/>
        <w:spacing w:before="0" w:after="240"/>
        <w:jc w:val="both"/>
        <w:rPr/>
      </w:pPr>
      <w:r>
        <w:rPr>
          <w:color w:val="000000"/>
        </w:rPr>
        <w:t>“</w:t>
      </w:r>
      <w:r>
        <w:rPr>
          <w:rFonts w:ascii="Times New Roman" w:hAnsi="Times New Roman"/>
          <w:color w:val="000000"/>
          <w:sz w:val="24"/>
          <w:u w:val="single"/>
        </w:rPr>
        <w:t>Title Administrator</w:t>
      </w:r>
      <w:r>
        <w:rPr>
          <w:rFonts w:ascii="Times New Roman" w:hAnsi="Times New Roman"/>
          <w:color w:val="000000"/>
          <w:sz w:val="20"/>
        </w:rPr>
        <w:t xml:space="preserve">” </w:t>
      </w:r>
      <w:r>
        <w:rPr>
          <w:rFonts w:ascii="Times New Roman" w:hAnsi="Times New Roman"/>
          <w:color w:val="000000"/>
          <w:sz w:val="24"/>
        </w:rPr>
        <w:t xml:space="preserve">means each of </w:t>
      </w:r>
      <w:r>
        <w:rPr>
          <w:rFonts w:ascii="Times New Roman" w:hAnsi="Times New Roman"/>
          <w:b/>
          <w:color w:val="000000"/>
          <w:sz w:val="24"/>
        </w:rPr>
        <w:t>[***]</w:t>
      </w:r>
      <w:r>
        <w:rPr>
          <w:rFonts w:ascii="Times New Roman" w:hAnsi="Times New Roman"/>
          <w:color w:val="000000"/>
          <w:sz w:val="24"/>
        </w:rPr>
        <w:t>, or any successor thereto, or other Person that has executed an agreement in form and substance satisfactory to the Administrative Agent to provide motor vehicle title administration software and related services to the Servicer.</w:t>
      </w:r>
    </w:p>
    <w:p>
      <w:pPr>
        <w:pStyle w:val="TextBody"/>
        <w:bidi w:val="0"/>
        <w:spacing w:before="0" w:after="240"/>
        <w:jc w:val="both"/>
        <w:rPr/>
      </w:pPr>
      <w:r>
        <w:rPr>
          <w:color w:val="000000"/>
        </w:rPr>
        <w:t>“</w:t>
      </w:r>
      <w:r>
        <w:rPr>
          <w:rFonts w:ascii="Times New Roman" w:hAnsi="Times New Roman"/>
          <w:color w:val="000000"/>
          <w:sz w:val="24"/>
          <w:u w:val="single"/>
        </w:rPr>
        <w:t>Title Administrator Agreement</w:t>
      </w:r>
      <w:r>
        <w:rPr>
          <w:rFonts w:ascii="Times New Roman" w:hAnsi="Times New Roman"/>
          <w:color w:val="000000"/>
          <w:sz w:val="20"/>
        </w:rPr>
        <w:t xml:space="preserve">” </w:t>
      </w:r>
      <w:r>
        <w:rPr>
          <w:rFonts w:ascii="Times New Roman" w:hAnsi="Times New Roman"/>
          <w:color w:val="000000"/>
          <w:sz w:val="24"/>
        </w:rPr>
        <w:t>means a letter agreement from UACC to the Title Administrator, and acknowledged by the Administrative Agent, the Borrower, the Custodian and the Backup Servicer, in form and substance satisfactory to the Administrative Agent, with such changes as may be agreed to in writing by the Administrative Agent from time to time.</w:t>
      </w:r>
    </w:p>
    <w:p>
      <w:pPr>
        <w:pStyle w:val="TextBody"/>
        <w:bidi w:val="0"/>
        <w:spacing w:before="0" w:after="240"/>
        <w:jc w:val="both"/>
        <w:rPr/>
      </w:pPr>
      <w:r>
        <w:rPr>
          <w:color w:val="000000"/>
        </w:rPr>
        <w:t>“</w:t>
      </w:r>
      <w:r>
        <w:rPr>
          <w:rFonts w:ascii="Times New Roman" w:hAnsi="Times New Roman"/>
          <w:color w:val="000000"/>
          <w:sz w:val="24"/>
          <w:u w:val="single"/>
        </w:rPr>
        <w:t>Transfer</w:t>
      </w:r>
      <w:r>
        <w:rPr>
          <w:rFonts w:ascii="Times New Roman" w:hAnsi="Times New Roman"/>
          <w:color w:val="000000"/>
          <w:sz w:val="20"/>
        </w:rPr>
        <w:t xml:space="preserve">” </w:t>
      </w:r>
      <w:r>
        <w:rPr>
          <w:rFonts w:ascii="Times New Roman" w:hAnsi="Times New Roman"/>
          <w:color w:val="000000"/>
          <w:sz w:val="24"/>
        </w:rPr>
        <w:t>has the meaning ascribed to such term in the System Description.</w:t>
      </w:r>
    </w:p>
    <w:p>
      <w:pPr>
        <w:pStyle w:val="TextBody"/>
        <w:bidi w:val="0"/>
        <w:spacing w:before="0" w:after="240"/>
        <w:jc w:val="both"/>
        <w:rPr/>
      </w:pPr>
      <w:r>
        <w:rPr>
          <w:color w:val="000000"/>
        </w:rPr>
        <w:t>“</w:t>
      </w:r>
      <w:r>
        <w:rPr>
          <w:rFonts w:ascii="Times New Roman" w:hAnsi="Times New Roman"/>
          <w:color w:val="000000"/>
          <w:sz w:val="24"/>
          <w:u w:val="single"/>
        </w:rPr>
        <w:t>Transfer Agreement</w:t>
      </w:r>
      <w:r>
        <w:rPr>
          <w:rFonts w:ascii="Times New Roman" w:hAnsi="Times New Roman"/>
          <w:color w:val="000000"/>
          <w:sz w:val="20"/>
        </w:rPr>
        <w:t xml:space="preserve">” </w:t>
      </w:r>
      <w:r>
        <w:rPr>
          <w:rFonts w:ascii="Times New Roman" w:hAnsi="Times New Roman"/>
          <w:color w:val="000000"/>
          <w:sz w:val="24"/>
        </w:rPr>
        <w:t>means a Transfer Agreement in substantially the form attached to the Purchase Agreement as Exhibit A, executed by the Borrower and UACC in connection with a transfer of Receivables and the related Collateral on any Funding Date.</w:t>
      </w:r>
    </w:p>
    <w:p>
      <w:pPr>
        <w:pStyle w:val="TextBody"/>
        <w:bidi w:val="0"/>
        <w:spacing w:before="0" w:after="240"/>
        <w:jc w:val="both"/>
        <w:rPr/>
      </w:pPr>
      <w:r>
        <w:rPr>
          <w:color w:val="000000"/>
        </w:rPr>
        <w:t>“</w:t>
      </w:r>
      <w:r>
        <w:rPr>
          <w:rFonts w:ascii="Times New Roman" w:hAnsi="Times New Roman"/>
          <w:color w:val="000000"/>
          <w:sz w:val="24"/>
          <w:u w:val="single"/>
        </w:rPr>
        <w:t>Transition Expenses</w:t>
      </w:r>
      <w:r>
        <w:rPr>
          <w:rFonts w:ascii="Times New Roman" w:hAnsi="Times New Roman"/>
          <w:color w:val="000000"/>
          <w:sz w:val="20"/>
        </w:rPr>
        <w:t xml:space="preserve">” </w:t>
      </w:r>
      <w:r>
        <w:rPr>
          <w:rFonts w:ascii="Times New Roman" w:hAnsi="Times New Roman"/>
          <w:color w:val="000000"/>
          <w:sz w:val="24"/>
        </w:rPr>
        <w:t>has the meaning given to such term in Section 7.15(e).</w:t>
      </w:r>
    </w:p>
    <w:p>
      <w:pPr>
        <w:pStyle w:val="TextBody"/>
        <w:bidi w:val="0"/>
        <w:spacing w:before="0" w:after="240"/>
        <w:jc w:val="both"/>
        <w:rPr/>
      </w:pPr>
      <w:r>
        <w:rPr>
          <w:color w:val="000000"/>
        </w:rPr>
        <w:t>“</w:t>
      </w:r>
      <w:r>
        <w:rPr>
          <w:rFonts w:ascii="Times New Roman" w:hAnsi="Times New Roman"/>
          <w:color w:val="000000"/>
          <w:sz w:val="24"/>
          <w:u w:val="single"/>
        </w:rPr>
        <w:t>Trust Agreement</w:t>
      </w:r>
      <w:r>
        <w:rPr>
          <w:rFonts w:ascii="Times New Roman" w:hAnsi="Times New Roman"/>
          <w:color w:val="000000"/>
          <w:sz w:val="20"/>
        </w:rPr>
        <w:t xml:space="preserve">” </w:t>
      </w:r>
      <w:r>
        <w:rPr>
          <w:rFonts w:ascii="Times New Roman" w:hAnsi="Times New Roman"/>
          <w:color w:val="000000"/>
          <w:sz w:val="24"/>
        </w:rPr>
        <w:t>means the Amended and Restated Trust Agreement, dated as of July 11, 2019, between UACC, as depositor, the Owner Trustee, and [***], as Certificate Registrar.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UACC</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UACC Excess Spread Percentage</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an annualized percentage equal to (i) the weighted average APR of all Eligible Receivables that constitute UACC Receivables during such Collection Period minus (ii) the sum of (a) either (1) if no Hedging Agreement is in place, the weighted average rate used to calculate Interest pursuant to Section 2.07 multiplied by the Collateral Coverage Ratio or (2) if a Hedging Agreement is in place, the lesser of such weighted average rate used to calculate Interest multiplied by the Collateral Coverage Ratio or the strike rate (or similar concept) of such Hedging Agreement and (b) the sum of (1) the Servicing Fee Rate and (2) the Unused Fee Rate, each multiplied by the Collateral Coverage Ratio, and (3) the annual rate used to calculate the compensation paid to the Backup Servicer and the Custodian (if other than UACC).</w:t>
      </w:r>
    </w:p>
    <w:p>
      <w:pPr>
        <w:pStyle w:val="TextBody"/>
        <w:bidi w:val="0"/>
        <w:spacing w:before="0" w:after="240"/>
        <w:jc w:val="both"/>
        <w:rPr/>
      </w:pPr>
      <w:r>
        <w:rPr>
          <w:color w:val="000000"/>
        </w:rPr>
        <w:t>“</w:t>
      </w:r>
      <w:r>
        <w:rPr>
          <w:rFonts w:ascii="Times New Roman" w:hAnsi="Times New Roman"/>
          <w:color w:val="000000"/>
          <w:sz w:val="24"/>
          <w:u w:val="single"/>
        </w:rPr>
        <w:t>UACC Indemnified Amounts</w:t>
      </w:r>
      <w:r>
        <w:rPr>
          <w:rFonts w:ascii="Times New Roman" w:hAnsi="Times New Roman"/>
          <w:color w:val="000000"/>
          <w:sz w:val="20"/>
        </w:rPr>
        <w:t xml:space="preserve">” </w:t>
      </w:r>
      <w:r>
        <w:rPr>
          <w:rFonts w:ascii="Times New Roman" w:hAnsi="Times New Roman"/>
          <w:color w:val="000000"/>
          <w:sz w:val="24"/>
        </w:rPr>
        <w:t>has the meaning given to such term in Section 10.01(b).</w:t>
      </w:r>
    </w:p>
    <w:p>
      <w:pPr>
        <w:pStyle w:val="TextBody"/>
        <w:bidi w:val="0"/>
        <w:spacing w:before="0" w:after="240"/>
        <w:jc w:val="both"/>
        <w:rPr/>
      </w:pPr>
      <w:r>
        <w:rPr>
          <w:color w:val="000000"/>
        </w:rPr>
        <w:t>“</w:t>
      </w:r>
      <w:r>
        <w:rPr>
          <w:rFonts w:ascii="Times New Roman" w:hAnsi="Times New Roman"/>
          <w:color w:val="000000"/>
          <w:sz w:val="24"/>
          <w:u w:val="single"/>
        </w:rPr>
        <w:t>UACC Indemnified Party</w:t>
      </w:r>
      <w:r>
        <w:rPr>
          <w:rFonts w:ascii="Times New Roman" w:hAnsi="Times New Roman"/>
          <w:color w:val="000000"/>
          <w:sz w:val="20"/>
        </w:rPr>
        <w:t xml:space="preserve">” </w:t>
      </w:r>
      <w:r>
        <w:rPr>
          <w:rFonts w:ascii="Times New Roman" w:hAnsi="Times New Roman"/>
          <w:color w:val="000000"/>
          <w:sz w:val="24"/>
        </w:rPr>
        <w:t>has the meaning given to such term in Section 10.01(b).</w:t>
      </w:r>
    </w:p>
    <w:p>
      <w:pPr>
        <w:pStyle w:val="TextBody"/>
        <w:bidi w:val="0"/>
        <w:spacing w:before="0" w:after="240"/>
        <w:jc w:val="both"/>
        <w:rPr/>
      </w:pPr>
      <w:r>
        <w:rPr>
          <w:color w:val="000000"/>
        </w:rPr>
        <w:t>“</w:t>
      </w:r>
      <w:r>
        <w:rPr>
          <w:rFonts w:ascii="Times New Roman" w:hAnsi="Times New Roman"/>
          <w:color w:val="000000"/>
          <w:sz w:val="24"/>
          <w:u w:val="single"/>
        </w:rPr>
        <w:t>UACC Receivable</w:t>
      </w:r>
      <w:r>
        <w:rPr>
          <w:rFonts w:ascii="Times New Roman" w:hAnsi="Times New Roman"/>
          <w:color w:val="000000"/>
          <w:sz w:val="20"/>
        </w:rPr>
        <w:t xml:space="preserve">” </w:t>
      </w:r>
      <w:r>
        <w:rPr>
          <w:rFonts w:ascii="Times New Roman" w:hAnsi="Times New Roman"/>
          <w:color w:val="000000"/>
          <w:sz w:val="24"/>
        </w:rPr>
        <w:t>means any Receivable originated by the Originator through a network of Dealers other than the Vroom Origination Channel.</w:t>
      </w:r>
    </w:p>
    <w:p>
      <w:pPr>
        <w:pStyle w:val="TextBody"/>
        <w:bidi w:val="0"/>
        <w:spacing w:before="0" w:after="240"/>
        <w:jc w:val="both"/>
        <w:rPr/>
      </w:pPr>
      <w:r>
        <w:rPr>
          <w:color w:val="000000"/>
        </w:rPr>
        <w:t>“</w:t>
      </w:r>
      <w:r>
        <w:rPr>
          <w:rFonts w:ascii="Times New Roman" w:hAnsi="Times New Roman"/>
          <w:color w:val="000000"/>
          <w:sz w:val="24"/>
          <w:u w:val="single"/>
        </w:rPr>
        <w:t>UCC</w:t>
      </w:r>
      <w:r>
        <w:rPr>
          <w:rFonts w:ascii="Times New Roman" w:hAnsi="Times New Roman"/>
          <w:color w:val="000000"/>
          <w:sz w:val="20"/>
        </w:rPr>
        <w:t xml:space="preserve">” </w:t>
      </w:r>
      <w:r>
        <w:rPr>
          <w:rFonts w:ascii="Times New Roman" w:hAnsi="Times New Roman"/>
          <w:color w:val="000000"/>
          <w:sz w:val="24"/>
        </w:rPr>
        <w:t>means the Uniform Commercial Code as from time to time in effect in the applicable jurisdiction.</w:t>
      </w:r>
    </w:p>
    <w:p>
      <w:pPr>
        <w:pStyle w:val="TextBody"/>
        <w:bidi w:val="0"/>
        <w:spacing w:before="0" w:after="240"/>
        <w:jc w:val="both"/>
        <w:rPr/>
      </w:pPr>
      <w:r>
        <w:rPr>
          <w:color w:val="000000"/>
        </w:rPr>
        <w:t>“</w:t>
      </w:r>
      <w:r>
        <w:rPr>
          <w:rFonts w:ascii="Times New Roman" w:hAnsi="Times New Roman"/>
          <w:color w:val="000000"/>
          <w:sz w:val="24"/>
          <w:u w:val="single"/>
        </w:rPr>
        <w:t>Unadjusted Benchmark Replacement</w:t>
      </w:r>
      <w:r>
        <w:rPr>
          <w:rFonts w:ascii="Times New Roman" w:hAnsi="Times New Roman"/>
          <w:color w:val="000000"/>
          <w:sz w:val="20"/>
        </w:rPr>
        <w:t xml:space="preserve">” </w:t>
      </w:r>
      <w:r>
        <w:rPr>
          <w:rFonts w:ascii="Times New Roman" w:hAnsi="Times New Roman"/>
          <w:color w:val="000000"/>
          <w:sz w:val="24"/>
        </w:rPr>
        <w:t>means the applicable Benchmark Replacement excluding the related Benchmark Replacement Adjustment.</w:t>
      </w:r>
    </w:p>
    <w:p>
      <w:pPr>
        <w:pStyle w:val="TextBody"/>
        <w:bidi w:val="0"/>
        <w:spacing w:before="0" w:after="240"/>
        <w:jc w:val="both"/>
        <w:rPr/>
      </w:pPr>
      <w:r>
        <w:rPr>
          <w:color w:val="000000"/>
        </w:rPr>
        <w:t>“</w:t>
      </w:r>
      <w:r>
        <w:rPr>
          <w:rFonts w:ascii="Times New Roman" w:hAnsi="Times New Roman"/>
          <w:color w:val="000000"/>
          <w:sz w:val="24"/>
          <w:u w:val="single"/>
        </w:rPr>
        <w:t>United States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U.S.</w:t>
      </w:r>
      <w:r>
        <w:rPr>
          <w:rFonts w:ascii="Times New Roman" w:hAnsi="Times New Roman"/>
          <w:color w:val="000000"/>
          <w:sz w:val="20"/>
        </w:rPr>
        <w:t xml:space="preserve">” </w:t>
      </w:r>
      <w:r>
        <w:rPr>
          <w:rFonts w:ascii="Times New Roman" w:hAnsi="Times New Roman"/>
          <w:color w:val="000000"/>
          <w:sz w:val="24"/>
        </w:rPr>
        <w:t>means the United States of America.</w:t>
      </w:r>
    </w:p>
    <w:p>
      <w:pPr>
        <w:pStyle w:val="TextBody"/>
        <w:bidi w:val="0"/>
        <w:spacing w:before="0" w:after="240"/>
        <w:jc w:val="both"/>
        <w:rPr/>
      </w:pPr>
      <w:r>
        <w:rPr>
          <w:color w:val="000000"/>
        </w:rPr>
        <w:t>“</w:t>
      </w:r>
      <w:r>
        <w:rPr>
          <w:rFonts w:ascii="Times New Roman" w:hAnsi="Times New Roman"/>
          <w:color w:val="000000"/>
          <w:sz w:val="24"/>
          <w:u w:val="single"/>
        </w:rPr>
        <w:t>Unmatured Servicer Termination Event</w:t>
      </w:r>
      <w:r>
        <w:rPr>
          <w:rFonts w:ascii="Times New Roman" w:hAnsi="Times New Roman"/>
          <w:color w:val="000000"/>
          <w:sz w:val="20"/>
        </w:rPr>
        <w:t xml:space="preserve">” </w:t>
      </w:r>
      <w:r>
        <w:rPr>
          <w:rFonts w:ascii="Times New Roman" w:hAnsi="Times New Roman"/>
          <w:color w:val="000000"/>
          <w:sz w:val="24"/>
        </w:rPr>
        <w:t>means any event that, with the giving of notice or the lapse of time, or both, would become a Servicer Termination Event.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Unmatured Termination Event</w:t>
      </w:r>
      <w:r>
        <w:rPr>
          <w:rFonts w:ascii="Times New Roman" w:hAnsi="Times New Roman"/>
          <w:color w:val="000000"/>
          <w:sz w:val="20"/>
        </w:rPr>
        <w:t xml:space="preserve">” </w:t>
      </w:r>
      <w:r>
        <w:rPr>
          <w:rFonts w:ascii="Times New Roman" w:hAnsi="Times New Roman"/>
          <w:color w:val="000000"/>
          <w:sz w:val="24"/>
        </w:rPr>
        <w:t>means any event that, with the giving of notice or the lapse of time, or both, would become a Termination Event.</w:t>
      </w:r>
    </w:p>
    <w:p>
      <w:pPr>
        <w:pStyle w:val="TextBody"/>
        <w:bidi w:val="0"/>
        <w:spacing w:before="0" w:after="240"/>
        <w:jc w:val="both"/>
        <w:rPr/>
      </w:pPr>
      <w:r>
        <w:rPr>
          <w:color w:val="000000"/>
        </w:rPr>
        <w:t>“</w:t>
      </w:r>
      <w:r>
        <w:rPr>
          <w:rFonts w:ascii="Times New Roman" w:hAnsi="Times New Roman"/>
          <w:color w:val="000000"/>
          <w:sz w:val="24"/>
          <w:u w:val="single"/>
        </w:rPr>
        <w:t>Unused Fee</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fee payable by the Borrower pursuant to the Fee Letter on such Payment Date in an amount equal to the product of (i) the Unused Fee Rate and (ii) the Aggregate Commitment minus the average daily Loans Outstanding during such Collection Period.</w:t>
      </w:r>
    </w:p>
    <w:p>
      <w:pPr>
        <w:pStyle w:val="TextBody"/>
        <w:bidi w:val="0"/>
        <w:spacing w:before="0" w:after="240"/>
        <w:jc w:val="both"/>
        <w:rPr/>
      </w:pPr>
      <w:r>
        <w:rPr>
          <w:color w:val="000000"/>
        </w:rPr>
        <w:t>“</w:t>
      </w:r>
      <w:r>
        <w:rPr>
          <w:rFonts w:ascii="Times New Roman" w:hAnsi="Times New Roman"/>
          <w:color w:val="000000"/>
          <w:sz w:val="24"/>
          <w:u w:val="single"/>
        </w:rPr>
        <w:t>Unused Fee Rate</w:t>
      </w:r>
      <w:r>
        <w:rPr>
          <w:rFonts w:ascii="Times New Roman" w:hAnsi="Times New Roman"/>
          <w:color w:val="000000"/>
          <w:sz w:val="20"/>
        </w:rPr>
        <w:t xml:space="preserve">” </w:t>
      </w:r>
      <w:r>
        <w:rPr>
          <w:rFonts w:ascii="Times New Roman" w:hAnsi="Times New Roman"/>
          <w:color w:val="000000"/>
          <w:sz w:val="24"/>
        </w:rPr>
        <w:t>has the meaning set forth in the Fee Letter.</w:t>
      </w:r>
    </w:p>
    <w:p>
      <w:pPr>
        <w:pStyle w:val="TextBody"/>
        <w:bidi w:val="0"/>
        <w:spacing w:before="0" w:after="240"/>
        <w:jc w:val="both"/>
        <w:rPr/>
      </w:pPr>
      <w:r>
        <w:rPr>
          <w:color w:val="000000"/>
        </w:rPr>
        <w:t>“</w:t>
      </w:r>
      <w:r>
        <w:rPr>
          <w:rFonts w:ascii="Times New Roman" w:hAnsi="Times New Roman"/>
          <w:color w:val="000000"/>
          <w:sz w:val="24"/>
          <w:u w:val="single"/>
        </w:rPr>
        <w:t>Upfront Fee</w:t>
      </w:r>
      <w:r>
        <w:rPr>
          <w:rFonts w:ascii="Times New Roman" w:hAnsi="Times New Roman"/>
          <w:color w:val="000000"/>
          <w:sz w:val="20"/>
        </w:rPr>
        <w:t xml:space="preserve">” </w:t>
      </w:r>
      <w:r>
        <w:rPr>
          <w:rFonts w:ascii="Times New Roman" w:hAnsi="Times New Roman"/>
          <w:color w:val="000000"/>
          <w:sz w:val="24"/>
        </w:rPr>
        <w:t>has the meaning given to such term in the Fee Letter.</w:t>
      </w:r>
    </w:p>
    <w:p>
      <w:pPr>
        <w:pStyle w:val="TextBody"/>
        <w:bidi w:val="0"/>
        <w:spacing w:before="0" w:after="240"/>
        <w:jc w:val="both"/>
        <w:rPr/>
      </w:pPr>
      <w:r>
        <w:rPr>
          <w:color w:val="000000"/>
        </w:rPr>
        <w:t>“</w:t>
      </w:r>
      <w:r>
        <w:rPr>
          <w:rFonts w:ascii="Times New Roman" w:hAnsi="Times New Roman"/>
          <w:color w:val="000000"/>
          <w:sz w:val="24"/>
          <w:u w:val="single"/>
        </w:rPr>
        <w:t>U.S. Government Securities Business Day</w:t>
      </w:r>
      <w:r>
        <w:rPr>
          <w:rFonts w:ascii="Times New Roman" w:hAnsi="Times New Roman"/>
          <w:color w:val="000000"/>
          <w:sz w:val="20"/>
        </w:rPr>
        <w:t xml:space="preserve">” </w:t>
      </w:r>
      <w:r>
        <w:rPr>
          <w:rFonts w:ascii="Times New Roman" w:hAnsi="Times New Roman"/>
          <w:color w:val="000000"/>
          <w:sz w:val="24"/>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color w:val="000000"/>
          <w:sz w:val="24"/>
          <w:u w:val="single"/>
        </w:rPr>
        <w:t>Volcker Rule</w:t>
      </w:r>
      <w:r>
        <w:rPr>
          <w:rFonts w:ascii="Times New Roman" w:hAnsi="Times New Roman"/>
          <w:color w:val="000000"/>
          <w:sz w:val="20"/>
        </w:rPr>
        <w:t xml:space="preserve">” </w:t>
      </w:r>
      <w:r>
        <w:rPr>
          <w:rFonts w:ascii="Times New Roman" w:hAnsi="Times New Roman"/>
          <w:color w:val="000000"/>
          <w:sz w:val="24"/>
        </w:rPr>
        <w:t>means the regulations adopted to implement Section 619 of the Dodd-Frank Act.</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Vroom Excess Spread Percentage</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an annualized percentage equal to (i) the weighted average APR of all Eligible Receivables that constitute Vroom Receivables during such Collection Period minus (ii) the sum of (a) either (1) if no Hedging Agreement is in place, the weighted average rate used to calculate Interest pursuant to Section 2.07 multiplied by the Collateral Coverage Ratio or (2) if a Hedging Agreement is in place, the lesser of such weighted average rate used to calculate Interest multiplied by the Collateral Coverage Ratio or the strike rate (or similar concept) of such Hedging Agreement and (b) the sum of (1) the Servicing Fee Rate and (2) the Unused Fee Rate, each multiplied by the Collateral Coverage Ratio, and (3) the annual rate used to calculate the compensation paid to the Backup Servicer and the Custodian (if other than UACC).</w:t>
      </w:r>
    </w:p>
    <w:p>
      <w:pPr>
        <w:pStyle w:val="TextBody"/>
        <w:bidi w:val="0"/>
        <w:spacing w:before="0" w:after="240"/>
        <w:jc w:val="both"/>
        <w:rPr/>
      </w:pPr>
      <w:r>
        <w:rPr>
          <w:color w:val="000000"/>
        </w:rPr>
        <w:t>“</w:t>
      </w:r>
      <w:r>
        <w:rPr>
          <w:rFonts w:ascii="Times New Roman" w:hAnsi="Times New Roman"/>
          <w:color w:val="000000"/>
          <w:sz w:val="24"/>
          <w:u w:val="single"/>
        </w:rPr>
        <w:t>Vroom Origination Channel</w:t>
      </w:r>
      <w:r>
        <w:rPr>
          <w:rFonts w:ascii="Times New Roman" w:hAnsi="Times New Roman"/>
          <w:color w:val="000000"/>
          <w:sz w:val="20"/>
        </w:rPr>
        <w:t xml:space="preserve">” </w:t>
      </w:r>
      <w:r>
        <w:rPr>
          <w:rFonts w:ascii="Times New Roman" w:hAnsi="Times New Roman"/>
          <w:color w:val="000000"/>
          <w:sz w:val="24"/>
        </w:rPr>
        <w:t>means the network of Dealers established by Vroom Automotive, LLC.</w:t>
      </w:r>
    </w:p>
    <w:p>
      <w:pPr>
        <w:pStyle w:val="TextBody"/>
        <w:bidi w:val="0"/>
        <w:spacing w:before="0" w:after="240"/>
        <w:jc w:val="both"/>
        <w:rPr/>
      </w:pPr>
      <w:r>
        <w:rPr>
          <w:color w:val="000000"/>
        </w:rPr>
        <w:t>“</w:t>
      </w:r>
      <w:r>
        <w:rPr>
          <w:rFonts w:ascii="Times New Roman" w:hAnsi="Times New Roman"/>
          <w:color w:val="000000"/>
          <w:sz w:val="24"/>
          <w:u w:val="single"/>
        </w:rPr>
        <w:t>Vroom Receivable</w:t>
      </w:r>
      <w:r>
        <w:rPr>
          <w:rFonts w:ascii="Times New Roman" w:hAnsi="Times New Roman"/>
          <w:color w:val="000000"/>
          <w:sz w:val="20"/>
        </w:rPr>
        <w:t xml:space="preserve">” </w:t>
      </w:r>
      <w:r>
        <w:rPr>
          <w:rFonts w:ascii="Times New Roman" w:hAnsi="Times New Roman"/>
          <w:color w:val="000000"/>
          <w:sz w:val="24"/>
        </w:rPr>
        <w:t>means any Receivable originated by the Originator through the Vroom Origination Channel.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1.02.</w:t>
      </w:r>
      <w:r>
        <w:rPr>
          <w:rFonts w:ascii="Times New Roman" w:hAnsi="Times New Roman"/>
          <w:color w:val="000000"/>
          <w:sz w:val="20"/>
          <w:u w:val="single"/>
        </w:rPr>
        <w:t xml:space="preserve"> </w:t>
      </w:r>
      <w:r>
        <w:rPr>
          <w:rFonts w:ascii="Times New Roman" w:hAnsi="Times New Roman"/>
          <w:b w:val="false"/>
          <w:color w:val="000000"/>
          <w:sz w:val="24"/>
          <w:u w:val="single"/>
        </w:rPr>
        <w:t>Accounting Terms and Determinations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Unless otherwise defined or specified herein, all accounting terms shall be construed herein, all accounting determinations hereunder shall be made, all financial statements required to be delivered hereunder shall be prepared and all financial records shall be maintained in accordance with GAAP.</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1.03.</w:t>
      </w:r>
      <w:r>
        <w:rPr>
          <w:rFonts w:ascii="Times New Roman" w:hAnsi="Times New Roman"/>
          <w:color w:val="000000"/>
          <w:sz w:val="20"/>
          <w:u w:val="single"/>
        </w:rPr>
        <w:t xml:space="preserve"> </w:t>
      </w:r>
      <w:r>
        <w:rPr>
          <w:rFonts w:ascii="Times New Roman" w:hAnsi="Times New Roman"/>
          <w:b w:val="false"/>
          <w:color w:val="000000"/>
          <w:sz w:val="24"/>
          <w:u w:val="single"/>
        </w:rPr>
        <w:t>Computation of Time Periods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Unless otherwise stated in this Agreement, in the computation of a period of time from a specified date to a later specified date, the word “from” means “from and including” and the words “to” and “until” each mean “to but excluding.”</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1.04.</w:t>
      </w:r>
      <w:r>
        <w:rPr>
          <w:rFonts w:ascii="Times New Roman" w:hAnsi="Times New Roman"/>
          <w:color w:val="000000"/>
          <w:sz w:val="20"/>
          <w:u w:val="single"/>
        </w:rPr>
        <w:t xml:space="preserve"> </w:t>
      </w:r>
      <w:r>
        <w:rPr>
          <w:rFonts w:ascii="Times New Roman" w:hAnsi="Times New Roman"/>
          <w:b w:val="false"/>
          <w:color w:val="000000"/>
          <w:sz w:val="24"/>
          <w:u w:val="single"/>
        </w:rPr>
        <w:t>Interpretation</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When used in this Agreement, unless a contrary intention appears: (i) a term has the meaning assigned to it; (ii) “or” is not exclusive; (iii) “including” means including without limitation; (iv) words in the singular include the plural and words in the plural include the singular; (v) any agreement, instrument or statute defined or referred to herein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(vi) references to a Person are also to its successors and permitted assigns; (vii) the words “hereof”, “herein” and “hereunder” and words of similar import when used in this Agreement shall refer to this Agreement as a whole and not to any particular provision hereof; (viii) references contained herein to Article, Section, Schedule and Exhibit, as applicable, are references to Articles, Sections, Schedules and Exhibits in this Agreement unless otherwise specified; (ix) references to “writing” include printing,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typing, lithography and other means of reproducing words in a visible form; and (x) the term “proceeds” has the meaning set forth in the applicable UCC.</w:t>
      </w:r>
    </w:p>
    <w:p>
      <w:pPr>
        <w:pStyle w:val="TextBody"/>
        <w:bidi w:val="0"/>
        <w:spacing w:before="0" w:after="240"/>
        <w:jc w:val="center"/>
        <w:rPr>
          <w:rFonts w:ascii="Times New Roman" w:hAnsi="Times New Roman"/>
          <w:caps/>
          <w:color w:val="2F5496"/>
          <w:sz w:val="24"/>
        </w:rPr>
      </w:pPr>
      <w:r>
        <w:rPr>
          <w:rFonts w:ascii="Times New Roman" w:hAnsi="Times New Roman"/>
          <w:caps/>
          <w:color w:val="2F5496"/>
          <w:sz w:val="24"/>
        </w:rPr>
        <w:t>ARTICLE 2</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LOANS</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2.01.</w:t>
      </w:r>
      <w:r>
        <w:rPr>
          <w:rFonts w:ascii="Times New Roman" w:hAnsi="Times New Roman"/>
          <w:color w:val="000000"/>
          <w:sz w:val="20"/>
          <w:u w:val="single"/>
        </w:rPr>
        <w:t xml:space="preserve"> </w:t>
      </w:r>
      <w:r>
        <w:rPr>
          <w:rFonts w:ascii="Times New Roman" w:hAnsi="Times New Roman"/>
          <w:b w:val="false"/>
          <w:color w:val="000000"/>
          <w:sz w:val="24"/>
          <w:u w:val="single"/>
        </w:rPr>
        <w:t>Loans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On the terms and conditions set forth herein, including this Section and Article Four, the Borrower may from time to time on any Business Day during the Revolving Period, request that each Committed Lender make an advance (each, a “Loan”) in the amount of each such Committed Lender’s Lender Advance, to the Borrower on a Funding Date.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later than 12:00 p.m., New York City time, one Business Day prior to the proposed Funding Date, the Borrower shall notify the Administrative Agent of such proposed Funding Date and Loan by delivering to the Administrative Agent (with a copy to the Account Bank), in form and substance satisfactory to the Administrative Agent: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Funding Request, which will include, among other things, the proposed Funding Date, a calculation of the Borrowing Base (calculated as of the previous Determination Date or, with respect to Receivables added to the Collateral following such Determination Date, but prior to or on such date of determination, the related Cutoff Date) and the Principal Amount of the Loan requested, which shall be in an amount at least equal to $[***] (except the Initial Loan, which shall be in a minimum amount of $[***]) or integral multiples of $[***] in excess thereof; and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updated Schedule of Receivables that includes each Receivable that is the subject of the proposed Loan (other than in the case of a Reborrowing).</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Following receipt by the Administrative Agent of a Funding Request, and prior to the earlier to occur of the Commitment Termination Date and the Termination Date each Committed Lender severally agrees to make its Lender Advance of any Loan requested by the Borrower, in each case subject to the conditions contained herein, in an aggregate amount equal to the Loan so requested.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no event shall:</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Committed Lender be required on any date to fund a Principal Amount that would cause its Lender Percentage of the Loans Outstanding, determined after giving effect to such funding, to exceed its Commitment;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Loan be requested hereunder, nor shall any Lender be obligated to fund its Lender Advance of any Loan, to the extent that after giving effect to such Loan, the Loans Outstanding would exceed the Borrowing Base (calculated as of the previous Determination Date or, with respect to any Receivables added to the Collateral following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Determination Date, but prior to or on such date of determination, the related Cutoff Date);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Loan be made during the Amortization Period or the Principal Amount of any Loan exceed the Available Amount on the related Funding Date;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more than one Loan be funded on any Business Day or more than five Loans be made in any calendar week; or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Loan be funded, unless the Collateral Coverage Ratio, after taking into account the Receivables being added to the Collateral on such Funding Date, is less than or equal to the related Collateral Coverage Ratio as of the end of the most recent Collection Period, provided, however, that such Loan may be funded in an amount up to but not exceeding the Borrowing Base.</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2.02.</w:t>
      </w:r>
      <w:r>
        <w:rPr>
          <w:rFonts w:ascii="Times New Roman" w:hAnsi="Times New Roman"/>
          <w:color w:val="000000"/>
          <w:sz w:val="20"/>
          <w:u w:val="single"/>
        </w:rPr>
        <w:t xml:space="preserve"> </w:t>
      </w:r>
      <w:r>
        <w:rPr>
          <w:rFonts w:ascii="Times New Roman" w:hAnsi="Times New Roman"/>
          <w:b w:val="false"/>
          <w:color w:val="000000"/>
          <w:sz w:val="24"/>
          <w:u w:val="single"/>
        </w:rPr>
        <w:t>Funding Mechanics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If any Funding Request is delivered to the Administrative Agent after 12:00 p.m., New York City time, one Business Day prior to the proposed Funding Date, such Funding Request shall be deemed to be received prior to 12:00 p.m., New York City time, on the next succeeding Business Day and the proposed Funding Date of such proposed Loan shall be deemed to be the Business Day following such deemed receipt. Each Funding Request shall include a representation by the Borrower that (i) the requested Loan will not, on the Funding Date, exceed the Available Amount and (ii) all conditions precedent to the making of such Loan have been (or prior to the making of such Loan on the Funding Date will be) satisfied. Any Funding Request shall be irrevocable.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Lender’s Lender Advance of a Loan shall be made available to the Administrative Agent, subject to the fulfillment of the applicable conditions set forth in Article Four, at or prior to 1:00 p.m., New York City time, on the applicable Funding Date, by deposit of immediately available funds to an account of the Administrative Agent. The Administrative Agent shall promptly notify the Borrower in the event that any Lender either fails to make such funds available to the Administrative Agent before such time or notifies the Administrative Agent that it will not make such funds available to the Administrative Agent before such time. Subject to (i) the Administrative Agent’s receipt of such funds and (ii) the fulfillment of the applicable conditions set forth in Article Four, as determined by the Administrative Agent, the Administrative Agent will not later than 3:00 p.m., New York City time, on such Funding Date make such funds available, in the same type of funds received, by wire transfer thereof to the Borrower’s Account. If any Lender makes available to the Administrative Agent funds for any Loan to be made by such Lender as provided in the foregoing provisions of this Article, and such funds are not made available to the Borrower by the Administrative Agent because the conditions to the applicable Loan set forth in Article Four are not satisfied or waived in accordance with the terms hereof, the Administrative Agent shall return such funds (in like funds as received from such Lender) to such Lender, without interest.</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2.03.</w:t>
      </w:r>
      <w:r>
        <w:rPr>
          <w:rFonts w:ascii="Times New Roman" w:hAnsi="Times New Roman"/>
          <w:color w:val="000000"/>
          <w:sz w:val="20"/>
          <w:u w:val="single"/>
        </w:rPr>
        <w:t xml:space="preserve"> </w:t>
      </w:r>
      <w:r>
        <w:rPr>
          <w:rFonts w:ascii="Times New Roman" w:hAnsi="Times New Roman"/>
          <w:b w:val="false"/>
          <w:color w:val="000000"/>
          <w:sz w:val="24"/>
          <w:u w:val="single"/>
        </w:rPr>
        <w:t>Reductions of Commitments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At any time during the Revolving Period the Borrower may, upon at least five Business Days’ prior written notice to the Administrative Agent and each Hedge Counterparty (with a copy to the Account Bank), reduce the Facility Amount, which shall be applied, unless otherwise consented to by the Administrative Agent, pro rata to the Commitments. Each partial reduction shall be in a minimum aggregate amount of $[***] or integral multiples of $[***] in excess thereof. Reductions of the Facility Amount pursuant to this Section shall be allocated to the Commitment of each Committed Lender, pro rata based on the Lender Percentage represented by such Commitment. Any request for a reduction in the Facility Amount shall be irrevocable and the Borrower shall deliver no more than four such requests in any 12-month period.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any reduction of the Facility Amount, the Borrower shall remit to the Administrative Agent, (i) instructions regarding such reduction (with a copy to the Administrative Agent) and (ii) for payment to each Lender, cash in an amount sufficient to pay the Aggregate Unpaids with respect to such reduction, including any associated Breakage Costs; provided, however, that no such reduction shall be given effect unless the Borrower has complied with the terms of any Hedging Agreement requiring that any Hedge Transaction related thereto be terminated in whole or in part as a result of any such reduction in the Loans Outstanding and the Borrower has paid all Hedge Breakage Costs due to the relevant Hedge Counterparty for any such termination. Upon receipt of any such amounts, the Administrative Agent shall apply such amounts first to the pro rata reduction of the Loans Outstanding, second to the payment of the remaining Aggregate Unpaids with respect thereto, including any Breakage Costs, by paying such amounts to the Lenders pro rata, based on their respective Lender Percentages, and third to pay any Hedge Breakage Costs related to such reduction of the Loans Outstanding due to the relevant Hedge Counterparty.</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pPr>
      <w:r>
        <w:rPr>
          <w:rFonts w:ascii="Times New Roman" w:hAnsi="Times New Roman"/>
          <w:color w:val="000000"/>
          <w:sz w:val="24"/>
        </w:rPr>
        <w:t xml:space="preserve">On the Commitment Termination Date, (i) the Commitment of each Lender shall be automatically reduced to zero, (ii) the Revolving Period shall immediately terminate; (iii) no further Loans or advances shall be made; and (iii) all Available Funds shall be applied to repay the Loans Outstanding in accordance with </w:t>
      </w:r>
      <w:r>
        <w:rPr>
          <w:rFonts w:ascii="Times New Roman" w:hAnsi="Times New Roman"/>
          <w:color w:val="000000"/>
          <w:sz w:val="24"/>
          <w:u w:val="single"/>
        </w:rPr>
        <w:t>Section 2.08</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2.04</w:t>
      </w:r>
      <w:r>
        <w:rPr>
          <w:rFonts w:ascii="Times New Roman" w:hAnsi="Times New Roman"/>
          <w:color w:val="000000"/>
          <w:sz w:val="20"/>
          <w:u w:val="single"/>
        </w:rPr>
        <w:t xml:space="preserve"> </w:t>
      </w:r>
      <w:r>
        <w:rPr>
          <w:rFonts w:ascii="Times New Roman" w:hAnsi="Times New Roman"/>
          <w:b w:val="false"/>
          <w:color w:val="000000"/>
          <w:sz w:val="24"/>
          <w:u w:val="single"/>
        </w:rPr>
        <w:t>Extensions of Commitments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So long as no Termination Event has occurred, the Borrower may request in writing, before the Commitment Proposed Extension Date, through the Administrative Agent, that each Committed Lender extend its Commitment Termination Date for an additional 180-day period as herein provided, which request may be granted or denied by each Committed Lender in its sole discretion. Upon</w:t>
      </w:r>
      <w:r>
        <w:rPr>
          <w:rFonts w:ascii="Times New Roman" w:hAnsi="Times New Roman"/>
          <w:color w:val="000000"/>
          <w:sz w:val="20"/>
        </w:rPr>
        <w:t xml:space="preserve"> </w:t>
      </w:r>
      <w:r>
        <w:rPr>
          <w:rFonts w:ascii="Times New Roman" w:hAnsi="Times New Roman"/>
          <w:b w:val="false"/>
          <w:color w:val="000000"/>
          <w:sz w:val="24"/>
        </w:rPr>
        <w:t>receipt of any such request, the Administrative Agent shall notify each Committed Lender. On or before the last day of the Election Period, each Committed Lender shall notify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Administrative Agent of its willingness or refusal to so extend its Commitment Termination Date, provided that the failure of any Committed Lender to timely respond shall be deemed to be its refusal to so extend, and the Administrative Agent shall notify the Borrower of such willingness or refusal by the Committed Lenders not later than the Business Day following the last day of the Election Period. If (i) one or more Committed Lenders have agreed to extend the Commitment Termination Date and (ii) at the end of the applicable Election Period, no Termination Event shall have occurred and be continuing, the Commitment Termination Date then in effect for each such Committed Lender shall be extended to the date which is 180 days following the last day of the Election Period or, if such day is not a Business Day, the next preceding Business Day (or any other date as agreed upon by the Borrower and each Committed Lender); provided, that if not all Committed Lenders, the Borrower may elect, by notice to the Administrative Agent, delivered not later than five Business Days after the end of the Election Period, not to have such extension become effective.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two Business Days following the end of an Election Period, the Administrative Agent shall notify each other Lender and the Borrower of the identity of any Dissenting Lender and the amount of its Commitment. The Borrower may (but shall not be required to) request one or more other Lenders or seek another financial institution reasonably acceptable to the Administrative Agent to acquire all or a portion of the Commitment of the Dissenting Lender and all amounts payable to it hereunder in accordance with Article Twelve. Each Dissenting Lender hereby agrees to assign all or a portion of its Commitment and the amounts payable to it hereunder to a replacement Lender identified by the Administrative Agent in accordance with the preceding sentence, subject to ratable payment of such Dissenting Lender’s Invested Percentage of the Loans Outstanding, together with all accrued and unpaid interest thereon, and a ratable portion of all fees and other amounts due to it hereunder.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five Business Days following the end of an Election Period, to the extent not acquired pursuant to Section 2.04(b), each Lender that is not a Dissenting Lender shall acquire a pro rata portion of all of the Loans Outstanding owned by the Dissenting Lender. Each Dissenting Lender hereby agrees to assign such Loans Outstanding and the amounts payable to it hereunder to such Lender, together with all accrued and unpaid interest thereon, and a ratable portion of all fees and other amounts due to it hereunder. Notwithstanding the foregoing, in no event shall a Committed Lender be required on any date to purchase a portion of the Loans Outstanding that would cause its Invested Percentage of the Loans Outstanding determined after giving effect to such purchase, to exceed its Commitment.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to the occurrence of a Termination Event, if a Partial Expiration Event has occurred, the Administrative Agent shall give notice to the Borrower and the Servicer to apply any Collections in accordance with Section 2.08(vi)(B), to the pro rata repayment of such amounts owing to any Non-Extending Lender as of the date of the related Partial Expiration Event, commencing no later than the first Payment Date which is at least two Business Days following the Commitment Termination Date for the Non-Extending Lender, specifying the amounts thereof.</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2.05. </w:t>
      </w:r>
      <w:r>
        <w:rPr>
          <w:rFonts w:ascii="Times New Roman" w:hAnsi="Times New Roman"/>
          <w:b w:val="false"/>
          <w:color w:val="000000"/>
          <w:sz w:val="24"/>
          <w:u w:val="single"/>
        </w:rPr>
        <w:t>The Notes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The Loans made by the Lenders hereunder shall be evidenced by one or more duly executed promissory notes payable to the Persons specified by the Owners, in an aggregate Principal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Amount of Loans Outstanding not to exceed the Aggregate Commitment, in substantially the form of Exhibit B hereto (each, a “Note” and collectively, the “Notes”). Each Note shall be dated the Closing Date and shall otherwise be duly completed. The maturity date of each Note shall be the Final Maturity Date or such later date as to which the Administrative Agent, with the consent of each Lender, shall notify the Borrower in writing.</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is hereby authorized to enter notations (which may be computer generated) on a schedule attached to the Note with respect to each Lender Advance made by each Lender hereunder, regarding (i) the date and Principal Amount thereof and (ii) each payment and repayment of principal thereof and any such recordation shall constitute prima facie evidence of the accuracy of the information so recorded. The failure of the Administrative Agent to make any such notation on the schedule attached to the Note shall not limit or otherwise affect the obligation of the Borrower to repay the Loans in accordance with their respective terms as set forth herein.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following the Facility Termination Date, the Administrative Agent shall mark each Note “Paid” and return it to the Borrower.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2.06.</w:t>
      </w:r>
      <w:r>
        <w:rPr>
          <w:rFonts w:ascii="Times New Roman" w:hAnsi="Times New Roman"/>
          <w:color w:val="000000"/>
          <w:sz w:val="20"/>
          <w:u w:val="single"/>
        </w:rPr>
        <w:t xml:space="preserve"> </w:t>
      </w:r>
      <w:r>
        <w:rPr>
          <w:rFonts w:ascii="Times New Roman" w:hAnsi="Times New Roman"/>
          <w:b w:val="false"/>
          <w:color w:val="000000"/>
          <w:sz w:val="24"/>
          <w:u w:val="single"/>
        </w:rPr>
        <w:t>Optional Principal Repayments; Interpayments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On any Business Day prior to the occurrence of a Termination Date, the Borrower may prepay all or a portion of the Loans Outstanding, on at least two Business Days’ prior notice to the Administrative Agent and each Hedge Counterparty (with a copy to the Account Bank); provided that (i) the amount prepaid is at least $[***] or integral multiples of $[***] in excess thereof (unless otherwise agreed to in writing by the Administrative Agent); (ii) the Borrower pays to the Administrative Agent, for the account of the Secured Parties, on the date of any such prepayment (a) accrued Interest with respect to the portion of the Loans Outstanding to be prepaid through the date of prepayment, as calculated by the Administrative Agent, and (b) all other Aggregate Unpaids (including all Breakage Costs, all Hedge Breakage Costs and any other amounts payable by the Borrower under or with respect to any Hedging Agreement) payable under this Agreement through the date of such prepayment, including any fees or other amounts payable pursuant to Section 10.01; (iii) the Borrower certifies that following such prepayment, the Borrower will be in compliance with the provisions of this Agreement; (iv) no such reduction shall be given effect unless the Borrower has complied with the terms of any Hedging Agreement requiring one or more Hedge Transactions be terminated in whole or in part as a result of any such reduction; and (v) the Borrower has paid all Hedge Breakage Costs due to the relevant Hedge Counterparty for such termination. Any notice of a prepayment shall be irrevocable. The Administrative Agent shall provide prompt notice to the Lenders following receipt of any notice of intent to prepay.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the related prepayment date the following shall be true and correct and the Borrower shall be deemed to have certified that after giving effect to such prepayment and the release to the Borrower of the related Receivables, (A) no adverse selection procedures shall have been used by the Borrower with respect to the Receivables that will remain part of the Collateral after giving effect to such prepayment, (B) no Termination Event, Unmatured Termination Event, Servicer Termination Event or Unmatured Servicer Termination Event shall have occurred nor will any such event occur as a result of such prepayment, (C) after giving effect to such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prepayment, (i) no Borrowing Base Deficiency shall have occurred, and (iii) no Overcollateralization Increase Event shall have occurred.</w:t>
      </w:r>
      <w:r>
        <w:rPr>
          <w:color w:val="000000"/>
        </w:rPr>
        <w:t xml:space="preserve">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or prior to the related prepayment date, the Borrower shall have delivered to the Administrative Agent a list specifying all Contracts relating to the Receivables to be released pursuant to such prepayment.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agrees to pay the reasonable out-of-pocket legal fees and expenses of the Account Bank, the Administrative Agent and the Lenders in connection with any prepayment (including expenses incurred in connection with the release of the Lien of the Administrative Agent, the Lenders and any other party having such an interest in the Receivables in connection with such prepayment).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provisions of Section 2.06(a), the Borrower may, prior to the occurrence of a Termination Event, and only if approved by the Administrative Agent in its sole discretion (and with written notice to the Account Bank), subject to the payment of all amounts set forth in Section 2.06(a), prepay all or any portion of the Loans Outstanding on any Business Day by making an Interpayment. On the Payment Date relating to the Collection Period during which an Interpayment is made, if required by the Administrative Agent, UACC shall deposit into the Collection Account an amount equal to the Monthly Accrued Interest Payment Amount.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2.07.</w:t>
      </w:r>
      <w:r>
        <w:rPr>
          <w:rFonts w:ascii="Times New Roman" w:hAnsi="Times New Roman"/>
          <w:color w:val="000000"/>
          <w:sz w:val="20"/>
          <w:u w:val="single"/>
        </w:rPr>
        <w:t xml:space="preserve"> </w:t>
      </w:r>
      <w:r>
        <w:rPr>
          <w:rFonts w:ascii="Times New Roman" w:hAnsi="Times New Roman"/>
          <w:b w:val="false"/>
          <w:color w:val="000000"/>
          <w:sz w:val="24"/>
          <w:u w:val="single"/>
        </w:rPr>
        <w:t>Payments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The Borrower shall pay Interest on the unpaid Principal Amount of each Loan for the period from the related Funding Date until the date that such Loan shall be paid in full. Interest shall accrue during each Interest Period and be payable on the Loans Outstanding on each Payment Date in accordance with Section 2.08, unless earlier paid pursuant to Section 2.06 or Section 2.15.</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Lender’s Invested Percentage of the Loans Outstanding shall bear interest for each Interest Period at a rate per annum equal to (i) the Interest Rate for such Interest Period or (ii) at Lender’s discretion, the Interest Rate for each day during each Interest Period.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Interest calculated by reference to the Interest Rate shall be calculated on the basis of a 360-day year (or, in the case of Alternate Base Rate Loans, the actual number of days in such year) for the actual number of days elapsed.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(t)</w:t>
      </w:r>
    </w:p>
    <w:p>
      <w:pPr>
        <w:pStyle w:val="TextBody"/>
        <w:bidi w:val="0"/>
        <w:spacing w:before="0" w:after="240"/>
        <w:jc w:val="both"/>
        <w:rPr/>
      </w:pPr>
      <w:r>
        <w:rPr>
          <w:rFonts w:ascii="Times New Roman" w:hAnsi="Times New Roman"/>
          <w:color w:val="000000"/>
          <w:sz w:val="24"/>
        </w:rPr>
        <w:t>The principal of and Interest on the Notes shall be paid as provided herein and in the Notes. Payments in respect of principal and Interest (including pursuant to Sections 2.06 and 2.15) shall be allocated and applied to Owners of such Note based on their respective Invested Percentages, or in any such case in such other proportions as each affected Lender may agree upon in writing from time to time with the Administrative Agent and the Borrower; provided that from and after the Commitment Termination Date for each Dissenting Lender until the earlier to occur of (i) the Termination Date and (ii) the date on which the aggregate amount of payments in reduction of Loans Outstanding made after the date of the occurrence of the related Partial Expiration Event equals the Partial Expiration Event Amount, payments pursuant to Section 2.08(vi)(B)</w:t>
      </w:r>
      <w:r>
        <w:rPr>
          <w:color w:val="000000"/>
        </w:rPr>
        <w:t xml:space="preserve"> </w:t>
      </w:r>
      <w:r>
        <w:rPr>
          <w:rFonts w:ascii="Times New Roman" w:hAnsi="Times New Roman"/>
          <w:color w:val="000000"/>
          <w:sz w:val="24"/>
        </w:rPr>
        <w:t>in reduction of the Partial Expiration Event Amount shall be allocated and applied to Non-Extending Lenders pro rata based on their respective Lender Percentages.</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(u)</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to the contrary herein or in any other Loan Document, the Administrative Agent will have the right to make Conforming Changes from time to time and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determination of the Interest Rate by the Administrative Agent pursuant to any provision of this Agreement shall be conclusive and binding on the Lenders and the Borrower in the absence of manifest error.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other provision of this Agreement or the other Basic Documents, if at any time the rate of interest payable by any Person under the Basic Documents exceeds the Maximum Lawful Rate, then, so long as the Maximum Lawful Rate would be exceeded, such rate of interest shall be equal to the Maximum Lawful Rate. If at any time thereafter the rate of interest so payable is less than the Maximum Lawful Rate, such Person shall continue to pay Interest at the Maximum Lawful Rate until such time as the total interest received from such Person is equal to the total Interest that would have been received had Applicable Law not limited the interest rate so payable. In no event shall the total Interest received by a Lender under this Agreement and the other Basic Documents exceed the amount which such Lender could lawfully have received, had the Interest due been calculated from the Closing Date at the Maximum Lawful Rate.</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2.08.</w:t>
      </w:r>
      <w:r>
        <w:rPr>
          <w:rFonts w:ascii="Times New Roman" w:hAnsi="Times New Roman"/>
          <w:color w:val="000000"/>
          <w:sz w:val="20"/>
          <w:u w:val="single"/>
        </w:rPr>
        <w:t xml:space="preserve"> </w:t>
      </w:r>
      <w:r>
        <w:rPr>
          <w:rFonts w:ascii="Times New Roman" w:hAnsi="Times New Roman"/>
          <w:b w:val="false"/>
          <w:color w:val="000000"/>
          <w:sz w:val="24"/>
          <w:u w:val="single"/>
        </w:rPr>
        <w:t>Settlement Procedures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On each Payment Date, the Servicer shall instruct the Account Bank to pay to the following Persons, from the Collection Account to the extent of Available Funds, the following amounts in the following order of priority, as set forth in the Monthly Report: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First, pro rata, (A) to the Servicer, the accrued and unpaid Servicing Fee and, to the extent not previously retained by the Servicer, all ancillary fees, including late fees, extension fees, administrative fees or similar charges allowed by Applicable Law and (B) to the Owner Trustee, the accrued and unpaid fees, costs and expenses and any other amounts not otherwise paid which are payable to the Owner Trustee under Article VII of the Trust Agreement, in an amount not to exceed $[***] per annum;</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Second, pro rata, (A) to the extent not paid for by UACC, to the Backup Servicer, so long as the Backup Servicer has not been appointed to serve as successor to the Servicer hereunder, the accrued and unpaid Backup Servicing Fee to the Backup Servicer, its accrued and unpaid expenses and indemnities (which expenses and indemnities prior to the occurrence of a Termination Event shall not exceed $[***] per annum), and any Transition Expenses not paid for by the predecessor Servicer pursuant to Section 7.15(e), (B) to the Account Bank, an amount equal to any accrued and unpaid Account Bank Fee, together with its accrued and unpaid expenses and indemnities (which expenses and indemnities prior to the occurrence of a Termination Event shall not exceed $[***] per annum), and (C) to the extent not previously paid, to the E-Vault Provider, any </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unpaid fees and expenses due and owing in respect of Electronic Contracts maintained in the Warehouse Vault Partition;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Third, to the extent not paid for by UACC, to the Custodian (if not UACC), the accrued and unpaid Custodian Fee and any accrued and unpaid expenses and indemnities;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Fourth, (A) to the Administrative Agent for the ratable payment to each Lender in an amount equal to any accrued and unpaid (1) Interest on the Loans (plus the Unused Fee), (2) Breakage Costs relating to any Loans and (3) all other Aggregate Unpaids allocable to the Loans Outstanding (other than the Principal Amount of the Loans Outstanding) then due under this Agreement to the Administrative Agent, the Lenders, the Affected Parties or the Indemnified Parties, for the payment thereof, (B) to the Hedge Counterparty, (1) any payments required under any Hedge Agreement and (2) any Hedge Breakage Costs due but not paid and (C) to the Successor Servicer, any unpaid Transition Expenses payable pursuant to Section 7.15(e), to the extent not paid pursuant to clause (ii) above;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Fifth, if an Overcollateralization Increase Event has occurred and is continuing, to the Administrative Agent for the ratable payment to each Lender, the remaining Available Funds in an amount necessary to reduce the Loans Outstanding until the Collateral Coverage Ratio is equal to the applicable Advance Rate;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Sixth, to the Administrative Agent for the ratable payment to each Lender, in an amount equal to the Monthly Principal Payment Amount;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Seventh, if (A) the Commitment Termination Date has occurred, the remaining Available Funds to reduce the Loans Outstanding and all other Aggregate Unpaids to zero or (B) a Partial Expiration Event has occurred, the remaining funds to reduce pro rata the portion of the Loans Outstanding constituting the Lender Advances of any Non-Extending Lender, to zero;</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Eighth, prior to the occurrence of the Termination Date, to the Reserve Account, the amount necessary to cause the amount on deposit therein to equal the Reserve Account Required Amount;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Ninth, to the Servicer, the Owner Trustee, the Backup Servicer, the Custodian (if other than UACC), the Account Bank and any Successor Servicer, any fees, expenses and indemnities not paid pursuant to clauses (i) through (iv) above; and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Tenth, any remaining amount shall be distributed to the Borrower.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2.09.</w:t>
      </w:r>
      <w:r>
        <w:rPr>
          <w:rFonts w:ascii="Times New Roman" w:hAnsi="Times New Roman"/>
          <w:color w:val="000000"/>
          <w:sz w:val="20"/>
          <w:u w:val="single"/>
        </w:rPr>
        <w:t xml:space="preserve"> </w:t>
      </w:r>
      <w:r>
        <w:rPr>
          <w:rFonts w:ascii="Times New Roman" w:hAnsi="Times New Roman"/>
          <w:b w:val="false"/>
          <w:color w:val="000000"/>
          <w:sz w:val="24"/>
          <w:u w:val="single"/>
        </w:rPr>
        <w:t>Mandatory Payments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The Borrower promises to pay to the Administrative Agent for the account of each related Lender, (i) upon the written request of the Administrative Agent, all Breakage Costs, the amount of which shall be determined by a Lender, set forth in a written notice to the Borrower and shall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conclusive absent manifest error, which amounts shall be paid in accordance with Section 2.08 and (ii) all other amounts required to be paid by the Borrower in accordance herewith.</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2.10.</w:t>
      </w:r>
      <w:r>
        <w:rPr>
          <w:rFonts w:ascii="Times New Roman" w:hAnsi="Times New Roman"/>
          <w:color w:val="000000"/>
          <w:sz w:val="20"/>
          <w:u w:val="single"/>
        </w:rPr>
        <w:t xml:space="preserve"> </w:t>
      </w:r>
      <w:r>
        <w:rPr>
          <w:rFonts w:ascii="Times New Roman" w:hAnsi="Times New Roman"/>
          <w:b w:val="false"/>
          <w:color w:val="000000"/>
          <w:sz w:val="24"/>
          <w:u w:val="single"/>
        </w:rPr>
        <w:t>Payments, Computations, Etc.</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expressly provided herein, all amounts to be paid or deposited by the Borrower hereunder shall be paid or deposited in accordance with the terms hereof no later than 12:00 p.m., New York, New York time, on the day when due in Dollars in immediately available funds to the depository account or accounts specified by the Administrative Agent of the Lender. Except as otherwise provided in Section 2.07, the Borrower shall, to the extent permitted by Applicable Law, pay to the Lender interest on all amounts not paid or deposited when due hereunder at the Default Rate, payable on demand; provided, however, that such interest rate shall not at any time exceed the Maximum Lawful Rate.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Whenever any payment hereunder (i) shall be stated to be due on a day other than a Business Day, such payment shall be made on the next succeeding Business Day, except in the case where the next succeeding Business Day would occur in the succeeding calendar month, in which case such payment shall be due on the preceding Business Day or (ii) is received after 12:00 p.m., New York, New York time, such payment shall be deemed to have been received on the next succeeding Business Day, and any such extension of time shall in such case be included in the computation of payment of Interest, other interest or any fee payable hereunder, as the case may be.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Loan requested by the Borrower and approved by a Lender and the Administrative Agent pursuant to Section 2.01 is not, for any reason (other than due to the gross negligence, bad faith or willful misconduct of such Lender), made or effectuated, as the case may be, on the date specified therefor, the Borrower shall indemnify such Lender against any reasonable loss, cost or expense incurred by such Lender, including any loss (including loss of anticipated profits, net of anticipated profits in the reemployment of such funds in the manner determined by such Lender), cost or expense incurred by reason of the liquidation or reemployment of deposits or other funds acquired by such Lender to fund or maintain such Loan.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(z)</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provided herein, all payments hereunder shall be made without set-off or counterclaim and in such amounts as may be necessary in order that all such payments shall not be less than the amounts otherwise specified to be paid under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that (i) any Person makes a payment to any party hereto or (ii) any such party receives or is deemed to have received any payment or proceeds for application to an obligation, which payment or proceeds or any part thereof are subsequently invalidated, declared to be fraudulent or preferential, set aside or required to be repaid to a trustee, receiver or any other party under any Insolvency Law, State or federal law, common law or for equitable cause, then, to the extent such payment or proceeds are set aside, the obligation or part thereof intended to be satisfied shall be revived and continue in full force and effect, as if such payment or proceeds had not been received or deemed received by such related party.</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2.11.</w:t>
      </w:r>
      <w:r>
        <w:rPr>
          <w:rFonts w:ascii="Times New Roman" w:hAnsi="Times New Roman"/>
          <w:color w:val="000000"/>
          <w:sz w:val="20"/>
          <w:u w:val="single"/>
        </w:rPr>
        <w:t xml:space="preserve"> </w:t>
      </w:r>
      <w:r>
        <w:rPr>
          <w:rFonts w:ascii="Times New Roman" w:hAnsi="Times New Roman"/>
          <w:b w:val="false"/>
          <w:color w:val="000000"/>
          <w:sz w:val="24"/>
          <w:u w:val="single"/>
        </w:rPr>
        <w:t>Collections and Allocations; Investment of Funds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On or before the Closing Date or the applicable Funding Date (with respect to Subsequent Receivables), the Borrower or the Servicer shall have instructed all related Obligors to make all payments in respect of the related Receivables that are made by (i) mail, to be made directly to the Post Office Boxes and (ii) electronic payments, to be made to the Local Bank Account; provided, that such payments may also be directed to and accepted by the Servicer in accordance with the Credit and Collection Policy. The Servicer shall provide the Local Bank with standing instructions to remit all cleared funds in the Local Bank Account to the Collection Account on a daily basis. The Servicer shall have access to the Post Office Boxes at all times until the occurrence of a Servicer Termination Event or a Termination Event, following which time (except as otherwise agreed in writing by the Administrative Agent) the Servicer shall no longer have access to the Post Office Boxes and [***], on behalf of the Administrative Agent and the other secured parties as set forth in the Intercreditor Agreement and the Intercreditor Party Supplement, shall have exclusive access to the Post Office Boxes. The Servicer shall direct the Local Bank to remove all payments on or in respect of the Receivables from the Post Office Boxes on each Business Day and shall deposit such amounts into the Local Bank Account on such Business Day. The Servicer and the Borrower shall remit to the Collection Account as soon as practicable, but in no event later than two Business Days after receipt thereof, all other Collections, and at all times prior to such remittance, the Servicer shall hold the same in trust for the benefit of the Administrative Agent. If UACC is no longer the Servicer, the removal of all payments from the Post Office Boxes and deposit thereof into the Local Bank Account shall be performed by the Successor Servicer unless otherwise designated by the Administrative Agent in writing.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Closing Date and on each Funding Date, the Servicer will deposit (in immediately available funds) into the Collection Account all Collections available after the applicable Cutoff Date and through and including the Closing Date or Funding Date, as the case may be, in respect of Receivables added to the Collateral on the related date. The Servicer will deposit all Collections received into the Collection Account within two Business Days of receipt.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shall be entitled to retain and to be reimbursed for all amounts remitted by or on behalf of the Obligors to the Servicer under the terms of, or with respect to the related Receivables, that represent ancillary fees, including late fees, extension fees, administrative fees or similar charges allowed by Applicable Law.</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each Payment Date (i) during the Revolving Period, the Servicer shall direct the Account Bank, pursuant to the Monthly Report, to withdraw from the Reserve Account the Reserve Account Withdrawal Amount, if any, and deposit such amount into the Collection Account to be applied in accordance with Section 2.08 and (ii) following the occurrence of the Termination Date, the Servicer shall direct the Account Bank, pursuant to the Monthly Report, to withdraw the Reserve Account Amount from the Reserve Account and deposit such amount into the Collection Account to be applied in accordance with Section 2.08.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there are uninvested amounts on deposit in the Collection Account and/or the Reserve Account, such amounts shall be invested in Permitted Investments that mature no later than the Business Day before the next Payment Date, which Permitted Investments shall be selected (i) prior to the occurrence of any Termination Event or a Servicer Termination Event, </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the Borrower or (ii) from and after the occurrence of any Termination Event or a Servicer Termination Event, by the Administrative Agent. Absent such written direction, funds in the Collection Account and Reserve Account shall remain uninvested. No Permitted Investment may be purchased at a premium. Any earnings (and losses) on the foregoing investments shall be for the account of the Borrower. Each of the Borrower and the Administrative Agent acknowledges that upon its written request and at no additional cost, it has the right to receive notification after the completion of each purchase and sale of permitted investments or Account Bank’s receipt of a broker’s confirmation. Each of the Borrower and the Administrative Agent agrees that such notifications shall not be provided by the Account Bank hereunder, and the Account Bank shall make available, upon request and in lieu of notifications, periodic account statements that reflect such investment activity. No statement need be made available for any account if no activity has occurred in such account during such period.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earnings on amounts in the Reserve Account shall (i) to the extent necessary, remain on deposit in the Reserve Account until the amount on deposit therein is equal to or greater than the Reserve Account Required Amount and (ii) be deposited into the Collection Account if the amount on deposit in the Reserve Account is greater than the Reserve Account Required Amount after giving effect to all withdrawals and deposits to the Reserve Account on the immediately preceding Payment Date.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2.12.</w:t>
      </w:r>
      <w:r>
        <w:rPr>
          <w:rFonts w:ascii="Times New Roman" w:hAnsi="Times New Roman"/>
          <w:color w:val="000000"/>
          <w:sz w:val="20"/>
          <w:u w:val="single"/>
        </w:rPr>
        <w:t xml:space="preserve"> </w:t>
      </w:r>
      <w:r>
        <w:rPr>
          <w:rFonts w:ascii="Times New Roman" w:hAnsi="Times New Roman"/>
          <w:b w:val="false"/>
          <w:color w:val="000000"/>
          <w:sz w:val="24"/>
          <w:u w:val="single"/>
        </w:rPr>
        <w:t>Fees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The Borrower hereby agrees to pay to the Administrative Agent, for the account of the related Lenders, monthly in arrears, the Unused Fee from the Collection Account in accordance with Section 2.08. Payments of the Unused Fee shall be allocated and paid to Owners based upon their respective Invested Percentages for the applicable Interest Period.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any Successor Servicer, the Backup Servicer, the Account Bank and the Custodian shall be entitled to receive any accrued and unpaid Servicing Fee, Backup Servicing Fee, Account Bank Fee and Custodian Fee due to them, respectively, in accordance with Section 2.08.</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shall have paid to the Administrative Agent, on or before the Restatement Closing Date, any fees set forth in the Fee Letter to be paid on the Restatement Closing Date and any reasonable out-of-pocket fees and expenses (including the fees and expense of its outside counsel in connection with the preparation, negotiation and execution of this Agreement and those charged by any nationally recognized statistical rating organization in connection with reviewing the transactions contemplated by this Agreement) in immediately available funds.</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2.13.</w:t>
      </w:r>
      <w:r>
        <w:rPr>
          <w:rFonts w:ascii="Times New Roman" w:hAnsi="Times New Roman"/>
          <w:color w:val="000000"/>
          <w:sz w:val="20"/>
          <w:u w:val="single"/>
        </w:rPr>
        <w:t xml:space="preserve"> </w:t>
      </w:r>
      <w:r>
        <w:rPr>
          <w:rFonts w:ascii="Times New Roman" w:hAnsi="Times New Roman"/>
          <w:b w:val="false"/>
          <w:color w:val="000000"/>
          <w:sz w:val="24"/>
          <w:u w:val="single"/>
        </w:rPr>
        <w:t>Increased Costs; Capital Adequacy; Illegality; Rating Requests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If either (i) the introduction of or any change (including any change by way of imposition or increase of reserve requirements) in or in the interpretation of any Applicable Law or (ii) the compliance by a Lender or any of its Affiliates (each, an “Affected Party”) with any guideline or request from any Governmental Authority (whether or not having the force of law), shall (A) subject an Affected Party to any Tax (except for Excluded Taxes and any Indemnified Taxes), duty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or other charge with respect to a Loan hereunder, or on any payment made hereunder, (B) impose any cost pursuant to Section 2.13(f), (C) impose, modify or deem applicable any reserve requirement (including any reserve requirement imposed by the Federal Reserve Board, but excluding any reserve requirement, if any, included in the determination of Interest), special deposit or similar requirement against assets of, deposits with or for the amount of, or credit extended by, any Affected Party or (D) impose any other condition affecting a Loan or an Affected Party’s rights hereunder, then within 30 days after demand by such Affected Party (which demand shall be accompanied by a statement setting forth the basis for such demand), the Borrower shall pay directly to such Affected Party such additional amount or amounts as will compensate such Affected Party for such additional or increased cost incurred or such reduction suffered.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either (i) the introduction of or any change in or in the interpretation of any law, guideline, rule, regulation, directive or request (including the Dodd-Frank Act, Basel II or Basel III) or (ii) compliance by any Affected Party with any law, guideline, rule, regulation, directive or request from any central bank or other Governmental Authority (whether or not having the force of law), including compliance by an Affected Party with any request or directive regarding capital adequacy (including the Dodd-Frank Act, Basel II or Basel III), then from time to time, within 30 days after demand by such Affected Party (which demand shall be accompanied by a statement setting forth the basis for such demand), the Borrower shall pay directly to such Affected Party such additional amount or amounts as will compensate such Affected Party for such reduction.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(jj)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(kk)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determining any amount provided for in this Section, the Affected Party may use any reasonable averaging and attribution methods. Any Affected Party making a claim under this Section shall submit to the Borrower a certificate as to such additional or increased cost or reduction, which certificate shall be conclusive absent manifest error.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Borrower is required to pay additional amounts to or for the benefit of any Affected Party pursuant to this Section as a result of a change of Applicable Law occurring after such Affected Party first became a party to this Agreement, such Affected Party will, at the Borrower’s request, change the jurisdiction of its applicable lending office if, in the sole judgment of such Affected Party, such change (i) will eliminate or reduce any such additional payment which may thereafter accrue and (ii) will not, in the judgment of such Affected Party, be otherwise disadvantageous to it or inconsistent with its internal policies.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(mm)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(nn)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any Owner or Committed Lender has, or anticipates having, any claim for compensation under the FAS 166/167 Rules against the Borrower, and such Owner or Committed Lender believes that having the transactions contemplated by this Agreement publicly rated by a Rating Agency or qualifying under the supervisory formula approach under Basel II or Basel III would reduce the amount of such compensation by an amount deemed by such Owner or Committed Lender to be material, the Administrative Agent, on behalf of such Owner or Committed Lender shall provide a Rating Request to the Borrower and the Servicer. The Borrower and the Servicer shall cooperate with the Administrative Agent’s efforts to obtain the Required Rating from the Rating Agency specified in the Rating Request within 60 days following delivery </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of any Rating Request, and shall provide directly or through distribution to the Administrative Agent or Owner any information such Rating Agency may require for purposes of providing and monitoring the Required Rating. The Borrower shall pay the initial fees payable to the Rating Agency in connection with a Rating Request, and the Servicer shall pay any subsequent or ongoing fees.</w:t>
      </w:r>
      <w:r>
        <w:rPr>
          <w:color w:val="00000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2.14.</w:t>
      </w:r>
      <w:r>
        <w:rPr>
          <w:rFonts w:ascii="Times New Roman" w:hAnsi="Times New Roman"/>
          <w:b w:val="false"/>
          <w:color w:val="000000"/>
          <w:sz w:val="24"/>
          <w:u w:val="single"/>
        </w:rPr>
        <w:t>Taxes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All payments made by the Obligor with respect to any Receivable and by the Borrower in respect of any Loan and all other payments made by the Borrower or the Servicer under this Agreement will be made free and clear of and without deduction or withholding for or on account of any Taxes, unless such withholding or deduction is required by Applicable Law. In such event, the Borrower shall pay to the appropriate taxing authority any such Taxes. If such Taxes are Indemnified Taxes, the Borrower shall increase the amount payable to each Lender or the Administrative Agent, as the case may be (such increase, the “Additional Amount”) such that every net payment made under this Agreement after deduction or withholding for or on account of any Non- Excluded Taxes (including any deduction or withholding for or on account of such Additional Amount) is not less than the amount that would have been paid had no such deduction or withholding been deducted or withheld.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(oo)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will indemnify each Lender and the Administrative Agent for the full amount of Indemnified Taxes (including any Indemnified Taxes imposed by any jurisdiction on such Additional Amounts) paid by such Lender or the Administrative Agent or required to be withheld or deducted from a payment to such Lender or the Administrative Agent, as the case may be, and any liability (including penalties, interest and expenses) arising therefrom or with respect thereto whether or not such Indemnified Taxes were correctly or legally imposed or asserted by the relevant governmental authority; provided, however, that the Lender or Administrative Agent making a demand for indemnity payment hereunder shall provide the Borrower with a certificate from the relevant taxing authority or from a Responsible Officer of such Lender or the Administrative Agent stating or otherwise evidencing that such Lender or the Administrative Agent has made payment of such Taxes and will provide a copy of or extract from documentation, if available, furnished by such taxing authority evidencing assertion or payment of such Taxes. This indemnification shall be made within 10 days from the date a Lender or the Administrative Agent, as the case may be, makes demand therefor.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(pp)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soon as practicable and at least within 30 days after the date of any payment by the Borrower of any Taxes pursuant to this Section, the Borrower will furnish to the Administrative Agent, at its address set forth under its name on the signature pages hereof, appropriate evidence of payment thereof.</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(qq)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a Lender is a Non-U.S. Lender, such Lender shall, to the extent that it may then do so under Applicable Law, deliver to the Borrower, with a copy to the Administrative Agent and the Account Bank, (i) on or prior to becoming a Lender under this Agreement, (ii) within 15 days after reasonable written request of the Borrower, and (iii) upon the obsolescence of or after the occurrence of any event requiring a change in any form or certificate previously delivered pursuant to this Section 2.14(d), a duly completed copy of the applicable IRS Form W-8 (or any successor forms or other certificates or statements which may be required from time to time by the relevant </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U.S. taxing authorities or Applicable Law), including all required attachments, to permit the Borrower to make payments hereunder for the account of such Lender, as the case may be, without deduction or withholding of U.S. federal income or similar Taxes. Any Non-U.S. Lender that is claiming an exemption from U.S. withholding tax under Code Section 871(h) or 881(c) shall provide, in addition to the documentation required by the preceding sentence, a properly executed certificate representing that such Non-U.S. Lender is not a “bank” for purposes of Code Section 881(c), is not a “10 percent shareholder” of the Borrower within the meaning of Code Section 871(h)(3)(B), and is not a “controlled foreign corporation” related to the Borrower within the meaning of Code Section 864(d)(4). If a Lender is a “U.S. Person” as defined in Code Section 7701(a)(30), such Lender shall, to the extent that it may do so under Applicable Law, deliver to the Borrower, with a copy to the Administrative Agent, (i) on or prior to becoming a Lender under this Agreement, (ii) within 15 days after reasonable written request of the Borrower, and (iii) upon the obsolescence of or after the occurrence of any event requiring a change in any form or certificate previously delivered pursuant to this Section 2.14(d) and upon written request of the Borrower, a duly completed copy of the IRS Form W-9 (or any successor forms or other certificates or statements which may be required from time to time by the relevant U.S. taxing authorities or Applicable Law). Upon request from the Account Bank, the Borrower will provide such additional information that it may have to assist the Account Bank in making any withholdings or informational reports, if any.</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(rr)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payment made to a Lender in respect of any Loan or under this Agreement would be subject to U.S. federal withholding tax imposed by FATCA if the recipient of such payment were to fail to comply with the applicable reporting requirements of FATCA (including the requirements of Code Sections 1471(b) or 1472(b), as applicable), such recipient shall deliver to the Borrower, with a copy to the Administrative Agent and the Account Bank, at the time or times prescribed by Applicable Law and at such time or times reasonably requested by the Borrower or the Administrative Agent, such documentation prescribed by Applicable Law (including as prescribed by Code Section 1471(b)(3)(C)(i)) and such additional documentation reasonably requested by the Borrower or the Administrative Agent to comply with its obligations under FATCA), to the determine that such recipient has complied with such recipient’s obligations under FATCA, or to determine the amount to deduct and withhold from such payment. Solely for purposes of this Section 2.14(e), “FATCA” shall include any amendments made to FATCA after the date of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30 days of the written request of the Borrower therefor, the Administrative Agent and the Lender, as appropriate, shall execute and deliver to the Borrower such certificates, forms or other documents which can be furnished consistent with the facts and which are reasonably necessary to assist the Borrower in applying for refunds of Taxes remitted hereunder; provided, however, that (i) the Administrative Agent and the Lender shall not be required to deliver such certificates, forms or other documents if in their respective sole discretion it is determined that the deliverance of such certificate, form or other document would have a material adverse effect on the Administrative Agent or Lender and (ii) the Borrower shall reimburse the Administrative Agent or Lender for any reasonable expenses incurred in the delivery of such certificate, form or other document.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(tt)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Borrower has entered in this Agreement, and the Notes will be issued with the intention that, for federal, State and local income, single business and franchise tax purposes, the </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Notes will qualify as indebtedness of the Borrower, secured by the Collateral. The Borrower, by entering into this Agreement, and the Administrative Agent, by its acceptance of the Notes (and each Lender, or other Person designated by a Lender, by its acceptance of an interest in the applicable Note), agree to treat the Notes for federal, State and local income, single business and franchise tax purposes as indebtedness of the Borrower.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2.15.</w:t>
      </w:r>
      <w:r>
        <w:rPr>
          <w:rFonts w:ascii="Times New Roman" w:hAnsi="Times New Roman"/>
          <w:color w:val="000000"/>
          <w:sz w:val="20"/>
          <w:u w:val="single"/>
        </w:rPr>
        <w:t xml:space="preserve"> </w:t>
      </w:r>
      <w:r>
        <w:rPr>
          <w:rFonts w:ascii="Times New Roman" w:hAnsi="Times New Roman"/>
          <w:b w:val="false"/>
          <w:color w:val="000000"/>
          <w:sz w:val="24"/>
          <w:u w:val="single"/>
        </w:rPr>
        <w:t>Securitizations.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any Business Day, the Borrower shall have the right to prepay all or (subject to clause (iv) below) a portion of the Loans Outstanding and request the Administrative Agent to release its security interest and Lien on the related Receivables (and the related Collateral) in connection with a Securitization, subject to the following terms and conditions: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pPr>
      <w:r>
        <w:rPr>
          <w:rFonts w:ascii="Times New Roman" w:hAnsi="Times New Roman"/>
          <w:color w:val="000000"/>
          <w:sz w:val="24"/>
        </w:rPr>
        <w:t xml:space="preserve">The Borrower shall have given the Administrative Agent, each Hedge Counterparty, the Account Bank, the Backup Servicer and the Custodian at least five (5) Business Days’ prior written notice of its intent to effect a Securitization and, at least two (2) Business Days prior to the closing of the Securitization, shall provide the Administrative Agent with all information reasonably required by it to produce the related Securitization Release, substantially in the form attached hereto as </w:t>
      </w:r>
      <w:r>
        <w:rPr>
          <w:rFonts w:ascii="Times New Roman" w:hAnsi="Times New Roman"/>
          <w:color w:val="000000"/>
          <w:sz w:val="24"/>
          <w:u w:val="single"/>
        </w:rPr>
        <w:t>Exhibit I</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a Securitization is to be effected on a Payment Date (in which case the relevant calculations with respect to such Securitization shall be reflected on the applicable Monthly Report), the Borrower shall deliver to the Administrative Agent a Securitization Date Certificate and the Servicer shall deliver an updated data tape, together with evidence to the reasonable satisfaction of the Administrative Agent that the Borrower shall have sufficient funds on the related Securitization Date to effect such Securitization in accordance with this Agreement, which funds may come from the proceeds of sales of the Receivables in connection with such Securitization (which sales must be made in arm’s-length transactions).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(iii)</w:t>
      </w:r>
    </w:p>
    <w:p>
      <w:pPr>
        <w:pStyle w:val="TextBody"/>
        <w:bidi w:val="0"/>
        <w:spacing w:before="0" w:after="240"/>
        <w:jc w:val="both"/>
        <w:rPr/>
      </w:pPr>
      <w:r>
        <w:rPr>
          <w:rFonts w:ascii="Times New Roman" w:hAnsi="Times New Roman"/>
          <w:color w:val="000000"/>
          <w:sz w:val="24"/>
        </w:rPr>
        <w:t xml:space="preserve">On the related Securitization Date, the following shall be true and correct and the Borrower shall be deemed to have certified that, after giving effect to the Securitization and the release to the Borrower of the related Receivables (and the other related Collateral) on the related Securitization Date, (A) no adverse selection procedure shall have been used by the Borrower with respect to the Receivables that will remain subject to this Agreement after giving effect to the Securitization (except as is necessary to comply with normal and customary eligibility criteria for asset-backed securities transactions involving retail auto loan receivables similar to the Receivables), (B) the representations and warranties contained in </w:t>
      </w:r>
      <w:r>
        <w:rPr>
          <w:rFonts w:ascii="Times New Roman" w:hAnsi="Times New Roman"/>
          <w:color w:val="000000"/>
          <w:sz w:val="24"/>
          <w:u w:val="single"/>
        </w:rPr>
        <w:t>Sections 5.01</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5.02</w:t>
      </w:r>
      <w:r>
        <w:rPr>
          <w:color w:val="000000"/>
        </w:rPr>
        <w:t xml:space="preserve"> </w:t>
      </w:r>
      <w:r>
        <w:rPr>
          <w:rFonts w:ascii="Times New Roman" w:hAnsi="Times New Roman"/>
          <w:color w:val="000000"/>
          <w:sz w:val="24"/>
        </w:rPr>
        <w:t>are true and correct in all material respects, except to the extent relating to an earlier date, (C) no Unmatured Termination Event, Termination Event, Servicer Termination Event or Unmatured Servicer Termination Event, has occurred or results from such Securitization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the related Securitization Date, the Administrative Agent shall have received, for the benefit of the Secured Parties, in immediately available funds, (A) an amount equal to all unpaid Interest (including Interest not yet accrued) to the extent reasonably estimated by the Administrative Agent to be attributable to that portion of the </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aggregate Loans Outstanding to be paid in connection with the Securitization, (B) an aggregate amount equal to the sum of all other amounts due and owing to the Administrative Agent, the Owner Trustee, the Lenders and the Hedge Counterparties, as applicable, under this Agreement and the other Basic Documents, to the extent accrued to such date and to accrue thereafter (including any Breakage Costs and Hedge Breakage Costs) and (C) all other Aggregate Unpaids then due and payable with respect thereto. The amount paid pursuant to (1) clause (A) shall be deposited in the Collection Account to be applied as Available Funds pursuant to </w:t>
      </w:r>
      <w:r>
        <w:rPr>
          <w:rFonts w:ascii="Times New Roman" w:hAnsi="Times New Roman"/>
          <w:color w:val="000000"/>
          <w:sz w:val="24"/>
          <w:u w:val="single"/>
        </w:rPr>
        <w:t>Section 2.08</w:t>
      </w:r>
      <w:r>
        <w:rPr>
          <w:color w:val="000000"/>
        </w:rPr>
        <w:t xml:space="preserve"> </w:t>
      </w:r>
      <w:r>
        <w:rPr>
          <w:rFonts w:ascii="Times New Roman" w:hAnsi="Times New Roman"/>
          <w:color w:val="000000"/>
          <w:sz w:val="24"/>
        </w:rPr>
        <w:t>on the next Payment Date (or on such Payment Date, if the Securitization Date is on a Payment Date) and (2) clauses (B) and (C) shall be paid to the Persons to whom such amounts are to be owed on such Securitization Date. In the event that the Administrative Agent subsequently determines that the actual accrued and unpaid Interest attributable to that portion of the aggregate Loans Outstanding paid in connection with the Securitization is in excess of the amount of accrued and unpaid Interest estimated pursuant to the foregoing clause (A), the Borrower will remit or cause to be remitted the amount of such excess to the Administrative Agent promptly upon request.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related Securitization Date, the Servicer shall have received, in immediately available funds, all amounts due and payable by the Borrower to the Servicer under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agrees to pay the reasonable legal fees, expenses and indemnities of the Administrative Agent, the Custodian, the Backup Servicer, the Account Bank, the Servicer and the Lenders in connection with any Securitization (including expenses incurred in connection with the release of the Lien of the Administrative Agent, the Lenders and any other party having such an interest in the Receivables in connection with such Securitization).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any Securitization, on the related Securitization Date, subject to satisfaction of the conditions referred to in this Section, the Administrative Agent shall, at the expense of the Borrower, (i) execute such instruments of release with respect to the portion of the Receivables (and the other related Collateral) to be released to the Borrower, including a Securitization Release, in favor of the Borrower as the Borrower may reasonably request, (ii) deliver or cause to be delivered any portion of the Receivables (and the other related Collateral) to be released to the Borrower to the Borrower and (iii) otherwise take such actions, and cause or permit the Servicer to take such actions, as are necessary and appropriate to release the Lien of the Administrative Agent on the portion of the Receivables (and the other related Collateral) to be released to the Borrower and deliver to the Borrower such Receivables and related Collateral.</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2.16.</w:t>
      </w:r>
      <w:r>
        <w:rPr>
          <w:rFonts w:ascii="Times New Roman" w:hAnsi="Times New Roman"/>
          <w:color w:val="000000"/>
          <w:sz w:val="20"/>
          <w:u w:val="single"/>
        </w:rPr>
        <w:t xml:space="preserve"> </w:t>
      </w:r>
      <w:r>
        <w:rPr>
          <w:rFonts w:ascii="Times New Roman" w:hAnsi="Times New Roman"/>
          <w:b w:val="false"/>
          <w:color w:val="000000"/>
          <w:sz w:val="24"/>
          <w:u w:val="single"/>
        </w:rPr>
        <w:t>Sharing of Payments, Etc.</w:t>
      </w:r>
    </w:p>
    <w:p>
      <w:pPr>
        <w:pStyle w:val="TextBody"/>
        <w:bidi w:val="0"/>
        <w:spacing w:before="0" w:after="240"/>
        <w:jc w:val="both"/>
        <w:rPr>
          <w:rFonts w:ascii="Times New Roman" w:hAnsi="Times New Roman"/>
          <w:sz w:val="20"/>
        </w:rPr>
      </w:pPr>
      <w:r>
        <w:rPr>
          <w:rFonts w:ascii="Times New Roman" w:hAnsi="Times New Roman"/>
          <w:color w:val="000000"/>
          <w:sz w:val="24"/>
        </w:rPr>
        <w:t>If, other than as expressly provided elsewhere herein, any Lender shall obtain on account of the Notes owned by it any payment in excess of its Invested Percentage in such payment, such Lender shall immediately (i) notify the Administrative Agent of such fact and (ii) purchase from the other Lenders such participations made by them as shall be necessary to cause such purchasing Lender to share the excess payment pro rata (based on the Lender Percentage of each Lender) with each of them; provided, however, that if all or any portion of such excess payment is thereafter recovered from the purchasing Lender, such purchase shall to that extent be rescinded and each other Lender shall repay to the purchasing Lender the purchase price paid therefor, together with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amount equal to such paying Lender’s ratable share (according to the proportion of (a) the amount of such paying Lender’s required repayment to (b) the total amount so recovered from the purchasing Lender) of any interest or other amount paid or payable by the purchasing Lender in respect of the total amount so recovered. The Borrower agrees that any Lender so purchasing a participation from another Lender may, to the fullest extent permitted by Applicable Law, exercise all its rights of payment (including the right of set-off) with respect to such participation as fully as if such Lender was the direct creditor of the Borrower in the amount of such participation. The Administrative Agent will keep records (which shall be conclusive and binding in the absence of manifest error) of participations purchased under this Section.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2.17.</w:t>
      </w:r>
      <w:r>
        <w:rPr>
          <w:rFonts w:ascii="Times New Roman" w:hAnsi="Times New Roman"/>
          <w:color w:val="000000"/>
          <w:sz w:val="20"/>
          <w:u w:val="single"/>
        </w:rPr>
        <w:t xml:space="preserve"> </w:t>
      </w:r>
      <w:r>
        <w:rPr>
          <w:rFonts w:ascii="Times New Roman" w:hAnsi="Times New Roman"/>
          <w:b w:val="false"/>
          <w:color w:val="000000"/>
          <w:sz w:val="24"/>
          <w:u w:val="single"/>
        </w:rPr>
        <w:t>The Account Bank</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The Borrower hereby appoints [***] as the initial Account Bank. All payments of amounts due and payable in respect of the Obligations that are to be made from amounts withdrawn from the Collection Account or the Reserve Account shall be made on behalf of the Borrower by the Account Bank in accordance with Section 2.08.</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The Account Bank shall be compensated for its activities hereunder and the Account Control Agreement by receiving the Account Bank Fee. The Account Bank Fee shall be payable in accordance with the priorities specified in Section 2.08 or, at the option of UACC, may be paid directly to the Account Bank by UACC. The Borrower shall indemnify the Account Bank and its officers, directors, employees and agents for, and hold them harmless against any fee, damage, loss, liability or expense incurred (including the reasonable fees and expenses of counsel and court costs, including, without limitation, those incurred in connection with any enforcement (including any action, claim, or suit brought) by the Account Bank of any indemnification or other obligation of Borrower), other than in connection with the willful misconduct, gross negligence or bad faith on the part of the Account Bank, arising out of or in connection with (i) the performance of its obligations under and in accordance with this Agreement and the Account Control Agreement, including the costs and expenses of defending itself against any claim or liability in connection with the exercise or performance of any of its powers or duties under this Agreement or the Account Control Agreement and (ii) the negligence, willful misconduct or bad faith of the Borrower in the performance of its duties hereunder or thereunder. All such amounts shall be payable in accordance with Section 2.08. The provisions of this Section shall survive the resignation or removal of any party and the termination or assignment of this Agreement. Anything in this Agreement or the Account Control Agreement to the contrary notwithstanding, in no event shall Account Bank be liable for special, indirect or consequential loss or damage of any kind whatsoever (including, but not limited to, lost profits), even if Account Bank has been advised of the likelihood of such loss or damage and regardless of the form of action.</w:t>
      </w:r>
    </w:p>
    <w:p>
      <w:pPr>
        <w:pStyle w:val="TextBody"/>
        <w:bidi w:val="0"/>
        <w:jc w:val="left"/>
        <w:rPr/>
      </w:pPr>
      <w:r>
        <w:rPr/>
        <w:t> </w:t>
      </w:r>
    </w:p>
    <w:p>
      <w:pPr>
        <w:pStyle w:val="TextBody"/>
        <w:bidi w:val="0"/>
        <w:jc w:val="both"/>
        <w:rPr>
          <w:rFonts w:ascii="Times New Roman" w:hAnsi="Times New Roman"/>
          <w:color w:val="1F3763"/>
          <w:sz w:val="24"/>
        </w:rPr>
      </w:pPr>
      <w:r>
        <w:rPr>
          <w:rFonts w:ascii="Times New Roman" w:hAnsi="Times New Roman"/>
          <w:color w:val="1F3763"/>
          <w:sz w:val="24"/>
        </w:rPr>
        <w:t>THE FOREGOING INDEMNIFICATION SHALL APPLY WHETHER OR NOT SUCH LIABILITIES AND COSTS ARE IN ANY WAY OR TO ANY EXTENT OWED, IN WHOLE OR IN PART, UNDER ANY CLAIM OR THEORY OF STRICT LIABILITY.</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The Account Bank shall be liable in accordance herewith only to the extent of the obligations specifically undertaken by the Account Bank in such capacity herein and under the Account Control Agreement. No implied covenants or obligations shall be read into this Agreement or the Account Control Agreement against the Account Bank and, in the absence of bad faith on the part of the Account Bank, the Account Bank may conclusively rely on the truth of the statements and the correctness of the opinions expressed in any certificates or opinions furnished to the Account Bank pursuant to and conforming to the requirements of this Agreement.</w:t>
      </w:r>
    </w:p>
    <w:p>
      <w:pPr>
        <w:pStyle w:val="TextBody"/>
        <w:bidi w:val="0"/>
        <w:jc w:val="left"/>
        <w:rPr/>
      </w:pPr>
      <w:r>
        <w:rPr/>
        <w:t> </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(d)</w:t>
      </w:r>
    </w:p>
    <w:p>
      <w:pPr>
        <w:pStyle w:val="TextBody"/>
        <w:bidi w:val="0"/>
        <w:jc w:val="both"/>
        <w:rPr>
          <w:rFonts w:ascii="Times New Roman" w:hAnsi="Times New Roman"/>
          <w:color w:val="000000"/>
          <w:sz w:val="24"/>
        </w:rPr>
      </w:pPr>
      <w:r>
        <w:rPr>
          <w:rFonts w:ascii="Times New Roman" w:hAnsi="Times New Roman"/>
          <w:color w:val="000000"/>
          <w:sz w:val="24"/>
        </w:rPr>
        <w:t>The Account Bank shall not be liable for:</w:t>
      </w:r>
    </w:p>
    <w:p>
      <w:pPr>
        <w:pStyle w:val="TextBody"/>
        <w:bidi w:val="0"/>
        <w:jc w:val="left"/>
        <w:rPr/>
      </w:pPr>
      <w:r>
        <w:rPr/>
        <w:t> </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(i)</w:t>
      </w:r>
    </w:p>
    <w:p>
      <w:pPr>
        <w:pStyle w:val="TextBody"/>
        <w:bidi w:val="0"/>
        <w:jc w:val="both"/>
        <w:rPr>
          <w:rFonts w:ascii="Times New Roman" w:hAnsi="Times New Roman"/>
          <w:color w:val="000000"/>
          <w:sz w:val="24"/>
        </w:rPr>
      </w:pPr>
      <w:r>
        <w:rPr>
          <w:rFonts w:ascii="Times New Roman" w:hAnsi="Times New Roman"/>
          <w:color w:val="000000"/>
          <w:sz w:val="24"/>
        </w:rPr>
        <w:t>an error of judgment made in good faith by one of its officers; or</w:t>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action taken, suffered or omitted to be taken in good faith in accordance with or believed by it to be authorized or within the discretion or rights or powers conferred, by this Agreement or at the direction of a Secured Party relating to the exercise of any power conferred upon the Account Bank under this Agreement in each case unless it shall be proved that the Account Bank shall have been negligent in ascertaining the pertinent facts.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shall not be charged with knowledge of any event or information, including any Termination Event or Unmatured Termination Event unless a Responsible Officer of the Account Bank obtains actual knowledge of such event or receives written notice of such event or information from the Borrower, the Servicer, any Secured Party or the Administrative Agent, as the case may be, and shall have no duty to take any action to determine whether any such event has occurred.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limiting the generality of this Section, the Account Bank shall have no duty (i) to see to, or with respect to the accuracy of, any recording, filing or depositing of this Agreement or any agreement referred to herein or any financing statement or continuation statement evidencing a security interest in the Collateral, or to see to the maintenance of any such recording or filing or depositing or to any recording, refiling or redepositing of any thereof, (ii) to see to any insurance of the Financed Vehicles or Obligors or to effect or maintain any such insurance, (iii) to see to the payment or discharge of any Tax, assessment or other governmental charge or any Lien or encumbrance of any kind owing with respect to, assessed or levied against, any part of the Contracts, (iv) to re-calculate or confirm or verify the contents of any reports or certificates of the Servicer (other than in its capacity as Backup Servicer in accordance with its express duties as such undertaken herein) or the Borrower or any other Person delivered to the Account Bank pursuant to this Agreement or the Account Control Agreement believed by the Account Bank to be genuine and to have been signed or presented by the proper party or parties or (v) to inspect the Financed Vehicles at any time or ascertain or inquire as to the performance or observance of any of the Borrower’s or the Servicer’s representations, warranties or covenants or the Servicer’s duties and obligations as Servicer and as custodian of books, records, files and computer records relating to the Contracts under this Agreement (in each case other than in its capacity as Backup Servicer in accordance with its express duties as such undertaken herein).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Account Bank shall not be required to expend or risk its own funds or otherwise incur financial liability in the performance of any of its duties hereunder, or in the exercise of any </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its rights or powers, if there shall be reasonable ground for believing that the repayment of such funds or adequate indemnity against such risk or liability shall not be reasonably assured to it, and none of the provisions contained in this Agreement shall in any event require the Account Bank to perform, or be responsible for the manner of performance of, any of the obligations of the Servicer, the Borrower or any other Person under this Agreement (other than in its capacity as Backup Servicer in accordance with its express duties as such undertaken herein).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reasonably believed by it to be genuine and to have been signed or presented by the proper party or parties. The Account Bank shall be under no duty to inquire into or investigate the validity, accuracy or content of any such document.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may consult with counsel of its choice with regard to legal questions arising out of or in connection with this Agreement and the advice or opinion of such counsel shall be full and complete authorization and protection in respect of any action taken, omitted or suffered by the Account Bank in good faith in accordance therewith.</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Account Bank shall be under no obligation to exercise any of the rights, powers or remedies vested in it by this Agreement or to undertake any discretionary action, or to institute, conduct or defend any litigation under this Agreement or in relation to this Agreement, at the request, order or direction of the Administrative Agent pursuant to the provisions of this Agreement, unless the Administrative Agent, on behalf of the Secured Parties, or any other party hereto shall have offered to the Account Bank security or indemnity reasonably satisfactory to it against the costs, expenses and liabilities that may be incurred therein or thereby.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shall not be bound to make any investigation into the facts of matters stated in any resolution, certificate, statement, instrument, opinion, report, notice, request, consent, order, approval, bond or other paper or document, unless requested in writing so to do by the Administrative Agent or another Secured Party; provided, that if the payment within a reasonable time to the Account Bank of the costs, expenses or liabilities likely to be incurred by it in the making of such investigation shall be, in the opinion of the Account Bank, not reasonably assured by the Borrower, the Account Bank may require indemnity reasonably satisfactory to it against such cost, expense or liability as a condition to so proceeding. The reasonable expense of every such examination shall be paid by the Borrower or, if paid by the Account Bank, shall be reimbursed by the Borrower pursuant to Section 2.08.</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may execute any of the trusts or powers hereunder or perform any duties under this Agreement either directly or by or through agents or attorneys or a custodian. The Account Bank shall not be responsible for any misconduct or negligence of any such agent or custodian appointed with due care by it hereunder.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Account Bank shall have no duties or responsibilities except those that are specifically set forth herein and the other Basic Documents to which it is a party, and no implied covenants or obligations shall be read into this Agreement against the Account Bank. The Account Bank shall have the right to request instructions from the Administrative Agent or the </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Servicer with respect to any act, action or failure to act in connection with and as set forth in this Agreement, and the Account Bank shall be entitled to refrain from taking such action and continue to refrain from acting unless and until the Account Bank shall have received written instructions from the Administrative Agent or the Servicer, as applicable, without incurring any liability therefor to the Administrative Agent, the Borrower, the Servicer or any other person, and shall further be entitled to conclusively rely on any such instruction received.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may act in reliance upon any written communication of the Administrative Agent concerning the delivery of Collateral pursuant to this Agreement. The Account Bank does not assume and shall have no responsibility for, and makes no representation as to, monitoring the value of the Contracts and other Collateral. The Account Bank shall not be liable for any action or omission to act hereunder, except for its own gross negligence, bad faith or willful misconduct.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FOREGOING PARAGRAPH SHALL APPLY WHETHER OR NOT SUCH LIABILITIES ARE IN ANY WAY OR TO ANY EXTENT OWED, IN WHOLE OR IN PART, UNDER ANY CLAIM OR THEORY OF STRICT LIABILITY.</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the Account Bank shall at any time receive conflicting instructions from the Administrative Agent and the Servicer or any other party to this Agreement and the conflict between such instructions cannot be resolved by reference to the terms of this Agreement, the Account Bank shall be entitled to rely on the instructions of the Administrative Agent. In the absence of bad faith, gross negligence or willful misconduct on the part of the Account Bank, the Account Bank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believed by it to be genuine and to have been signed or presented by the proper party or parties. The Account Bank may rely upon the validity of documents delivered to it, without investigation as to their authenticity or legal effectiveness, and the Account Bank shall not be liable to the Servicer or any other party to this Agreement in respect of any claims that may arise or be asserted against the Account Bank because of the invalidity of any such documents or their failure to fulfill their intended purpose. The Account Bank shall not be bound to ascertain or inquire as to the performance or observance of any of the terms of this Agreement or any other agreement on the part of any party, except as may otherwise be specifically set forth herein, and may assume performance thereby absent actual knowledge of, or written notice to, a Responsible Officer of the Account Bank to the contrary.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Account Bank is authorized, in its sole discretion, to disregard any and all notices or instructions given by any other party hereto or by any other Person other than any such notices or instructions as are expressly provided for in this Agreement or the Account Control Agreement and orders or process of any court entered or issued with or without jurisdiction. If any property subject hereto is at any time attached, garnished or levied upon under any court order or in case the payment, assignment, transfer, conveyance or delivery of any such property shall be stayed or enjoined by any court order, or in case any order, judgment or decree shall be made or entered by any court affecting such property or any part hereof, then and in any of such events the Account Bank is authorized, in its sole discretion, to rely upon and comply with any such order, writ, judgment or decree with which it is advised by legal counsel of its own choosing is binding </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it, and if it complies with any such order, writ, judgment or decree it shall not be liable to any other party hereto or to any other Person by reason of such compliance even though such order, writ, judgment or decree maybe subsequently reversed, modified, annulled, set aside or vacated.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shall not be imputed with any knowledge of, or information possessed or obtained by the Backup Servicer or any other Person, or any affiliate, line of business, or other division of [***] (and vice versa). Information contained in any reports (including Monthly Reports) delivered to the Account Bank and any other publicly available information shall not constitute actual or constructive knowledge or notice.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Before the Account Bank acts or refrains from acting, it may require an officer’s certificate or an opinion of counsel, as applicable (at the expense of the party requesting the Account Bank act or refrain from acting). The Account Bank shall not be liable for any action it takes, suffers or omits to take in good faith in reliance on such officer’s certificate or opinion of counsel.</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in this Agreement, the Account Bank shall not be required to take any action that is not in accordance with applicable law.</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right of the Account Bank to perform any permissive or discretionary act enumerated in this Agreement or any related document shall not be construed as a duty.</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(u)</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shall not be responsible for the recitals in this Agreement (which are the statements of the Borrower).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no event shall Account Bank be liable either directly or indirectly for losses or delays resulting from force majeure, computer malfunctions, interruption of communication facilities, labor difficulties or other causes, in each case to the extent beyond Account Bank’s reasonable control.</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(w)</w:t>
      </w:r>
    </w:p>
    <w:p>
      <w:pPr>
        <w:pStyle w:val="TextBody"/>
        <w:bidi w:val="0"/>
        <w:spacing w:before="0" w:after="240"/>
        <w:jc w:val="both"/>
        <w:rPr/>
      </w:pPr>
      <w:r>
        <w:rPr>
          <w:rFonts w:ascii="Times New Roman" w:hAnsi="Times New Roman"/>
          <w:color w:val="000000"/>
          <w:sz w:val="24"/>
        </w:rPr>
        <w:t xml:space="preserve">The rights, benefits, protections and indemnities afforded to the Account Bank hereunder shall apply equally to the Account Bank under any other document to which it is a party and to any other capacities of [***], including as Backup Servicer, Certificate Registrar and, if applicable, as successor Custodian, </w:t>
      </w:r>
      <w:r>
        <w:rPr>
          <w:rFonts w:ascii="Times New Roman" w:hAnsi="Times New Roman"/>
          <w:i/>
          <w:color w:val="000000"/>
          <w:sz w:val="24"/>
        </w:rPr>
        <w:t>mutatis mutandis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2.18.</w:t>
      </w:r>
      <w:r>
        <w:rPr>
          <w:rFonts w:ascii="Times New Roman" w:hAnsi="Times New Roman"/>
          <w:color w:val="000000"/>
          <w:sz w:val="20"/>
          <w:u w:val="single"/>
        </w:rPr>
        <w:t xml:space="preserve"> </w:t>
      </w:r>
      <w:r>
        <w:rPr>
          <w:rFonts w:ascii="Times New Roman" w:hAnsi="Times New Roman"/>
          <w:b w:val="false"/>
          <w:color w:val="000000"/>
          <w:sz w:val="24"/>
          <w:u w:val="single"/>
        </w:rPr>
        <w:t>Benchmark Replacement Setting</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 xml:space="preserve">Benchmark Replacement. </w:t>
      </w:r>
      <w:r>
        <w:rPr>
          <w:rFonts w:ascii="Times New Roman" w:hAnsi="Times New Roman"/>
          <w:color w:val="000000"/>
          <w:sz w:val="24"/>
        </w:rPr>
        <w:t xml:space="preserve">.Notwithstanding anything to the contrary herein or in any other Basic Document, upon the occurrence of a Benchmark Transition Event, the Administrative Agent may amend this Agreement to replace the then-current Benchmark with a Benchmark Replacement upon satisfaction of the notice requirements in </w:t>
      </w:r>
      <w:r>
        <w:rPr>
          <w:rFonts w:ascii="Times New Roman" w:hAnsi="Times New Roman"/>
          <w:color w:val="000000"/>
          <w:sz w:val="24"/>
          <w:u w:val="single"/>
        </w:rPr>
        <w:t>Section 2.18(c)</w:t>
      </w:r>
      <w:r>
        <w:rPr>
          <w:color w:val="000000"/>
        </w:rPr>
        <w:t xml:space="preserve"> </w:t>
      </w:r>
      <w:r>
        <w:rPr>
          <w:rFonts w:ascii="Times New Roman" w:hAnsi="Times New Roman"/>
          <w:color w:val="000000"/>
          <w:sz w:val="24"/>
        </w:rPr>
        <w:t>below. Any such amendment with respect to a Benchmark Transition Event will become effective at 5:00 p.m. (New York City time) on the fifth (5</w:t>
      </w:r>
      <w:r>
        <w:rPr>
          <w:rFonts w:ascii="Times New Roman" w:hAnsi="Times New Roman"/>
          <w:color w:val="000000"/>
          <w:sz w:val="16"/>
        </w:rPr>
        <w:t>th</w:t>
      </w:r>
      <w:r>
        <w:rPr>
          <w:rFonts w:ascii="Times New Roman" w:hAnsi="Times New Roman"/>
          <w:color w:val="000000"/>
          <w:sz w:val="24"/>
        </w:rPr>
        <w:t>)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2.18(a) will occur prior to the applicable Benchmark Transition Start Date.</w:t>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40" w:after="283"/>
        <w:jc w:val="both"/>
        <w:rPr/>
      </w:pPr>
      <w:r>
        <w:rPr>
          <w:rFonts w:ascii="Times New Roman" w:hAnsi="Times New Roman"/>
          <w:color w:val="000000"/>
          <w:sz w:val="24"/>
          <w:u w:val="single"/>
        </w:rPr>
        <w:t>Benchmark Replacement Conforming Changes</w:t>
      </w:r>
      <w:r>
        <w:rPr>
          <w:rFonts w:ascii="Times New Roman" w:hAnsi="Times New Roman"/>
          <w:color w:val="000000"/>
          <w:sz w:val="24"/>
        </w:rPr>
        <w:t>. In connection with the use, administration, adoption or implementation of a Benchmark Replacement, the Administrative Agent will have the right to make Conforming Changes from time to time and, notwithstanding anything to the contrary herein or in any other Basic Document, any amendments implementing such Conforming Changes will become effective without any further action or consent of any other party to this Agreement or any other Basic Document; provided, however, that any such amendments must not affect the Owner Trustee’s, the Backup Servicer’s or the Account Bank’s rights, indemnities or obligations without its consent.</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Notices; Standards for Decisions and Determinations</w:t>
      </w:r>
      <w:r>
        <w:rPr>
          <w:rFonts w:ascii="Times New Roman" w:hAnsi="Times New Roman"/>
          <w:color w:val="000000"/>
          <w:sz w:val="24"/>
        </w:rPr>
        <w:t xml:space="preserve">. The Administrative Agent will promptly notify the Borrower and the Lenders of (i) any occurrence of a Benchmark Transition Event and its related Benchmark Replacement Date, (ii) the implementation of any Benchmark Replacement and (iii)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hAnsi="Times New Roman"/>
          <w:color w:val="000000"/>
          <w:sz w:val="24"/>
          <w:u w:val="single"/>
        </w:rPr>
        <w:t>Section 2.18(d)</w:t>
      </w:r>
      <w:r>
        <w:rPr>
          <w:color w:val="000000"/>
        </w:rPr>
        <w:t xml:space="preserve"> </w:t>
      </w:r>
      <w:r>
        <w:rPr>
          <w:rFonts w:ascii="Times New Roman" w:hAnsi="Times New Roman"/>
          <w:color w:val="000000"/>
          <w:sz w:val="24"/>
        </w:rPr>
        <w:t xml:space="preserve">and (y) the commencement of any Benchmark Unavailability Period. Any determination, decision or election that may be made by the Administrative Agent or, if applicable, any Lender (or group of Lenders) pursuant to this </w:t>
      </w:r>
      <w:r>
        <w:rPr>
          <w:rFonts w:ascii="Times New Roman" w:hAnsi="Times New Roman"/>
          <w:color w:val="000000"/>
          <w:sz w:val="24"/>
          <w:u w:val="single"/>
        </w:rPr>
        <w:t>Section 2.18</w:t>
      </w:r>
      <w:r>
        <w:rPr>
          <w:rFonts w:ascii="Times New Roman" w:hAnsi="Times New Roman"/>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Basic Document, except, in each case, as expressly required pursuant to this </w:t>
      </w:r>
      <w:r>
        <w:rPr>
          <w:rFonts w:ascii="Times New Roman" w:hAnsi="Times New Roman"/>
          <w:color w:val="000000"/>
          <w:sz w:val="24"/>
          <w:u w:val="single"/>
        </w:rPr>
        <w:t>Section 2.18</w:t>
      </w:r>
      <w:r>
        <w:rPr>
          <w:rFonts w:ascii="Times New Roman" w:hAnsi="Times New Roman"/>
          <w:color w:val="000000"/>
          <w:sz w:val="24"/>
        </w:rPr>
        <w:t xml:space="preserve">. None of the Owner Trustee, the Account Bank or the Backup Servicer shall be (i) responsible for making decisions or determinations in connection with any Benchmark Replacement or Benchmark Transition Event or (ii) have any liability for any determination, decision or election made by or on behalf of the Administrative Agent or the Borrower in connection with a Benchmark Transition Event or a Benchmark Replacement. Each Lender shall be deemed to waive and release any and all claims against the Owner Trustee, the Account Bank and the Backup Servicer relating to any such determination, decision or election by the Administrative Agent or the Borrower.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Unavailability of Tenor of Benchmark</w:t>
      </w:r>
      <w:r>
        <w:rPr>
          <w:rFonts w:ascii="Times New Roman" w:hAnsi="Times New Roman"/>
          <w:color w:val="000000"/>
          <w:sz w:val="24"/>
        </w:rPr>
        <w:t xml:space="preserve">. Notwithstanding anything to the contrary herein or in any other Basic Document, at any time (including in connection with the </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(ISOCO)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(ISOCO)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Benchmark Unavailability Period</w:t>
      </w:r>
      <w:r>
        <w:rPr>
          <w:rFonts w:ascii="Times New Roman" w:hAnsi="Times New Roman"/>
          <w:color w:val="000000"/>
          <w:sz w:val="24"/>
        </w:rPr>
        <w:t>. Upon the Borrower Representative’s receipt of notice of the commencement of a Benchmark Unavailability Period, the Borrower Representative may revoke any request for a Loan of, conversion to or continuation of any Loan to be made, converted or continued during any Benchmark Unavailability Period and, failing that, the Borrower Representative will be deemed to have converted any such request into a request for a Borrowing of or conversion to Alternate Base Rate Loans. During any Benchmark Unavailability Period, the component of Alternate Base Rate based upon the then-current Benchmark or such tenor for such Benchmark, as applicable, will not be used in any determination of Alternate Base Rate.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3</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SECURITY</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3.01.</w:t>
      </w:r>
      <w:r>
        <w:rPr>
          <w:rFonts w:ascii="Times New Roman" w:hAnsi="Times New Roman"/>
          <w:color w:val="000000"/>
          <w:sz w:val="20"/>
          <w:u w:val="single"/>
        </w:rPr>
        <w:t xml:space="preserve"> </w:t>
      </w:r>
      <w:r>
        <w:rPr>
          <w:rFonts w:ascii="Times New Roman" w:hAnsi="Times New Roman"/>
          <w:b w:val="false"/>
          <w:color w:val="000000"/>
          <w:sz w:val="24"/>
          <w:u w:val="single"/>
        </w:rPr>
        <w:t>Collateral and Back-Up Collateral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hereto intend that this Agreement constitute a security agreement and the transactions effected hereby constitute secured loans by the Lenders to the Borrower under Applicable Law. As collateral security for the prompt, complete and indefeasible payment and performance in full when due, whether by lapse of time, acceleration or otherwise, of the Obligations, the Borrower hereby grants to the Administrative Agent, as agent for the Secured Parties, a lien on and security interest in all of the Borrower’s right, title and interest in, to and under the following, whether now existing or owned or hereafter arising or acquired by the Borrower (collectively, the “Collateral”):</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Receivables and the related Contracts (including the right to service the Receivables in connection therewith) listed on the Schedule of Receivables, whether now existing or hereafter acquired, and any accounts or obligations evidenced thereby, any guarantee thereof, all Collections and all monies due (including any payments made under any guarantee or similar credit enhancement with respect to any such Receivables) or to become due or received by any Person in payment of any of the foregoing on or after the related Cutoff Date;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Financed Vehicles related to such Receivables (including Financed Vehicles that have been repossessed) or in any document or writing evidencing any security interest in any Financed Vehicle and each security interest in each Financed Vehicle, whether now existing or hereafter acquired, securing each such Receivable, including all proceeds from any sale or other disposition of such Financed Vehicles;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and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income, products, accessions and proceeds of the foregoing.</w:t>
      </w:r>
    </w:p>
    <w:p>
      <w:pPr>
        <w:pStyle w:val="TextBody"/>
        <w:bidi w:val="0"/>
        <w:spacing w:before="0" w:after="0"/>
        <w:jc w:val="both"/>
        <w:rPr>
          <w:rFonts w:ascii="Times New Roman" w:hAnsi="Times New Roman"/>
          <w:color w:val="2F5496"/>
          <w:sz w:val="24"/>
        </w:rPr>
      </w:pPr>
      <w:r>
        <w:rPr>
          <w:rFonts w:ascii="Times New Roman" w:hAnsi="Times New Roman"/>
          <w:color w:val="2F5496"/>
          <w:sz w:val="24"/>
        </w:rPr>
        <w:t>b)</w:t>
      </w:r>
    </w:p>
    <w:p>
      <w:pPr>
        <w:pStyle w:val="TextBody"/>
        <w:bidi w:val="0"/>
        <w:jc w:val="both"/>
        <w:rPr>
          <w:rFonts w:ascii="Times New Roman" w:hAnsi="Times New Roman"/>
          <w:color w:val="000000"/>
          <w:sz w:val="24"/>
        </w:rPr>
      </w:pPr>
      <w:r>
        <w:rPr>
          <w:rFonts w:ascii="Times New Roman" w:hAnsi="Times New Roman"/>
          <w:color w:val="000000"/>
          <w:sz w:val="24"/>
        </w:rPr>
        <w:t>The grant under this Section does not constitute and is not intended to result in a creation or an assumption by the Administrative Agent or any of the Secured Parties of any obligation of the Borrower or any other Person in connection with any or all of the Collateral or under any agreement or instrument relating thereto. Anything herein to the contrary notwithstanding, (i) the Borrower shall remain liable under the Contracts related to the Receivables to the extent set forth therein to perform all of its duties and obligations thereunder to the same extent as if this Agreement had not been executed, (ii) the exercise by the Administrative Agent of any of its rights in the Collateral shall not release the Borrower from any of its duties or obligations under the Collateral and (iii) neither the Administrative Agent nor any Secured Party shall have any obligations or liability under the Collateral by reason of this Agreement, nor shall the Administrative Agent or any Secured Party be obligated to perform any of the obligations or duties of the Borrower thereunder or to take any action to collect or enforce any claim for payment assigned hereunder.</w:t>
      </w:r>
    </w:p>
    <w:p>
      <w:pPr>
        <w:pStyle w:val="TextBody"/>
        <w:bidi w:val="0"/>
        <w:jc w:val="center"/>
        <w:rPr>
          <w:rFonts w:ascii="Times New Roman" w:hAnsi="Times New Roman"/>
          <w:color w:val="000000"/>
          <w:sz w:val="24"/>
        </w:rPr>
      </w:pPr>
      <w:r>
        <w:rPr>
          <w:rFonts w:ascii="Times New Roman" w:hAnsi="Times New Roman"/>
          <w:color w:val="000000"/>
          <w:sz w:val="24"/>
        </w:rPr>
        <w:t>68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Notwithstanding the foregoing grant of security interest, no account, instrument, chattel paper or other obligation or property of any kind due from, owned by or belonging to a Sanctioned Person shall be Collateral.</w:t>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Each of the Borrower and the Administrative Agent represents and warrants as to itself that each remittance of Collections by the Borrower to the Administrative Agent or any Lender under this Agreement will have been (i) in payment of a debt incurred by the Borrower in the ordinary course of business or financial affairs of the Borrower and the Administrative Agent or any Lender and (ii) made in the ordinary course of business or financial affairs of the Borrower and the Administrative Agent or any Lender.</w:t>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3.02.</w:t>
      </w:r>
      <w:r>
        <w:rPr>
          <w:rFonts w:ascii="Times New Roman" w:hAnsi="Times New Roman"/>
          <w:color w:val="000000"/>
          <w:sz w:val="20"/>
          <w:u w:val="single"/>
        </w:rPr>
        <w:t xml:space="preserve"> </w:t>
      </w:r>
      <w:r>
        <w:rPr>
          <w:rFonts w:ascii="Times New Roman" w:hAnsi="Times New Roman"/>
          <w:b w:val="false"/>
          <w:color w:val="000000"/>
          <w:sz w:val="24"/>
          <w:u w:val="single"/>
        </w:rPr>
        <w:t>Release of Collateral; No Legal Title</w:t>
      </w:r>
      <w:r>
        <w:rPr>
          <w:rFonts w:ascii="Times New Roman" w:hAnsi="Times New Roman"/>
          <w:color w:val="000000"/>
          <w:sz w:val="20"/>
        </w:rPr>
        <w:t xml:space="preserve"> </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a)</w:t>
      </w:r>
    </w:p>
    <w:p>
      <w:pPr>
        <w:pStyle w:val="TextBody"/>
        <w:bidi w:val="0"/>
        <w:jc w:val="both"/>
        <w:rPr>
          <w:rFonts w:ascii="Times New Roman" w:hAnsi="Times New Roman"/>
          <w:color w:val="000000"/>
          <w:sz w:val="24"/>
        </w:rPr>
      </w:pPr>
      <w:r>
        <w:rPr>
          <w:rFonts w:ascii="Times New Roman" w:hAnsi="Times New Roman"/>
          <w:color w:val="000000"/>
          <w:sz w:val="24"/>
        </w:rPr>
        <w:t>At the same time as any Contract relating to a Receivable (i) expires by its terms and all amounts in respect thereof have been paid by the related Obligor and deposited in the Local Bank Account or the Collection Account or (ii) has been prepaid in full and all amounts in respect thereof have been paid by the related Obligor and deposited in the Local Bank Account and subsequently deposited into the Collection Account, the Administrative Agent will, to the extent requested by the Servicer, promptly release its interest and lien in such Contract and the related Collateral. In connection with any sale of the related Financed Vehicle on or after the occurrence of an event described in clauses (i) or (ii) above, after the deposit by the Servicer of the proceeds of such sale into the Local Bank Account and subsequent deposit within two Business Days thereafter into the Collection Account, the Administrative Agent will, at the sole expense of the Servicer, promptly execute and deliver to the Servicer any assignments, bills of sale, termination statements and any other releases and instruments as the Servicer may reasonably request in order to effect the release and transfer of such Financed Vehicle; provided, that the Administrative Agent will not make any representation or warranty, express or implied, with respect to any such Financed Vehicle in connection with such sale or transfer and assignment. Nothing in this Section shall diminish the Servicer’s obligations pursuant to Sections 7.03(c) and 7.03(d) with respect to the proceeds of any such sale.</w:t>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(i) reallocation of the Receivables and related Collateral in connection with a prepayment pursuant to Section 2.06 or a Securitization pursuant to Section 2.15 or (ii) the Facility Termination Date, the Administrative Agent shall, at the Borrower’s expense, upon payment in full of the related Aggregate Unpaids then due and payable, promptly (A) execute and file instruments of release, partial or full assignments of financing statements and other documents and instruments as the Borrower or the Servicer may reasonably request with respect to the portion of the Receivables (and the other related Collateral) to be released to the Borrower, (B) deliver any portion of the Receivables (and the other related Collateral) to be released to the Borrower in its possession to the Borrower and (C) otherwise take such actions, and cause or permit the Servicer and the Custodian to take such actions, as are necessary and appropriate to release the Lien of the Administrative Agent on the portion of the Receivables (and the other related Collateral) to be released to the Borrower and deliver to the Borrower such Receivables and related Collateral.</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the avoidance of doubt, (i) the Borrower shall not be permitted to remove any Contract or related Collateral from the lien of this Agreement, (ii) the Borrower shall not be permitted to sell, transfer or assign any Receivable to any party and (iii) the </w:t>
      </w:r>
    </w:p>
    <w:p>
      <w:pPr>
        <w:pStyle w:val="TextBody"/>
        <w:bidi w:val="0"/>
        <w:jc w:val="center"/>
        <w:rPr>
          <w:rFonts w:ascii="Times New Roman" w:hAnsi="Times New Roman"/>
          <w:color w:val="000000"/>
          <w:sz w:val="24"/>
        </w:rPr>
      </w:pPr>
      <w:r>
        <w:rPr>
          <w:rFonts w:ascii="Times New Roman" w:hAnsi="Times New Roman"/>
          <w:color w:val="000000"/>
          <w:sz w:val="24"/>
        </w:rPr>
        <w:t>69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Administrative Agent shall not release its interest in any Contract or related Collateral except in accordance with the provisions of this </w:t>
      </w:r>
      <w:r>
        <w:rPr>
          <w:rFonts w:ascii="Times New Roman" w:hAnsi="Times New Roman"/>
          <w:color w:val="000000"/>
          <w:sz w:val="24"/>
          <w:u w:val="single"/>
        </w:rPr>
        <w:t>Section 3.02</w:t>
      </w:r>
      <w:r>
        <w:rPr>
          <w:rFonts w:ascii="Times New Roman" w:hAnsi="Times New Roman"/>
          <w:color w:val="000000"/>
          <w:sz w:val="24"/>
        </w:rPr>
        <w:t xml:space="preserve">, </w:t>
      </w:r>
      <w:r>
        <w:rPr>
          <w:rFonts w:ascii="Times New Roman" w:hAnsi="Times New Roman"/>
          <w:color w:val="000000"/>
          <w:sz w:val="24"/>
          <w:u w:val="single"/>
        </w:rPr>
        <w:t>Section 2.15</w:t>
      </w:r>
      <w:r>
        <w:rPr>
          <w:rFonts w:ascii="Times New Roman" w:hAnsi="Times New Roman"/>
          <w:color w:val="000000"/>
          <w:sz w:val="24"/>
        </w:rPr>
        <w:t xml:space="preserve">, or </w:t>
      </w:r>
      <w:r>
        <w:rPr>
          <w:rFonts w:ascii="Times New Roman" w:hAnsi="Times New Roman"/>
          <w:color w:val="000000"/>
          <w:sz w:val="24"/>
          <w:u w:val="single"/>
        </w:rPr>
        <w:t>Section 5.04</w:t>
      </w:r>
      <w:r>
        <w:rPr>
          <w:color w:val="000000"/>
        </w:rPr>
        <w:t xml:space="preserve"> </w:t>
      </w:r>
      <w:r>
        <w:rPr>
          <w:rFonts w:ascii="Times New Roman" w:hAnsi="Times New Roman"/>
          <w:color w:val="000000"/>
          <w:sz w:val="24"/>
        </w:rPr>
        <w:t>of this Agreement or unless the Borrower shall have deposited an amount equal to the Release Price with respect to such Receivable into the Collection Account.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will not, except as may result from the exercise of its remedies hereunder, have legal title to any part of the Collateral on the Facility Termination Date and will have no further interest in or rights with respect to the Collateral.</w:t>
      </w:r>
    </w:p>
    <w:p>
      <w:pPr>
        <w:pStyle w:val="Heading2"/>
        <w:bidi w:val="0"/>
        <w:jc w:val="both"/>
        <w:rPr>
          <w:rFonts w:ascii="Times New Roman" w:hAnsi="Times New Roman"/>
          <w:sz w:val="20"/>
        </w:rPr>
      </w:pPr>
      <w:r>
        <w:rPr>
          <w:rFonts w:ascii="Times New Roman" w:hAnsi="Times New Roman"/>
          <w:b w:val="false"/>
          <w:color w:val="000000"/>
          <w:sz w:val="24"/>
        </w:rPr>
        <w:t>Section 3.03.</w:t>
      </w:r>
      <w:r>
        <w:rPr>
          <w:rFonts w:ascii="Times New Roman" w:hAnsi="Times New Roman"/>
          <w:color w:val="000000"/>
          <w:sz w:val="20"/>
          <w:u w:val="single"/>
        </w:rPr>
        <w:t xml:space="preserve"> </w:t>
      </w:r>
      <w:r>
        <w:rPr>
          <w:rFonts w:ascii="Times New Roman" w:hAnsi="Times New Roman"/>
          <w:b w:val="false"/>
          <w:color w:val="000000"/>
          <w:sz w:val="24"/>
          <w:u w:val="single"/>
        </w:rPr>
        <w:t>Protection of Security Interest; Administrative Agent, as Attorney-in-Fact</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The Borrower agrees that from time to time, at its expense, it will promptly execute and deliver all instruments and documents, and take all actions, that may reasonably be necessary or desirable, or that the Administrative Agent may deem necessary, to perfect, protect or more fully evidence the security interest granted to the Administrative Agent in the Receivables and the other Collateral, or to enable any Secured Party to exercise and enforce its rights and remedies hereunder and thereunder; provided, that prior to the occurrence of a Servicer Termination Event, Custodian Termination Event or a Termination Event, the Borrower shall not be required to (i) deliver any Receivable Files to any Person other than the Custodian, or (ii) cause any Certificate of Title to be revised to name the Administrative Agent or any Secured Party as Lienholder.</w:t>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If the Borrower fails to perform any of its obligations hereunder after three Business Days’ notice from any Secured Party, any Secured Party may (but shall not be required to) perform, or cause performance of, such obligation; and the reasonable costs and expenses of such Secured Party incurred in connection therewith shall be payable by the Borrower as provided in Article Ten. The Borrower irrevocably authorizes the Administrative Agent and appoints the Administrative Agent, as its attorney-in-fact to act on behalf of the Borrower, (i) to execute or cause to be executed on behalf of the Borrower as debtor and to file financing statements necessary or desirable in the Administrative Agent’s sole discretion to perfect and to maintain the perfection and priority of the interest of the Secured Parties in the Receivables and the other Collateral, including financing statements that describe the collateral covered thereby as “all assets of the Borrower whether now owned or existing or hereafter acquired or arising and wheresoever located” or words of similar effect and (ii) to file a carbon, photographic or other reproduction of this Agreement or any financing statement with respect to the Receivables and the other Collateral, as a financing statement in such offices as the Administrative Agent in its sole discretion deems necessary or desirable to perfect and to maintain the perfection and priority of the interests of the Secured Parties in the Receivables and the other Collateral. Such financing statements may describe the Collateral in the same manner as described herein or may contain an indication or description of collateral that describes such property in any other manner as the Administrative Agent may determine, in its reasonable discretion, is necessary, advisable or prudent to ensure the perfection of the security interest in the Collateral granted to the Administrative Agent herein, including, without limitation, describing such property as “all assets” or “all personal property, whether now owned or hereafter acquired.” This appointment is coupled with an interest and is irrevocable.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3.04.</w:t>
      </w:r>
      <w:r>
        <w:rPr>
          <w:rFonts w:ascii="Times New Roman" w:hAnsi="Times New Roman"/>
          <w:color w:val="000000"/>
          <w:sz w:val="20"/>
          <w:u w:val="single"/>
        </w:rPr>
        <w:t xml:space="preserve"> </w:t>
      </w:r>
      <w:r>
        <w:rPr>
          <w:rFonts w:ascii="Times New Roman" w:hAnsi="Times New Roman"/>
          <w:b w:val="false"/>
          <w:color w:val="000000"/>
          <w:sz w:val="24"/>
          <w:u w:val="single"/>
        </w:rPr>
        <w:t>Assignment of the Purchase Agreement</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The Borrower hereby represents, warrants and confirms to the Administrative Agent that the Borrower has assigned to the Administrative Agent, for the ratable benefit of the Secured Parties hereunder, all of the Borrower’s right and title to and interest in the Purchase Agreement (including each Transfer Agreement). The Borrower confirms that the Administrative Agent shall have the sole right to enforce the Borrower’s rights and remedies under the Purchase Agreement or any Transfer Agreement for the benefit of the Secured Parties, but without any obligation on the part of the Administrative Agent, the Secured Parties or any of their respective Affiliates, to perform any of the obligations of the Borrower under the Purchase Agreement or any Transfer Agreement. The Borrower further confirms and agrees that such assignment to the Administrative Agent shall terminate upon the Facility Termination Date; provided, however, that the rights of the Administrative Agent and the Secured Parties pursuant to such assignment with respect to rights and remedies in connection with any indemnities and any breach of any representation, warranty or covenants made by UACC pursuant to the Purchase Agreement, which rights and remedies survive the termination of the Purchase Agreement, shall be continuing and shall survive any termination of such assignment.</w:t>
      </w:r>
    </w:p>
    <w:p>
      <w:pPr>
        <w:pStyle w:val="Heading2"/>
        <w:bidi w:val="0"/>
        <w:spacing w:before="0" w:after="24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3.05.</w:t>
      </w:r>
      <w:r>
        <w:rPr>
          <w:rFonts w:ascii="Times New Roman" w:hAnsi="Times New Roman"/>
          <w:color w:val="000000"/>
          <w:sz w:val="20"/>
          <w:u w:val="single"/>
        </w:rPr>
        <w:t xml:space="preserve"> </w:t>
      </w:r>
      <w:r>
        <w:rPr>
          <w:rFonts w:ascii="Times New Roman" w:hAnsi="Times New Roman"/>
          <w:b w:val="false"/>
          <w:color w:val="000000"/>
          <w:sz w:val="24"/>
          <w:u w:val="single"/>
        </w:rPr>
        <w:t>Waiver of Certain Laws</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Each of the Borrower, the Servicer, the Backup Servicer, the Account Bank and the Custodian agrees, to the full extent that it may lawfully so agree, that neither it nor anyone claiming through or under it will set up, claim or seek to take advantage of any appraisement, valuation, stay, extension or redemption law now or hereafter in force in any locality where any part of the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each of the Borrower, the Servicer, the Backup Servicer, the Account Bank and the Custodian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in such parcels as the Administrative Agent or such court may determine.</w:t>
      </w:r>
    </w:p>
    <w:p>
      <w:pPr>
        <w:pStyle w:val="TextBody"/>
        <w:bidi w:val="0"/>
        <w:jc w:val="left"/>
        <w:rPr/>
      </w:pPr>
      <w:r>
        <w:rPr/>
        <w:t> </w:t>
      </w:r>
    </w:p>
    <w:p>
      <w:pPr>
        <w:pStyle w:val="Heading1"/>
        <w:bidi w:val="0"/>
        <w:spacing w:before="0" w:after="240"/>
        <w:jc w:val="center"/>
        <w:rPr>
          <w:rFonts w:ascii="Times New Roman" w:hAnsi="Times New Roman"/>
          <w:sz w:val="20"/>
        </w:rPr>
      </w:pPr>
      <w:r>
        <w:rPr>
          <w:rFonts w:ascii="Times New Roman" w:hAnsi="Times New Roman"/>
          <w:b w:val="false"/>
          <w:color w:val="000000"/>
          <w:sz w:val="24"/>
        </w:rPr>
        <w:t>ARTICLE FOUR</w:t>
      </w:r>
      <w:r>
        <w:rPr>
          <w:rFonts w:ascii="Times New Roman" w:hAnsi="Times New Roman"/>
          <w:color w:val="000000"/>
          <w:sz w:val="24"/>
        </w:rPr>
        <w:br/>
        <w:br/>
      </w:r>
      <w:r>
        <w:rPr>
          <w:rFonts w:ascii="Times New Roman" w:hAnsi="Times New Roman"/>
          <w:b w:val="false"/>
          <w:color w:val="000000"/>
          <w:sz w:val="24"/>
        </w:rPr>
        <w:t>CONDITIONS OF CLOSING AND LOANS</w:t>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4.01.</w:t>
      </w:r>
      <w:r>
        <w:rPr>
          <w:rFonts w:ascii="Times New Roman" w:hAnsi="Times New Roman"/>
          <w:color w:val="000000"/>
          <w:sz w:val="20"/>
          <w:u w:val="single"/>
        </w:rPr>
        <w:t xml:space="preserve"> </w:t>
      </w:r>
      <w:r>
        <w:rPr>
          <w:rFonts w:ascii="Times New Roman" w:hAnsi="Times New Roman"/>
          <w:b w:val="false"/>
          <w:color w:val="000000"/>
          <w:sz w:val="24"/>
          <w:u w:val="single"/>
        </w:rPr>
        <w:t>Conditions to Closing and Initial Loan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Closing Date shall not occur and no Lender shall be obligated to make any Lender Advance hereunder on the occasion of the Initial Loan, nor shall any Lender, the Administrative Agent, the Backup Servicer, the Account Bank or the Custodian be obligated to take, fulfill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perform any other action hereunder, until, in the case of (i) the Closing Date, the conditions set forth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Basic Document shall have been duly executed by, and delivered to, the parties hereto and thereto and the Administrative Agent shall have received such other documents, instruments, agreements and legal opinions as the Administrative Agent shall request in connection with the transactions contemplated by this Agreement, each in form and substance satisfactory to the Administrative Agent.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have received (i) satisfactory evidence that the Borrower, the Servicer, UACC and the Backup Servicer have obtained all required consents and approvals of all Persons, including all requisite Governmental Authorities, to the execution, delivery and performance of this Agreement and the other Basic Documents to which each is a party and the consummation of the transactions contemplated hereby or thereby or (ii) an Officer’s Certificate or legal opinion from each of the Borrower, the Servicer, UACC and the Backup Servicer, in form and substance satisfactory to the Administrative Agent, affirming that no such consents or approvals are required; it being understood that the acceptance of such evidence or Officer’s Certificate shall in no way limit the recourse of any Secured Party against UACC or the Borrower for a breach of UACC’s or the Borrower’s representation or warranty that all such consents and approvals have, in fact, been obtained.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the Servicer and UACC shall each be in compliance in all material respects with all Applicable Laws and shall have delivered an Officer’s Certificate to the Administrative Agent as to this and other closing matters.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shall have paid all fees, costs and expenses required to be paid by it on the Closing Date, including all fees required hereunder and under the Fee Letter, and shall have reimbursed each Lender and the Administrative Agent for all fees, costs and expenses of closing the transactions contemplated hereunder and under the other Basic Documents, including, subject to Section 2.12(d), the attorney fees and any other legal and document preparation costs incurred by any Lender and/or the Administrative Agent.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Termination Event or Unmatured Termination Event shall have occurred.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Servicer Termination Event or any Unmatured Servicer Termination Event shall have occurred.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adverse selection procedures were used by the Borrower with respect to the Receivables being funded by the related Loan.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shall have provided to the Administrative Agent such updated historical performance data and other data as to the performance and characteristics of the Receivables as the Administrative Agent may reasonably require.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Hedging Agreement, to the extent required pursuant to Section 6.03, shall be in effect.</w:t>
      </w:r>
    </w:p>
    <w:p>
      <w:pPr>
        <w:pStyle w:val="TextBody"/>
        <w:bidi w:val="0"/>
        <w:jc w:val="center"/>
        <w:rPr>
          <w:rFonts w:ascii="Times New Roman" w:hAnsi="Times New Roman"/>
          <w:color w:val="000000"/>
          <w:sz w:val="24"/>
        </w:rPr>
      </w:pPr>
      <w:r>
        <w:rPr>
          <w:rFonts w:ascii="Times New Roman" w:hAnsi="Times New Roman"/>
          <w:color w:val="000000"/>
          <w:sz w:val="24"/>
        </w:rPr>
        <w:t>72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4.02. </w:t>
      </w:r>
      <w:r>
        <w:rPr>
          <w:rFonts w:ascii="Times New Roman" w:hAnsi="Times New Roman"/>
          <w:b w:val="false"/>
          <w:color w:val="000000"/>
          <w:sz w:val="24"/>
          <w:u w:val="single"/>
        </w:rPr>
        <w:t>Conditions Precedent to All Loans</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Each request for a Loan (including the Initial Loan) by the Borrower to a Lender shall be subject to the conditions set forth in Section 4.01 and the further conditions precedent that:</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Heading1"/>
        <w:bidi w:val="0"/>
        <w:spacing w:before="0" w:after="240"/>
        <w:jc w:val="center"/>
        <w:rPr>
          <w:rFonts w:ascii="Times New Roman" w:hAnsi="Times New Roman"/>
          <w:sz w:val="20"/>
        </w:rPr>
      </w:pPr>
      <w:r>
        <w:rPr>
          <w:rFonts w:ascii="Times New Roman" w:hAnsi="Times New Roman"/>
          <w:b w:val="false"/>
          <w:color w:val="000000"/>
          <w:sz w:val="24"/>
        </w:rPr>
        <w:t>ARTICLE FIVE</w:t>
      </w:r>
      <w:r>
        <w:rPr>
          <w:rFonts w:ascii="Times New Roman" w:hAnsi="Times New Roman"/>
          <w:color w:val="000000"/>
          <w:sz w:val="24"/>
        </w:rPr>
        <w:br/>
        <w:br/>
      </w:r>
      <w:r>
        <w:rPr>
          <w:rFonts w:ascii="Times New Roman" w:hAnsi="Times New Roman"/>
          <w:b w:val="false"/>
          <w:color w:val="000000"/>
          <w:sz w:val="24"/>
        </w:rPr>
        <w:t>REPRESENTATIONS AND WARRANTIES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5.01. </w:t>
      </w:r>
      <w:r>
        <w:rPr>
          <w:rFonts w:ascii="Times New Roman" w:hAnsi="Times New Roman"/>
          <w:b w:val="false"/>
          <w:color w:val="000000"/>
          <w:sz w:val="24"/>
          <w:u w:val="single"/>
        </w:rPr>
        <w:t>Representations and Warranties of the Borrower</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The Borrower represents and warrants, as of the Closing Date and each Funding Date, as follows: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u w:val="single"/>
        </w:rPr>
        <w:t>Organization and Good Standing</w:t>
      </w:r>
      <w:r>
        <w:rPr>
          <w:rFonts w:ascii="Times New Roman" w:hAnsi="Times New Roman"/>
          <w:color w:val="000000"/>
          <w:sz w:val="24"/>
        </w:rPr>
        <w:t>. The Borrower has been duly organized, and is validly existing as a statutory trust in good standing under the laws of the State of Delaware, with all requisite power and authority to own or lease its properties and conduct its business as such business is presently conducted, and the Borrower had at all relevant times, and now has all necessary power, authority and legal right to acquire, own, sell and pledge the Receivables and the other Collateral.</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Due Qualification</w:t>
      </w:r>
      <w:r>
        <w:rPr>
          <w:rFonts w:ascii="Times New Roman" w:hAnsi="Times New Roman"/>
          <w:color w:val="000000"/>
          <w:sz w:val="24"/>
        </w:rPr>
        <w:t>. The Borrower is duly qualified to do business and is in good standing as a Delaware statutory trust, and has obtained all necessary licenses and approvals in all jurisdictions in which the ownership or lease of property or the conduct of its business requires such qualifications, licenses or approvals (including, as applicable, the purchase, sale and pledge of the Receivables and the other Collateral).</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pPr>
      <w:r>
        <w:rPr>
          <w:rFonts w:ascii="Times New Roman" w:hAnsi="Times New Roman"/>
          <w:color w:val="000000"/>
          <w:sz w:val="24"/>
          <w:u w:val="single"/>
        </w:rPr>
        <w:t>Power and Authority; Due Authorization</w:t>
      </w:r>
      <w:r>
        <w:rPr>
          <w:rFonts w:ascii="Times New Roman" w:hAnsi="Times New Roman"/>
          <w:color w:val="000000"/>
          <w:sz w:val="24"/>
        </w:rPr>
        <w:t>. The Borrower (i) has all necessary power, authority and legal right to (A) execute and deliver the Borrower Basic Documents, (B) carry out the terms of the Borrower Basic Documents and (C) grant the security interest in the Collateral on the terms and conditions herein provided and (ii) has duly authorized by all necessary trust action the execution, delivery and performance of the Borrower Basic Documents and the grant of the security interest in the Collateral on the terms and conditions herein and therein provided.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pPr>
      <w:r>
        <w:rPr>
          <w:rFonts w:ascii="Times New Roman" w:hAnsi="Times New Roman"/>
          <w:color w:val="000000"/>
          <w:sz w:val="24"/>
          <w:u w:val="single"/>
        </w:rPr>
        <w:t>No Violation</w:t>
      </w:r>
      <w:r>
        <w:rPr>
          <w:rFonts w:ascii="Times New Roman" w:hAnsi="Times New Roman"/>
          <w:color w:val="000000"/>
          <w:sz w:val="24"/>
        </w:rPr>
        <w:t>. The consummation of the transactions contemplated by the Borrower Basic Documents and the fulfillment of the terms hereof and thereof will not (i) conflict with, result in any breach of any of the terms and provisions of, or constitute (with or without notice or lapse of time or both) a default under, the Borrower’s Formation Documents or a default in any material respect under any Contractual Obligation of the Borrower, (ii) result in the creation or imposition of any Lien upon any of the Borrower’s properties pursuant to the terms of any such Formation Documents, or Contractual Obligation, other than this Agreement, or (iii) violate any Applicable Law, the violation of which could reasonably be expected to have a Material Adverse Effect.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pPr>
      <w:r>
        <w:rPr>
          <w:rFonts w:ascii="Times New Roman" w:hAnsi="Times New Roman"/>
          <w:color w:val="000000"/>
          <w:sz w:val="24"/>
          <w:u w:val="single"/>
        </w:rPr>
        <w:t>No Proceedings</w:t>
      </w:r>
      <w:r>
        <w:rPr>
          <w:rFonts w:ascii="Times New Roman" w:hAnsi="Times New Roman"/>
          <w:color w:val="000000"/>
          <w:sz w:val="24"/>
        </w:rPr>
        <w:t xml:space="preserve">. There is no litigation, proceeding or investigation pending or, to the best knowledge of the Borrower, threatened against the Borrower, before any Governmental </w:t>
      </w:r>
    </w:p>
    <w:p>
      <w:pPr>
        <w:pStyle w:val="TextBody"/>
        <w:bidi w:val="0"/>
        <w:jc w:val="center"/>
        <w:rPr>
          <w:rFonts w:ascii="Times New Roman" w:hAnsi="Times New Roman"/>
          <w:color w:val="000000"/>
          <w:sz w:val="24"/>
        </w:rPr>
      </w:pPr>
      <w:r>
        <w:rPr>
          <w:rFonts w:ascii="Times New Roman" w:hAnsi="Times New Roman"/>
          <w:color w:val="000000"/>
          <w:sz w:val="24"/>
        </w:rPr>
        <w:t>73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Authority (i) asserting the invalidity of any Borrower Basic Document, (ii) seeking to prevent the consummation of any of the transactions contemplated by any Borrower Basic Document or (iii) seeking any determination or ruling that could reasonably be expected to have a Material Adverse Effect.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pPr>
      <w:r>
        <w:rPr>
          <w:rFonts w:ascii="Times New Roman" w:hAnsi="Times New Roman"/>
          <w:color w:val="000000"/>
          <w:sz w:val="24"/>
          <w:u w:val="single"/>
        </w:rPr>
        <w:t>All Consents Required</w:t>
      </w:r>
      <w:r>
        <w:rPr>
          <w:rFonts w:ascii="Times New Roman" w:hAnsi="Times New Roman"/>
          <w:color w:val="000000"/>
          <w:sz w:val="24"/>
        </w:rPr>
        <w:t>. All approvals, authorizations, consents, orders, licenses or other actions of any Person or of any Governmental Authority required for the due execution, delivery and performance by the Borrower of the Borrower Basic Documents have been obtained.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pPr>
      <w:r>
        <w:rPr>
          <w:rFonts w:ascii="Times New Roman" w:hAnsi="Times New Roman"/>
          <w:color w:val="000000"/>
          <w:sz w:val="24"/>
          <w:u w:val="single"/>
        </w:rPr>
        <w:t>Bulk Sales</w:t>
      </w:r>
      <w:r>
        <w:rPr>
          <w:rFonts w:ascii="Times New Roman" w:hAnsi="Times New Roman"/>
          <w:color w:val="000000"/>
          <w:sz w:val="24"/>
        </w:rPr>
        <w:t>. The execution, delivery and performance of this Agreement do not require compliance with any “bulk sales” act or similar law by the Borrower.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pPr>
      <w:r>
        <w:rPr>
          <w:rFonts w:ascii="Times New Roman" w:hAnsi="Times New Roman"/>
          <w:color w:val="000000"/>
          <w:sz w:val="24"/>
          <w:u w:val="single"/>
        </w:rPr>
        <w:t>Solvency</w:t>
      </w:r>
      <w:r>
        <w:rPr>
          <w:rFonts w:ascii="Times New Roman" w:hAnsi="Times New Roman"/>
          <w:color w:val="000000"/>
          <w:sz w:val="24"/>
        </w:rPr>
        <w:t>. The transactions contemplated by the Borrower Basic Documents do not and will not render the Borrower not Solvent.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pPr>
      <w:r>
        <w:rPr>
          <w:rFonts w:ascii="Times New Roman" w:hAnsi="Times New Roman"/>
          <w:color w:val="000000"/>
          <w:sz w:val="24"/>
          <w:u w:val="single"/>
        </w:rPr>
        <w:t>Selection Procedures</w:t>
      </w:r>
      <w:r>
        <w:rPr>
          <w:rFonts w:ascii="Times New Roman" w:hAnsi="Times New Roman"/>
          <w:color w:val="000000"/>
          <w:sz w:val="24"/>
        </w:rPr>
        <w:t>. No procedures that could reasonably be expected to be adverse to the interests of the Lenders were utilized by the Borrower in identifying and/or selecting Receivables when compared to Contracts owned by the Originator or any Subsidiary thereof in connection with Other Warehouse Agreements (if any) designed to fund the acquisition of assets similar to the Receivables, in each case taking into consideration the applicable eligibility criteria and concentration limits. In addition, each Receivable shall have been (i) (a) underwritten by UACC in accordance with the Credit and Collection Policy in effect at the time of origination of such Receivable, and (b) if such Receivable was originated on or after the Closing Date, underwritten in accordance with the Credit and Collection Policy in effect at the time of origination but without giving effect to any amendment, supplement or modification thereto implemented in contravention of the requirements of Sections 6.01(h), 6.02(l) or 6.04(h), and (ii) serviced in accordance with the Credit and Collection Policy as in effect on the Closing Date, as such Credit and Collection Policy has been amended, supplemented or otherwise modified after the Closing Date, but without giving effect to any such amendment, supplement or modification implemented in contravention of the requirements of Sections 6.01(h), 6.02(l) or 6.04(h).</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(j)</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The Borrower has filed or caused to be filed all Tax returns that are required to be filed by it. The Borrower has paid or made adequate provisions for the payment of all Taxes imposed on it or any of its property (other than any amount of Tax the validity of which is currently being contested in good faith by appropriate proceedings and with respect to which reserves in accordance with GAAP have been provided on the books of the Borrower), and no Tax lien has been filed and no claim is being asserted, with respect to any such Tax, fee or other charge.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(k)</w:t>
      </w:r>
    </w:p>
    <w:p>
      <w:pPr>
        <w:pStyle w:val="TextBody"/>
        <w:bidi w:val="0"/>
        <w:spacing w:before="0" w:after="240"/>
        <w:jc w:val="both"/>
        <w:rPr/>
      </w:pPr>
      <w:r>
        <w:rPr>
          <w:rFonts w:ascii="Times New Roman" w:hAnsi="Times New Roman"/>
          <w:color w:val="000000"/>
          <w:sz w:val="24"/>
          <w:u w:val="single"/>
        </w:rPr>
        <w:t>Exchange Act Compliance; Regulations T, U and X</w:t>
      </w:r>
      <w:r>
        <w:rPr>
          <w:rFonts w:ascii="Times New Roman" w:hAnsi="Times New Roman"/>
          <w:color w:val="000000"/>
          <w:sz w:val="24"/>
        </w:rPr>
        <w:t>. None of the transactions contemplated herein (including the use of the proceeds from the Loans and the pledge of the Collateral) will violate or result in a violation of Section 7 of the Exchange Act, or any regulations issued pursuant thereto, including Regulations T, U and X of the Federal Reserve Board, 12 C.F.R., Chapter II. The Borrower does not own or intend to carry or purchase, and no proceeds from the Loans will be used to carry or purchase, any “Margin Stock” within the meaning of Regulation U or to extend “Purchase Credit” within the meaning of Regulation U.</w:t>
      </w:r>
    </w:p>
    <w:p>
      <w:pPr>
        <w:pStyle w:val="TextBody"/>
        <w:bidi w:val="0"/>
        <w:jc w:val="center"/>
        <w:rPr>
          <w:rFonts w:ascii="Times New Roman" w:hAnsi="Times New Roman"/>
          <w:color w:val="000000"/>
          <w:sz w:val="24"/>
        </w:rPr>
      </w:pPr>
      <w:r>
        <w:rPr>
          <w:rFonts w:ascii="Times New Roman" w:hAnsi="Times New Roman"/>
          <w:color w:val="000000"/>
          <w:sz w:val="24"/>
        </w:rPr>
        <w:t>74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(l)</w:t>
      </w:r>
    </w:p>
    <w:p>
      <w:pPr>
        <w:pStyle w:val="TextBody"/>
        <w:bidi w:val="0"/>
        <w:spacing w:before="0" w:after="240"/>
        <w:jc w:val="both"/>
        <w:rPr/>
      </w:pPr>
      <w:r>
        <w:rPr>
          <w:rFonts w:ascii="Times New Roman" w:hAnsi="Times New Roman"/>
          <w:color w:val="000000"/>
          <w:sz w:val="24"/>
          <w:u w:val="single"/>
        </w:rPr>
        <w:t>Quality of Title</w:t>
      </w:r>
      <w:r>
        <w:rPr>
          <w:rFonts w:ascii="Times New Roman" w:hAnsi="Times New Roman"/>
          <w:color w:val="000000"/>
          <w:sz w:val="24"/>
        </w:rPr>
        <w:t>. Each Receivable, together with the Contract related thereto that is part of the Collateral, shall, at all times, be owned by the Borrower free and clear of any Lien, except for Permitted Liens, and upon the Initial Loan and each Subsequent Loan, the Administrative Agent, as agent for the Secured Parties, shall acquire a valid and perfected first priority security interest in each Receivable and the related Collateral then existing or thereafter arising, free and clear of any Lien, other than Permitted Liens. No effective financing statement or other instrument similar in effect covering any portion of the Collateral shall at any time be on file in any recording office except such as may be filed in favor of (i) the Borrower in accordance with the Purchase Agreement or (ii) the Administrative Agent in accordance with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(m)</w:t>
      </w:r>
    </w:p>
    <w:p>
      <w:pPr>
        <w:pStyle w:val="TextBody"/>
        <w:bidi w:val="0"/>
        <w:spacing w:before="0" w:after="240"/>
        <w:jc w:val="both"/>
        <w:rPr/>
      </w:pPr>
      <w:r>
        <w:rPr>
          <w:rFonts w:ascii="Times New Roman" w:hAnsi="Times New Roman"/>
          <w:color w:val="000000"/>
          <w:sz w:val="24"/>
          <w:u w:val="single"/>
        </w:rPr>
        <w:t>Security Interest</w:t>
      </w:r>
      <w:r>
        <w:rPr>
          <w:rFonts w:ascii="Times New Roman" w:hAnsi="Times New Roman"/>
          <w:color w:val="000000"/>
          <w:sz w:val="24"/>
        </w:rPr>
        <w:t>. The Borrower has granted a security interest (as defined in the UCC) to the Administrative Agent, as agent for the Secured Parties, in the Collateral, which is enforceable in accordance with Applicable Law upon execution and delivery of this Agreement. Upon the filing of UCC-1 financing statements naming the Administrative Agent, as secured party and the Borrower as debtor, or upon the Custodian obtaining control, in the case of that portion of the Collateral which constitutes chattel paper, the Administrative Agent, as agent for the Secured Parties, shall have a first priority (except for any Permitted Liens) perfected security interest in the Collateral. All filings (including such UCC filings) as are necessary in any jurisdiction to perfect the interest of the Administrative Agent, as agent for the Secured Parties, in the Collateral have been (or prior to the applicable Loan will be) made.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(n)</w:t>
      </w:r>
    </w:p>
    <w:p>
      <w:pPr>
        <w:pStyle w:val="TextBody"/>
        <w:bidi w:val="0"/>
        <w:spacing w:before="0" w:after="240"/>
        <w:jc w:val="both"/>
        <w:rPr/>
      </w:pPr>
      <w:r>
        <w:rPr>
          <w:rFonts w:ascii="Times New Roman" w:hAnsi="Times New Roman"/>
          <w:color w:val="000000"/>
          <w:sz w:val="24"/>
          <w:u w:val="single"/>
        </w:rPr>
        <w:t>Reports Accurate</w:t>
      </w:r>
      <w:r>
        <w:rPr>
          <w:rFonts w:ascii="Times New Roman" w:hAnsi="Times New Roman"/>
          <w:color w:val="000000"/>
          <w:sz w:val="24"/>
        </w:rPr>
        <w:t>. All Monthly Reports (if prepared by the Borrower, or to the extent that information contained therein is supplied by the Borrower, such portion supplied by the Borrower), information, exhibits, financial statements, documents, books, records or reports furnished or to be furnished by the Borrower to the Administrative Agent, the Account Bank, the Backup Servicer and any Secured Party in connection with this Agreement are true, complete and correct in all material respects.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(o)</w:t>
      </w:r>
    </w:p>
    <w:p>
      <w:pPr>
        <w:pStyle w:val="TextBody"/>
        <w:bidi w:val="0"/>
        <w:spacing w:before="0" w:after="240"/>
        <w:jc w:val="both"/>
        <w:rPr/>
      </w:pPr>
      <w:r>
        <w:rPr>
          <w:rFonts w:ascii="Times New Roman" w:hAnsi="Times New Roman"/>
          <w:color w:val="000000"/>
          <w:sz w:val="24"/>
          <w:u w:val="single"/>
        </w:rPr>
        <w:t>Location of Offices</w:t>
      </w:r>
      <w:r>
        <w:rPr>
          <w:rFonts w:ascii="Times New Roman" w:hAnsi="Times New Roman"/>
          <w:color w:val="000000"/>
          <w:sz w:val="24"/>
        </w:rPr>
        <w:t xml:space="preserve">. The Borrower’s location (within the meaning of Article 9 of the UCC) is the State of Delaware. The principal place of business and chief executive office of the Borrower and the office where the Borrower keeps all the Records are located at the address of the Borrower referred to in Section 14.02 and has been so for the last four months (or at such other locations as to which the notice and other requirements specified in Section 6.02(f) shall have been satisfied).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(p)</w:t>
      </w:r>
    </w:p>
    <w:p>
      <w:pPr>
        <w:pStyle w:val="TextBody"/>
        <w:bidi w:val="0"/>
        <w:spacing w:before="0" w:after="240"/>
        <w:jc w:val="both"/>
        <w:rPr/>
      </w:pPr>
      <w:r>
        <w:rPr>
          <w:rFonts w:ascii="Times New Roman" w:hAnsi="Times New Roman"/>
          <w:color w:val="000000"/>
          <w:sz w:val="24"/>
          <w:u w:val="single"/>
        </w:rPr>
        <w:t>Post Office Box; Local Bank Account; Collection Account</w:t>
      </w:r>
      <w:r>
        <w:rPr>
          <w:rFonts w:ascii="Times New Roman" w:hAnsi="Times New Roman"/>
          <w:color w:val="000000"/>
          <w:sz w:val="24"/>
        </w:rPr>
        <w:t>. The Borrower has not granted any Person dominion or control of (i) any Post Office Box or the Local Bank Account other than in accordance with the terms of the Intercreditor Agreement and the Intercreditor Party Supplement or (ii) the Collection Account other than the Administrative Agent. The Local Bank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Local Bank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pStyle w:val="TextBody"/>
        <w:bidi w:val="0"/>
        <w:jc w:val="center"/>
        <w:rPr>
          <w:rFonts w:ascii="Times New Roman" w:hAnsi="Times New Roman"/>
          <w:color w:val="000000"/>
          <w:sz w:val="24"/>
        </w:rPr>
      </w:pPr>
      <w:r>
        <w:rPr>
          <w:rFonts w:ascii="Times New Roman" w:hAnsi="Times New Roman"/>
          <w:color w:val="000000"/>
          <w:sz w:val="24"/>
        </w:rPr>
        <w:t>75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(q)</w:t>
      </w:r>
    </w:p>
    <w:p>
      <w:pPr>
        <w:pStyle w:val="TextBody"/>
        <w:bidi w:val="0"/>
        <w:spacing w:before="0" w:after="240"/>
        <w:jc w:val="both"/>
        <w:rPr/>
      </w:pPr>
      <w:r>
        <w:rPr>
          <w:rFonts w:ascii="Times New Roman" w:hAnsi="Times New Roman"/>
          <w:color w:val="000000"/>
          <w:sz w:val="24"/>
          <w:u w:val="single"/>
        </w:rPr>
        <w:t>Tradenames</w:t>
      </w:r>
      <w:r>
        <w:rPr>
          <w:rFonts w:ascii="Times New Roman" w:hAnsi="Times New Roman"/>
          <w:color w:val="000000"/>
          <w:sz w:val="24"/>
        </w:rPr>
        <w:t>. The Borrower has no trade names, fictitious names, assumed names or “doing business as” names or other names under which it has done or is doing business.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(r)</w:t>
      </w:r>
    </w:p>
    <w:p>
      <w:pPr>
        <w:pStyle w:val="TextBody"/>
        <w:bidi w:val="0"/>
        <w:spacing w:before="0" w:after="240"/>
        <w:jc w:val="both"/>
        <w:rPr/>
      </w:pPr>
      <w:r>
        <w:rPr>
          <w:rFonts w:ascii="Times New Roman" w:hAnsi="Times New Roman"/>
          <w:color w:val="000000"/>
          <w:sz w:val="24"/>
          <w:u w:val="single"/>
        </w:rPr>
        <w:t>Purchase Agreement</w:t>
      </w:r>
      <w:r>
        <w:rPr>
          <w:rFonts w:ascii="Times New Roman" w:hAnsi="Times New Roman"/>
          <w:color w:val="000000"/>
          <w:sz w:val="24"/>
        </w:rPr>
        <w:t>. The Purchase Agreement is the only agreement pursuant to which the Borrower purchases Receivables and the related Contracts.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(s)</w:t>
      </w:r>
    </w:p>
    <w:p>
      <w:pPr>
        <w:pStyle w:val="TextBody"/>
        <w:bidi w:val="0"/>
        <w:spacing w:before="0" w:after="240"/>
        <w:jc w:val="both"/>
        <w:rPr/>
      </w:pPr>
      <w:r>
        <w:rPr>
          <w:rFonts w:ascii="Times New Roman" w:hAnsi="Times New Roman"/>
          <w:color w:val="000000"/>
          <w:sz w:val="24"/>
          <w:u w:val="single"/>
        </w:rPr>
        <w:t>Value Given</w:t>
      </w:r>
      <w:r>
        <w:rPr>
          <w:rFonts w:ascii="Times New Roman" w:hAnsi="Times New Roman"/>
          <w:color w:val="000000"/>
          <w:sz w:val="24"/>
        </w:rPr>
        <w:t>. The Borrower shall have given reasonably equivalent value to UACC in consideration for the transfer to the Borrower of the Receivables and the related Collateral under the Purchase Agreement, no such transfer shall have been made for or on account of an antecedent debt owed by UACC to the Borrower and no such transfer is or may be voidable or subject to avoidance under any section of the Bankruptcy Code.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(t)</w:t>
      </w:r>
    </w:p>
    <w:p>
      <w:pPr>
        <w:pStyle w:val="TextBody"/>
        <w:bidi w:val="0"/>
        <w:spacing w:before="0" w:after="240"/>
        <w:jc w:val="both"/>
        <w:rPr/>
      </w:pPr>
      <w:r>
        <w:rPr>
          <w:rFonts w:ascii="Times New Roman" w:hAnsi="Times New Roman"/>
          <w:color w:val="000000"/>
          <w:sz w:val="24"/>
          <w:u w:val="single"/>
        </w:rPr>
        <w:t>Accounting</w:t>
      </w:r>
      <w:r>
        <w:rPr>
          <w:rFonts w:ascii="Times New Roman" w:hAnsi="Times New Roman"/>
          <w:color w:val="000000"/>
          <w:sz w:val="24"/>
        </w:rPr>
        <w:t>. The Borrower accounts for the transfers to it from UACC of Receivables and related Collateral under the Purchase Agreement as sales of such Receivables and related Collateral in its books and records and in UACC’s consolidated financial statements, in each case consistent with GAAP and with the requirements set forth herein.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(u)</w:t>
      </w:r>
    </w:p>
    <w:p>
      <w:pPr>
        <w:pStyle w:val="TextBody"/>
        <w:bidi w:val="0"/>
        <w:spacing w:before="0" w:after="240"/>
        <w:jc w:val="both"/>
        <w:rPr/>
      </w:pPr>
      <w:r>
        <w:rPr>
          <w:rFonts w:ascii="Times New Roman" w:hAnsi="Times New Roman"/>
          <w:color w:val="000000"/>
          <w:sz w:val="24"/>
          <w:u w:val="single"/>
        </w:rPr>
        <w:t>Special Purpose Entity</w:t>
      </w:r>
      <w:r>
        <w:rPr>
          <w:rFonts w:ascii="Times New Roman" w:hAnsi="Times New Roman"/>
          <w:color w:val="000000"/>
          <w:sz w:val="24"/>
        </w:rPr>
        <w:t>. The Borrower is in compliance with Section 6.02(n).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(v)</w:t>
      </w:r>
    </w:p>
    <w:p>
      <w:pPr>
        <w:pStyle w:val="TextBody"/>
        <w:bidi w:val="0"/>
        <w:spacing w:before="0" w:after="240"/>
        <w:jc w:val="both"/>
        <w:rPr/>
      </w:pPr>
      <w:r>
        <w:rPr>
          <w:rFonts w:ascii="Times New Roman" w:hAnsi="Times New Roman"/>
          <w:color w:val="000000"/>
          <w:sz w:val="24"/>
          <w:u w:val="single"/>
        </w:rPr>
        <w:t>Bankruptcy Filings</w:t>
      </w:r>
      <w:r>
        <w:rPr>
          <w:rFonts w:ascii="Times New Roman" w:hAnsi="Times New Roman"/>
          <w:color w:val="000000"/>
          <w:sz w:val="24"/>
        </w:rPr>
        <w:t>. The Trust Agreement provides that the Owner Trustee, prior to consenting to the filing by the Borrower of a voluntary petition under the Bankruptcy Code or any other Insolvency Laws, shall consider the interests of all Secured Parties and whether the Borrower is not Solvent. Each of the Borrower and UACC is aware that in light of the circumstances described in the preceding sentence and other relevant facts, the filing of a voluntary petition under the Bankruptcy Code for the purpose of making any Receivable or any other assets of the Borrower available to satisfy claims of the creditors of UACC would not result in making such assets available to satisfy such creditors under the Bankruptcy Code.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(w)</w:t>
      </w:r>
    </w:p>
    <w:p>
      <w:pPr>
        <w:pStyle w:val="TextBody"/>
        <w:bidi w:val="0"/>
        <w:spacing w:before="0" w:after="240"/>
        <w:jc w:val="both"/>
        <w:rPr/>
      </w:pPr>
      <w:r>
        <w:rPr>
          <w:rFonts w:ascii="Times New Roman" w:hAnsi="Times New Roman"/>
          <w:color w:val="000000"/>
          <w:sz w:val="24"/>
          <w:u w:val="single"/>
        </w:rPr>
        <w:t>Investment Company Act</w:t>
      </w:r>
      <w:r>
        <w:rPr>
          <w:rFonts w:ascii="Times New Roman" w:hAnsi="Times New Roman"/>
          <w:color w:val="000000"/>
          <w:sz w:val="24"/>
        </w:rPr>
        <w:t>. The Borrower is not an “investment company” within the meaning of the Investment Company Act and is not required to register as an “investment company” under the Investment Company Act. In reaching this conclusion, the Borrower relied on the exemption from the definition of “investment company” contained in Section 3(c)(5)(A) of the Investment Company Act, although other exclusions or exemptions may apply. The Borrower is not a “covered fund” for purposes of the Volcker Rule.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w:t>
      </w:r>
    </w:p>
    <w:p>
      <w:pPr>
        <w:pStyle w:val="TextBody"/>
        <w:bidi w:val="0"/>
        <w:spacing w:before="0" w:after="240"/>
        <w:jc w:val="both"/>
        <w:rPr/>
      </w:pPr>
      <w:r>
        <w:rPr>
          <w:rFonts w:ascii="Times New Roman" w:hAnsi="Times New Roman"/>
          <w:color w:val="000000"/>
          <w:sz w:val="24"/>
          <w:u w:val="single"/>
        </w:rPr>
        <w:t>ERISA</w:t>
      </w:r>
      <w:r>
        <w:rPr>
          <w:rFonts w:ascii="Times New Roman" w:hAnsi="Times New Roman"/>
          <w:color w:val="000000"/>
          <w:sz w:val="24"/>
        </w:rPr>
        <w:t>. The Borrower has no current or former employees. Neither the Borrower nor any ERISA Affiliate sponsors, contributes to or is required to contribute to any Pension Plan or any Multiemployer Plan.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(y)</w:t>
      </w:r>
    </w:p>
    <w:p>
      <w:pPr>
        <w:pStyle w:val="TextBody"/>
        <w:bidi w:val="0"/>
        <w:spacing w:before="0" w:after="240"/>
        <w:jc w:val="both"/>
        <w:rPr/>
      </w:pPr>
      <w:r>
        <w:rPr>
          <w:rFonts w:ascii="Times New Roman" w:hAnsi="Times New Roman"/>
          <w:color w:val="000000"/>
          <w:sz w:val="24"/>
          <w:u w:val="single"/>
        </w:rPr>
        <w:t>Accuracy of Representations and Warranties</w:t>
      </w:r>
      <w:r>
        <w:rPr>
          <w:rFonts w:ascii="Times New Roman" w:hAnsi="Times New Roman"/>
          <w:color w:val="000000"/>
          <w:sz w:val="24"/>
        </w:rPr>
        <w:t>. Each representation or warranty by the Borrower contained herein, in any other Basic Document or in any certificate or other document furnished by the Borrower pursuant hereto or thereto or in connection herewith or therewith is true and correct in all material respects.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(z)</w:t>
      </w:r>
    </w:p>
    <w:p>
      <w:pPr>
        <w:pStyle w:val="TextBody"/>
        <w:bidi w:val="0"/>
        <w:spacing w:before="0" w:after="240"/>
        <w:jc w:val="both"/>
        <w:rPr/>
      </w:pPr>
      <w:r>
        <w:rPr>
          <w:rFonts w:ascii="Times New Roman" w:hAnsi="Times New Roman"/>
          <w:color w:val="000000"/>
          <w:sz w:val="24"/>
          <w:u w:val="single"/>
        </w:rPr>
        <w:t>Representations and Warranties in Purchase Agreement</w:t>
      </w:r>
      <w:r>
        <w:rPr>
          <w:rFonts w:ascii="Times New Roman" w:hAnsi="Times New Roman"/>
          <w:color w:val="000000"/>
          <w:sz w:val="24"/>
        </w:rPr>
        <w:t xml:space="preserve">. The representations and warranties made by the Borrower to UACC in the Purchase Agreement are hereby remade by the Borrower on each date to which they speak in the Purchase Agreement, as if such representations and warranties were set forth herein. For purposes of this Section, such representations and </w:t>
      </w:r>
    </w:p>
    <w:p>
      <w:pPr>
        <w:pStyle w:val="TextBody"/>
        <w:bidi w:val="0"/>
        <w:jc w:val="center"/>
        <w:rPr>
          <w:rFonts w:ascii="Times New Roman" w:hAnsi="Times New Roman"/>
          <w:color w:val="000000"/>
          <w:sz w:val="24"/>
        </w:rPr>
      </w:pPr>
      <w:r>
        <w:rPr>
          <w:rFonts w:ascii="Times New Roman" w:hAnsi="Times New Roman"/>
          <w:color w:val="000000"/>
          <w:sz w:val="24"/>
        </w:rPr>
        <w:t>76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warranties are incorporated herein by reference as if made by the Borrower to the Administrative Agent and to each of the Secured Parties under the terms hereof mutatis mutandis.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(aa)</w:t>
      </w:r>
    </w:p>
    <w:p>
      <w:pPr>
        <w:pStyle w:val="TextBody"/>
        <w:bidi w:val="0"/>
        <w:spacing w:before="0" w:after="240"/>
        <w:jc w:val="both"/>
        <w:rPr/>
      </w:pPr>
      <w:r>
        <w:rPr>
          <w:rFonts w:ascii="Times New Roman" w:hAnsi="Times New Roman"/>
          <w:color w:val="000000"/>
          <w:sz w:val="24"/>
          <w:u w:val="single"/>
        </w:rPr>
        <w:t>Sanctions</w:t>
      </w:r>
      <w:r>
        <w:rPr>
          <w:rFonts w:ascii="Times New Roman" w:hAnsi="Times New Roman"/>
          <w:color w:val="000000"/>
          <w:sz w:val="24"/>
        </w:rPr>
        <w:t xml:space="preserve">. (i) The operations of the Borrower and its Subsidiaries and Affiliates are and have been conducted at all times in compliance with applicable Sanctions; (ii) none of the Borrower, its Affiliates or Subsidiaries, or any directors, officers, employees, agents or representatives thereof, or any Person or representative that will act in any capacity in connection with or benefit from the facility established hereby, is a Sanctioned Person or is in violation of Sanctions; (iii) none of the Borrower or any of its Subsidiaries or Affiliates will, directly or indirectly use the proceeds of the Loans or the proceeds of any other transaction contemplated by this Agreement or lend, contribute or otherwise make available such proceeds to any Subsidiary, Affiliate, joint venture partner or other Person (A) to fund or facilitate any activities or business of or with any Sanctioned Person; (B) to fund or facilitate any activities of or business in any Sanctioned Country or (C) in any manner that would result in violation of Sanctions by any Person participating in the transactions contemplated by this Agreement.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(bb)</w:t>
      </w:r>
    </w:p>
    <w:p>
      <w:pPr>
        <w:pStyle w:val="TextBody"/>
        <w:bidi w:val="0"/>
        <w:spacing w:before="0" w:after="240"/>
        <w:jc w:val="both"/>
        <w:rPr/>
      </w:pPr>
      <w:r>
        <w:rPr>
          <w:rFonts w:ascii="Times New Roman" w:hAnsi="Times New Roman"/>
          <w:color w:val="000000"/>
          <w:sz w:val="24"/>
          <w:u w:val="single"/>
        </w:rPr>
        <w:t>Anti-Corruption</w:t>
      </w:r>
      <w:r>
        <w:rPr>
          <w:rFonts w:ascii="Times New Roman" w:hAnsi="Times New Roman"/>
          <w:color w:val="000000"/>
          <w:sz w:val="24"/>
        </w:rPr>
        <w:t>. (i) The operations of the Borrower and its Subsidiaries and Affiliates are and have been conducted at all times in compliance with applicable anti-corruption laws; (ii) none of the Borrower or any of its Subsidiaries or Affiliates, or any officers, directors, employees, agents or representatives thereof has taken or will take any action in furtherance of any bribe or kickback, illegal political contribution, or any offer, payment, gift, promise to pay, promise to give, or any authorization of an offer, payment or giving of money or anything of value to any government official, government employee or any director, official, agent or employee of any government-owned or government-controlled entity, public international organization, or political party, or any candidate for political office for the purpose of (A) improperly influencing their official action or the action of the government they represent; (B) obtaining any improper business advantage; (C) directing business to any Person; or (D) improperly obtaining or retaining business; and (iii) none of the Borrower, its Subsidiaries or Affiliates will use, directly or indirectly, the Loans or the proceeds of any other transaction contemplated by this Agreement in furtherance of an offer, payment, promise to pay, or authorization of the payment or giving of money, or anything else of value, to any person in violation of any applicable anti-corruption laws.</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5.02.</w:t>
      </w:r>
      <w:r>
        <w:rPr>
          <w:rFonts w:ascii="Times New Roman" w:hAnsi="Times New Roman"/>
          <w:color w:val="000000"/>
          <w:sz w:val="20"/>
          <w:u w:val="single"/>
        </w:rPr>
        <w:t xml:space="preserve"> </w:t>
      </w:r>
      <w:r>
        <w:rPr>
          <w:rFonts w:ascii="Times New Roman" w:hAnsi="Times New Roman"/>
          <w:b w:val="false"/>
          <w:color w:val="000000"/>
          <w:sz w:val="24"/>
          <w:u w:val="single"/>
        </w:rPr>
        <w:t>Representations and Warranties of the Borrower Relating to this Agreement and the Receivables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The Borrower represents and warrants, as of the Closing Date and as of each Funding Date, as follows: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u w:val="single"/>
        </w:rPr>
        <w:t>Binding Obligation</w:t>
      </w:r>
      <w:r>
        <w:rPr>
          <w:rFonts w:ascii="Times New Roman" w:hAnsi="Times New Roman"/>
          <w:color w:val="000000"/>
          <w:sz w:val="24"/>
        </w:rPr>
        <w:t>. Each Borrower Basic Document constitutes a legal, valid and binding obligation of the Borrower, enforceable against the Borrower in accordance with its respective terms, except as such enforceability may be limited by Insolvency Laws and except as such enforceability may be limited by general principles of equity (whether considered in a suit at law or in equity).</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Security Interest</w:t>
      </w:r>
      <w:r>
        <w:rPr>
          <w:rFonts w:ascii="Times New Roman" w:hAnsi="Times New Roman"/>
          <w:color w:val="000000"/>
          <w:sz w:val="24"/>
        </w:rPr>
        <w:t xml:space="preserve">. This Agreement constitutes a grant of a security interest in all Collateral to the Administrative Agent which upon the filing of financing statements in the applicable jurisdictions and, in the case of Subsequent Receivables in connection with the </w:t>
      </w:r>
    </w:p>
    <w:p>
      <w:pPr>
        <w:pStyle w:val="TextBody"/>
        <w:bidi w:val="0"/>
        <w:jc w:val="center"/>
        <w:rPr>
          <w:rFonts w:ascii="Times New Roman" w:hAnsi="Times New Roman"/>
          <w:color w:val="000000"/>
          <w:sz w:val="24"/>
        </w:rPr>
      </w:pPr>
      <w:r>
        <w:rPr>
          <w:rFonts w:ascii="Times New Roman" w:hAnsi="Times New Roman"/>
          <w:color w:val="000000"/>
          <w:sz w:val="24"/>
        </w:rPr>
        <w:t>77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applicable Subsequent Loan, shall be a first priority perfected security interest in all Collateral, subject only to Permitted Liens. Neither the Borrower nor any Person claiming through or under the Borrower shall have any claim to or interest in any Account Collateral and, if this Agreement constitutes the grant of a security interest in such property, except for the interest of the Borrower in such property. The representations and warranties contained in </w:t>
      </w:r>
      <w:r>
        <w:rPr>
          <w:rFonts w:ascii="Times New Roman" w:hAnsi="Times New Roman"/>
          <w:color w:val="000000"/>
          <w:sz w:val="24"/>
          <w:u w:val="single"/>
        </w:rPr>
        <w:t>Schedule A</w:t>
      </w:r>
      <w:r>
        <w:rPr>
          <w:color w:val="000000"/>
        </w:rPr>
        <w:t xml:space="preserve"> </w:t>
      </w:r>
      <w:r>
        <w:rPr>
          <w:rFonts w:ascii="Times New Roman" w:hAnsi="Times New Roman"/>
          <w:color w:val="000000"/>
          <w:sz w:val="24"/>
        </w:rPr>
        <w:t>are true and correct in all material respects.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pPr>
      <w:r>
        <w:rPr>
          <w:rFonts w:ascii="Times New Roman" w:hAnsi="Times New Roman"/>
          <w:color w:val="000000"/>
          <w:sz w:val="24"/>
          <w:u w:val="single"/>
        </w:rPr>
        <w:t>Eligibility of Receivables</w:t>
      </w: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Closing Date, (A) Schedule C and the information contained in the Funding Request delivered pursuant to Section 2.01 is an accurate and complete listing in all material respects of the Receivables constituting a portion of the Collateral as of the date of the Initial Loan and the information contained therein with respect to the identity of such Receivables and the amounts owing thereunder is true and correct in all material respects as of the related Cutoff Date, (B) each such Receivable is an Eligible Receivable, (C) each such Receivable and the related Financed Vehicle is free and clear of all Liens (other than Permitted Liens) and in compliance, in all material respects, with all Applicable Laws and (D) with respect to each such Receivable, all material consents, licenses, approvals or authorizations of or registrations or declarations with any Governmental Authority required to be obtained, effected or given by the Borrower in connection with the origination, purchase and pledge of such Receivable and the related Collateral to the Administrative Agent have been duly obtained, effected or given and are in full force and effect.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each Funding Date other than the Funding Date on which the Initial Loan is made, the Borrower shall be deemed to represent and warrant that (A) Schedule C and the information contained in the related Funding Request is an accurate and complete listing in all material respects of the Receivables (including the Subsequent Receivables being transferred on such Funding Date) constituting a portion of the Collateral as of the date of the Subsequent Loan and the information contained therein with respect to the identity of such Receivables and the amounts owing thereunder is true and correct in all material respects as of the related Cutoff Date, (B) each Subsequent Receivable referenced on the related Funding Request is an Eligible Receivable, (C) each such Subsequent Receivable and the related Financed Vehicle is free and clear of all Liens (other than Permitted Liens) and in compliance in all material respects with all Applicable Laws, (D) with respect to each such Subsequent Receivable, all material consents, licenses, approvals, authorizations, registrations or declarations with any Governmental Authority required to be obtained, effected or given by the Borrower in connection with the origination, purchase and pledge of such Subsequent Receivable and the related Collateral have been duly obtained, effected or given and are in full force and effect and (E) the representations and warranties set forth in Section 5.02 are true and correct with respect to each Subsequent Receivable pledged on such day as if made on such day.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pPr>
      <w:r>
        <w:rPr>
          <w:rFonts w:ascii="Times New Roman" w:hAnsi="Times New Roman"/>
          <w:color w:val="000000"/>
          <w:sz w:val="24"/>
          <w:u w:val="single"/>
        </w:rPr>
        <w:t>Electronic Contracts</w:t>
      </w:r>
      <w:r>
        <w:rPr>
          <w:rFonts w:ascii="Times New Roman" w:hAnsi="Times New Roman"/>
          <w:color w:val="000000"/>
          <w:sz w:val="24"/>
        </w:rPr>
        <w:t xml:space="preserve">. Each E-Vault Access Agreement provides the Custodian a right to use the E-Vault System and exclusive access to the Warehouse Vault Partition (except to the extent otherwise expressly set forth herein or in the Electronic Collateral Control Agreement) and the terms thereof are sufficient to permit the Custodian to perform its duties and obligations </w:t>
      </w:r>
    </w:p>
    <w:p>
      <w:pPr>
        <w:pStyle w:val="TextBody"/>
        <w:bidi w:val="0"/>
        <w:jc w:val="center"/>
        <w:rPr>
          <w:rFonts w:ascii="Times New Roman" w:hAnsi="Times New Roman"/>
          <w:color w:val="000000"/>
          <w:sz w:val="24"/>
        </w:rPr>
      </w:pPr>
      <w:r>
        <w:rPr>
          <w:rFonts w:ascii="Times New Roman" w:hAnsi="Times New Roman"/>
          <w:color w:val="000000"/>
          <w:sz w:val="24"/>
        </w:rPr>
        <w:t>78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hereunder and under each Electronic Collateral Control Agreement. Prior to the Facility Termination Date, the Borrower will not have any right of access to the Warehouse Vault Partition under the E-Vault Access Agreement or otherwise.</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5.03.</w:t>
      </w:r>
      <w:r>
        <w:rPr>
          <w:rFonts w:ascii="Times New Roman" w:hAnsi="Times New Roman"/>
          <w:color w:val="000000"/>
          <w:sz w:val="20"/>
          <w:u w:val="single"/>
        </w:rPr>
        <w:t xml:space="preserve"> </w:t>
      </w:r>
      <w:r>
        <w:rPr>
          <w:rFonts w:ascii="Times New Roman" w:hAnsi="Times New Roman"/>
          <w:b w:val="false"/>
          <w:color w:val="000000"/>
          <w:sz w:val="24"/>
          <w:u w:val="single"/>
        </w:rPr>
        <w:t>Representations and Warranties of the Servicer</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The Servicer represents and warrants, as of the Closing Date and as of each Funding Date, as follows: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u w:val="single"/>
        </w:rPr>
        <w:t>Organization and Good Standing</w:t>
      </w:r>
      <w:r>
        <w:rPr>
          <w:rFonts w:ascii="Times New Roman" w:hAnsi="Times New Roman"/>
          <w:color w:val="000000"/>
          <w:sz w:val="24"/>
        </w:rPr>
        <w:t>. The Servicer has been duly organized and is validly existing as a corporation in good standing under the laws of the State of California, with all requisite power and authority to own or lease its properties and to conduct its business as such business is presently conducted and to enter into and perform its obligations pursuant to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Due Qualification</w:t>
      </w:r>
      <w:r>
        <w:rPr>
          <w:rFonts w:ascii="Times New Roman" w:hAnsi="Times New Roman"/>
          <w:color w:val="000000"/>
          <w:sz w:val="24"/>
        </w:rPr>
        <w:t>. The Servicer is duly qualified to do business and is in good standing as a corporation, and has obtained all necessary licenses and approvals in all jurisdictions in which the ownership or lease of its property and or the conduct of its business, including the origination and servicing of the Receivables, requires such qualification, licenses or approvals.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pPr>
      <w:r>
        <w:rPr>
          <w:rFonts w:ascii="Times New Roman" w:hAnsi="Times New Roman"/>
          <w:color w:val="000000"/>
          <w:sz w:val="24"/>
          <w:u w:val="single"/>
        </w:rPr>
        <w:t>Power and Authority; Due Authorization</w:t>
      </w:r>
      <w:r>
        <w:rPr>
          <w:rFonts w:ascii="Times New Roman" w:hAnsi="Times New Roman"/>
          <w:color w:val="000000"/>
          <w:sz w:val="24"/>
        </w:rPr>
        <w:t>. The Servicer (i) has all necessary power, authority and legal right to (A) execute and deliver the Servicer Basic Documents and (B) carry out the terms of the Servicer Basic Documents and (ii) has duly authorized by all necessary corporate action the execution, delivery and performance of the Servicer Basic Documents.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pPr>
      <w:r>
        <w:rPr>
          <w:rFonts w:ascii="Times New Roman" w:hAnsi="Times New Roman"/>
          <w:color w:val="000000"/>
          <w:sz w:val="24"/>
          <w:u w:val="single"/>
        </w:rPr>
        <w:t>Binding Obligation</w:t>
      </w:r>
      <w:r>
        <w:rPr>
          <w:rFonts w:ascii="Times New Roman" w:hAnsi="Times New Roman"/>
          <w:color w:val="000000"/>
          <w:sz w:val="24"/>
        </w:rPr>
        <w:t>. Each Servicer Basic Document constitutes a legal, valid and binding obligation of the Servicer enforceable against the Servicer in accordance with its respective terms except as such enforceability may be limited by Insolvency Laws and except as such enforceability may be limited by general principles of equity (whether considered in a suit at law or in equity).</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pPr>
      <w:r>
        <w:rPr>
          <w:rFonts w:ascii="Times New Roman" w:hAnsi="Times New Roman"/>
          <w:color w:val="000000"/>
          <w:sz w:val="24"/>
          <w:u w:val="single"/>
        </w:rPr>
        <w:t>No Violation</w:t>
      </w:r>
      <w:r>
        <w:rPr>
          <w:rFonts w:ascii="Times New Roman" w:hAnsi="Times New Roman"/>
          <w:color w:val="000000"/>
          <w:sz w:val="24"/>
        </w:rPr>
        <w:t>. The consummation of the transactions contemplated by the Servicer Basic Documents and the fulfillment of the terms hereof and thereof will not (i) conflict with, result in any breach of any of the terms and provisions of, or constitute (with or without notice or lapse of time or both) a default under, the Servicer’s Formation Documents or, in any material respect, any Contractual Obligation of the Servicer, (ii) result in the creation or imposition of any Lien (other than Permitted Liens) upon any of the Servicer’s properties pursuant to the terms of any such Formation Documents or Contractual Obligation, other than this Agreement, or (iii) violate any Applicable Law, the violation of which could reasonably be expected to have a Material Adverse Effect.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pPr>
      <w:r>
        <w:rPr>
          <w:rFonts w:ascii="Times New Roman" w:hAnsi="Times New Roman"/>
          <w:color w:val="000000"/>
          <w:sz w:val="24"/>
          <w:u w:val="single"/>
        </w:rPr>
        <w:t>No Proceedings</w:t>
      </w:r>
      <w:r>
        <w:rPr>
          <w:rFonts w:ascii="Times New Roman" w:hAnsi="Times New Roman"/>
          <w:color w:val="000000"/>
          <w:sz w:val="24"/>
        </w:rPr>
        <w:t>. There is no litigation, proceeding or investigation pending or, to the best knowledge of the Servicer, threatened against the Servicer, before any Governmental Authority (i) asserting the invalidity of any Servicer Basic Document, (ii) seeking to prevent the consummation of any of the transactions contemplated by any Servicer Basic Document, (iii) challenging the enforceability of a material portion of the Receivables or (iv) seeking any determination or ruling that could reasonably be expected to have Material Adverse Effect.</w:t>
      </w:r>
    </w:p>
    <w:p>
      <w:pPr>
        <w:pStyle w:val="TextBody"/>
        <w:bidi w:val="0"/>
        <w:jc w:val="center"/>
        <w:rPr>
          <w:rFonts w:ascii="Times New Roman" w:hAnsi="Times New Roman"/>
          <w:color w:val="000000"/>
          <w:sz w:val="24"/>
        </w:rPr>
      </w:pPr>
      <w:r>
        <w:rPr>
          <w:rFonts w:ascii="Times New Roman" w:hAnsi="Times New Roman"/>
          <w:color w:val="000000"/>
          <w:sz w:val="24"/>
        </w:rPr>
        <w:t>79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pPr>
      <w:r>
        <w:rPr>
          <w:rFonts w:ascii="Times New Roman" w:hAnsi="Times New Roman"/>
          <w:color w:val="000000"/>
          <w:sz w:val="24"/>
          <w:u w:val="single"/>
        </w:rPr>
        <w:t>All Consents Required</w:t>
      </w:r>
      <w:r>
        <w:rPr>
          <w:rFonts w:ascii="Times New Roman" w:hAnsi="Times New Roman"/>
          <w:color w:val="000000"/>
          <w:sz w:val="24"/>
        </w:rPr>
        <w:t>. All approvals, authorizations, consents, orders or other actions of any Person or of any Governmental Authority (if any) required for the due execution, delivery and performance by the Servicer of the Servicer Basic Documents have been obtained.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pPr>
      <w:r>
        <w:rPr>
          <w:rFonts w:ascii="Times New Roman" w:hAnsi="Times New Roman"/>
          <w:color w:val="000000"/>
          <w:sz w:val="24"/>
          <w:u w:val="single"/>
        </w:rPr>
        <w:t>Reports Accurate</w:t>
      </w:r>
      <w:r>
        <w:rPr>
          <w:rFonts w:ascii="Times New Roman" w:hAnsi="Times New Roman"/>
          <w:color w:val="000000"/>
          <w:sz w:val="24"/>
        </w:rPr>
        <w:t>. All Monthly Reports, information, exhibits, financial statements, documents, books, records or reports furnished or to be furnished by the Servicer to the Administrative Agent, the Account Bank, the Backup Servicer or any Secured Party in connection with this Agreement are accurate, true and correct in all material respects.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pPr>
      <w:r>
        <w:rPr>
          <w:rFonts w:ascii="Times New Roman" w:hAnsi="Times New Roman"/>
          <w:color w:val="000000"/>
          <w:sz w:val="24"/>
          <w:u w:val="single"/>
        </w:rPr>
        <w:t>Servicer’s Performance</w:t>
      </w:r>
      <w:r>
        <w:rPr>
          <w:rFonts w:ascii="Times New Roman" w:hAnsi="Times New Roman"/>
          <w:color w:val="000000"/>
          <w:sz w:val="24"/>
        </w:rPr>
        <w:t>. The Servicer has the knowledge, the experience and the systems, financial and operational capacity available to timely perform each of its obligations hereunder.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(j)</w:t>
      </w:r>
    </w:p>
    <w:p>
      <w:pPr>
        <w:pStyle w:val="TextBody"/>
        <w:bidi w:val="0"/>
        <w:spacing w:before="0" w:after="240"/>
        <w:jc w:val="both"/>
        <w:rPr/>
      </w:pPr>
      <w:r>
        <w:rPr>
          <w:rFonts w:ascii="Times New Roman" w:hAnsi="Times New Roman"/>
          <w:color w:val="000000"/>
          <w:sz w:val="24"/>
          <w:u w:val="single"/>
        </w:rPr>
        <w:t>Compliance with Credit and Collection Policy</w:t>
      </w:r>
      <w:r>
        <w:rPr>
          <w:rFonts w:ascii="Times New Roman" w:hAnsi="Times New Roman"/>
          <w:color w:val="000000"/>
          <w:sz w:val="24"/>
        </w:rPr>
        <w:t>. The Servicer has, with respect to the Receivables, complied in all material respects with the Credit and Collection Policy.</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(k)</w:t>
      </w:r>
    </w:p>
    <w:p>
      <w:pPr>
        <w:pStyle w:val="TextBody"/>
        <w:bidi w:val="0"/>
        <w:spacing w:before="0" w:after="240"/>
        <w:jc w:val="both"/>
        <w:rPr/>
      </w:pPr>
      <w:r>
        <w:rPr>
          <w:rFonts w:ascii="Times New Roman" w:hAnsi="Times New Roman"/>
          <w:color w:val="000000"/>
          <w:sz w:val="24"/>
          <w:u w:val="single"/>
        </w:rPr>
        <w:t>Post Office Boxes; Local Bank Account; Collection Account</w:t>
      </w:r>
      <w:r>
        <w:rPr>
          <w:rFonts w:ascii="Times New Roman" w:hAnsi="Times New Roman"/>
          <w:color w:val="000000"/>
          <w:sz w:val="24"/>
        </w:rPr>
        <w:t>. The Servicer has not granted any Person dominion or control of (i) any Post Office Box or the Local Bank Account other than in accordance with the terms of the Intercreditor Agreement and the Intercreditor Party Supplement or (ii) the Collection Account other than the Administrative Agent. The Local Bank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Local Bank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(l)</w:t>
      </w:r>
    </w:p>
    <w:p>
      <w:pPr>
        <w:pStyle w:val="TextBody"/>
        <w:bidi w:val="0"/>
        <w:spacing w:before="0" w:after="240"/>
        <w:jc w:val="both"/>
        <w:rPr/>
      </w:pPr>
      <w:r>
        <w:rPr>
          <w:rFonts w:ascii="Times New Roman" w:hAnsi="Times New Roman"/>
          <w:color w:val="000000"/>
          <w:sz w:val="24"/>
          <w:u w:val="single"/>
        </w:rPr>
        <w:t>Solvency</w:t>
      </w:r>
      <w:r>
        <w:rPr>
          <w:rFonts w:ascii="Times New Roman" w:hAnsi="Times New Roman"/>
          <w:color w:val="000000"/>
          <w:sz w:val="24"/>
        </w:rPr>
        <w:t>. The transactions contemplated by the Basic Documents do not and will not render the Servicer not Solvent.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(m)</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The Servicer has filed or caused to be filed all U.S. federal and state income and all other material Tax returns that are required to be filed by it. The Servicer has paid or made adequate provisions for the payment of all material Taxes imposed on it or any of its property (other than any amount of Tax the validity of which is currently being contested in good faith by appropriate proceedings and with respect to which reserves in accordance with GAAP have been provided on the books of the Servicer), and no Tax lien (other than a Permitted Lien) has been filed and no claim is being asserted, with respect to any such Tax, fee or other charge.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(n)</w:t>
      </w:r>
    </w:p>
    <w:p>
      <w:pPr>
        <w:pStyle w:val="TextBody"/>
        <w:bidi w:val="0"/>
        <w:spacing w:before="0" w:after="240"/>
        <w:jc w:val="both"/>
        <w:rPr/>
      </w:pPr>
      <w:r>
        <w:rPr>
          <w:rFonts w:ascii="Times New Roman" w:hAnsi="Times New Roman"/>
          <w:color w:val="000000"/>
          <w:sz w:val="24"/>
          <w:u w:val="single"/>
        </w:rPr>
        <w:t>Sanctions</w:t>
      </w:r>
      <w:r>
        <w:rPr>
          <w:rFonts w:ascii="Times New Roman" w:hAnsi="Times New Roman"/>
          <w:color w:val="000000"/>
          <w:sz w:val="24"/>
        </w:rPr>
        <w:t xml:space="preserve">. (i) The operation of the Servicer and its Subsidiaries and Affiliates are and have been conducted at all times in compliance with applicable Sanctions; (ii) none of the Servicer, its Affiliates or Subsidiaries or any directors, officers, employees, agents or representatives thereof, or any Person or representative that will act in any capacity in connection with or benefit from the facility established hereby, is a Sanctioned Person or is in violation of any Sanctions; (iii) none of the Servicer or any of its Subsidiaries or Affiliates will, directly or indirectly use the proceeds of the Loans or the proceeds of any other transaction contemplated by this Agreement or lend, contribute or otherwise make available such proceeds to any Subsidiary, </w:t>
      </w:r>
    </w:p>
    <w:p>
      <w:pPr>
        <w:pStyle w:val="TextBody"/>
        <w:bidi w:val="0"/>
        <w:jc w:val="center"/>
        <w:rPr>
          <w:rFonts w:ascii="Times New Roman" w:hAnsi="Times New Roman"/>
          <w:color w:val="000000"/>
          <w:sz w:val="24"/>
        </w:rPr>
      </w:pPr>
      <w:r>
        <w:rPr>
          <w:rFonts w:ascii="Times New Roman" w:hAnsi="Times New Roman"/>
          <w:color w:val="000000"/>
          <w:sz w:val="24"/>
        </w:rPr>
        <w:t>80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Affiliate, joint venture partner or other Person (A) to fund or facilitate any activities or business of or with any Sanctioned Person; (B) to fund or facilitate any activities of or business in any Sanctioned Country or (C) in any manner that would result in violation of any Sanctions by any Person participating in the transactions contemplated by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(o)</w:t>
      </w:r>
    </w:p>
    <w:p>
      <w:pPr>
        <w:pStyle w:val="TextBody"/>
        <w:bidi w:val="0"/>
        <w:spacing w:before="0" w:after="240"/>
        <w:jc w:val="both"/>
        <w:rPr/>
      </w:pPr>
      <w:r>
        <w:rPr>
          <w:rFonts w:ascii="Times New Roman" w:hAnsi="Times New Roman"/>
          <w:color w:val="000000"/>
          <w:sz w:val="24"/>
          <w:u w:val="single"/>
        </w:rPr>
        <w:t>Anti-Corruption</w:t>
      </w:r>
      <w:r>
        <w:rPr>
          <w:rFonts w:ascii="Times New Roman" w:hAnsi="Times New Roman"/>
          <w:color w:val="000000"/>
          <w:sz w:val="24"/>
        </w:rPr>
        <w:t>. (i) The operations of the Servicer and its Subsidiaries and Affiliates are and have been conducted at all times in compliance with applicable anti-corruption laws; (ii) none of the Servicer or any of its Subsidiaries or Affiliates, or any officers, directors, employees, agents or representatives thereof has taken or will take any action in furtherance of any bribe or kickback, illegal political contribution, or any offer, payment, gift, promise to pay, promise to give, or any authorization of an offer, payment or giving of money or anything of value to any government official, government employee or any director, official, agent or employee of any government-owned or government-controlled entity, public international organization, or political party, or any candidate for political office for the purpose of (A) improperly influencing their official action or the action of the government they represent; (B) obtaining any improper business advantage; (C) directing business to any Person; or (D) improperly obtaining or retaining business; and (iii) none of the Servicer, its Subsidiaries or Affiliates will use, directly or indirectly, the Loans or the proceeds of any other transaction contemplated by this Agreement in furtherance of an offer, payment, promise to pay, or authorization of the payment or giving of money, or anything else of value, to any person in violation of any applicable anti-corruption laws.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(p)</w:t>
      </w:r>
    </w:p>
    <w:p>
      <w:pPr>
        <w:pStyle w:val="TextBody"/>
        <w:bidi w:val="0"/>
        <w:spacing w:before="0" w:after="240"/>
        <w:jc w:val="both"/>
        <w:rPr/>
      </w:pPr>
      <w:r>
        <w:rPr>
          <w:rFonts w:ascii="Times New Roman" w:hAnsi="Times New Roman"/>
          <w:color w:val="000000"/>
          <w:sz w:val="24"/>
          <w:u w:val="single"/>
        </w:rPr>
        <w:t>ERISA Representations</w:t>
      </w:r>
      <w:r>
        <w:rPr>
          <w:rFonts w:ascii="Times New Roman" w:hAnsi="Times New Roman"/>
          <w:color w:val="000000"/>
          <w:sz w:val="24"/>
        </w:rPr>
        <w:t xml:space="preserve">. None of the Servicer or its ERISA Affiliates is a Benefit Plan Investor. None of the Servicer or its ERISA Affiliates sponsors, contributes to, has any obligation to contribute to, or has any liability with respect to any Pension Plan or Multiemployer Plan. No event has occurred or is expected to occur that might result, directly or indirectly, in any Lien pursuant to Section 4068 of ERISA being imposed on the property of the Servicer or its ERISA Affiliates. </w:t>
      </w:r>
    </w:p>
    <w:p>
      <w:pPr>
        <w:pStyle w:val="TextBody"/>
        <w:bidi w:val="0"/>
        <w:jc w:val="center"/>
        <w:rPr>
          <w:rFonts w:ascii="Times New Roman" w:hAnsi="Times New Roman"/>
          <w:color w:val="000000"/>
          <w:sz w:val="24"/>
        </w:rPr>
      </w:pPr>
      <w:r>
        <w:rPr>
          <w:rFonts w:ascii="Times New Roman" w:hAnsi="Times New Roman"/>
          <w:color w:val="000000"/>
          <w:sz w:val="24"/>
        </w:rPr>
        <w:t>81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5.04. </w:t>
      </w:r>
      <w:r>
        <w:rPr>
          <w:rFonts w:ascii="Times New Roman" w:hAnsi="Times New Roman"/>
          <w:b w:val="false"/>
          <w:color w:val="000000"/>
          <w:sz w:val="24"/>
          <w:u w:val="single"/>
        </w:rPr>
        <w:t>Retransfer of Certain Receivables</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a)</w:t>
      </w:r>
    </w:p>
    <w:p>
      <w:pPr>
        <w:pStyle w:val="TextBody"/>
        <w:bidi w:val="0"/>
        <w:jc w:val="both"/>
        <w:rPr/>
      </w:pPr>
      <w:r>
        <w:rPr>
          <w:rFonts w:ascii="Times New Roman" w:hAnsi="Times New Roman"/>
          <w:color w:val="000000"/>
          <w:sz w:val="24"/>
          <w:u w:val="single"/>
        </w:rPr>
        <w:t>Exercise of Rights under Purchase Agreement</w:t>
      </w:r>
      <w:r>
        <w:rPr>
          <w:rFonts w:ascii="Times New Roman" w:hAnsi="Times New Roman"/>
          <w:color w:val="000000"/>
          <w:sz w:val="24"/>
        </w:rPr>
        <w:t>. The Borrower shall exercise its rights under Section 7.2 of the Purchase Agreement to require the Seller to repurchase any Receivable as to which an event described in such Section has occurred in accordance with the terms of the Purchase Agreement. Upon receipt of the Release Price in the Collection Account for any Receivable repurchased pursuant to Section 7.2 of the Purchase Agreement as provided therein, the Administrative Agent shall automatically and without further action be deemed to transfer, assign and set-over to the Borrower, without recourse, representation or warranty, all the right, title and interest of the Administrative Agent in, to and under such Receivable all future monies due or to become due with respect thereto, all proceeds of such Receivable and Recoveries relating thereto, all rights to security for any such Receivable, and all proceeds and products of the foregoing; provided, however, that no such release shall be given effect unless Borrower has complied with the terms of any Hedging Agreement requiring that any Hedge Transaction related thereto be terminated in whole or in part and the Borrower has paid all Hedge Breakage Costs due to the related Hedge Counterparty with respect to such termination. The Administrative Agent shall, at the sole expense of the Servicer, execute such documents and instruments of release as may be prepared by the Servicer on behalf of the Borrower and take other such actions as shall reasonably be requested by the Borrower to effect the release of such Receivable pursuant to this subsection.</w:t>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Retransfer of Receivables for Breach of Servicing Covenant</w:t>
      </w:r>
      <w:r>
        <w:rPr>
          <w:rFonts w:ascii="Times New Roman" w:hAnsi="Times New Roman"/>
          <w:color w:val="000000"/>
          <w:sz w:val="24"/>
        </w:rPr>
        <w:t>. In the event that the Servicer breaches a servicing covenant pursuant to Section 7.03(c)(i) or (c)(ii), no later than the earlier of (i) knowledge by the Servicer of such event or (ii) receipt by the Servicer from the Administrative Agent or the Borrower of written notice thereof, the Servicer shall (A) disclose the identity of the related Receivable on the following Monthly Report and (B) to the extent such breach has not been cured or waived in writing by the Administrative Agent, on or before the next Payment Date, make a deposit of the Release Price for each such Receivable into the Collection Account in immediately available funds, and the Borrower shall accept the release of such Receivable(s).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pPr>
      <w:r>
        <w:rPr>
          <w:rFonts w:ascii="Times New Roman" w:hAnsi="Times New Roman"/>
          <w:color w:val="000000"/>
          <w:sz w:val="24"/>
          <w:u w:val="single"/>
        </w:rPr>
        <w:t>Notice of Release</w:t>
      </w:r>
      <w:r>
        <w:rPr>
          <w:rFonts w:ascii="Times New Roman" w:hAnsi="Times New Roman"/>
          <w:color w:val="000000"/>
          <w:sz w:val="24"/>
        </w:rPr>
        <w:t>. The Borrower or the Servicer, as applicable, shall provide written notice to the Administrative Agent and each Hedge Counterparty of any release of Receivables pursuant to Sections 5.04(a) or (b) prior to 12:00 p.m., New York, New York time, five Business Days prior to the related Release Date, and such notice shall include a calculation of the Borrowing Base after giving effect to such release, as well as representations and warranties by the Borrower that no Termination Event, Unmatured Termination Event, Servicer Termination Event or Unmatured Servicer Termination Event has occurred, that the Borrowing Base calculation included with such notice is accurate and that any required Hedging Agreements are in full effect.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pPr>
      <w:r>
        <w:rPr>
          <w:rFonts w:ascii="Times New Roman" w:hAnsi="Times New Roman"/>
          <w:color w:val="000000"/>
          <w:sz w:val="24"/>
          <w:u w:val="single"/>
        </w:rPr>
        <w:t>Restrictions on Repurchases and Retransfer</w:t>
      </w:r>
      <w:r>
        <w:rPr>
          <w:rFonts w:ascii="Times New Roman" w:hAnsi="Times New Roman"/>
          <w:color w:val="000000"/>
          <w:sz w:val="24"/>
        </w:rPr>
        <w:t>. Notwithstanding anything to the contrary set forth herein, neither the Borrower nor the Servicer shall repurchase or retransfer any Receivables, either individually or in a series of transactions, which is designed for the purpose of impacting the calculation of the “Annualized Default Ratio”, the “Annualized Net Loss Ratio”, the “Delinquency Ratio” or the “Extension Ratio”.</w:t>
      </w:r>
    </w:p>
    <w:p>
      <w:pPr>
        <w:pStyle w:val="TextBody"/>
        <w:bidi w:val="0"/>
        <w:jc w:val="center"/>
        <w:rPr>
          <w:rFonts w:ascii="Times New Roman" w:hAnsi="Times New Roman"/>
          <w:color w:val="000000"/>
          <w:sz w:val="24"/>
        </w:rPr>
      </w:pPr>
      <w:r>
        <w:rPr>
          <w:rFonts w:ascii="Times New Roman" w:hAnsi="Times New Roman"/>
          <w:color w:val="000000"/>
          <w:sz w:val="24"/>
        </w:rPr>
        <w:t>82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5.05</w:t>
      </w:r>
      <w:r>
        <w:rPr>
          <w:rFonts w:ascii="Times New Roman" w:hAnsi="Times New Roman"/>
          <w:color w:val="000000"/>
          <w:sz w:val="20"/>
          <w:u w:val="single"/>
        </w:rPr>
        <w:t xml:space="preserve"> </w:t>
      </w:r>
      <w:r>
        <w:rPr>
          <w:rFonts w:ascii="Times New Roman" w:hAnsi="Times New Roman"/>
          <w:b w:val="false"/>
          <w:color w:val="000000"/>
          <w:sz w:val="24"/>
          <w:u w:val="single"/>
        </w:rPr>
        <w:t xml:space="preserve">Representations and Warranties of the Backup Servicer </w:t>
      </w:r>
      <w:r>
        <w:rPr>
          <w:rFonts w:ascii="Times New Roman" w:hAnsi="Times New Roman"/>
          <w:b w:val="false"/>
          <w:color w:val="000000"/>
          <w:sz w:val="24"/>
        </w:rPr>
        <w:t>The Backup Servicer represents and warrants as follows: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u w:val="single"/>
        </w:rPr>
        <w:t>Organization and Good Standing</w:t>
      </w:r>
      <w:r>
        <w:rPr>
          <w:rFonts w:ascii="Times New Roman" w:hAnsi="Times New Roman"/>
          <w:color w:val="000000"/>
          <w:sz w:val="24"/>
        </w:rPr>
        <w:t>. The Backup Servicer has been duly organized, and is validly existing as a national banking association and in good standing under the laws of the United States, with all requisite power and authority to own or lease its properties and to conduct its business as such business is presently conducted and to enter into and perform its obligations pursuant to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Power and Authority; Due Authorization</w:t>
      </w:r>
      <w:r>
        <w:rPr>
          <w:rFonts w:ascii="Times New Roman" w:hAnsi="Times New Roman"/>
          <w:color w:val="000000"/>
          <w:sz w:val="24"/>
        </w:rPr>
        <w:t>. The Backup Servicer (i) has all necessary power, authority and legal right to (A) execute and deliver this Agreement and (B) carry out the terms of this Agreement and (ii) has duly authorized by all necessary action on its part the execution, delivery and performance of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pPr>
      <w:r>
        <w:rPr>
          <w:rFonts w:ascii="Times New Roman" w:hAnsi="Times New Roman"/>
          <w:color w:val="000000"/>
          <w:sz w:val="24"/>
          <w:u w:val="single"/>
        </w:rPr>
        <w:t>Binding Obligation</w:t>
      </w:r>
      <w:r>
        <w:rPr>
          <w:rFonts w:ascii="Times New Roman" w:hAnsi="Times New Roman"/>
          <w:color w:val="000000"/>
          <w:sz w:val="24"/>
        </w:rPr>
        <w:t>. This Agreement constitutes a legal, valid and binding obligation of the Backup Servicer enforceable against the Backup Servicer in accordance with its terms.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pPr>
      <w:r>
        <w:rPr>
          <w:rFonts w:ascii="Times New Roman" w:hAnsi="Times New Roman"/>
          <w:color w:val="000000"/>
          <w:sz w:val="24"/>
          <w:u w:val="single"/>
        </w:rPr>
        <w:t>No Violation</w:t>
      </w:r>
      <w:r>
        <w:rPr>
          <w:rFonts w:ascii="Times New Roman" w:hAnsi="Times New Roman"/>
          <w:color w:val="000000"/>
          <w:sz w:val="24"/>
        </w:rPr>
        <w:t>. The consummation of the transactions contemplated by this Agreement and the fulfillment of the terms hereof will not (i) conflict with, result in any breach of any of the terms and provisions of, or constitute (with or without notice or lapse of time or both) a default under, the Backup Servicer’s organizational documents or any Contractual Obligation of the Backup Servicer, (ii) result in the creation or imposition of any Lien upon any of the Backup Servicer’s properties pursuant to the terms of any such organizational documents or Contractual Obligation, other than this Agreement, or (iii) violate any Applicable Law.</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pPr>
      <w:r>
        <w:rPr>
          <w:rFonts w:ascii="Times New Roman" w:hAnsi="Times New Roman"/>
          <w:color w:val="000000"/>
          <w:sz w:val="24"/>
          <w:u w:val="single"/>
        </w:rPr>
        <w:t>No Proceedings</w:t>
      </w:r>
      <w:r>
        <w:rPr>
          <w:rFonts w:ascii="Times New Roman" w:hAnsi="Times New Roman"/>
          <w:color w:val="000000"/>
          <w:sz w:val="24"/>
        </w:rPr>
        <w:t>. There is no litigation, proceeding or investigation pending or, to the best knowledge of the Backup Servicer, threatened against the Backup Servicer, before any Governmental Authority (i) asserting the invalidity of this Agreement, (ii) seeking to prevent the consummation of any of the transactions contemplated by this Agreement, (iii) challenging the enforceability of a material portion of the Receivables or (iv) seeking any determination or ruling that could reasonably be expected to have a Material Adverse Effect.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pPr>
      <w:r>
        <w:rPr>
          <w:rFonts w:ascii="Times New Roman" w:hAnsi="Times New Roman"/>
          <w:color w:val="000000"/>
          <w:sz w:val="24"/>
          <w:u w:val="single"/>
        </w:rPr>
        <w:t>All Consents Required</w:t>
      </w:r>
      <w:r>
        <w:rPr>
          <w:rFonts w:ascii="Times New Roman" w:hAnsi="Times New Roman"/>
          <w:color w:val="000000"/>
          <w:sz w:val="24"/>
        </w:rPr>
        <w:t>. All approvals, authorizations, consents, orders or other actions of any Person or of any Governmental Authority (if any) required for the due execution, delivery and performance by the Backup Servicer of this Agreement have been obtained.</w:t>
      </w:r>
    </w:p>
    <w:p>
      <w:pPr>
        <w:pStyle w:val="Heading1"/>
        <w:bidi w:val="0"/>
        <w:spacing w:before="0" w:after="240"/>
        <w:jc w:val="center"/>
        <w:rPr>
          <w:rFonts w:ascii="Times New Roman" w:hAnsi="Times New Roman"/>
          <w:sz w:val="20"/>
        </w:rPr>
      </w:pPr>
      <w:r>
        <w:rPr>
          <w:rFonts w:ascii="Times New Roman" w:hAnsi="Times New Roman"/>
          <w:b w:val="false"/>
          <w:color w:val="000000"/>
          <w:sz w:val="24"/>
        </w:rPr>
        <w:t>ARTICLE SIX</w:t>
      </w:r>
      <w:r>
        <w:rPr>
          <w:rFonts w:ascii="Times New Roman" w:hAnsi="Times New Roman"/>
          <w:color w:val="000000"/>
          <w:sz w:val="24"/>
        </w:rPr>
        <w:br/>
        <w:br/>
      </w:r>
      <w:r>
        <w:rPr>
          <w:rFonts w:ascii="Times New Roman" w:hAnsi="Times New Roman"/>
          <w:b w:val="false"/>
          <w:color w:val="000000"/>
          <w:sz w:val="24"/>
        </w:rPr>
        <w:t>COVENANTS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6.0.1</w:t>
      </w:r>
      <w:r>
        <w:rPr>
          <w:rFonts w:ascii="Times New Roman" w:hAnsi="Times New Roman"/>
          <w:color w:val="000000"/>
          <w:sz w:val="20"/>
          <w:u w:val="single"/>
        </w:rPr>
        <w:t xml:space="preserve"> </w:t>
      </w:r>
      <w:r>
        <w:rPr>
          <w:rFonts w:ascii="Times New Roman" w:hAnsi="Times New Roman"/>
          <w:b w:val="false"/>
          <w:color w:val="000000"/>
          <w:sz w:val="24"/>
          <w:u w:val="single"/>
        </w:rPr>
        <w:t>Affirmative Covenants of the Borrower</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Except as otherwise provided herein, from the date hereof until the Facility Termination Date: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u w:val="single"/>
        </w:rPr>
        <w:t>Compliance with Laws</w:t>
      </w:r>
      <w:r>
        <w:rPr>
          <w:rFonts w:ascii="Times New Roman" w:hAnsi="Times New Roman"/>
          <w:color w:val="000000"/>
          <w:sz w:val="24"/>
        </w:rPr>
        <w:t>. The Borrower will comply in all material respects with all Applicable Laws, including those with respect to the Receivables and related Financed Vehicles.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Preservation of Existence</w:t>
      </w:r>
      <w:r>
        <w:rPr>
          <w:rFonts w:ascii="Times New Roman" w:hAnsi="Times New Roman"/>
          <w:color w:val="000000"/>
          <w:sz w:val="24"/>
        </w:rPr>
        <w:t>. The Borrower will preserve and maintain its existence, rights, franchises and privileges in the State of Delaware, and qualify and remain qualified in good standing as a foreign statutory trust in each jurisdiction where the failure to preserve and maintain such existence, rights, franchises, privileges and qualification has had, or could reasonably be expected to have, a Material Adverse Effect.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pPr>
      <w:r>
        <w:rPr>
          <w:rFonts w:ascii="Times New Roman" w:hAnsi="Times New Roman"/>
          <w:color w:val="000000"/>
          <w:sz w:val="24"/>
          <w:u w:val="single"/>
        </w:rPr>
        <w:t>Performance and Compliance with Contracts</w:t>
      </w:r>
      <w:r>
        <w:rPr>
          <w:rFonts w:ascii="Times New Roman" w:hAnsi="Times New Roman"/>
          <w:color w:val="000000"/>
          <w:sz w:val="24"/>
        </w:rPr>
        <w:t>. The Borrower will, at its expense, timely and fully perform and comply in all material respects (or cause UACC to perform and comply pursuant to the Purchase Agreement and all Transfer Agreements) with all provisions, covenants and other promises required to be observed by it under the Contracts and all other agreements related to such Contracts.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pPr>
      <w:r>
        <w:rPr>
          <w:rFonts w:ascii="Times New Roman" w:hAnsi="Times New Roman"/>
          <w:color w:val="000000"/>
          <w:sz w:val="24"/>
          <w:u w:val="single"/>
        </w:rPr>
        <w:t>Keeping of Records and Books of Account</w:t>
      </w:r>
      <w:r>
        <w:rPr>
          <w:rFonts w:ascii="Times New Roman" w:hAnsi="Times New Roman"/>
          <w:color w:val="000000"/>
          <w:sz w:val="24"/>
        </w:rPr>
        <w:t>. To the extent not maintained and implemented by the Servicer, the Borrower will maintain and implement administrative and operating procedures (including an ability to recreate records evidencing Receivables in the event of the destruction of the originals thereof (in the case of Tangible Contracts) or loss of data or system failure or loss of access to the E-Vault System or the Contracts constituting or evidencing Receivables maintained therein (in the case of Electronic Contracts)), and keep and maintain all documents, books, records and other information reasonably necessary or advisable for the collection of all Receivables.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pPr>
      <w:r>
        <w:rPr>
          <w:rFonts w:ascii="Times New Roman" w:hAnsi="Times New Roman"/>
          <w:color w:val="000000"/>
          <w:sz w:val="24"/>
          <w:u w:val="single"/>
        </w:rPr>
        <w:t>Borrower Assets</w:t>
      </w:r>
      <w:r>
        <w:rPr>
          <w:rFonts w:ascii="Times New Roman" w:hAnsi="Times New Roman"/>
          <w:color w:val="000000"/>
          <w:sz w:val="24"/>
        </w:rPr>
        <w:t xml:space="preserve">. With respect to each Receivable, the Borrower will (i) acquire such Receivable pursuant to and in accordance with the Purchase Agreement, (ii) take all action necessary to perfect, protect and more fully evidence the Borrower’s ownership of such Receivable, including (A) filing and maintaining, effective financing statements (Form UCC-1) listing UACC, respectively, as debtor in all necessary or appropriate filing offices, and filing continuation statements, amendments or assignments with respect thereto in such filing offices and (B) executing or causing to be executed such other instruments or notices as may be necessary or appropriate and (iii) take all additional action that the Administrative Agent may reasonably request, including the filing of financing statements listing the Administrative Agent as secured party to perfect, protect and more fully evidence the respective interests of the parties to this Agreement in the Collateral.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pPr>
      <w:r>
        <w:rPr>
          <w:rFonts w:ascii="Times New Roman" w:hAnsi="Times New Roman"/>
          <w:color w:val="000000"/>
          <w:sz w:val="24"/>
          <w:u w:val="single"/>
        </w:rPr>
        <w:t>Delivery of Collections</w:t>
      </w:r>
      <w:r>
        <w:rPr>
          <w:rFonts w:ascii="Times New Roman" w:hAnsi="Times New Roman"/>
          <w:color w:val="000000"/>
          <w:sz w:val="24"/>
        </w:rPr>
        <w:t>. The Borrower will deliver to the Servicer for further remittance to the Local Bank Account promptly (but in no event later than one Business Day after receipt) all Collections received by Borrower in respect of the Receivables.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pPr>
      <w:r>
        <w:rPr>
          <w:rFonts w:ascii="Times New Roman" w:hAnsi="Times New Roman"/>
          <w:color w:val="000000"/>
          <w:sz w:val="24"/>
          <w:u w:val="single"/>
        </w:rPr>
        <w:t>Separate Corporate Existence</w:t>
      </w:r>
      <w:r>
        <w:rPr>
          <w:rFonts w:ascii="Times New Roman" w:hAnsi="Times New Roman"/>
          <w:color w:val="000000"/>
          <w:sz w:val="24"/>
        </w:rPr>
        <w:t>. The Borrower shall be in compliance with the special purpose entity requirements set forth in Section 6.02(n).</w:t>
      </w:r>
    </w:p>
    <w:p>
      <w:pPr>
        <w:pStyle w:val="TextBody"/>
        <w:bidi w:val="0"/>
        <w:jc w:val="center"/>
        <w:rPr>
          <w:rFonts w:ascii="Times New Roman" w:hAnsi="Times New Roman"/>
          <w:color w:val="000000"/>
          <w:sz w:val="24"/>
        </w:rPr>
      </w:pPr>
      <w:r>
        <w:rPr>
          <w:rFonts w:ascii="Times New Roman" w:hAnsi="Times New Roman"/>
          <w:color w:val="000000"/>
          <w:sz w:val="24"/>
        </w:rPr>
        <w:t>84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w:t>
      </w:r>
    </w:p>
    <w:p>
      <w:pPr>
        <w:pStyle w:val="TextBody"/>
        <w:bidi w:val="0"/>
        <w:jc w:val="left"/>
        <w:rPr/>
      </w:pPr>
      <w:r>
        <w:rPr>
          <w:rFonts w:ascii="Times New Roman" w:hAnsi="Times New Roman"/>
          <w:color w:val="000000"/>
          <w:sz w:val="24"/>
          <w:u w:val="single"/>
        </w:rPr>
        <w:t>Termination Events</w:t>
      </w:r>
      <w:r>
        <w:rPr>
          <w:rFonts w:ascii="Times New Roman" w:hAnsi="Times New Roman"/>
          <w:color w:val="000000"/>
          <w:sz w:val="24"/>
        </w:rPr>
        <w:t xml:space="preserve">. The Borrower will provide the Administrative Agent, the Account Bank and the Backup Servicer with written notice immediately following the earlier of (i) actual knowledge by the Borrower and (ii) receipt by the Borrower from the Servicer of written notice (which notice the Servicer shall be required to give promptly upon knowledge) of the occurrence of each Termination Event, Servicer Termination Event, Unmatured Termination Event and Unmatured Servicer Termination Event and, no later than three Business Days following the occurrence thereof, the Borrower will provide to the Administrative Agent an Officer’s Certificate setting forth the details of such event and the action that the Borrower proposes to take with respect thereto. </w:t>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The Borrower will file and pay any and all Taxes, including those required to meet the obligations of the Basic Documents that are due and payable, not being contested in good faith and fully reserved for in accordance with GAAP.</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(j)</w:t>
      </w:r>
    </w:p>
    <w:p>
      <w:pPr>
        <w:pStyle w:val="TextBody"/>
        <w:bidi w:val="0"/>
        <w:spacing w:before="0" w:after="240"/>
        <w:jc w:val="both"/>
        <w:rPr/>
      </w:pPr>
      <w:r>
        <w:rPr>
          <w:rFonts w:ascii="Times New Roman" w:hAnsi="Times New Roman"/>
          <w:color w:val="000000"/>
          <w:sz w:val="24"/>
          <w:u w:val="single"/>
        </w:rPr>
        <w:t>Use of Proceeds</w:t>
      </w:r>
      <w:r>
        <w:rPr>
          <w:rFonts w:ascii="Times New Roman" w:hAnsi="Times New Roman"/>
          <w:color w:val="000000"/>
          <w:sz w:val="24"/>
        </w:rPr>
        <w:t>. The Borrower will use the Principal Amounts only to acquire Receivables pursuant to the Purchase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(k)</w:t>
      </w:r>
    </w:p>
    <w:p>
      <w:pPr>
        <w:pStyle w:val="TextBody"/>
        <w:bidi w:val="0"/>
        <w:spacing w:before="0" w:after="240"/>
        <w:jc w:val="both"/>
        <w:rPr/>
      </w:pPr>
      <w:r>
        <w:rPr>
          <w:rFonts w:ascii="Times New Roman" w:hAnsi="Times New Roman"/>
          <w:color w:val="000000"/>
          <w:sz w:val="24"/>
          <w:u w:val="single"/>
        </w:rPr>
        <w:t>Preservation of Security Interest</w:t>
      </w:r>
      <w:r>
        <w:rPr>
          <w:rFonts w:ascii="Times New Roman" w:hAnsi="Times New Roman"/>
          <w:color w:val="000000"/>
          <w:sz w:val="24"/>
        </w:rPr>
        <w:t>. The Borrower will execute and file such financing and continuation statements and any other documents that may be required by any Applicable Law to preserve and protect fully the security interest of the Administrative Agent in, to and under the Collateral.</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(l)</w:t>
      </w:r>
    </w:p>
    <w:p>
      <w:pPr>
        <w:pStyle w:val="TextBody"/>
        <w:bidi w:val="0"/>
        <w:spacing w:before="0" w:after="240"/>
        <w:jc w:val="both"/>
        <w:rPr/>
      </w:pPr>
      <w:r>
        <w:rPr>
          <w:rFonts w:ascii="Times New Roman" w:hAnsi="Times New Roman"/>
          <w:color w:val="000000"/>
          <w:sz w:val="24"/>
          <w:u w:val="single"/>
        </w:rPr>
        <w:t>Reporting</w:t>
      </w:r>
      <w:r>
        <w:rPr>
          <w:rFonts w:ascii="Times New Roman" w:hAnsi="Times New Roman"/>
          <w:color w:val="000000"/>
          <w:sz w:val="24"/>
        </w:rPr>
        <w:t>. The Borrower will furnish or cause to be furnished to the Administrative Agent: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pPr>
      <w:r>
        <w:rPr>
          <w:rFonts w:ascii="Times New Roman" w:hAnsi="Times New Roman"/>
          <w:color w:val="000000"/>
          <w:sz w:val="24"/>
          <w:u w:val="single"/>
        </w:rPr>
        <w:t>Monthly Reports</w:t>
      </w:r>
      <w:r>
        <w:rPr>
          <w:rFonts w:ascii="Times New Roman" w:hAnsi="Times New Roman"/>
          <w:color w:val="000000"/>
          <w:sz w:val="24"/>
        </w:rPr>
        <w:t>. Not later than each Reporting Date, a Monthly Report and such other information as reasonably requested by the Administrative Agent.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pPr>
      <w:r>
        <w:rPr>
          <w:rFonts w:ascii="Times New Roman" w:hAnsi="Times New Roman"/>
          <w:color w:val="000000"/>
          <w:sz w:val="24"/>
          <w:u w:val="single"/>
        </w:rPr>
        <w:t>Income Tax Liability</w:t>
      </w:r>
      <w:r>
        <w:rPr>
          <w:rFonts w:ascii="Times New Roman" w:hAnsi="Times New Roman"/>
          <w:color w:val="000000"/>
          <w:sz w:val="24"/>
        </w:rPr>
        <w:t>. Within ten Business Days after the receipt of revenue agent reports or other written proposals, determinations or assessments of the Internal Revenue Service or any other taxing authority which propose, determine or otherwise set forth positive adjustments to the Tax liability of the Borrower (within the meaning of Section 1504(a)(l) of the Code) which equal or exceed $[***] in the aggregate, telephonic, telex or telecopied notice (confirmed in writing within five Business Days) specifying the nature of the items giving rise to such adjustments and the amounts thereof.</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pPr>
      <w:r>
        <w:rPr>
          <w:rFonts w:ascii="Times New Roman" w:hAnsi="Times New Roman"/>
          <w:color w:val="000000"/>
          <w:sz w:val="24"/>
          <w:u w:val="single"/>
        </w:rPr>
        <w:t>Tax Returns</w:t>
      </w:r>
      <w:r>
        <w:rPr>
          <w:rFonts w:ascii="Times New Roman" w:hAnsi="Times New Roman"/>
          <w:color w:val="000000"/>
          <w:sz w:val="24"/>
        </w:rPr>
        <w:t xml:space="preserve">. Upon demand by the Administrative Agent, copies of all Tax returns and reports filed by the Borrower, or in which the Borrower was included on a consolidated or combined basis (excluding sales, use and like taxes).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pPr>
      <w:r>
        <w:rPr>
          <w:rFonts w:ascii="Times New Roman" w:hAnsi="Times New Roman"/>
          <w:color w:val="000000"/>
          <w:sz w:val="24"/>
          <w:u w:val="single"/>
        </w:rPr>
        <w:t>Representations</w:t>
      </w:r>
      <w:r>
        <w:rPr>
          <w:rFonts w:ascii="Times New Roman" w:hAnsi="Times New Roman"/>
          <w:color w:val="000000"/>
          <w:sz w:val="24"/>
        </w:rPr>
        <w:t xml:space="preserve">. Promptly upon receiving knowledge of same, the Borrower shall notify the Administrative Agent if any representation or warranty set forth in Section 5.01 or 5.02 in any material respect was incorrect at the time it was given or deemed to have been given and at the same time deliver to the Administrative Agent a written notice setting forth in reasonable detail the nature of such facts and circumstances. In particular, but without limiting the foregoing, the Borrower shall notify the </w:t>
      </w:r>
    </w:p>
    <w:p>
      <w:pPr>
        <w:pStyle w:val="TextBody"/>
        <w:bidi w:val="0"/>
        <w:jc w:val="center"/>
        <w:rPr>
          <w:rFonts w:ascii="Times New Roman" w:hAnsi="Times New Roman"/>
          <w:color w:val="000000"/>
          <w:sz w:val="24"/>
        </w:rPr>
      </w:pPr>
      <w:r>
        <w:rPr>
          <w:rFonts w:ascii="Times New Roman" w:hAnsi="Times New Roman"/>
          <w:color w:val="000000"/>
          <w:sz w:val="24"/>
        </w:rPr>
        <w:t>85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Administrative Agent in the manner set forth in the preceding sentence before any Funding Date of any facts or circumstances within the knowledge of the Borrower which would render any of such representations and warranties untrue in any material respect at the date when they were made or deemed to have been made.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w:t>
      </w:r>
    </w:p>
    <w:p>
      <w:pPr>
        <w:pStyle w:val="TextBody"/>
        <w:bidi w:val="0"/>
        <w:spacing w:before="0" w:after="240"/>
        <w:jc w:val="both"/>
        <w:rPr/>
      </w:pPr>
      <w:r>
        <w:rPr>
          <w:rFonts w:ascii="Times New Roman" w:hAnsi="Times New Roman"/>
          <w:color w:val="000000"/>
          <w:sz w:val="24"/>
          <w:u w:val="single"/>
        </w:rPr>
        <w:t>Proceedings</w:t>
      </w:r>
      <w:r>
        <w:rPr>
          <w:rFonts w:ascii="Times New Roman" w:hAnsi="Times New Roman"/>
          <w:color w:val="000000"/>
          <w:sz w:val="24"/>
        </w:rPr>
        <w:t>. As soon as possible and in any event within three Business Days after any Responsible Officer of the Borrower receives notice or obtains knowledge thereof, any settlement of, material judgment (including a material judgment with respect to the liability phase of a bifurcated trial) in or commencement of any labor controversy (of a material nature), litigation, action, suit or proceeding before any court or governmental department, commission, board, bureau, agency or instrumentality, domestic or foreign, affecting the Borrower.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w:t>
      </w:r>
    </w:p>
    <w:p>
      <w:pPr>
        <w:pStyle w:val="TextBody"/>
        <w:bidi w:val="0"/>
        <w:spacing w:before="0" w:after="240"/>
        <w:jc w:val="both"/>
        <w:rPr/>
      </w:pPr>
      <w:r>
        <w:rPr>
          <w:rFonts w:ascii="Times New Roman" w:hAnsi="Times New Roman"/>
          <w:color w:val="000000"/>
          <w:sz w:val="24"/>
          <w:u w:val="single"/>
        </w:rPr>
        <w:t>Notice of Material Events</w:t>
      </w:r>
      <w:r>
        <w:rPr>
          <w:rFonts w:ascii="Times New Roman" w:hAnsi="Times New Roman"/>
          <w:color w:val="000000"/>
          <w:sz w:val="24"/>
        </w:rPr>
        <w:t>. Promptly upon any Responsible Officer of the Borrower becoming aware thereof, notice of any other event or circumstances that, in the reasonable judgment of the Borrower, is likely to have a Material Adverse Effect.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w:t>
      </w:r>
    </w:p>
    <w:p>
      <w:pPr>
        <w:pStyle w:val="TextBody"/>
        <w:bidi w:val="0"/>
        <w:spacing w:before="0" w:after="240"/>
        <w:jc w:val="both"/>
        <w:rPr/>
      </w:pPr>
      <w:r>
        <w:rPr>
          <w:rFonts w:ascii="Times New Roman" w:hAnsi="Times New Roman"/>
          <w:color w:val="000000"/>
          <w:sz w:val="24"/>
          <w:u w:val="single"/>
        </w:rPr>
        <w:t>Auditors’ Management Letters</w:t>
      </w:r>
      <w:r>
        <w:rPr>
          <w:rFonts w:ascii="Times New Roman" w:hAnsi="Times New Roman"/>
          <w:color w:val="000000"/>
          <w:sz w:val="24"/>
        </w:rPr>
        <w:t>. Promptly after any auditors’ management letters are received by the Borrower or by its accountants, which refer in whole or in part to any inadequacy, defect, problem, qualification or other lack of fully satisfactory accounting controls utilized by the Borrower.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(viii)</w:t>
      </w:r>
    </w:p>
    <w:p>
      <w:pPr>
        <w:pStyle w:val="TextBody"/>
        <w:bidi w:val="0"/>
        <w:spacing w:before="0" w:after="240"/>
        <w:jc w:val="both"/>
        <w:rPr/>
      </w:pPr>
      <w:r>
        <w:rPr>
          <w:rFonts w:ascii="Times New Roman" w:hAnsi="Times New Roman"/>
          <w:color w:val="000000"/>
          <w:sz w:val="24"/>
          <w:u w:val="single"/>
        </w:rPr>
        <w:t>ERISA</w:t>
      </w:r>
      <w:r>
        <w:rPr>
          <w:rFonts w:ascii="Times New Roman" w:hAnsi="Times New Roman"/>
          <w:color w:val="000000"/>
          <w:sz w:val="24"/>
        </w:rPr>
        <w:t>. The Borrower shall promptly notify the Administrative Agent in the event the Borrower becomes a Benefit Plan Investor.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(m)</w:t>
      </w:r>
    </w:p>
    <w:p>
      <w:pPr>
        <w:pStyle w:val="TextBody"/>
        <w:bidi w:val="0"/>
        <w:spacing w:before="0" w:after="240"/>
        <w:jc w:val="both"/>
        <w:rPr/>
      </w:pPr>
      <w:r>
        <w:rPr>
          <w:rFonts w:ascii="Times New Roman" w:hAnsi="Times New Roman"/>
          <w:color w:val="000000"/>
          <w:sz w:val="24"/>
          <w:u w:val="single"/>
        </w:rPr>
        <w:t>Accounting Policy</w:t>
      </w:r>
      <w:r>
        <w:rPr>
          <w:rFonts w:ascii="Times New Roman" w:hAnsi="Times New Roman"/>
          <w:color w:val="000000"/>
          <w:sz w:val="24"/>
        </w:rPr>
        <w:t xml:space="preserve">. The Borrower will promptly notify the Administrative Agent of any change in the Borrower’s accounting policies that are not otherwise required by GAAP.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(n)</w:t>
      </w:r>
    </w:p>
    <w:p>
      <w:pPr>
        <w:pStyle w:val="TextBody"/>
        <w:bidi w:val="0"/>
        <w:spacing w:before="0" w:after="240"/>
        <w:jc w:val="both"/>
        <w:rPr/>
      </w:pPr>
      <w:r>
        <w:rPr>
          <w:rFonts w:ascii="Times New Roman" w:hAnsi="Times New Roman"/>
          <w:color w:val="000000"/>
          <w:sz w:val="24"/>
          <w:u w:val="single"/>
        </w:rPr>
        <w:t>Certificate of Title Opinion</w:t>
      </w:r>
      <w:r>
        <w:rPr>
          <w:rFonts w:ascii="Times New Roman" w:hAnsi="Times New Roman"/>
          <w:color w:val="000000"/>
          <w:sz w:val="24"/>
        </w:rPr>
        <w:t>. If in connection with a Securitization involving all or a portion of the Collateral the Borrower is required to provide an Opinion of Counsel in each State in which the aggregate Principal Balance of Receivables related to Obligors with mailing addresses in such State equals or exceeds [***]% of the Aggregate Net Principal Balance, as to the requirements in each such State for the assignment of a security interest in the related Financed Vehicles and that the security interest of the related secured parties in such Financed Vehicles will be perfected and may be enforced by such secured parties notwithstanding the absence of a notation of the assignment of the security interest of the Originator to such secured parties on the related Certificate of Title, the Borrower will furnish to the Administrative Agent and the Lenders a copy of such Opinion of Counsel.</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(o)</w:t>
      </w:r>
    </w:p>
    <w:p>
      <w:pPr>
        <w:pStyle w:val="TextBody"/>
        <w:bidi w:val="0"/>
        <w:spacing w:before="0" w:after="240"/>
        <w:jc w:val="both"/>
        <w:rPr/>
      </w:pPr>
      <w:r>
        <w:rPr>
          <w:rFonts w:ascii="Times New Roman" w:hAnsi="Times New Roman"/>
          <w:color w:val="000000"/>
          <w:sz w:val="24"/>
          <w:u w:val="single"/>
        </w:rPr>
        <w:t>Other</w:t>
      </w:r>
      <w:r>
        <w:rPr>
          <w:rFonts w:ascii="Times New Roman" w:hAnsi="Times New Roman"/>
          <w:color w:val="000000"/>
          <w:sz w:val="24"/>
        </w:rPr>
        <w:t>. The Borrower will furnish to the Administrative Agent promptly, from time to time, such other information, documents, records or reports respecting the Collateral or the condition or operations, financial or otherwise, of the Borrower as the Administrative Agent may from time to time reasonably request in order to protect the interests of the Secured Parties under or as contemplated by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(p)</w:t>
      </w:r>
    </w:p>
    <w:p>
      <w:pPr>
        <w:pStyle w:val="TextBody"/>
        <w:bidi w:val="0"/>
        <w:spacing w:before="0" w:after="240"/>
        <w:jc w:val="both"/>
        <w:rPr/>
      </w:pPr>
      <w:r>
        <w:rPr>
          <w:rFonts w:ascii="Times New Roman" w:hAnsi="Times New Roman"/>
          <w:color w:val="000000"/>
          <w:sz w:val="24"/>
          <w:u w:val="single"/>
        </w:rPr>
        <w:t>Notice Regarding Collateral</w:t>
      </w:r>
      <w:r>
        <w:rPr>
          <w:rFonts w:ascii="Times New Roman" w:hAnsi="Times New Roman"/>
          <w:color w:val="000000"/>
          <w:sz w:val="24"/>
        </w:rPr>
        <w:t xml:space="preserve">. The Borrower shall advise the Administrative Agent in writing promptly, in reasonable detail of (i) any Lien (other than Permitted Liens) asserted or claim made against a material portion of the Collateral, (ii) the occurrence of a material breach by </w:t>
      </w:r>
    </w:p>
    <w:p>
      <w:pPr>
        <w:pStyle w:val="TextBody"/>
        <w:bidi w:val="0"/>
        <w:jc w:val="center"/>
        <w:rPr>
          <w:rFonts w:ascii="Times New Roman" w:hAnsi="Times New Roman"/>
          <w:color w:val="000000"/>
          <w:sz w:val="24"/>
        </w:rPr>
      </w:pPr>
      <w:r>
        <w:rPr>
          <w:rFonts w:ascii="Times New Roman" w:hAnsi="Times New Roman"/>
          <w:color w:val="000000"/>
          <w:sz w:val="24"/>
        </w:rPr>
        <w:t>86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of any of its representations, warranties and covenants contained herein and (iii) the occurrence of any other event which would have a Material Adverse Effect.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(q)</w:t>
      </w:r>
    </w:p>
    <w:p>
      <w:pPr>
        <w:pStyle w:val="TextBody"/>
        <w:bidi w:val="0"/>
        <w:spacing w:before="0" w:after="240"/>
        <w:jc w:val="both"/>
        <w:rPr/>
      </w:pPr>
      <w:r>
        <w:rPr>
          <w:rFonts w:ascii="Times New Roman" w:hAnsi="Times New Roman"/>
          <w:color w:val="000000"/>
          <w:sz w:val="24"/>
          <w:u w:val="single"/>
        </w:rPr>
        <w:t>Anti-Corruption Laws and Sanctions</w:t>
      </w:r>
      <w:r>
        <w:rPr>
          <w:rFonts w:ascii="Times New Roman" w:hAnsi="Times New Roman"/>
          <w:color w:val="000000"/>
          <w:sz w:val="24"/>
        </w:rPr>
        <w:t>. The Borrower will maintain in effect and enforce policies and procedures designed to ensure compliance by the Borrower and each of its Subsidiaries and Affiliates and their respective directors, officers, employees and agents with applicable anti-corruption laws and Sanctions.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(r)</w:t>
      </w:r>
    </w:p>
    <w:p>
      <w:pPr>
        <w:pStyle w:val="TextBody"/>
        <w:bidi w:val="0"/>
        <w:spacing w:before="0" w:after="240"/>
        <w:jc w:val="both"/>
        <w:rPr/>
      </w:pPr>
      <w:r>
        <w:rPr>
          <w:rFonts w:ascii="Times New Roman" w:hAnsi="Times New Roman"/>
          <w:color w:val="000000"/>
          <w:sz w:val="24"/>
          <w:u w:val="single"/>
        </w:rPr>
        <w:t>Preservation of Security Interest</w:t>
      </w:r>
      <w:r>
        <w:rPr>
          <w:rFonts w:ascii="Times New Roman" w:hAnsi="Times New Roman"/>
          <w:color w:val="000000"/>
          <w:sz w:val="24"/>
        </w:rPr>
        <w:t>. The Borrower will file or cause to be filed such financing and continuation statements (and amendments thereto) and any other documents that may be required by any law or regulation of any Governmental Authority to preserve and protect fully the security interest of the Administrative Agent in, to and under the Collateral.</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(s)</w:t>
      </w:r>
    </w:p>
    <w:p>
      <w:pPr>
        <w:pStyle w:val="TextBody"/>
        <w:bidi w:val="0"/>
        <w:spacing w:before="0" w:after="240"/>
        <w:jc w:val="both"/>
        <w:rPr/>
      </w:pPr>
      <w:r>
        <w:rPr>
          <w:rFonts w:ascii="Times New Roman" w:hAnsi="Times New Roman"/>
          <w:color w:val="000000"/>
          <w:sz w:val="24"/>
          <w:u w:val="single"/>
        </w:rPr>
        <w:t>Maximum Leverage Ratio</w:t>
      </w:r>
      <w:r>
        <w:rPr>
          <w:rFonts w:ascii="Times New Roman" w:hAnsi="Times New Roman"/>
          <w:color w:val="000000"/>
          <w:sz w:val="24"/>
        </w:rPr>
        <w:t>. The Borrower shall, at all times, ensure that the Parent’s Leverage Ratio does not exceed [***], tested on a daily basis and as of any Determination Date.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(t)</w:t>
      </w:r>
    </w:p>
    <w:p>
      <w:pPr>
        <w:pStyle w:val="TextBody"/>
        <w:bidi w:val="0"/>
        <w:spacing w:before="0" w:after="240"/>
        <w:jc w:val="both"/>
        <w:rPr/>
      </w:pPr>
      <w:r>
        <w:rPr>
          <w:rFonts w:ascii="Times New Roman" w:hAnsi="Times New Roman"/>
          <w:color w:val="000000"/>
          <w:sz w:val="24"/>
          <w:u w:val="single"/>
        </w:rPr>
        <w:t>Minimum Tangible Net Worth</w:t>
      </w:r>
      <w:r>
        <w:rPr>
          <w:rFonts w:ascii="Times New Roman" w:hAnsi="Times New Roman"/>
          <w:color w:val="000000"/>
          <w:sz w:val="24"/>
        </w:rPr>
        <w:t>. The Borrower shall, at all times, ensure that the Tangible Net Worth of the Parent is not less than the sum of (i) $[***] and (ii) [***] ([***]%) of the cumulative positive net income of the Parent, as determined in accordance with GAAP, for the period commencing on the Restatement Closing Date through the end of the most recently completed calendar quarter. Compliance with this covenant shall be tested on a daily basis and as of any Determination Date.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(u)</w:t>
      </w:r>
    </w:p>
    <w:p>
      <w:pPr>
        <w:pStyle w:val="TextBody"/>
        <w:bidi w:val="0"/>
        <w:spacing w:before="0" w:after="240"/>
        <w:jc w:val="both"/>
        <w:rPr/>
      </w:pPr>
      <w:r>
        <w:rPr>
          <w:rFonts w:ascii="Times New Roman" w:hAnsi="Times New Roman"/>
          <w:color w:val="000000"/>
          <w:sz w:val="24"/>
          <w:u w:val="single"/>
        </w:rPr>
        <w:t>Minimum Liquidity.</w:t>
      </w:r>
      <w:r>
        <w:rPr>
          <w:color w:val="000000"/>
        </w:rPr>
        <w:t xml:space="preserve"> </w:t>
      </w:r>
      <w:r>
        <w:rPr>
          <w:rFonts w:ascii="Times New Roman" w:hAnsi="Times New Roman"/>
          <w:color w:val="000000"/>
          <w:sz w:val="24"/>
        </w:rPr>
        <w:t>The Borrower shall, at all times, ensure that the Parent maintains not less than [***] in unrestricted cash and Cash Equivalents, tested on a daily basis and as of any Determination Date.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(v)</w:t>
      </w:r>
    </w:p>
    <w:p>
      <w:pPr>
        <w:pStyle w:val="TextBody"/>
        <w:bidi w:val="0"/>
        <w:spacing w:before="0" w:after="240"/>
        <w:jc w:val="both"/>
        <w:rPr/>
      </w:pPr>
      <w:r>
        <w:rPr>
          <w:rFonts w:ascii="Times New Roman" w:hAnsi="Times New Roman"/>
          <w:color w:val="000000"/>
          <w:sz w:val="24"/>
          <w:u w:val="single"/>
        </w:rPr>
        <w:t>Minimum Available Liquidity.</w:t>
      </w:r>
      <w:r>
        <w:rPr>
          <w:color w:val="000000"/>
        </w:rPr>
        <w:t xml:space="preserve"> </w:t>
      </w:r>
      <w:r>
        <w:rPr>
          <w:rFonts w:ascii="Times New Roman" w:hAnsi="Times New Roman"/>
          <w:color w:val="000000"/>
          <w:sz w:val="24"/>
        </w:rPr>
        <w:t>The Borrower shall, at all times, ensure that the Parent maintains Available Liquidity equal to or greater than [***], tested on a daily basis and as of any Determination Date.</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6.02</w:t>
      </w:r>
      <w:r>
        <w:rPr>
          <w:rFonts w:ascii="Times New Roman" w:hAnsi="Times New Roman"/>
          <w:b w:val="false"/>
          <w:color w:val="000000"/>
          <w:sz w:val="24"/>
          <w:u w:val="single"/>
        </w:rPr>
        <w:t>. Negative Covenants of the Borrower</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From the date hereof until the Facility Termination Date: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u w:val="single"/>
        </w:rPr>
        <w:t>Other Business</w:t>
      </w:r>
      <w:r>
        <w:rPr>
          <w:rFonts w:ascii="Times New Roman" w:hAnsi="Times New Roman"/>
          <w:color w:val="000000"/>
          <w:sz w:val="24"/>
        </w:rPr>
        <w:t>. The Borrower will not (i) engage in any business other than the transactions contemplated by the Basic Documents, (ii) incur any Indebtedness, obligation, liability or contingent obligation of any kind other than pursuant to this Agreement or under any Hedging Agreement required by Section 6.03 or (iii) form any Subsidiary or make any Investment in any other Person.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Receivables Not to be Evidenced by Instruments</w:t>
      </w:r>
      <w:r>
        <w:rPr>
          <w:rFonts w:ascii="Times New Roman" w:hAnsi="Times New Roman"/>
          <w:color w:val="000000"/>
          <w:sz w:val="24"/>
        </w:rPr>
        <w:t>. The Borrower will take no action to cause any Receivable that is not, as of the Closing Date or the related Funding Date, as the case may be, evidenced by an Instrument, to be so evidenced except in connection with the enforcement or collection of such Receivable.</w:t>
      </w:r>
    </w:p>
    <w:p>
      <w:pPr>
        <w:pStyle w:val="TextBody"/>
        <w:bidi w:val="0"/>
        <w:jc w:val="center"/>
        <w:rPr>
          <w:rFonts w:ascii="Times New Roman" w:hAnsi="Times New Roman"/>
          <w:color w:val="000000"/>
          <w:sz w:val="24"/>
        </w:rPr>
      </w:pPr>
      <w:r>
        <w:rPr>
          <w:rFonts w:ascii="Times New Roman" w:hAnsi="Times New Roman"/>
          <w:color w:val="000000"/>
          <w:sz w:val="24"/>
        </w:rPr>
        <w:t>87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pPr>
      <w:r>
        <w:rPr>
          <w:rFonts w:ascii="Times New Roman" w:hAnsi="Times New Roman"/>
          <w:color w:val="000000"/>
          <w:sz w:val="24"/>
          <w:u w:val="single"/>
        </w:rPr>
        <w:t>Security Interests</w:t>
      </w:r>
      <w:r>
        <w:rPr>
          <w:rFonts w:ascii="Times New Roman" w:hAnsi="Times New Roman"/>
          <w:color w:val="000000"/>
          <w:sz w:val="24"/>
        </w:rPr>
        <w:t>. The Borrower will not sell, pledge, assign or transfer to any other Person, or grant, create, incur, assume or suffer to exist any Lien (other than Permitted Liens) on any portion of the Collateral, whether now existing or hereafter transferred hereunder, or any interest therein, and the Borrower will not sell, pledge, assign or suffer to exist any Lien on its interest, if any, hereunder. The Borrower will promptly notify the Administrative Agent of the existence of any Lien (other than Permitted Liens) on any portion of the Collateral and the Borrower shall defend the right, title and interest of the Administrative Agent in, to and under such Collateral, against all claims of third parties; provided, however, that nothing in this subsection shall prevent or be deemed to prohibit the Borrower from suffering to exist Permitted Liens upon any portion of the Collateral.</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pPr>
      <w:r>
        <w:rPr>
          <w:rFonts w:ascii="Times New Roman" w:hAnsi="Times New Roman"/>
          <w:color w:val="000000"/>
          <w:sz w:val="24"/>
          <w:u w:val="single"/>
        </w:rPr>
        <w:t>Mergers, Acquisitions, Sales, Etc</w:t>
      </w:r>
      <w:r>
        <w:rPr>
          <w:rFonts w:ascii="Times New Roman" w:hAnsi="Times New Roman"/>
          <w:color w:val="000000"/>
          <w:sz w:val="24"/>
        </w:rPr>
        <w:t>. The Borrower will not be a party to any merger or consolidation, or purchase or otherwise acquire all or substantially all of the assets or any stock or membership interests of any class of, or any partnership or joint venture interest in, any other Person, or, sell, transfer, convey or lease all or any substantial part of its assets, or sell or assign with or without recourse any portion of the Collateral or any interest therein (other than pursuant hereto).</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pPr>
      <w:r>
        <w:rPr>
          <w:rFonts w:ascii="Times New Roman" w:hAnsi="Times New Roman"/>
          <w:color w:val="000000"/>
          <w:sz w:val="24"/>
          <w:u w:val="single"/>
        </w:rPr>
        <w:t>Distributions</w:t>
      </w:r>
      <w:r>
        <w:rPr>
          <w:rFonts w:ascii="Times New Roman" w:hAnsi="Times New Roman"/>
          <w:color w:val="000000"/>
          <w:sz w:val="24"/>
        </w:rPr>
        <w:t>. The Borrower shall not declare or pay, directly or indirectly, any dividend or make any other distribution (whether in cash or other property) with respect to the profits, assets or capital of the Borrower or any Person’s interest therein, or purchase, redeem or otherwise acquire for value any of its capital stock now or hereafter outstanding, except that so long as no Servicer Termination Event, Unmatured Servicer Termination Event, Termination Event or Unmatured Termination Event has occurred and is continuing or would result therefrom, the Borrower may pay cash distributions on the certificates issued pursuant to the Trust Agreement with funds distributed to the Borrower pursuant to Section 2.08(ix), subject to Applicable Law.</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pPr>
      <w:r>
        <w:rPr>
          <w:rFonts w:ascii="Times New Roman" w:hAnsi="Times New Roman"/>
          <w:color w:val="000000"/>
          <w:sz w:val="24"/>
          <w:u w:val="single"/>
        </w:rPr>
        <w:t>Change of Name or Location of Receivable Files</w:t>
      </w:r>
      <w:r>
        <w:rPr>
          <w:rFonts w:ascii="Times New Roman" w:hAnsi="Times New Roman"/>
          <w:color w:val="000000"/>
          <w:sz w:val="24"/>
        </w:rPr>
        <w:t>. The Borrower shall not (i) change its name (within the meaning of Sections 9-503 and 9-507(c) of any applicable enactment of the UCC), type or jurisdiction of organization, become a “new debtor” (as defined in Section 9-102(a)(56) of any applicable enactment of the UCC) with respect to a currently effective security agreement previously entered into by any other Person, change its “location” (within the meaning of Section 9-307 of any applicable enactment of the UCC) or change the location where the majority of its books and Records are maintained as set forth in Section 14.02 or (ii) move, or consent to the Custodian moving, the Receivable Files from the locations set forth on Schedule D, unless the Borrower has given at least 30 days’ written notice to the Administrative Agent and has taken all actions required under the UCC of each relevant jurisdiction in order to continue the first priority perfected security interest of the Administrative Agent in the Collateral.</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pPr>
      <w:r>
        <w:rPr>
          <w:rFonts w:ascii="Times New Roman" w:hAnsi="Times New Roman"/>
          <w:color w:val="000000"/>
          <w:sz w:val="24"/>
          <w:u w:val="single"/>
        </w:rPr>
        <w:t>True Sale</w:t>
      </w:r>
      <w:r>
        <w:rPr>
          <w:rFonts w:ascii="Times New Roman" w:hAnsi="Times New Roman"/>
          <w:color w:val="000000"/>
          <w:sz w:val="24"/>
        </w:rPr>
        <w:t>. Except for purposes of GAAP, the Borrower will not account for or treat the transactions contemplated by the Purchase Agreement in any manner other than as the sale, or absolute assignment, of the Receivables and other Collateral by UACC to the Borrower.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pPr>
      <w:r>
        <w:rPr>
          <w:rFonts w:ascii="Times New Roman" w:hAnsi="Times New Roman"/>
          <w:color w:val="000000"/>
          <w:sz w:val="24"/>
          <w:u w:val="single"/>
        </w:rPr>
        <w:t>ERISA Matters</w:t>
      </w:r>
      <w:r>
        <w:rPr>
          <w:rFonts w:ascii="Times New Roman" w:hAnsi="Times New Roman"/>
          <w:color w:val="000000"/>
          <w:sz w:val="24"/>
        </w:rPr>
        <w:t>. Without the consent of the Administrative Agent, the Borrower will not, and will not permit any ERISA Affiliate to sponsor, adopt, contribute or become required to contribute to any Pension Plan or any Multiemployer Plan.</w:t>
      </w:r>
    </w:p>
    <w:p>
      <w:pPr>
        <w:pStyle w:val="TextBody"/>
        <w:bidi w:val="0"/>
        <w:jc w:val="center"/>
        <w:rPr>
          <w:rFonts w:ascii="Times New Roman" w:hAnsi="Times New Roman"/>
          <w:color w:val="000000"/>
          <w:sz w:val="24"/>
        </w:rPr>
      </w:pPr>
      <w:r>
        <w:rPr>
          <w:rFonts w:ascii="Times New Roman" w:hAnsi="Times New Roman"/>
          <w:color w:val="000000"/>
          <w:sz w:val="24"/>
        </w:rPr>
        <w:t>88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pPr>
      <w:r>
        <w:rPr>
          <w:rFonts w:ascii="Times New Roman" w:hAnsi="Times New Roman"/>
          <w:color w:val="000000"/>
          <w:sz w:val="24"/>
          <w:u w:val="single"/>
        </w:rPr>
        <w:t>Formation Documents; Purchase Agreement</w:t>
      </w:r>
      <w:r>
        <w:rPr>
          <w:rFonts w:ascii="Times New Roman" w:hAnsi="Times New Roman"/>
          <w:color w:val="000000"/>
          <w:sz w:val="24"/>
        </w:rPr>
        <w:t>. Without the prior consent of the Administrative Agent, the Borrower will not amend, modify, waive or terminate any provision of its Formation Documents or the Purchase Agreement (including any Transfer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(j)</w:t>
      </w:r>
    </w:p>
    <w:p>
      <w:pPr>
        <w:pStyle w:val="TextBody"/>
        <w:bidi w:val="0"/>
        <w:spacing w:before="0" w:after="240"/>
        <w:jc w:val="both"/>
        <w:rPr/>
      </w:pPr>
      <w:r>
        <w:rPr>
          <w:rFonts w:ascii="Times New Roman" w:hAnsi="Times New Roman"/>
          <w:color w:val="000000"/>
          <w:sz w:val="24"/>
          <w:u w:val="single"/>
        </w:rPr>
        <w:t>Changes in Payment Instructions</w:t>
      </w:r>
      <w:r>
        <w:rPr>
          <w:rFonts w:ascii="Times New Roman" w:hAnsi="Times New Roman"/>
          <w:color w:val="000000"/>
          <w:sz w:val="24"/>
        </w:rPr>
        <w:t>. The Borrower will not add or make any change, or permit the Servicer to make any change, in its instructions to Obligors regarding payments to be made to the Borrower or the Servicer, other than in accordance with the Credit and Collection Policy, or payments to be made to the Post Office Boxes or the Local Bank Account, other than in accordance with the terms of the Intercreditor Agreement and the Intercreditor Party Supplement and unless the Administrative Agent has received duly executed copies of all documentation related thereto.</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(k)</w:t>
      </w:r>
    </w:p>
    <w:p>
      <w:pPr>
        <w:pStyle w:val="TextBody"/>
        <w:bidi w:val="0"/>
        <w:spacing w:before="0" w:after="240"/>
        <w:jc w:val="both"/>
        <w:rPr/>
      </w:pPr>
      <w:r>
        <w:rPr>
          <w:rFonts w:ascii="Times New Roman" w:hAnsi="Times New Roman"/>
          <w:color w:val="000000"/>
          <w:sz w:val="24"/>
          <w:u w:val="single"/>
        </w:rPr>
        <w:t>Extension or Amendment</w:t>
      </w:r>
      <w:r>
        <w:rPr>
          <w:rFonts w:ascii="Times New Roman" w:hAnsi="Times New Roman"/>
          <w:color w:val="000000"/>
          <w:sz w:val="24"/>
        </w:rPr>
        <w:t>. The Borrower will not, except as otherwise permitted in Section 7.03(c)(i), extend, amend or otherwise modify, or permit the Servicer to extend, amend or otherwise modify, the terms of any Contract.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(m)</w:t>
      </w:r>
    </w:p>
    <w:p>
      <w:pPr>
        <w:pStyle w:val="TextBody"/>
        <w:bidi w:val="0"/>
        <w:spacing w:before="0" w:after="240"/>
        <w:jc w:val="both"/>
        <w:rPr/>
      </w:pPr>
      <w:r>
        <w:rPr>
          <w:rFonts w:ascii="Times New Roman" w:hAnsi="Times New Roman"/>
          <w:color w:val="000000"/>
          <w:sz w:val="24"/>
          <w:u w:val="single"/>
        </w:rPr>
        <w:t>No Assignments</w:t>
      </w:r>
      <w:r>
        <w:rPr>
          <w:rFonts w:ascii="Times New Roman" w:hAnsi="Times New Roman"/>
          <w:color w:val="000000"/>
          <w:sz w:val="24"/>
        </w:rPr>
        <w:t>. The Borrower will not assign or delegate, grant any interest in or permit any Lien to exist upon any of its rights, obligations or duties under this Agreement without the prior written consent of the Administrative Agent.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(n)</w:t>
      </w:r>
    </w:p>
    <w:p>
      <w:pPr>
        <w:pStyle w:val="TextBody"/>
        <w:bidi w:val="0"/>
        <w:spacing w:before="0" w:after="240"/>
        <w:jc w:val="both"/>
        <w:rPr/>
      </w:pPr>
      <w:r>
        <w:rPr>
          <w:rFonts w:ascii="Times New Roman" w:hAnsi="Times New Roman"/>
          <w:color w:val="000000"/>
          <w:sz w:val="24"/>
          <w:u w:val="single"/>
        </w:rPr>
        <w:t>Special Purpose Entity</w:t>
      </w:r>
      <w:r>
        <w:rPr>
          <w:rFonts w:ascii="Times New Roman" w:hAnsi="Times New Roman"/>
          <w:color w:val="000000"/>
          <w:sz w:val="24"/>
        </w:rPr>
        <w:t>. The Borrower shall not (nor has the Borrower taken any such action in the past):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engage in any business or activity other than the purchase and receipt of Receivables and related assets from UACC under the Purchase Agreement, the pledge of Receivables and other Collateral under the Basic Documents and such other activities as are incidental thereto;</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acquire or own any material assets other than (A) the Receivables and related assets from UACC under the Purchase Agreement and (B) incidental property as may be necessary for the operation of the Borrower;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merge into or consolidate with any Person or dissolve, terminate or liquidate in whole or in part, transfer or otherwise dispose of all or substantially all of its assets or change its legal structure, without in each case first obtaining the Administrative Agent’s consent;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preserve its existence as an entity duly organized, validly existing and in good standing under the laws of the jurisdiction of its organization or formation, or without the prior written consent of the Administrative Agent, amend, modify, terminate, fail to comply with the provisions of its Formation Documents or other governing documents, as applicable, or fail to observe corporate formalities;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own any Subsidiary or make any investment in any Person without the consent of the Administrative Agent;</w:t>
      </w:r>
    </w:p>
    <w:p>
      <w:pPr>
        <w:pStyle w:val="TextBody"/>
        <w:bidi w:val="0"/>
        <w:jc w:val="center"/>
        <w:rPr>
          <w:rFonts w:ascii="Times New Roman" w:hAnsi="Times New Roman"/>
          <w:color w:val="000000"/>
          <w:sz w:val="24"/>
        </w:rPr>
      </w:pPr>
      <w:r>
        <w:rPr>
          <w:rFonts w:ascii="Times New Roman" w:hAnsi="Times New Roman"/>
          <w:color w:val="000000"/>
          <w:sz w:val="24"/>
        </w:rPr>
        <w:t>89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commingle its assets with the assets of any of its Affiliates, or of any other Person, except as contemplated hereunder or under the Intercreditor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incur any debt, secured or unsecured, direct or contingent (including guaranteeing any obligation), other than Indebtedness to the Secured Parties hereunder or in conjunction with a repayment of the Aggregate Unpaids, except for trade payables in the ordinary course of its business, provided that such debt is not evidenced by a note and paid when due;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become not Solvent or fail to pay its debts and liabilities from its assets as the same shall become due;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maintain its records, books of account and bank accounts separate and apart from those of any other Person, except as contemplated hereunder or under the Intercreditor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enter into any contract or agreement with any of its principals or Affiliates or any other Person, except upon terms and conditions that are commercially reasonable and intrinsically fair and substantially similar to those that would be available on an arm’s-length basis with third parties other than its Affiliates;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seek its dissolution or winding up in whole or in part;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correct any known misunderstandings regarding the separate identity of Borrower or UACC, as applicable, or any principal or Affiliate thereof or any other Person;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guarantee, become obligated for, or hold itself out to be responsible for the debt of another Person, except as expressly provided in the Basic Documents;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make any loan or advances to any third party, including any principal or Affiliate, or hold evidence of Indebtedness issued by any other Person (other than Permitted Investments);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either to hold itself out to the public as a legal entity separate and distinct from any other Person or to conduct its business solely in its own name in order not (A) to mislead others as to the identity with which such other party is transacting business, or (B) to suggest that it is responsible for the debts of any third party (including any of its principals or Affiliates);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maintain adequate capital for the normal obligations reasonably foreseeable in a business of its size and character and in light of its contemplated business operations;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file or consent to the filing of any petition, either voluntary or involuntary, to take advantage of any applicable Insolvency Laws, or make an assignment for the benefit of creditors;</w:t>
      </w:r>
    </w:p>
    <w:p>
      <w:pPr>
        <w:pStyle w:val="TextBody"/>
        <w:bidi w:val="0"/>
        <w:jc w:val="center"/>
        <w:rPr>
          <w:rFonts w:ascii="Times New Roman" w:hAnsi="Times New Roman"/>
          <w:color w:val="000000"/>
          <w:sz w:val="24"/>
        </w:rPr>
      </w:pPr>
      <w:r>
        <w:rPr>
          <w:rFonts w:ascii="Times New Roman" w:hAnsi="Times New Roman"/>
          <w:color w:val="000000"/>
          <w:sz w:val="24"/>
        </w:rPr>
        <w:t>90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share any common logo with or hold itself out as or be considered as a department or division of (A) any of its principals or Affiliates, (B) any Affiliate of a principal or (C) any other Person;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permit any transfer (whether in any one or more transactions) of a direct or indirect ownership interest in the Borrower (other than in accordance with the Trust Agreement), unless the Borrower delivers to the Administrative Agent an acceptable non-consolidation opinion;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pay its own liabilities and expenses only out of its own funds;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acquire the obligations or securities of its Affiliates or stockholders;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allocate fairly and reasonably any overhead expenses that are shared with an Affiliate, including paying for office space and services performed by any employee of an Affiliate;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use separate invoices and checks bearing its own name;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pledge its assets for the benefit of any other Person, other than with respect to payment of the Indebtedness to the Lenders hereunder;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include provisions in the Trust Agreement that require the consent of the Owner Trustee is required for the Borrower to (A) dissolve or liquidate, in whole or part, or institute proceedings to be adjudicated bankrupt or not Solvent, (B) institute or consent to the institution of bankruptcy or Insolvency Proceedings against it, (C) file a petition seeking or consent to reorganization or relief under any applicable federal or State law relating to bankruptcy or insolvency, (D) seek or consent to the appointment of a receiver, liquidator, assignee, trustee, sequestrator, custodian or any similar official for the Borrower, (E) make any assignment for the benefit of the Borrower’s creditors, (F) admit in writing its inability to pay its debts generally as they become due or (G) take any action in furtherance of any of the foregoing;</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amend, restate, supplement or otherwise modify its Formation Documents in any respect that would impair its ability to comply with the Basic Documents;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(xxvii)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 take or refrain from taking, as applicable, each of the activities specified in the non-consolidation opinion of [***], dated the Closing Date;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(xxviii)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elect or otherwise permit the Borrower to be treated as an entity taxable as a corporation for U.S. federal income tax purposes; and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(xxix)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fail to maintain separate financial statements, showing its assets and liabilities separate and apart from those of any other Person, or have its assets listed on the financial statement of any other Person; provided, however, that the Borrower’s assets may be included in a consolidated financial statement of its Affiliates if (a) appropriate notation shall be made on such consolidated financial statements to indicate the separateness of the Borrower from such Affiliates and to indicate that the Borrower’s assets and credit are not </w:t>
      </w:r>
    </w:p>
    <w:p>
      <w:pPr>
        <w:pStyle w:val="TextBody"/>
        <w:bidi w:val="0"/>
        <w:jc w:val="center"/>
        <w:rPr>
          <w:rFonts w:ascii="Times New Roman" w:hAnsi="Times New Roman"/>
          <w:color w:val="000000"/>
          <w:sz w:val="24"/>
        </w:rPr>
      </w:pPr>
      <w:r>
        <w:rPr>
          <w:rFonts w:ascii="Times New Roman" w:hAnsi="Times New Roman"/>
          <w:color w:val="000000"/>
          <w:sz w:val="24"/>
        </w:rPr>
        <w:t>91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available to satisfy the debts and obligations of such Affiliates or any other Person and (b) such assets shall also be listed on the Borrower’s own separate balance sheet.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(o)</w:t>
      </w:r>
    </w:p>
    <w:p>
      <w:pPr>
        <w:pStyle w:val="TextBody"/>
        <w:bidi w:val="0"/>
        <w:spacing w:before="0" w:after="240"/>
        <w:jc w:val="both"/>
        <w:rPr/>
      </w:pPr>
      <w:r>
        <w:rPr>
          <w:rFonts w:ascii="Times New Roman" w:hAnsi="Times New Roman"/>
          <w:color w:val="000000"/>
          <w:sz w:val="24"/>
          <w:u w:val="single"/>
        </w:rPr>
        <w:t>Additional Lenders</w:t>
      </w:r>
      <w:r>
        <w:rPr>
          <w:rFonts w:ascii="Times New Roman" w:hAnsi="Times New Roman"/>
          <w:color w:val="000000"/>
          <w:sz w:val="24"/>
        </w:rPr>
        <w:t>. The Borrower will not add any Lender to this Agreement without the prior written consent of the Administrative Agent.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(p)</w:t>
      </w:r>
    </w:p>
    <w:p>
      <w:pPr>
        <w:pStyle w:val="TextBody"/>
        <w:bidi w:val="0"/>
        <w:spacing w:before="0" w:after="240"/>
        <w:jc w:val="both"/>
        <w:rPr/>
      </w:pPr>
      <w:r>
        <w:rPr>
          <w:rFonts w:ascii="Times New Roman" w:hAnsi="Times New Roman"/>
          <w:color w:val="000000"/>
          <w:sz w:val="24"/>
          <w:u w:val="single"/>
        </w:rPr>
        <w:t>Liens</w:t>
      </w:r>
      <w:r>
        <w:rPr>
          <w:rFonts w:ascii="Times New Roman" w:hAnsi="Times New Roman"/>
          <w:color w:val="000000"/>
          <w:sz w:val="24"/>
        </w:rPr>
        <w:t>. The Borrower will not create, or participate in the creation of, or permit to exist, any Liens (other than Permitted Liens) and will not enter into any control agreement with respect to the Post Office Boxes or the Local Bank Account other than pursuant to the Intercreditor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(q)</w:t>
      </w:r>
    </w:p>
    <w:p>
      <w:pPr>
        <w:pStyle w:val="TextBody"/>
        <w:bidi w:val="0"/>
        <w:spacing w:before="0" w:after="240"/>
        <w:jc w:val="both"/>
        <w:rPr/>
      </w:pPr>
      <w:r>
        <w:rPr>
          <w:rFonts w:ascii="Times New Roman" w:hAnsi="Times New Roman"/>
          <w:color w:val="000000"/>
          <w:sz w:val="24"/>
          <w:u w:val="single"/>
        </w:rPr>
        <w:t>Anti-Corruption Laws and Sanctions</w:t>
      </w:r>
      <w:r>
        <w:rPr>
          <w:rFonts w:ascii="Times New Roman" w:hAnsi="Times New Roman"/>
          <w:color w:val="000000"/>
          <w:sz w:val="24"/>
        </w:rPr>
        <w:t>. The Borrower shall not, nor shall the Borrower’s Subsidiaries or Affiliates, request any Loan, and shall not, directly or indirectly use, and shall ensure that its directors, officers, employees and agents do not directly or indirectly use, the proceeds of any Loan or lend, contribute or otherwise make available such proceeds to any Subsidiary, Affiliate, joint venture partner or other Person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(iii) to fund or facilitate any activities or business in any Sanctioned Country or (iv) in any manner that would result in the violation of any Sanctions applicable to any Person participating in the transactions contemplated by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(r)</w:t>
      </w:r>
    </w:p>
    <w:p>
      <w:pPr>
        <w:pStyle w:val="TextBody"/>
        <w:bidi w:val="0"/>
        <w:spacing w:before="0" w:after="240"/>
        <w:jc w:val="both"/>
        <w:rPr/>
      </w:pPr>
      <w:r>
        <w:rPr>
          <w:rFonts w:ascii="Times New Roman" w:hAnsi="Times New Roman"/>
          <w:color w:val="000000"/>
          <w:sz w:val="24"/>
          <w:u w:val="single"/>
        </w:rPr>
        <w:t>Purchase Agreement</w:t>
      </w:r>
      <w:r>
        <w:rPr>
          <w:rFonts w:ascii="Times New Roman" w:hAnsi="Times New Roman"/>
          <w:color w:val="000000"/>
          <w:sz w:val="24"/>
        </w:rPr>
        <w:t>. The Borrower will not consent to any amendment, consent or waiver to the Purchase Agreement that could reasonably be expected to be adverse to the interests of the Administrative Agent without the prior written consent of the Administrative Agent; provided that no consent shall be required in connection with any change mandated by Applicable Law.</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6.03. </w:t>
      </w:r>
      <w:r>
        <w:rPr>
          <w:rFonts w:ascii="Times New Roman" w:hAnsi="Times New Roman"/>
          <w:b w:val="false"/>
          <w:color w:val="000000"/>
          <w:sz w:val="24"/>
          <w:u w:val="single"/>
        </w:rPr>
        <w:t>Covenant of the Borrower Relating to Hedge Transactions</w:t>
      </w:r>
      <w:r>
        <w:rPr>
          <w:rFonts w:ascii="Times New Roman" w:hAnsi="Times New Roman"/>
          <w:color w:val="000000"/>
          <w:sz w:val="20"/>
        </w:rPr>
        <w:t xml:space="preserve"> </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a)</w:t>
      </w:r>
    </w:p>
    <w:p>
      <w:pPr>
        <w:pStyle w:val="TextBody"/>
        <w:bidi w:val="0"/>
        <w:jc w:val="both"/>
        <w:rPr>
          <w:rFonts w:ascii="Times New Roman" w:hAnsi="Times New Roman"/>
          <w:color w:val="000000"/>
          <w:sz w:val="24"/>
        </w:rPr>
      </w:pPr>
      <w:r>
        <w:rPr>
          <w:rFonts w:ascii="Times New Roman" w:hAnsi="Times New Roman"/>
          <w:color w:val="000000"/>
          <w:sz w:val="24"/>
        </w:rPr>
        <w:t>Upon the commencement and during the continuation of a Required Hedging Period, the Borrower shall enter into one or more Hedge Transactions in form and substance satisfactory (including the notional amount, term and amortization rate (if any) of such Hedge Transaction) to the Administrative Agent. Each such Hedge Transaction shall be entered into with a Hedge Counterparty and governed by a Hedging Agreement; provided, that as of any date of determination during the Required Hedging Period, the aggregate notional amount relating to such Hedge Transactions shall not be less than the Loans Outstanding on such date. The Borrower shall deliver to the Administrative Agent a copy of all documents related to any Hedging Agreement, including confirmations, schedules and an aggregate notion amortization schedule. All reasonably documented out-of-pocket costs and expenses (including reasonable legal fees and disbursements) incurred by the Administrative Agent and the Lenders incurred with each Hedge Transaction shall be paid by the Borrower.</w:t>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As additional security hereunder, the Borrower has assigned to the Administrative Agent all right, title and interest of Borrower in any Hedge Collateral. The Borrower acknowledges that, as a result of that assignment, the Borrower may not, without the prior written </w:t>
      </w:r>
    </w:p>
    <w:p>
      <w:pPr>
        <w:pStyle w:val="TextBody"/>
        <w:bidi w:val="0"/>
        <w:jc w:val="center"/>
        <w:rPr>
          <w:rFonts w:ascii="Times New Roman" w:hAnsi="Times New Roman"/>
          <w:color w:val="000000"/>
          <w:sz w:val="24"/>
        </w:rPr>
      </w:pPr>
      <w:r>
        <w:rPr>
          <w:rFonts w:ascii="Times New Roman" w:hAnsi="Times New Roman"/>
          <w:color w:val="000000"/>
          <w:sz w:val="24"/>
        </w:rPr>
        <w:t>92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consent of the Administrative Agent, exercise any rights under any Hedging Agreement or Hedge Transaction, except for the Borrower’s right under any Hedging Agreement to enter into Hedge Transactions in order to meet the Borrower’s obligations hereunder. Nothing herein shall have the effect of releasing the Borrower from any of its obligations under any Hedging Agreement or any Hedge Transaction, nor be construed as requiring the consent of the Administrative Agent or any Secured Party for the performance by the Borrower of any such obligations.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pPr>
      <w:r>
        <w:rPr>
          <w:rFonts w:ascii="Times New Roman" w:hAnsi="Times New Roman"/>
          <w:color w:val="000000"/>
          <w:sz w:val="24"/>
        </w:rPr>
        <w:t>On or prior to the effective date of a Hedge Transaction, the Borrower shall establish and thereafter maintain a segregated trust account in the name of the Borrower with respect to each Hedge Counterparty (a “</w:t>
      </w:r>
      <w:r>
        <w:rPr>
          <w:rFonts w:ascii="Times New Roman" w:hAnsi="Times New Roman"/>
          <w:color w:val="000000"/>
          <w:sz w:val="24"/>
          <w:u w:val="single"/>
        </w:rPr>
        <w:t>Hedge Collateral Account</w:t>
      </w:r>
      <w:r>
        <w:rPr>
          <w:color w:val="000000"/>
        </w:rPr>
        <w:t>”</w:t>
      </w:r>
      <w:r>
        <w:rPr>
          <w:rFonts w:ascii="Times New Roman" w:hAnsi="Times New Roman"/>
          <w:color w:val="000000"/>
          <w:sz w:val="24"/>
        </w:rPr>
        <w:t>) with a Qualified Institution in trust and for the benefit of the Lenders and the related Hedge Counterparty. In the event that pursuant to the terms of the applicable Hedging Agreement, the related Hedge Counterparty is required to deposit cash or securities as collateral to secure its obligations (“</w:t>
      </w:r>
      <w:r>
        <w:rPr>
          <w:rFonts w:ascii="Times New Roman" w:hAnsi="Times New Roman"/>
          <w:color w:val="000000"/>
          <w:sz w:val="24"/>
          <w:u w:val="single"/>
        </w:rPr>
        <w:t>Swap Collateral</w:t>
      </w:r>
      <w:r>
        <w:rPr>
          <w:color w:val="000000"/>
        </w:rPr>
        <w:t>”</w:t>
      </w:r>
      <w:r>
        <w:rPr>
          <w:rFonts w:ascii="Times New Roman" w:hAnsi="Times New Roman"/>
          <w:color w:val="000000"/>
          <w:sz w:val="24"/>
        </w:rPr>
        <w:t>), the Borrower shall deposit all Swap Collateral received from the Hedge Counterparty into the Hedge Collateral Account. All sums on deposit and securities held in any Hedge Collateral Account shall be used only for the purposes set forth in the related credit support annex (“</w:t>
      </w:r>
      <w:r>
        <w:rPr>
          <w:rFonts w:ascii="Times New Roman" w:hAnsi="Times New Roman"/>
          <w:color w:val="000000"/>
          <w:sz w:val="24"/>
          <w:u w:val="single"/>
        </w:rPr>
        <w:t>Credit Support Annex</w:t>
      </w:r>
      <w:r>
        <w:rPr>
          <w:color w:val="000000"/>
        </w:rPr>
        <w:t>”</w:t>
      </w:r>
      <w:r>
        <w:rPr>
          <w:rFonts w:ascii="Times New Roman" w:hAnsi="Times New Roman"/>
          <w:color w:val="000000"/>
          <w:sz w:val="24"/>
        </w:rPr>
        <w:t xml:space="preserve">) to the Hedging Agreement. The only permitted withdrawal from or application of funds on deposit in, or otherwise to the credit of, a Hedge Collateral Account shall be (i) for application to the obligations of the applicable Hedge Counterparty under the related Hedging Agreement in accordance with the terms of the Credit Support Annex and (ii) to return collateral to the Hedge Counterparty when and as required by the Credit Support Annex. Amounts on deposit in each Hedge Collateral Account shall be invested in accordance with the terms of the related Credit Support Annex, and all investment earnings actually received on amounts on deposit in a Hedge Collateral Account or distributions on securities held as Swap Collateral shall be distributed to the related Hedge Counterparty in accordance with the terms of the related Credit Support Annex. Any amounts applied by the Borrower to the obligations of the Hedge Counterparty under the Hedging Agreement in accordance with the terms of the Credit Support Annex shall be deposited in the Collection Account and applied in accordance with </w:t>
      </w:r>
      <w:r>
        <w:rPr>
          <w:rFonts w:ascii="Times New Roman" w:hAnsi="Times New Roman"/>
          <w:color w:val="000000"/>
          <w:sz w:val="24"/>
          <w:u w:val="single"/>
        </w:rPr>
        <w:t>Section 2.08</w:t>
      </w:r>
      <w:r>
        <w:rPr>
          <w:color w:val="000000"/>
        </w:rPr>
        <w:t xml:space="preserve"> </w:t>
      </w:r>
      <w:r>
        <w:rPr>
          <w:rFonts w:ascii="Times New Roman" w:hAnsi="Times New Roman"/>
          <w:color w:val="000000"/>
          <w:sz w:val="24"/>
        </w:rPr>
        <w:t>of this Agreement. The Borrower agrees to give the Hedge Counterparty prompt notice if it obtains knowledge that the Hedge Collateral Account or any funds on deposit therein or otherwise to the credit of the Hedge Collateral Account, shall or have become subject to any writ, order, judgment, warrant of attachment, execution or similar process.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thirty (30) days after (i) the occurrence of any event defined as an “Termination Event” for which the Hedge Counterparty is the “Defaulting Party” or “Termination Event” for which the Hedge Counterparty is an “Affected Party” in a Hedging Agreement or (ii) a Hedge Counterparty ceasing to satisfy the minimum ratings requirements set forth in the definition of “Eligible Hedge Counterparty,” the Borrower shall enforce its remedial rights against such Hedge Counterparty as are specified in the related Hedge Agreement; provided that this subclause (d) shall not apply if the Hedge Counterparty is the Administrative Agent or an Affiliate thereof.</w:t>
      </w:r>
    </w:p>
    <w:p>
      <w:pPr>
        <w:pStyle w:val="TextBody"/>
        <w:bidi w:val="0"/>
        <w:jc w:val="center"/>
        <w:rPr>
          <w:rFonts w:ascii="Times New Roman" w:hAnsi="Times New Roman"/>
          <w:color w:val="000000"/>
          <w:sz w:val="24"/>
        </w:rPr>
      </w:pPr>
      <w:r>
        <w:rPr>
          <w:rFonts w:ascii="Times New Roman" w:hAnsi="Times New Roman"/>
          <w:color w:val="000000"/>
          <w:sz w:val="24"/>
        </w:rPr>
        <w:t>93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6.04. </w:t>
      </w:r>
      <w:r>
        <w:rPr>
          <w:rFonts w:ascii="Times New Roman" w:hAnsi="Times New Roman"/>
          <w:b w:val="false"/>
          <w:color w:val="000000"/>
          <w:sz w:val="24"/>
          <w:u w:val="single"/>
        </w:rPr>
        <w:t>Affirmative Covenants of the Servicer</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From the date hereof until the Facility Termination Date: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u w:val="single"/>
        </w:rPr>
        <w:t>Compliance with Law</w:t>
      </w:r>
      <w:r>
        <w:rPr>
          <w:rFonts w:ascii="Times New Roman" w:hAnsi="Times New Roman"/>
          <w:color w:val="000000"/>
          <w:sz w:val="24"/>
        </w:rPr>
        <w:t>. The Servicer will comply in all material respects with all Applicable Laws, including those with respect to the Receivables, the related Contracts, Financed Vehicles and Receivable Files or any part thereof.</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Preservation of Corporate Existence</w:t>
      </w:r>
      <w:r>
        <w:rPr>
          <w:rFonts w:ascii="Times New Roman" w:hAnsi="Times New Roman"/>
          <w:color w:val="000000"/>
          <w:sz w:val="24"/>
        </w:rPr>
        <w:t>. The Servicer will preserve and maintain its corporate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pPr>
      <w:r>
        <w:rPr>
          <w:rFonts w:ascii="Times New Roman" w:hAnsi="Times New Roman"/>
          <w:color w:val="000000"/>
          <w:sz w:val="24"/>
          <w:u w:val="single"/>
        </w:rPr>
        <w:t>Obligations and Compliance with Receivables</w:t>
      </w:r>
      <w:r>
        <w:rPr>
          <w:rFonts w:ascii="Times New Roman" w:hAnsi="Times New Roman"/>
          <w:color w:val="000000"/>
          <w:sz w:val="24"/>
        </w:rPr>
        <w:t>. The Servicer will fulfill and comply with all obligations on the part of the Borrower to be fulfilled or complied with under or in connection with each Receivable and will do nothing to impair the rights of the Administrative Agent in, to and under the Collateral.</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pPr>
      <w:r>
        <w:rPr>
          <w:rFonts w:ascii="Times New Roman" w:hAnsi="Times New Roman"/>
          <w:color w:val="000000"/>
          <w:sz w:val="24"/>
          <w:u w:val="single"/>
        </w:rPr>
        <w:t>Performance and Compliance with Servicer Basic Documents</w:t>
      </w:r>
      <w:r>
        <w:rPr>
          <w:rFonts w:ascii="Times New Roman" w:hAnsi="Times New Roman"/>
          <w:color w:val="000000"/>
          <w:sz w:val="24"/>
        </w:rPr>
        <w:t>. The Servicer will timely and fully perform and comply in all material respects with all provisions, covenants and other promises required to be observed by it under the Servicer Basic Documents.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pPr>
      <w:r>
        <w:rPr>
          <w:rFonts w:ascii="Times New Roman" w:hAnsi="Times New Roman"/>
          <w:color w:val="000000"/>
          <w:sz w:val="24"/>
          <w:u w:val="single"/>
        </w:rPr>
        <w:t>Keeping of Records and Books of Account</w:t>
      </w:r>
      <w:r>
        <w:rPr>
          <w:rFonts w:ascii="Times New Roman" w:hAnsi="Times New Roman"/>
          <w:color w:val="000000"/>
          <w:sz w:val="24"/>
        </w:rPr>
        <w:t>. The Servicer will maintain and implement administrative and operating procedures (including an ability to recreate records evidencing Receivables, including the Servicer Files, in the event of the destruction of the originals thereof (in the case of Tangible Contracts) or loss of data or system failure or loss of access to the E-Vault System or the Contracts constituting or evidencing Receivables maintained therein (in the case of Electronic Contracts)), and keep and maintain all documents, books, records and other information reasonably necessary or advisable for the collection of all Receivables, including the Servicer Files.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The Servicer will file all material Tax returns required to be filed by it and pay any and all material Taxes, including those required to meet the obligations of the Basic Documents.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pPr>
      <w:r>
        <w:rPr>
          <w:rFonts w:ascii="Times New Roman" w:hAnsi="Times New Roman"/>
          <w:color w:val="000000"/>
          <w:sz w:val="24"/>
          <w:u w:val="single"/>
        </w:rPr>
        <w:t>Preservation of Security Interest</w:t>
      </w:r>
      <w:r>
        <w:rPr>
          <w:rFonts w:ascii="Times New Roman" w:hAnsi="Times New Roman"/>
          <w:color w:val="000000"/>
          <w:sz w:val="24"/>
        </w:rPr>
        <w:t>. The Servicer will execute and file such financing and continuation statements (and amendments thereto) and any other documents that may be required by any Applicable Law of any Governmental Authority to preserve and protect fully the security interest of the Administrative Agent in, to and under the Collateral.</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pPr>
      <w:r>
        <w:rPr>
          <w:rFonts w:ascii="Times New Roman" w:hAnsi="Times New Roman"/>
          <w:color w:val="000000"/>
          <w:sz w:val="24"/>
          <w:u w:val="single"/>
        </w:rPr>
        <w:t>Credit and Collection Policy</w:t>
      </w:r>
      <w:r>
        <w:rPr>
          <w:rFonts w:ascii="Times New Roman" w:hAnsi="Times New Roman"/>
          <w:color w:val="000000"/>
          <w:sz w:val="24"/>
        </w:rPr>
        <w:t>. The initial Servicer will (i) comply in all material respects with the Credit and Collection Policy in regard to each Receivable,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pPr>
      <w:r>
        <w:rPr>
          <w:rFonts w:ascii="Times New Roman" w:hAnsi="Times New Roman"/>
          <w:color w:val="000000"/>
          <w:sz w:val="24"/>
          <w:u w:val="single"/>
        </w:rPr>
        <w:t>Termination Events</w:t>
      </w:r>
      <w:r>
        <w:rPr>
          <w:rFonts w:ascii="Times New Roman" w:hAnsi="Times New Roman"/>
          <w:color w:val="000000"/>
          <w:sz w:val="24"/>
        </w:rPr>
        <w:t xml:space="preserve">. The Servicer will furnish to the Administrative Agent, the Account Bank and the Backup Servicer, as soon as possible and in any event within three Business Days after the earlier of (i) knowledge by the Servicer and (ii) receipt by the Servicer from the Borrower of written notice thereof (which notice the Borrower shall be required to give promptly </w:t>
      </w:r>
    </w:p>
    <w:p>
      <w:pPr>
        <w:pStyle w:val="TextBody"/>
        <w:bidi w:val="0"/>
        <w:jc w:val="center"/>
        <w:rPr>
          <w:rFonts w:ascii="Times New Roman" w:hAnsi="Times New Roman"/>
          <w:color w:val="000000"/>
          <w:sz w:val="24"/>
        </w:rPr>
      </w:pPr>
      <w:r>
        <w:rPr>
          <w:rFonts w:ascii="Times New Roman" w:hAnsi="Times New Roman"/>
          <w:color w:val="000000"/>
          <w:sz w:val="24"/>
        </w:rPr>
        <w:t>94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knowledge thereof) of the occurrence of each Termination Event and each Unmatured Termination Event, a written statement of its chief financial officer or chief accounting officer setting forth the details of such event and the action that the Servicer purposes to take with respect thereto.</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(j)</w:t>
      </w:r>
    </w:p>
    <w:p>
      <w:pPr>
        <w:pStyle w:val="TextBody"/>
        <w:bidi w:val="0"/>
        <w:spacing w:before="0" w:after="240"/>
        <w:jc w:val="both"/>
        <w:rPr/>
      </w:pPr>
      <w:r>
        <w:rPr>
          <w:rFonts w:ascii="Times New Roman" w:hAnsi="Times New Roman"/>
          <w:color w:val="000000"/>
          <w:sz w:val="24"/>
          <w:u w:val="single"/>
        </w:rPr>
        <w:t>Other</w:t>
      </w:r>
      <w:r>
        <w:rPr>
          <w:rFonts w:ascii="Times New Roman" w:hAnsi="Times New Roman"/>
          <w:color w:val="000000"/>
          <w:sz w:val="24"/>
        </w:rPr>
        <w:t>. The Servicer will furnish to the Administrative Agent and the Backup Servicer, promptly, from time to time, such other information, documents, records or reports respecting the Collateral or the condition or operations, financial or otherwise, of the Borrower, the Servicer or the Originator as the Administrative Agent may from time to time reasonably request in order to protect the interests of the Administrative Agent or Lenders under or as contemplated by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(k)</w:t>
      </w:r>
    </w:p>
    <w:p>
      <w:pPr>
        <w:pStyle w:val="TextBody"/>
        <w:bidi w:val="0"/>
        <w:spacing w:before="0" w:after="240"/>
        <w:jc w:val="both"/>
        <w:rPr/>
      </w:pPr>
      <w:r>
        <w:rPr>
          <w:rFonts w:ascii="Times New Roman" w:hAnsi="Times New Roman"/>
          <w:color w:val="000000"/>
          <w:sz w:val="24"/>
          <w:u w:val="single"/>
        </w:rPr>
        <w:t>Losses, Etc</w:t>
      </w:r>
      <w:r>
        <w:rPr>
          <w:rFonts w:ascii="Times New Roman" w:hAnsi="Times New Roman"/>
          <w:color w:val="000000"/>
          <w:sz w:val="24"/>
        </w:rPr>
        <w:t>. In any suit, proceeding or action brought by the Administrative Agent, the Custodian, Account Bank, Backup Servicer or any Secured Party for any sum owing thereto, the Servicer shall save, indemnify and keep each such entity harmless from and against all expense, loss or damage suffered by reason of any defense, setoff, counterclaim, recoupment or reduction of liability whatsoever of the Obligor under the Receivables, arising out of a breach by the Servicer of any obligation under the related Receivable or arising out of any other agreement, Indebtedness or liability at any time owing to or in favor of such Obligor or its successor from the Servicer, and all such obligations of the Servicer shall be and remain enforceable against and only against the Servicer and shall not be enforceable against each such entity.</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(l)</w:t>
      </w:r>
    </w:p>
    <w:p>
      <w:pPr>
        <w:pStyle w:val="TextBody"/>
        <w:bidi w:val="0"/>
        <w:spacing w:before="0" w:after="240"/>
        <w:jc w:val="both"/>
        <w:rPr/>
      </w:pPr>
      <w:r>
        <w:rPr>
          <w:rFonts w:ascii="Times New Roman" w:hAnsi="Times New Roman"/>
          <w:color w:val="000000"/>
          <w:sz w:val="24"/>
          <w:u w:val="single"/>
        </w:rPr>
        <w:t>Notice Regarding Collateral</w:t>
      </w:r>
      <w:r>
        <w:rPr>
          <w:rFonts w:ascii="Times New Roman" w:hAnsi="Times New Roman"/>
          <w:color w:val="000000"/>
          <w:sz w:val="24"/>
        </w:rPr>
        <w:t>. The Servicer shall advise the Custodian and the Administrative Agent in writing promptly following the earlier of (i) knowledge by the Servicer and (ii) receipt by the Servicer from the Borrower of written notice thereof (which notice the Borrower shall be required to give promptly upon knowledge thereof), in reasonable detail of (A) any Lien asserted or claim made against any portion of the Collateral, (B) the occurrence of any material breach by the Servicer of any of its representations, warranties and covenants contained herein, (C) the occurrence of any event of default or material breach by any party of its obligations under, or the termination of, the E-Vault Access Agreement, the Electronic Collateral Control Agreement or the Title Administrator Agreement, (D) any changes to the E-Vault System, the Originator Vault Partition or the Warehouse Vault Partition made by the E-Vault Provider or the Custodian and (E) the occurrence of any other event which would have a material adverse effect on the security interest of the Administrative Agent on behalf of the Secured Parties in the Collateral or the collectability of all or a material portion of the Receivables, or which would have a material adverse effect on the security interests of the Administrative Agent for the benefit of the Secured Parties. Promptly following the occurrence of a Custodian Termination Event, the Servicer shall use commercially reasonable efforts to enter into the Title Administration Agreement, in form and substance reasonable acceptable to the Administrative Agent. Promptly upon receipt thereof, the Servicer shall forward to the Program Agent and the Borrower copies of all notices (other than routine administrative notices) received under the E-Vault Access Agreement, the Electronic Collateral Control Agreement or the Title Administrator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(m)</w:t>
      </w:r>
    </w:p>
    <w:p>
      <w:pPr>
        <w:pStyle w:val="TextBody"/>
        <w:bidi w:val="0"/>
        <w:spacing w:before="0" w:after="240"/>
        <w:jc w:val="both"/>
        <w:rPr/>
      </w:pPr>
      <w:r>
        <w:rPr>
          <w:rFonts w:ascii="Times New Roman" w:hAnsi="Times New Roman"/>
          <w:color w:val="000000"/>
          <w:sz w:val="24"/>
          <w:u w:val="single"/>
        </w:rPr>
        <w:t>Realization on Receivables</w:t>
      </w:r>
      <w:r>
        <w:rPr>
          <w:rFonts w:ascii="Times New Roman" w:hAnsi="Times New Roman"/>
          <w:color w:val="000000"/>
          <w:sz w:val="24"/>
        </w:rPr>
        <w:t xml:space="preserve">. In the event that the Servicer realizes upon any Receivable, the methods utilized by the Servicer to realize upon such Receivable or otherwise enforce any provisions of such Receivable will not subject the Servicer, the Borrower, any Secured Party, the Administrative Agent or the Custodian to liability under any federal, State or local law, </w:t>
      </w:r>
    </w:p>
    <w:p>
      <w:pPr>
        <w:pStyle w:val="TextBody"/>
        <w:bidi w:val="0"/>
        <w:jc w:val="center"/>
        <w:rPr>
          <w:rFonts w:ascii="Times New Roman" w:hAnsi="Times New Roman"/>
          <w:color w:val="000000"/>
          <w:sz w:val="24"/>
        </w:rPr>
      </w:pPr>
      <w:r>
        <w:rPr>
          <w:rFonts w:ascii="Times New Roman" w:hAnsi="Times New Roman"/>
          <w:color w:val="000000"/>
          <w:sz w:val="24"/>
        </w:rPr>
        <w:t>95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any such realization or enforcement by the Servicer will be conducted in accordance with the provisions of this Agreement, the Credit and Collection Policy and Applicable Law.</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(n)</w:t>
      </w:r>
    </w:p>
    <w:p>
      <w:pPr>
        <w:pStyle w:val="TextBody"/>
        <w:bidi w:val="0"/>
        <w:spacing w:before="0" w:after="240"/>
        <w:jc w:val="both"/>
        <w:rPr/>
      </w:pPr>
      <w:r>
        <w:rPr>
          <w:rFonts w:ascii="Times New Roman" w:hAnsi="Times New Roman"/>
          <w:color w:val="000000"/>
          <w:sz w:val="24"/>
          <w:u w:val="single"/>
        </w:rPr>
        <w:t>Certificates of Title</w:t>
      </w:r>
      <w:r>
        <w:rPr>
          <w:rFonts w:ascii="Times New Roman" w:hAnsi="Times New Roman"/>
          <w:color w:val="000000"/>
          <w:sz w:val="24"/>
        </w:rPr>
        <w:t>. Within 15 days following the end of each calendar quarter, the Servicer shall deliver to the Custodian (if not UACC) and the Administrative Agent a list of all Receivables for which it does not have in its possession or control the related Certificate of Title.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(o)</w:t>
      </w:r>
    </w:p>
    <w:p>
      <w:pPr>
        <w:pStyle w:val="TextBody"/>
        <w:bidi w:val="0"/>
        <w:spacing w:before="0" w:after="240"/>
        <w:jc w:val="both"/>
        <w:rPr/>
      </w:pPr>
      <w:r>
        <w:rPr>
          <w:rFonts w:ascii="Times New Roman" w:hAnsi="Times New Roman"/>
          <w:color w:val="000000"/>
          <w:sz w:val="24"/>
          <w:u w:val="single"/>
        </w:rPr>
        <w:t>Interpayments</w:t>
      </w:r>
      <w:r>
        <w:rPr>
          <w:rFonts w:ascii="Times New Roman" w:hAnsi="Times New Roman"/>
          <w:color w:val="000000"/>
          <w:sz w:val="24"/>
        </w:rPr>
        <w:t>. To the extent that the Borrower makes an Interpayment pursuant to Section 2.06(e), on the related Payment Date, UACC shall deposit an amount equal to the Monthly Accrued Interest Payment Amount into the Collection Account.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(q)</w:t>
      </w:r>
    </w:p>
    <w:p>
      <w:pPr>
        <w:pStyle w:val="TextBody"/>
        <w:bidi w:val="0"/>
        <w:spacing w:before="0" w:after="240"/>
        <w:jc w:val="both"/>
        <w:rPr/>
      </w:pPr>
      <w:r>
        <w:rPr>
          <w:rFonts w:ascii="Times New Roman" w:hAnsi="Times New Roman"/>
          <w:color w:val="000000"/>
          <w:sz w:val="24"/>
          <w:u w:val="single"/>
        </w:rPr>
        <w:t>Auditors’ Management Letters</w:t>
      </w:r>
      <w:r>
        <w:rPr>
          <w:rFonts w:ascii="Times New Roman" w:hAnsi="Times New Roman"/>
          <w:color w:val="000000"/>
          <w:sz w:val="24"/>
        </w:rPr>
        <w:t>. The Servicer will deliver or will cause to be delivered to the Administrative Agent, promptly after receipt by the Servicer or its accountants, a copy of any auditors’ management letters which refer in whole or in part to any inadequacy, defect, problem, qualification or other lack of fully satisfactory accounting controls utilized by the Parent that resulted in a qualified audit opinion.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(r)</w:t>
      </w:r>
    </w:p>
    <w:p>
      <w:pPr>
        <w:pStyle w:val="TextBody"/>
        <w:bidi w:val="0"/>
        <w:spacing w:before="0" w:after="240"/>
        <w:jc w:val="both"/>
        <w:rPr/>
      </w:pPr>
      <w:r>
        <w:rPr>
          <w:rFonts w:ascii="Times New Roman" w:hAnsi="Times New Roman"/>
          <w:color w:val="000000"/>
          <w:sz w:val="24"/>
          <w:u w:val="single"/>
        </w:rPr>
        <w:t>Accounting Policy</w:t>
      </w:r>
      <w:r>
        <w:rPr>
          <w:rFonts w:ascii="Times New Roman" w:hAnsi="Times New Roman"/>
          <w:color w:val="000000"/>
          <w:sz w:val="24"/>
        </w:rPr>
        <w:t>. The Servicer will promptly notify the Administrative Agent of any material change in the Parent’s accounting policies.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(s)</w:t>
      </w:r>
    </w:p>
    <w:p>
      <w:pPr>
        <w:pStyle w:val="TextBody"/>
        <w:bidi w:val="0"/>
        <w:spacing w:before="0" w:after="240"/>
        <w:jc w:val="both"/>
        <w:rPr/>
      </w:pPr>
      <w:r>
        <w:rPr>
          <w:rFonts w:ascii="Times New Roman" w:hAnsi="Times New Roman"/>
          <w:color w:val="000000"/>
          <w:sz w:val="24"/>
          <w:u w:val="single"/>
        </w:rPr>
        <w:t>Servicing Systems</w:t>
      </w:r>
      <w:r>
        <w:rPr>
          <w:rFonts w:ascii="Times New Roman" w:hAnsi="Times New Roman"/>
          <w:color w:val="000000"/>
          <w:sz w:val="24"/>
        </w:rPr>
        <w:t>. The Servicer will promptly notify the Backup Servicer in writing of any material changes which the Servicer makes to the servicing systems and provide to the Backup Servicer sufficient details with respect thereto as the Backup Servicer may reasonably request.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(t)</w:t>
      </w:r>
    </w:p>
    <w:p>
      <w:pPr>
        <w:pStyle w:val="TextBody"/>
        <w:bidi w:val="0"/>
        <w:spacing w:before="0" w:after="240"/>
        <w:jc w:val="both"/>
        <w:rPr/>
      </w:pPr>
      <w:r>
        <w:rPr>
          <w:rFonts w:ascii="Times New Roman" w:hAnsi="Times New Roman"/>
          <w:color w:val="000000"/>
          <w:sz w:val="24"/>
          <w:u w:val="single"/>
        </w:rPr>
        <w:t>Anti-Corruption Laws and Sanctions</w:t>
      </w:r>
      <w:r>
        <w:rPr>
          <w:rFonts w:ascii="Times New Roman" w:hAnsi="Times New Roman"/>
          <w:color w:val="000000"/>
          <w:sz w:val="24"/>
        </w:rPr>
        <w:t>. The Servicer will maintain in effect and enforce policies and procedures designed to ensure compliance by the Servicer and each of its Subsidiaries and Affiliates and their respective directors, officers, employees and agents with applicable anti-corruption laws and Sanctions.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6.05. </w:t>
      </w:r>
      <w:r>
        <w:rPr>
          <w:rFonts w:ascii="Times New Roman" w:hAnsi="Times New Roman"/>
          <w:b w:val="false"/>
          <w:color w:val="000000"/>
          <w:sz w:val="24"/>
          <w:u w:val="single"/>
        </w:rPr>
        <w:t>Negative Covenants of the Servicer</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From the date hereof until the Facility Termination Date: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u w:val="single"/>
        </w:rPr>
        <w:t>Post Office Boxes; Local Bank Account</w:t>
      </w:r>
      <w:r>
        <w:rPr>
          <w:rFonts w:ascii="Times New Roman" w:hAnsi="Times New Roman"/>
          <w:color w:val="000000"/>
          <w:sz w:val="24"/>
        </w:rPr>
        <w:t>. The Servicer shall not create or participate in the creation of, or permit to exist, any Liens with respect to the Post Office Boxes or the Local Bank Account, except as permitted and pursuant to the Intercreditor Agreement and the Intercreditor Party Supplement. The Servicer shall not enter into any “control agreement” (as defined in the relevant UCC) with respect to the Post Office Boxes or the Local Bank Account other than pursuant to the Intercreditor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Mergers, Acquisition, Sales, etc</w:t>
      </w:r>
      <w:r>
        <w:rPr>
          <w:rFonts w:ascii="Times New Roman" w:hAnsi="Times New Roman"/>
          <w:color w:val="000000"/>
          <w:sz w:val="24"/>
        </w:rPr>
        <w:t>. The Servicer will not consolidate with or merge into any other Person or convey or transfer its properties and assets substantially as an entirety to any Person, other than contemplated in Section 7.16.</w:t>
      </w:r>
    </w:p>
    <w:p>
      <w:pPr>
        <w:pStyle w:val="TextBody"/>
        <w:bidi w:val="0"/>
        <w:jc w:val="center"/>
        <w:rPr>
          <w:rFonts w:ascii="Times New Roman" w:hAnsi="Times New Roman"/>
          <w:color w:val="000000"/>
          <w:sz w:val="24"/>
        </w:rPr>
      </w:pPr>
      <w:r>
        <w:rPr>
          <w:rFonts w:ascii="Times New Roman" w:hAnsi="Times New Roman"/>
          <w:color w:val="000000"/>
          <w:sz w:val="24"/>
        </w:rPr>
        <w:t>96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pPr>
      <w:r>
        <w:rPr>
          <w:rFonts w:ascii="Times New Roman" w:hAnsi="Times New Roman"/>
          <w:color w:val="000000"/>
          <w:sz w:val="24"/>
          <w:u w:val="single"/>
        </w:rPr>
        <w:t>Change of Name or Location of Servicer Files or Receivable Files</w:t>
      </w:r>
      <w:r>
        <w:rPr>
          <w:rFonts w:ascii="Times New Roman" w:hAnsi="Times New Roman"/>
          <w:color w:val="000000"/>
          <w:sz w:val="24"/>
        </w:rPr>
        <w:t>. The Servicer shall not (i) change its name (within the meaning of Sections 9-503 and 9-507(c) of any applicable enactment of the UCC), type or jurisdiction of organization, become a “new debtor” (as defined in Section 9-102(a)(56) of any applicable enactment of the UCC) with respect to a currently effective security agreement previously entered into by any other Person, change its “location” (within the meaning of Section 9-307 of any applicable enactment of the UCC) or change the location where it keeps records concerning the Receivables (including the Servicer Files) from the locations set forth in Schedule D or (ii) move, or consent to the Custodian moving, the Receivable Files from the locations set forth in Schedule D, unless the Servicer has given at least 30 days’ prior written notice to the Administrative Agent and has taken all actions required under the UCC of each relevant jurisdiction in order to continue the first priority perfected security interest of the Administrative Agent, as agent for the Secured Parties, in the Collateral.</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pPr>
      <w:r>
        <w:rPr>
          <w:rFonts w:ascii="Times New Roman" w:hAnsi="Times New Roman"/>
          <w:color w:val="000000"/>
          <w:sz w:val="24"/>
          <w:u w:val="single"/>
        </w:rPr>
        <w:t>Change in Payment Instructions to Obligors</w:t>
      </w:r>
      <w:r>
        <w:rPr>
          <w:rFonts w:ascii="Times New Roman" w:hAnsi="Times New Roman"/>
          <w:color w:val="000000"/>
          <w:sz w:val="24"/>
        </w:rPr>
        <w:t>. The Servicer will not make any change in its instructions to the Obligors regarding payments to be made to the Borrower or the Servicer, other than in accordance with the Credit and Collection Policy, or payments to be made to the Post Office Boxes or Local Bank Account, other than in accordance with the terms of the Intercreditor Agreement and the Intercreditor Party Supplement and unless the Administrative Agent has received duly executed copies of all documentation related thereto.</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pPr>
      <w:r>
        <w:rPr>
          <w:rFonts w:ascii="Times New Roman" w:hAnsi="Times New Roman"/>
          <w:color w:val="000000"/>
          <w:sz w:val="24"/>
          <w:u w:val="single"/>
        </w:rPr>
        <w:t>Extension or Amendment of Contracts</w:t>
      </w:r>
      <w:r>
        <w:rPr>
          <w:rFonts w:ascii="Times New Roman" w:hAnsi="Times New Roman"/>
          <w:color w:val="000000"/>
          <w:sz w:val="24"/>
        </w:rPr>
        <w:t>. The Servicer will not, except as otherwise permitted in Section 7.03(c)(i), extend, amend or otherwise modify the terms of any Contract.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pPr>
      <w:r>
        <w:rPr>
          <w:rFonts w:ascii="Times New Roman" w:hAnsi="Times New Roman"/>
          <w:color w:val="000000"/>
          <w:sz w:val="24"/>
          <w:u w:val="single"/>
        </w:rPr>
        <w:t>No Instruments</w:t>
      </w:r>
      <w:r>
        <w:rPr>
          <w:rFonts w:ascii="Times New Roman" w:hAnsi="Times New Roman"/>
          <w:color w:val="000000"/>
          <w:sz w:val="24"/>
        </w:rPr>
        <w:t>. The Servicer shall take no action to cause any Receivable to be evidenced by any Instrument or “electronic chattel paper” (as defined in the UCC).</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pPr>
      <w:r>
        <w:rPr>
          <w:rFonts w:ascii="Times New Roman" w:hAnsi="Times New Roman"/>
          <w:color w:val="000000"/>
          <w:sz w:val="24"/>
          <w:u w:val="single"/>
        </w:rPr>
        <w:t>No Liens</w:t>
      </w:r>
      <w:r>
        <w:rPr>
          <w:rFonts w:ascii="Times New Roman" w:hAnsi="Times New Roman"/>
          <w:color w:val="000000"/>
          <w:sz w:val="24"/>
        </w:rPr>
        <w:t>. The Servicer shall not sell, pledge, assign or transfer to any other Person, or grant, create, incur, assume or suffer to exist any Lien (other than any Permitted Lien) on the Collateral or any interest therein, the Servicer will notify the Custodian and the Administrative Agent of the existence of any Lien on any portion of the Collateral immediately upon discovery thereof, and the Servicer shall defend the right, title and interest of the Administrative Agent on behalf of the Secured Parties in, to and under the Collateral against all claims of third parties claiming through or under the Servicer.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pPr>
      <w:r>
        <w:rPr>
          <w:rFonts w:ascii="Times New Roman" w:hAnsi="Times New Roman"/>
          <w:color w:val="000000"/>
          <w:sz w:val="24"/>
          <w:u w:val="single"/>
        </w:rPr>
        <w:t>Release; Additional Covenants</w:t>
      </w:r>
      <w:r>
        <w:rPr>
          <w:rFonts w:ascii="Times New Roman" w:hAnsi="Times New Roman"/>
          <w:color w:val="000000"/>
          <w:sz w:val="24"/>
        </w:rPr>
        <w:t xml:space="preserve">. The Servicer shall (i) not release any Financed Vehicle securing any Receivable from the security interest granted therein by such Receivable in whole or in part except (A) in the event of payment in full by the Obligor thereunder or upon transfer of such Financed Vehicle to a purchaser following repossession by the Servicer or (B) to an insurer in exchange for Insurance Proceeds paid by such insurer resulting from a claim for the total insured value of a Financed Vehicle, (ii) not impair the rights of the Borrower, the Secured Parties or the Custodian in the Collateral, (iii) not increase the number of Scheduled Payments due under a Receivable except as permitted herein or in the Credit and Collection Policy, (iv) prior to the payment in full of any Receivable, not sell, pledge, assign, or transfer to any other Person, or grant, create, incur, assume or suffer to exist any Lien on such Receivable or any interest therein, (v) immediately notify the Borrower, the Administrative Agent, the Backup Servicer and the Custodian (if other than UACC) of the existence of any Lien on any portion of the Collateral (other than any Permitted Lien) if the Servicer has actual knowledge thereof, (vi) defend the right, title </w:t>
      </w:r>
    </w:p>
    <w:p>
      <w:pPr>
        <w:pStyle w:val="TextBody"/>
        <w:bidi w:val="0"/>
        <w:jc w:val="center"/>
        <w:rPr>
          <w:rFonts w:ascii="Times New Roman" w:hAnsi="Times New Roman"/>
          <w:color w:val="000000"/>
          <w:sz w:val="24"/>
        </w:rPr>
      </w:pPr>
      <w:r>
        <w:rPr>
          <w:rFonts w:ascii="Times New Roman" w:hAnsi="Times New Roman"/>
          <w:color w:val="000000"/>
          <w:sz w:val="24"/>
        </w:rPr>
        <w:t>97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interest of the Borrower, the Secured Parties, the Administrative Agent, and the Custodian in, to and under the Collateral against all claims of third parties claiming through or under the Servicer, (vii) transfer to the Local Bank Account for deposit into the Collection Account, all payments received by the Servicer with respect to the Receivables in accordance with this Agreement, the Intercreditor Agreement and the Intercreditor Party Agreement, (viii) comply with the terms and conditions of this Agreement relating to the obligation of the Borrower to remove Receivables from the Collateral pursuant to this Agreement and the obligation of the Seller to reacquire Receivables from the Borrower pursuant to the Purchase Agreement, (ix) promptly notify the Borrower, the Administrative Agent, the Backup Servicer, the Account Bank, each Hedge Counterparty and the Custodian of the occurrence of any Servicer Termination Event and any breach, in any material respect, by the Servicer of any of its covenants or representations and warranties contained herein, (x) promptly notify the Borrower, the Administrative Agent, the Backup Servicer, the Account Bank and the Custodian of the occurrence of any event which, to the knowledge of the Servicer, would require that the Borrower make or cause to be made any filings, reports, notices or applications or seek any consents or authorizations from any and all Government Authorities in accordance with the relevant UCC and any State vehicle license or registration authority as may be necessary or advisable to create, maintain and protect a first priority security interest of the Administrative Agent in, to and on the Financed Vehicles and a first priority security interest of the Administrative Agent in, to and on the Collateral, (xi) take all reasonable action necessary to maximize the returns pursuant to the Insurance Policies, (xii) deliver or cause to be delivered to the Borrower no later than one Business Day preceding the Cutoff Date or any Funding Date, as the case may be, the current Schedule of Receivables, (xiii) with respect to any Receivable, deliver or cause to be delivered to the Custodian within one Business Day preceding the Closing Date or the date of such Subsequent Loan, as the case may be, the documents to be included in the Receivable Files with respect to those Receivables, as the case may be, (xiv) not impair the rights of the Borrower or the Secured Parties in the Collateral or (xv) not sell, pledge, assign, or transfer to any other Person, or grant, create, incur, assume or suffer to exist any Lien (other than any Permitted Lien) on the Collateral or any interest therein. Notwithstanding any other provision of this Agreement, the Servicer may release any Financed Vehicle from the security interest created by the related Receivable when the Servicer deposits into the Collection Account an amount equal to the related Release Price or the entire amount of Insurance Proceeds, Recoveries and other Collections it has received or expects to receive with respect to such Receivable and such Financed Vehicle.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shall, within two Business Days of its receipt thereof, respond to reasonable written directions or written requests for information that the Borrower, the Administrative Agent, the Backup Servicer or the Custodian (if other than UACC) might have with respect to the administration of the Receivables.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pPr>
      <w:r>
        <w:rPr>
          <w:rFonts w:ascii="Times New Roman" w:hAnsi="Times New Roman"/>
          <w:color w:val="000000"/>
          <w:sz w:val="24"/>
          <w:u w:val="single"/>
        </w:rPr>
        <w:t>Anti-Corruption Laws and Sanctions</w:t>
      </w:r>
      <w:r>
        <w:rPr>
          <w:rFonts w:ascii="Times New Roman" w:hAnsi="Times New Roman"/>
          <w:color w:val="000000"/>
          <w:sz w:val="24"/>
        </w:rPr>
        <w:t xml:space="preserve">. The Servicer shall not, nor shall the Servicer’s Subsidiaries or Affiliates, request any Loan, and shall not, directly or indirectly use, and shall ensure that its directors, officers, employees and agents do not directly or indirectly use, the proceeds of any Loan or lend, contribute or otherwise make available such proceeds to any Subsidiary, Affiliate, joint venture partner or other Person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(iii) to fund or </w:t>
      </w:r>
    </w:p>
    <w:p>
      <w:pPr>
        <w:pStyle w:val="TextBody"/>
        <w:bidi w:val="0"/>
        <w:jc w:val="center"/>
        <w:rPr>
          <w:rFonts w:ascii="Times New Roman" w:hAnsi="Times New Roman"/>
          <w:color w:val="000000"/>
          <w:sz w:val="24"/>
        </w:rPr>
      </w:pPr>
      <w:r>
        <w:rPr>
          <w:rFonts w:ascii="Times New Roman" w:hAnsi="Times New Roman"/>
          <w:color w:val="000000"/>
          <w:sz w:val="24"/>
        </w:rPr>
        <w:t>98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facilitate any activities or business in any Sanctioned Country or (iv) in any manner that would result in the violation of any Sanctions applicable to any Person participating in the transactions contemplated by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(j)</w:t>
      </w:r>
    </w:p>
    <w:p>
      <w:pPr>
        <w:pStyle w:val="TextBody"/>
        <w:bidi w:val="0"/>
        <w:spacing w:before="0" w:after="240"/>
        <w:jc w:val="both"/>
        <w:rPr/>
      </w:pPr>
      <w:r>
        <w:rPr>
          <w:rFonts w:ascii="Times New Roman" w:hAnsi="Times New Roman"/>
          <w:color w:val="000000"/>
          <w:sz w:val="24"/>
          <w:u w:val="single"/>
        </w:rPr>
        <w:t>ERISA Matters</w:t>
      </w:r>
      <w:r>
        <w:rPr>
          <w:rFonts w:ascii="Times New Roman" w:hAnsi="Times New Roman"/>
          <w:color w:val="000000"/>
          <w:sz w:val="24"/>
        </w:rPr>
        <w:t>. None of the Servicer or its ERISA Affiliates shall take any action to cause or that might reasonably be expected to result, directly or indirectly, in any Lien being imposed on the property of the Servicer or its ERISA Affiliates. None of the Servicer or its ERISA Affiliates shall sponsor, contribute to or have any obligation to contribute to, or have any liability with respect to any Pension Plan or Multiemployer Plan.</w:t>
      </w:r>
    </w:p>
    <w:p>
      <w:pPr>
        <w:pStyle w:val="Heading1"/>
        <w:bidi w:val="0"/>
        <w:spacing w:before="0" w:after="240"/>
        <w:jc w:val="center"/>
        <w:rPr>
          <w:rFonts w:ascii="Times New Roman" w:hAnsi="Times New Roman"/>
          <w:sz w:val="20"/>
        </w:rPr>
      </w:pPr>
      <w:r>
        <w:rPr>
          <w:rFonts w:ascii="Times New Roman" w:hAnsi="Times New Roman"/>
          <w:color w:val="000000"/>
          <w:sz w:val="24"/>
        </w:rPr>
        <w:t>ARTICLE SEVEN</w:t>
        <w:br/>
        <w:br/>
      </w:r>
      <w:r>
        <w:rPr>
          <w:rFonts w:ascii="Times New Roman" w:hAnsi="Times New Roman"/>
          <w:b w:val="false"/>
          <w:color w:val="000000"/>
          <w:sz w:val="24"/>
        </w:rPr>
        <w:t>ADMINISTRATION AND SERVICING OF RECEIVABLES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7.01. </w:t>
      </w:r>
      <w:r>
        <w:rPr>
          <w:rFonts w:ascii="Times New Roman" w:hAnsi="Times New Roman"/>
          <w:b w:val="false"/>
          <w:color w:val="000000"/>
          <w:sz w:val="24"/>
          <w:u w:val="single"/>
        </w:rPr>
        <w:t>Designation of Servicing</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The Administrative Agent and the Borrower, at the direction of and on behalf of the Administrative Agent, hereby appoint UACC, as Servicer to manage, collect and administer each of the Receivables and the other Collateral, and to enforce its respective rights and interests in and under the Collateral and UACC hereby accepts such appointment and agrees to perform the duties and responsibilities of the Servicer pursuant to the terms hereof.</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7.02. </w:t>
      </w:r>
      <w:r>
        <w:rPr>
          <w:rFonts w:ascii="Times New Roman" w:hAnsi="Times New Roman"/>
          <w:b w:val="false"/>
          <w:color w:val="000000"/>
          <w:sz w:val="24"/>
          <w:u w:val="single"/>
        </w:rPr>
        <w:t>Servicing Compensation</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As compensation for its servicing activities hereunder and reimbursement for its expenses, the Servicer shall be entitled to receive the Servicing Fee to the extent of funds available therefor pursuant to Section 2.08(i). The Servicer shall further be entitled to retain as additional servicing compensation any and all ancillary fees, extension fees and payments from Obligors, including late fees, administrative fees and similar charges allowed by Applicable Law.</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7.03. </w:t>
      </w:r>
      <w:r>
        <w:rPr>
          <w:rFonts w:ascii="Times New Roman" w:hAnsi="Times New Roman"/>
          <w:b w:val="false"/>
          <w:color w:val="000000"/>
          <w:sz w:val="24"/>
          <w:u w:val="single"/>
        </w:rPr>
        <w:t>Duties of the Servicer</w:t>
      </w:r>
      <w:r>
        <w:rPr>
          <w:rFonts w:ascii="Times New Roman" w:hAnsi="Times New Roman"/>
          <w:color w:val="000000"/>
          <w:sz w:val="20"/>
        </w:rPr>
        <w:t xml:space="preserve"> </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a)</w:t>
      </w:r>
    </w:p>
    <w:p>
      <w:pPr>
        <w:pStyle w:val="TextBody"/>
        <w:bidi w:val="0"/>
        <w:jc w:val="both"/>
        <w:rPr/>
      </w:pPr>
      <w:r>
        <w:rPr>
          <w:rFonts w:ascii="Times New Roman" w:hAnsi="Times New Roman"/>
          <w:color w:val="000000"/>
          <w:sz w:val="24"/>
          <w:u w:val="single"/>
        </w:rPr>
        <w:t>Standard of Care</w:t>
      </w:r>
      <w:r>
        <w:rPr>
          <w:rFonts w:ascii="Times New Roman" w:hAnsi="Times New Roman"/>
          <w:color w:val="000000"/>
          <w:sz w:val="24"/>
        </w:rPr>
        <w:t xml:space="preserve">. The Servicer agrees that its servicing and collection of the Receivables shall be carried out in accordance with the Credit and Collection Policy, Applicable Law and customary and usual procedures of institutions which service motor vehicle retail installment sales contracts and, to the extent more exacting, the degree of skill and attention that the Servicer exercises with respect to all comparable motor vehicle receivables that it services for itself or others. </w:t>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Records Held in Trust</w:t>
      </w:r>
      <w:r>
        <w:rPr>
          <w:rFonts w:ascii="Times New Roman" w:hAnsi="Times New Roman"/>
          <w:color w:val="000000"/>
          <w:sz w:val="24"/>
        </w:rPr>
        <w:t>. The Servicer shall hold in trust for the Secured Parties all records which evidence or relate to all or any part of the Collateral. In the event that the Backup Servicer assumes servicing responsibilities or a Successor Servicer, as applicable, is appointed, the outgoing Servicer shall promptly deliver to the Backup Servicer or the Successor Servicer, as applicable, and the Backup Servicer or the Successor Servicer, as applicable, shall hold in trust for the Borrower and the Secured Parties all records which evidence or relate to all or any part of the Collateral, other than the Receivable Files which shall be delivered to the successor Custodian.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pPr>
      <w:r>
        <w:rPr>
          <w:rFonts w:ascii="Times New Roman" w:hAnsi="Times New Roman"/>
          <w:color w:val="000000"/>
          <w:sz w:val="24"/>
          <w:u w:val="single"/>
        </w:rPr>
        <w:t>Collection Practices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99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shall be responsible for collection of payments called for under the terms and provisions of the Contracts related to the Receivables, as and when the same shall become due. The Servicer, in making collection of Receivable payments pursuant to this Agreement, shall be acting as agent for the Secured Parties, and shall be deemed to be holding such funds in trust on behalf of and as agent for the Administrative Agent and the Secured Parties; provided, however, that the Servicer shall not be empowered to, and shall not, (x) make or attempt to make any change to the Authoritative Copy of any Electronic Contract which constitutes or evidences a Receivable, (y) change or attempt to change the legend or watermark on any Electronic Contract which constitutes or evidences a Receivable or the “Owner of Record” of the Warehouse Vault Partition or (z) except (i) in connection with a Securitization permitted under the terms hereof, (ii) upon payment in full of a Receivable or (iii) as directed by the Borrower with the written consent of the Administrative Agent, cause any Electronic Contract which constitutes or evidences a Receivable to be Exported or otherwise removed from the Warehouse Vault Partition. The Servicer, consistent with the Credit and Collection Policy in effect at the time of acting, shall service, manage, administer and make collections on the Receivables on behalf of the Borrower and shall have full power and authority to do any and all things which it may deem necessary or desirable in connection therewith which are consistent with this Agreement. The Servicer may in its discretion grant extensions, rebates or adjustments on a Contract as permitted by the Credit and Collection Policy then in effect, and amend or modify any Contract but [***]. The Servicer may in its discretion waive any late payment charge or any other fees, not including interest on the Principal Balance that may be collected in the ordinary course of servicing a Receivable. The Servicer shall also enforce all rights of the Borrower under the Purchase Agreement (including each Transfer Agreement) including the right to require UACC to repurchase Receivables for breaches of representations and warranties made by UACC in the Purchase Agreement. Receivables in respect of which the Servicer has breached the foregoing provisions shall be repurchased by the Servicer pursuant to Section 5.04(c).</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Consistent with the Credit and Collection Policy, if at least [***]% of a Scheduled Payment due under a Receivable is not received by the end of the day on its due date, the Servicer will make reasonable and customary efforts to contact the Obligor. The Servicer shall continue its efforts to obtain payment from such Obligor who has not paid at least [***]% of a Scheduled Payment until the related Financed Vehicle has been repossessed and sold or the Servicer has determined that all amounts collectable on the Receivable have been collected. The Servicer shall use its best efforts, consistent with the Credit and Collection Policy, to collect funds on a Defaulted Receivable and by the close of business on the second Business Day following receipt of such Collections and deposit thereof into the Local Bank Account, such Collections shall be deposited into the Collection Account.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a Receivable becomes a Defaulted Receivable, the Servicer, itself or through the use of independent contractors or agents shall, consistent with the Credit and Collection Policy, repossess or otherwise convert the ownership of the Financed Vehicle securing any such Receivable as to which the Servicer shall have determined eventual payment in full is unlikely. All costs and expenses incurred by the Servicer in connection with the repossession of the Financed Vehicles securing such Receivables shall </w:t>
      </w:r>
    </w:p>
    <w:p>
      <w:pPr>
        <w:pStyle w:val="TextBody"/>
        <w:bidi w:val="0"/>
        <w:jc w:val="center"/>
        <w:rPr>
          <w:rFonts w:ascii="Times New Roman" w:hAnsi="Times New Roman"/>
          <w:color w:val="000000"/>
          <w:sz w:val="24"/>
        </w:rPr>
      </w:pPr>
      <w:r>
        <w:rPr>
          <w:rFonts w:ascii="Times New Roman" w:hAnsi="Times New Roman"/>
          <w:color w:val="000000"/>
          <w:sz w:val="24"/>
        </w:rPr>
        <w:t>100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reimbursed to the Servicer (other than overhead), to the extent not previously recouped by the Servicer from Recoveries on the Payment Date immediately succeeding the Collection Period in which the Servicer delivered to the Administrative Agent an itemized statement of such costs and expenses. Notwithstanding the foregoing and consistent with the terms of this Agreement, the Servicer shall not be obligated to repossess or take any action with respect to a Defaulted Receivable if, in its reasonable judgment consistent with the Credit and Collection Policy, the Recoveries would not be increased.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shall deposit or cause to be deposited by electronic funds transfer all Collections to the Collection Account no later than two Business Days after deposit into the Local Bank Account or otherwise.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pPr>
      <w:r>
        <w:rPr>
          <w:rFonts w:ascii="Times New Roman" w:hAnsi="Times New Roman"/>
          <w:color w:val="000000"/>
          <w:sz w:val="24"/>
          <w:u w:val="single"/>
        </w:rPr>
        <w:t>Collection; Recourse; Sales of Financed Vehicles</w:t>
      </w:r>
      <w:r>
        <w:rPr>
          <w:rFonts w:ascii="Times New Roman" w:hAnsi="Times New Roman"/>
          <w:color w:val="000000"/>
          <w:sz w:val="24"/>
        </w:rPr>
        <w:t>. The Servicer, itself or through the use of independent contractors or agents, shall follow practices consistent with the Credit and Collection Policy, in its servicing of automotive receivables, which may include reasonable efforts to realize rights of recourse against any Dealer, selling a Financed Vehicle, or requesting a Subservicer to sell a Financed Vehicle, at public or private sale; provided, however, that the Servicer, itself or through the use of independent contractor or agents shall, in accordance with the Credit and Collection Policy, maximize the sales proceeds for each repossessed Financed Vehicle. The foregoing shall be subject to the provision that, in any case in which a Financed Vehicle shall have suffered damage, the Servicer shall not expend funds for the repair or the repossession of such Financed Vehicle unless the Servicer shall determine in its discretion that such repair or repossession would increase the Recoveries in an amount greater than the cost of repairs.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pPr>
      <w:r>
        <w:rPr>
          <w:rFonts w:ascii="Times New Roman" w:hAnsi="Times New Roman"/>
          <w:color w:val="000000"/>
          <w:sz w:val="24"/>
          <w:u w:val="single"/>
        </w:rPr>
        <w:t>Subservicers</w:t>
      </w:r>
      <w:r>
        <w:rPr>
          <w:rFonts w:ascii="Times New Roman" w:hAnsi="Times New Roman"/>
          <w:color w:val="000000"/>
          <w:sz w:val="24"/>
        </w:rPr>
        <w:t>. The Servicer may delegate in the ordinary course of business any or all of its duties and obligations hereunder to one or more Subservicers; provided, however, that the Servicer shall at all times remain responsible for the performance of such duties and obligations.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pPr>
      <w:r>
        <w:rPr>
          <w:rFonts w:ascii="Times New Roman" w:hAnsi="Times New Roman"/>
          <w:color w:val="000000"/>
          <w:sz w:val="24"/>
          <w:u w:val="single"/>
        </w:rPr>
        <w:t>Insurance</w:t>
      </w:r>
      <w:r>
        <w:rPr>
          <w:rFonts w:ascii="Times New Roman" w:hAnsi="Times New Roman"/>
          <w:color w:val="000000"/>
          <w:sz w:val="24"/>
        </w:rPr>
        <w:t>. The Servicer shall:</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behalf of the Borrower, administer and enforce all rights and responsibilities of the Borrower, as owner of the Receivables, provided for in the Insurance Policies relating to the Receivables;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accordance with customary servicing procedures and the Credit and Collection Policy, require that each Obligor shall have obtained physical damage insurance covering the Financed Vehicle as of the date of execution of the Contract;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administer the filings of claims under the Insurance Policies by filing the appropriate notices related to claims, including initial notices of loss, as well as claims with the respective carriers or their authorized agents all in accordance with the terms of the Insurance Policies; and use reasonable efforts to file such claims on a timely basis after obtaining knowledge of the events giving rise to such claims; and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utilize such notices, claim forms and claim procedures as are required by the respective insurance carriers.</w:t>
      </w:r>
    </w:p>
    <w:p>
      <w:pPr>
        <w:pStyle w:val="TextBody"/>
        <w:bidi w:val="0"/>
        <w:jc w:val="center"/>
        <w:rPr>
          <w:rFonts w:ascii="Times New Roman" w:hAnsi="Times New Roman"/>
          <w:color w:val="000000"/>
          <w:sz w:val="24"/>
        </w:rPr>
      </w:pPr>
      <w:r>
        <w:rPr>
          <w:rFonts w:ascii="Times New Roman" w:hAnsi="Times New Roman"/>
          <w:color w:val="000000"/>
          <w:sz w:val="24"/>
        </w:rPr>
        <w:t>101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any inconsistency between this Agreement and the terms of any Insurance Policy, the Servicer shall comply with the latter.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pPr>
      <w:r>
        <w:rPr>
          <w:rFonts w:ascii="Times New Roman" w:hAnsi="Times New Roman"/>
          <w:color w:val="000000"/>
          <w:sz w:val="24"/>
          <w:u w:val="single"/>
        </w:rPr>
        <w:t>Obligation to Restore</w:t>
      </w:r>
      <w:r>
        <w:rPr>
          <w:rFonts w:ascii="Times New Roman" w:hAnsi="Times New Roman"/>
          <w:color w:val="000000"/>
          <w:sz w:val="24"/>
        </w:rPr>
        <w:t>. In the event of any physical loss or damage to a Financed Vehicle related to a Receivable from any cause, whether through accidental means or otherwise, the Servicer shall have no obligation to cause the affected Financed Vehicle to be restored or repaired. However, the Servicer shall comply with the provisions of any insurance policy or policies directly or indirectly related to any physical loss or damage to a Financed Vehicle.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pPr>
      <w:r>
        <w:rPr>
          <w:rFonts w:ascii="Times New Roman" w:hAnsi="Times New Roman"/>
          <w:color w:val="000000"/>
          <w:sz w:val="24"/>
          <w:u w:val="single"/>
        </w:rPr>
        <w:t>Fidelity Bond</w:t>
      </w:r>
      <w:r>
        <w:rPr>
          <w:rFonts w:ascii="Times New Roman" w:hAnsi="Times New Roman"/>
          <w:color w:val="000000"/>
          <w:sz w:val="24"/>
        </w:rPr>
        <w:t xml:space="preserve">. The Servicer represents, warrants and covenants that it has obtained and shall continue to maintain in full force and effect a fidelity bond in such form and amount as is customary for prudent servicers acting as custodian of funds and documents in respect of consumer contracts similar to the Receivables on behalf of institutional investors.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pPr>
      <w:r>
        <w:rPr>
          <w:rFonts w:ascii="Times New Roman" w:hAnsi="Times New Roman"/>
          <w:color w:val="000000"/>
          <w:sz w:val="24"/>
          <w:u w:val="single"/>
        </w:rPr>
        <w:t>Security Interests</w:t>
      </w:r>
      <w:r>
        <w:rPr>
          <w:rFonts w:ascii="Times New Roman" w:hAnsi="Times New Roman"/>
          <w:color w:val="000000"/>
          <w:sz w:val="24"/>
        </w:rPr>
        <w:t>. The Borrower hereby directs the Servicer to take or cause to be taken such steps as are necessary, to maintain perfection of the security interest created by each such Receivable in the related Financed Vehicle. The Servicer shall, at the direction of the Borrower, the Administrative Agent or the Custodian, take any action necessary to preserve and protect the security interests of the Borrower, the Administrative Agent, the Secured Parties and the Custodian in the Receivables, including any action specified in any Opinion of Counsel delivered to the Servicer.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(j)</w:t>
      </w:r>
    </w:p>
    <w:p>
      <w:pPr>
        <w:pStyle w:val="TextBody"/>
        <w:bidi w:val="0"/>
        <w:spacing w:before="0" w:after="240"/>
        <w:jc w:val="both"/>
        <w:rPr/>
      </w:pPr>
      <w:r>
        <w:rPr>
          <w:rFonts w:ascii="Times New Roman" w:hAnsi="Times New Roman"/>
          <w:color w:val="000000"/>
          <w:sz w:val="24"/>
          <w:u w:val="single"/>
        </w:rPr>
        <w:t>Realization on Financed Vehicles</w:t>
      </w:r>
      <w:r>
        <w:rPr>
          <w:rFonts w:ascii="Times New Roman" w:hAnsi="Times New Roman"/>
          <w:color w:val="000000"/>
          <w:sz w:val="24"/>
        </w:rPr>
        <w:t>. The Servicer warrants, represents and covenants that in the event that the Servicer realizes upon any Financed Vehicle, the methods utilized by the Servicer to realize upon such Receivable or otherwise enforce any provisions of such Receivable, will not subject the Servicer, the Borrower, the Administrative Agent, the Backup Servicer, the Account Bank or the Custodian to liability under any federal, State or local law, and that such enforcement by the Servicer will be conducted in accordance with the provisions of this Agreement, the Credit and Collection Policy and Applicable Law.</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(k)</w:t>
      </w:r>
    </w:p>
    <w:p>
      <w:pPr>
        <w:pStyle w:val="TextBody"/>
        <w:bidi w:val="0"/>
        <w:spacing w:before="0" w:after="240"/>
        <w:jc w:val="both"/>
        <w:rPr/>
      </w:pPr>
      <w:r>
        <w:rPr>
          <w:rFonts w:ascii="Times New Roman" w:hAnsi="Times New Roman"/>
          <w:color w:val="000000"/>
          <w:sz w:val="24"/>
          <w:u w:val="single"/>
        </w:rPr>
        <w:t>Recordkeeping</w:t>
      </w:r>
      <w:r>
        <w:rPr>
          <w:rFonts w:ascii="Times New Roman" w:hAnsi="Times New Roman"/>
          <w:color w:val="000000"/>
          <w:sz w:val="24"/>
        </w:rPr>
        <w:t>. The Servicer shall:</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maintain legible copies (in electronic or hard-copy form, in the discretion of the Servicer) or originals of all documents in its Servicer File with respect to each Receivable and the Financed Vehicle related thereto; and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keep books and records, satisfactory to the Administrative Agent, pertaining to each Receivable and shall make periodic reports in accordance with this Agreement; such records may not be destroyed or otherwise disposed of except as provided herein and as allowed by Applicable Law, all documents, whether developed or originated by the Servicer or not, reasonably required to document or to properly administer any Receivable shall remain at all times the property of the Borrower and shall be held in trust by the Servicer; the Servicer shall not acquire any property rights with respect to such records, and shall not have the right to possession of them except as subject to the conditions stated in this Agreement; and the Servicer shall bear the entire cost of restoration in the event any Servicer File shall become damaged, lost or destroyed while in the Servicer’s possession or control.</w:t>
      </w:r>
    </w:p>
    <w:p>
      <w:pPr>
        <w:pStyle w:val="TextBody"/>
        <w:bidi w:val="0"/>
        <w:jc w:val="center"/>
        <w:rPr>
          <w:rFonts w:ascii="Times New Roman" w:hAnsi="Times New Roman"/>
          <w:color w:val="000000"/>
          <w:sz w:val="24"/>
        </w:rPr>
      </w:pPr>
      <w:r>
        <w:rPr>
          <w:rFonts w:ascii="Times New Roman" w:hAnsi="Times New Roman"/>
          <w:color w:val="000000"/>
          <w:sz w:val="24"/>
        </w:rPr>
        <w:t>102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7.04.</w:t>
      </w:r>
      <w:r>
        <w:rPr>
          <w:rFonts w:ascii="Times New Roman" w:hAnsi="Times New Roman"/>
          <w:color w:val="000000"/>
          <w:sz w:val="20"/>
          <w:u w:val="single"/>
        </w:rPr>
        <w:t xml:space="preserve"> </w:t>
      </w:r>
      <w:r>
        <w:rPr>
          <w:rFonts w:ascii="Times New Roman" w:hAnsi="Times New Roman"/>
          <w:b w:val="false"/>
          <w:color w:val="000000"/>
          <w:sz w:val="24"/>
          <w:u w:val="single"/>
        </w:rPr>
        <w:t>Collection of Payments</w:t>
      </w:r>
      <w:r>
        <w:rPr>
          <w:rFonts w:ascii="Times New Roman" w:hAnsi="Times New Roman"/>
          <w:color w:val="000000"/>
          <w:sz w:val="20"/>
        </w:rPr>
        <w:t xml:space="preserve"> </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a)</w:t>
      </w:r>
    </w:p>
    <w:p>
      <w:pPr>
        <w:pStyle w:val="TextBody"/>
        <w:bidi w:val="0"/>
        <w:jc w:val="both"/>
        <w:rPr/>
      </w:pPr>
      <w:r>
        <w:rPr>
          <w:rFonts w:ascii="Times New Roman" w:hAnsi="Times New Roman"/>
          <w:color w:val="000000"/>
          <w:sz w:val="24"/>
          <w:u w:val="single"/>
        </w:rPr>
        <w:t>Payments to the Post Office Boxes</w:t>
      </w:r>
      <w:r>
        <w:rPr>
          <w:rFonts w:ascii="Times New Roman" w:hAnsi="Times New Roman"/>
          <w:color w:val="000000"/>
          <w:sz w:val="24"/>
        </w:rPr>
        <w:t>. On or before the Closing Date with respect to the Existing Receivables, and on or before the relevant Funding Date with respect to the Subsequent Receivables, the Servicer shall have instructed all related Obligors to make all payments in respect of the related Receivables directly to the Post Office Boxes, and all such payments will be deposited into the Collection Account within two Business Days of receipt.</w:t>
      </w:r>
    </w:p>
    <w:p>
      <w:pPr>
        <w:pStyle w:val="TextBody"/>
        <w:bidi w:val="0"/>
        <w:jc w:val="left"/>
        <w:rPr/>
      </w:pPr>
      <w:r>
        <w:rPr/>
        <w:t> </w:t>
      </w:r>
    </w:p>
    <w:p>
      <w:pPr>
        <w:pStyle w:val="TextBody"/>
        <w:bidi w:val="0"/>
        <w:spacing w:before="40" w:after="283"/>
        <w:jc w:val="both"/>
        <w:rPr>
          <w:rFonts w:ascii="Times New Roman" w:hAnsi="Times New Roman"/>
          <w:color w:val="1F3763"/>
          <w:sz w:val="24"/>
        </w:rPr>
      </w:pPr>
      <w:r>
        <w:rPr>
          <w:rFonts w:ascii="Times New Roman" w:hAnsi="Times New Roman"/>
          <w:color w:val="1F3763"/>
          <w:sz w:val="24"/>
        </w:rPr>
        <w:t>b)</w:t>
      </w:r>
    </w:p>
    <w:p>
      <w:pPr>
        <w:pStyle w:val="TextBody"/>
        <w:bidi w:val="0"/>
        <w:spacing w:before="40" w:after="283"/>
        <w:jc w:val="both"/>
        <w:rPr/>
      </w:pPr>
      <w:r>
        <w:rPr>
          <w:rFonts w:ascii="Times New Roman" w:hAnsi="Times New Roman"/>
          <w:color w:val="000000"/>
          <w:sz w:val="24"/>
          <w:u w:val="single"/>
        </w:rPr>
        <w:t>Establishment of the Collection Account, Reserve Account and the Local Bank Account</w:t>
      </w:r>
      <w:r>
        <w:rPr>
          <w:rFonts w:ascii="Times New Roman" w:hAnsi="Times New Roman"/>
          <w:color w:val="000000"/>
          <w:sz w:val="24"/>
        </w:rPr>
        <w:t>. The Servicer shall cause to be established, on or before the Closing Date, and maintain in the name of the Borrower, for the benefit of the Secured Parties, with a Qualified Institution which shall initially be the Account Bank, (i) the Collection Account and (ii) the Reserve Account, in each case over which the Administrative Agent shall have sole dominion and control and from which neither UACC nor the Borrower shall have any right of withdrawal, except as otherwise set forth in the Account Control Agreement. The Borrower will be required to pay all reasonable fees and expenses owing to any bank or trust company in connection with the maintenance of the Collection Account and the Reserve Account for its own account and shall not be entitled to any payment therefor. The Servicer shall maintain in its name for the benefit of the Secured Parties the Local Bank Account which shall be under the dominion and control of [***] under, and shall be subject to, the Intercreditor Agreement and the Intercreditor Party Supplement. Promptly after the Payment Date on which the entire Reserve Account Amount is withdrawn from the Reserve Account, the Account Bank shall terminate the Reserve Account.</w:t>
      </w:r>
    </w:p>
    <w:p>
      <w:pPr>
        <w:pStyle w:val="TextBody"/>
        <w:bidi w:val="0"/>
        <w:jc w:val="left"/>
        <w:rPr/>
      </w:pPr>
      <w:r>
        <w:rPr/>
        <w:t> </w:t>
      </w:r>
    </w:p>
    <w:p>
      <w:pPr>
        <w:pStyle w:val="TextBody"/>
        <w:bidi w:val="0"/>
        <w:spacing w:before="40" w:after="283"/>
        <w:jc w:val="both"/>
        <w:rPr>
          <w:rFonts w:ascii="Times New Roman" w:hAnsi="Times New Roman"/>
          <w:color w:val="1F3763"/>
          <w:sz w:val="24"/>
        </w:rPr>
      </w:pPr>
      <w:r>
        <w:rPr>
          <w:rFonts w:ascii="Times New Roman" w:hAnsi="Times New Roman"/>
          <w:color w:val="1F3763"/>
          <w:sz w:val="24"/>
        </w:rPr>
        <w:t>c)</w:t>
      </w:r>
    </w:p>
    <w:p>
      <w:pPr>
        <w:pStyle w:val="TextBody"/>
        <w:bidi w:val="0"/>
        <w:spacing w:before="40" w:after="283"/>
        <w:jc w:val="both"/>
        <w:rPr/>
      </w:pPr>
      <w:r>
        <w:rPr>
          <w:rFonts w:ascii="Times New Roman" w:hAnsi="Times New Roman"/>
          <w:color w:val="000000"/>
          <w:sz w:val="24"/>
          <w:u w:val="single"/>
        </w:rPr>
        <w:t>Adjustments</w:t>
      </w:r>
      <w:r>
        <w:rPr>
          <w:rFonts w:ascii="Times New Roman" w:hAnsi="Times New Roman"/>
          <w:color w:val="000000"/>
          <w:sz w:val="24"/>
        </w:rPr>
        <w:t>. If the Servicer makes (i) a deposit into the Collection Account in respect of a collection of a Receivable and such collection was received by the Servicer in the form of a check that is not honored for any reason, (ii) a mistake with respect to the amount of any collection and deposits an amount that is less than or more than the actual amount of such collection or (iii) is entitled to reimbursement of any ancillary fees in accordance with Section 7.02, the Servicer shall appropriately adjust the amount subsequently deposited into the Collection Account to reflect such dishonored check, mistake or reimbursement. Any Scheduled Payment in respect of which a dishonored check is received shall be deemed not to have been paid.</w:t>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7.05.</w:t>
      </w:r>
      <w:r>
        <w:rPr>
          <w:rFonts w:ascii="Times New Roman" w:hAnsi="Times New Roman"/>
          <w:color w:val="000000"/>
          <w:sz w:val="20"/>
          <w:u w:val="single"/>
        </w:rPr>
        <w:t xml:space="preserve"> </w:t>
      </w:r>
      <w:r>
        <w:rPr>
          <w:rFonts w:ascii="Times New Roman" w:hAnsi="Times New Roman"/>
          <w:b w:val="false"/>
          <w:color w:val="000000"/>
          <w:sz w:val="24"/>
          <w:u w:val="single"/>
        </w:rPr>
        <w:t>Payment of Certain Expenses by Servicer</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Except for such amounts and expenses the Servicer is entitled to reimbursement as provided for herein, the Servicer will be required to pay all expenses incurred by it in connection with its activities under this Agreement, including the fees and disbursements of independent certified public accountants, Taxes imposed on the Servicer, expenses incurred in connection with payments and reports pursuant to this Agreement, fees and expenses of subservicers and agents of the Servicer and all other fees and expenses not expressly stated under this Agreement for the account of the Borrower. The Servicer will be required to pay all reasonable fees and expenses owing to any bank or trust company in connection with the maintenance of the Collection Account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and the Reserve Account. The Servicer shall be required to pay such expenses for its own account and shall not be entitled to any payment therefor other than the Servicing Fee.</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7.06.</w:t>
      </w:r>
      <w:r>
        <w:rPr>
          <w:rFonts w:ascii="Times New Roman" w:hAnsi="Times New Roman"/>
          <w:color w:val="000000"/>
          <w:sz w:val="20"/>
          <w:u w:val="single"/>
        </w:rPr>
        <w:t xml:space="preserve"> </w:t>
      </w:r>
      <w:r>
        <w:rPr>
          <w:rFonts w:ascii="Times New Roman" w:hAnsi="Times New Roman"/>
          <w:b w:val="false"/>
          <w:color w:val="000000"/>
          <w:sz w:val="24"/>
          <w:u w:val="single"/>
        </w:rPr>
        <w:t>Reports</w:t>
      </w:r>
    </w:p>
    <w:p>
      <w:pPr>
        <w:pStyle w:val="TextBody"/>
        <w:bidi w:val="0"/>
        <w:spacing w:before="0" w:after="0"/>
        <w:jc w:val="left"/>
        <w:rPr>
          <w:rFonts w:ascii="Times New Roman" w:hAnsi="Times New Roman"/>
          <w:color w:val="1F3763"/>
          <w:sz w:val="24"/>
        </w:rPr>
      </w:pPr>
      <w:r>
        <w:rPr>
          <w:rFonts w:ascii="Times New Roman" w:hAnsi="Times New Roman"/>
          <w:color w:val="1F3763"/>
          <w:sz w:val="24"/>
        </w:rPr>
        <w:t>a)</w:t>
      </w:r>
    </w:p>
    <w:p>
      <w:pPr>
        <w:pStyle w:val="TextBody"/>
        <w:bidi w:val="0"/>
        <w:jc w:val="left"/>
        <w:rPr/>
      </w:pPr>
      <w:r>
        <w:rPr>
          <w:rFonts w:ascii="Times New Roman" w:hAnsi="Times New Roman"/>
          <w:color w:val="000000"/>
          <w:sz w:val="24"/>
          <w:u w:val="single"/>
        </w:rPr>
        <w:t>Monthly Reports</w:t>
      </w:r>
      <w:r>
        <w:rPr>
          <w:rFonts w:ascii="Times New Roman" w:hAnsi="Times New Roman"/>
          <w:color w:val="000000"/>
          <w:sz w:val="24"/>
        </w:rPr>
        <w:t xml:space="preserve">. On each Reporting Date, the Servicer will provide to the Borrower, the Administrative Agent, the Backup Servicer, the Account Bank and each Hedge Counterparty a Monthly Report. </w:t>
      </w:r>
    </w:p>
    <w:p>
      <w:pPr>
        <w:pStyle w:val="TextBody"/>
        <w:bidi w:val="0"/>
        <w:jc w:val="left"/>
        <w:rPr/>
      </w:pPr>
      <w:r>
        <w:rPr/>
        <w:t> </w:t>
      </w:r>
    </w:p>
    <w:p>
      <w:pPr>
        <w:pStyle w:val="TextBody"/>
        <w:bidi w:val="0"/>
        <w:spacing w:before="40" w:after="283"/>
        <w:jc w:val="left"/>
        <w:rPr>
          <w:rFonts w:ascii="Times New Roman" w:hAnsi="Times New Roman"/>
          <w:color w:val="1F3763"/>
          <w:sz w:val="24"/>
        </w:rPr>
      </w:pPr>
      <w:r>
        <w:rPr>
          <w:rFonts w:ascii="Times New Roman" w:hAnsi="Times New Roman"/>
          <w:color w:val="1F3763"/>
          <w:sz w:val="24"/>
        </w:rPr>
        <w:t>b)</w:t>
      </w:r>
    </w:p>
    <w:p>
      <w:pPr>
        <w:pStyle w:val="TextBody"/>
        <w:bidi w:val="0"/>
        <w:spacing w:before="40" w:after="283"/>
        <w:jc w:val="left"/>
        <w:rPr/>
      </w:pPr>
      <w:r>
        <w:rPr>
          <w:rFonts w:ascii="Times New Roman" w:hAnsi="Times New Roman"/>
          <w:color w:val="000000"/>
          <w:sz w:val="24"/>
          <w:u w:val="single"/>
        </w:rPr>
        <w:t>Quarterly Report</w:t>
      </w:r>
      <w:r>
        <w:rPr>
          <w:rFonts w:ascii="Times New Roman" w:hAnsi="Times New Roman"/>
          <w:color w:val="000000"/>
          <w:sz w:val="24"/>
        </w:rPr>
        <w:t xml:space="preserve">. The Servicer will provide a Quarterly Report to the Administrative Agent and each Hedge Counterparty, within ten (10) Business Days after the end of each calendar quarter, or more frequently as required to comply with Applicable Law or regulator requests. </w:t>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7.07.</w:t>
      </w:r>
      <w:r>
        <w:rPr>
          <w:rFonts w:ascii="Times New Roman" w:hAnsi="Times New Roman"/>
          <w:color w:val="000000"/>
          <w:sz w:val="20"/>
          <w:u w:val="single"/>
        </w:rPr>
        <w:t xml:space="preserve"> </w:t>
      </w:r>
      <w:r>
        <w:rPr>
          <w:rFonts w:ascii="Times New Roman" w:hAnsi="Times New Roman"/>
          <w:b w:val="false"/>
          <w:color w:val="000000"/>
          <w:sz w:val="24"/>
          <w:u w:val="single"/>
        </w:rPr>
        <w:t>Due Diligence</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Up to one (1) time each calendar year, beginning with 2022, at such times during normal business hours as are reasonably convenient to the Borrower or the Servicer, as the case may be, at the sole cost and expense of the Servicer (provided that such costs and expenses shall be limited to $[***] per annum unless a Termination Event, Unmatured Termination Event, Unmatured Servicer Termination Event or Servicer Termination Event shall have occurred and be continuing) and upon reasonable request of the Administrative Agent and prior written notice to the Borrower or the Servicer, as the case may be, the Borrower or the Servicer, as the case may be, shall permit such Person or Persons as the Administrative Agent may designate to conduct, on behalf of all of them, audits or to visit and inspect any of the properties of the Borrower or the Servicer (including any Subservicer) where the Receivable Files are located, as the case may be, to examine the Receivable Files, internal controls and procedures maintained by the Borrower or Servicer, as the case may be, and take copies and extracts therefrom, and to discuss the affairs of the Borrower and the Servicer (including any Subservicer) with their respective officers and employees (which employees, except after the occurrence and during the continuation of a Termination Event, Unmatured Termination Event, Unmatured Servicer Termination Event or Servicer Termination Event, shall be designated by the Borrower or the Servicer, as the case may be) and, upon written notice to the Borrower or the Servicer, as the case may be, independent accountants; provided, further, that after the occurrence and during the continuation of a Termination Event, Unmatured Termination Event, Unmatured Servicer Termination Event or Servicer Termination Event, the Administrative Agent or its representatives shall be permitted to take the foregoing actions without being subject to any limitation on the number of audits, visits or inspections that may be conducted during a calendar year and such audits, visits or inspections shall be at the sole cost and expense of the Servicer; provided, that the Administrative Agent and its representatives shall make reasonable efforts to coordinate, and provide 30 days’ prior written notice of, such audits, visits and inspections. The Borrower or the Servicer, as the case may be, hereby authorizes such officers, employees and independent accountants (and the Servicer shall cause each Subservicer to authorize such officers, employees and independent accountants) to discuss with the Administrative Agent and its representatives, the affairs of the Borrower or the Servicer, as the case may be. The Servicer shall reimburse the Administrative Agent for all reasonable fees, costs and expenses incurred by or on behalf of the Administrative Agent and the Secured Parties in connection with the foregoing actions promptly upon receipt of a written invoice therefor.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audit provided for herein shall be conducted in accordance with the rules of the Borrower and Servicer respecting safety and security on its premises and without materially disrupting operations. Nothing in this subsection shall affect the obligation of the Servicer to observe any Applicable Law prohibiting the disclosure of information regarding the Obligors, and the failure of the Servicer to provide access to information as a result of such obligation shall not constitute a breach of this subsection. In addition to the due diligence reviews specified above, the Backup Servicer may, subject to all terms and conditions specified in this subsection, conduct its own periodic due diligence reviews, at the sole cost and expense of the Servicer (provided that such costs and expenses shall be limited to a maximum of $[***] per visit in the case of any due diligence review done at the request of the Backup Servicer prior to the occurrence and continuance of a Servicer Termination Event or the Termination Date, and thereafter, without such cost and expense cap).</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7.08.</w:t>
      </w:r>
      <w:r>
        <w:rPr>
          <w:rFonts w:ascii="Times New Roman" w:hAnsi="Times New Roman"/>
          <w:color w:val="000000"/>
          <w:sz w:val="20"/>
          <w:u w:val="single"/>
        </w:rPr>
        <w:t xml:space="preserve"> </w:t>
      </w:r>
      <w:r>
        <w:rPr>
          <w:rFonts w:ascii="Times New Roman" w:hAnsi="Times New Roman"/>
          <w:b w:val="false"/>
          <w:color w:val="000000"/>
          <w:sz w:val="24"/>
          <w:u w:val="single"/>
        </w:rPr>
        <w:t>Annual Statement as to Compliance</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The Servicer shall deliver to the Administrative Agent and the Backup Servicer, on or before April 30</w:t>
      </w:r>
      <w:r>
        <w:rPr>
          <w:rFonts w:ascii="Times New Roman" w:hAnsi="Times New Roman"/>
          <w:b w:val="false"/>
          <w:color w:val="000000"/>
          <w:sz w:val="16"/>
        </w:rPr>
        <w:t>th</w:t>
      </w:r>
      <w:r>
        <w:rPr>
          <w:rFonts w:ascii="Times New Roman" w:hAnsi="Times New Roman"/>
          <w:color w:val="000000"/>
          <w:sz w:val="20"/>
        </w:rPr>
        <w:t xml:space="preserve"> </w:t>
      </w:r>
      <w:r>
        <w:rPr>
          <w:rFonts w:ascii="Times New Roman" w:hAnsi="Times New Roman"/>
          <w:b w:val="false"/>
          <w:color w:val="000000"/>
          <w:sz w:val="24"/>
        </w:rPr>
        <w:t>of each year, beginning in 2020, an Officer’s Certificate, dated as of the preceding December 31</w:t>
      </w:r>
      <w:r>
        <w:rPr>
          <w:rFonts w:ascii="Times New Roman" w:hAnsi="Times New Roman"/>
          <w:b w:val="false"/>
          <w:color w:val="000000"/>
          <w:sz w:val="16"/>
        </w:rPr>
        <w:t>st</w:t>
      </w:r>
      <w:r>
        <w:rPr>
          <w:rFonts w:ascii="Times New Roman" w:hAnsi="Times New Roman"/>
          <w:b w:val="false"/>
          <w:color w:val="000000"/>
          <w:sz w:val="24"/>
        </w:rPr>
        <w:t>, stating that (i) a review of the activities of the Servicer during the preceding 12-month period (or since the Closing Date in the case of the first such Officer’s Certificate) and of its performance under this Agreement has been made under such officer’s supervision and (ii) to the best of such officer’s knowledge, based on such review, the Servicer has fulfilled all its obligations under this Agreement throughout such year (or such shorter period in the case of the first such Officer’s Certificate), or, if there has been a default in the fulfillment of any such obligation, specifying each such default known to such officer and the nature and status thereof. Notwithstanding the foregoing, to the extent that in connection with public or private offerings of automobile receivable-backed securities by UACC or any Affiliate thereof, Regulation AB under the Securities Act requires the delivery by servicers of an annual report on an assessment of servicing compliance on the basis of detailed servicing criteria or other report, the delivery of a copy of such report by the Servicer to the Administrative Agent shall be deemed to satisfy the provisions of this subsection.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7.07.</w:t>
      </w:r>
      <w:r>
        <w:rPr>
          <w:rFonts w:ascii="Times New Roman" w:hAnsi="Times New Roman"/>
          <w:color w:val="000000"/>
          <w:sz w:val="20"/>
          <w:u w:val="single"/>
        </w:rPr>
        <w:t xml:space="preserve"> </w:t>
      </w:r>
      <w:r>
        <w:rPr>
          <w:rFonts w:ascii="Times New Roman" w:hAnsi="Times New Roman"/>
          <w:b w:val="false"/>
          <w:color w:val="000000"/>
          <w:sz w:val="24"/>
          <w:u w:val="single"/>
        </w:rPr>
        <w:t>Annual Independent Public Accountant’s Reports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To the extent prepared on behalf of the Servicer in connection with the public offering of securities backed by or relating to automobile receivables, the Servicer will deliver to the Administrative Agent, on or before April 30</w:t>
      </w:r>
      <w:r>
        <w:rPr>
          <w:rFonts w:ascii="Times New Roman" w:hAnsi="Times New Roman"/>
          <w:b w:val="false"/>
          <w:color w:val="000000"/>
          <w:sz w:val="16"/>
        </w:rPr>
        <w:t>th</w:t>
      </w:r>
      <w:r>
        <w:rPr>
          <w:rFonts w:ascii="Times New Roman" w:hAnsi="Times New Roman"/>
          <w:color w:val="000000"/>
          <w:sz w:val="20"/>
        </w:rPr>
        <w:t xml:space="preserve"> </w:t>
      </w:r>
      <w:r>
        <w:rPr>
          <w:rFonts w:ascii="Times New Roman" w:hAnsi="Times New Roman"/>
          <w:b w:val="false"/>
          <w:color w:val="000000"/>
          <w:sz w:val="24"/>
        </w:rPr>
        <w:t>of each year beginning in 2020, a copy of a report prepared by a firm of independent certified public accountants, who may also render other services to the Servicer or any of its Affiliates, addressed to the Board of Directors of the Servicer or any of its Affiliates, and the Administrative Agent and dated during the current year, to the effect that such firm has examined the Servicer’s policies and procedures and issued its report thereon and expressing a summary of findings (based on certain procedures performed on the documents, records and accounting records that such accountants considered appropriate under the circumstances) relating to the servicing of the Receivables and the administration of the Receivables (including the preparation of the “Monthly Reports) during the preceding calendar year (or such longer period in the case of the first sale report) and that such servicing and administration was conducted in compliance with the terms of this Agreement, except for (i) such exceptions as such firm shall believe to be immaterial and (ii) such other exceptions as shall be set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forth in such report and that such examination (a) was performed in accordance with standards established by the American Institute of Certified Public Accountants, and (b) included tests relating to auto loans serviced for others in accordance with the requirements of the Uniform Single Attestation Program for Mortgage Bankers, to the extent the procedures in such program are applicable to the servicing obligations set forth in this Agreement. Notwithstanding the foregoing, to the extent that in connection with public or private offerings of automobile receivable-backed securities by UACC or any Affiliate thereof, Regulation AB under the Securities Act requires the delivery of an annual attestation of a firm of independent public accountants with respect to the assessment of servicing compliance with specified servicing criteria of the Servicer stating, among other things, that the Servicer’s assertion of compliance with the specified servicing criteria is fairly stated in all material respects, or the reason why such an opinion cannot be expressed, the delivery of a copy of such an attestation to the Administrative Agent shall be deemed to satisfy the provisions of this 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such independent certified public accountants require the Custodian, the Account Bank or the Backup Servicer to agree to the procedures to be performed by such firm in any of the reports required to be prepared pursuant to this Section, the Servicer shall direct the Custodian, the Account Bank or the Backup Servicer in writing to so agree; it being understood and agreed that the Custodian, the Account Bank or the Backup Servicer will deliver such letter of agreement in conclusive reliance upon the direction of the Servicer, and the Custodian, the Account Bank and the Backup Servicer have not made any independent inquiry or investigation as to, and shall have no obligation or liability in respect of, the sufficiency, validity or correctness of such procedures.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report shall also indicate that the firm is “Independent” of the Servicer and its Affiliates within the meaning of the Code of Professional Ethics of the American Institute of Certified Public Accountants.</w:t>
      </w:r>
    </w:p>
    <w:p>
      <w:pPr>
        <w:pStyle w:val="TextBody"/>
        <w:bidi w:val="0"/>
        <w:jc w:val="center"/>
        <w:rPr>
          <w:rFonts w:ascii="Times New Roman" w:hAnsi="Times New Roman"/>
          <w:color w:val="000000"/>
          <w:sz w:val="24"/>
        </w:rPr>
      </w:pPr>
      <w:r>
        <w:rPr>
          <w:rFonts w:ascii="Times New Roman" w:hAnsi="Times New Roman"/>
          <w:color w:val="000000"/>
          <w:sz w:val="24"/>
        </w:rPr>
        <w:t>106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7.10. </w:t>
      </w:r>
      <w:r>
        <w:rPr>
          <w:rFonts w:ascii="Times New Roman" w:hAnsi="Times New Roman"/>
          <w:b w:val="false"/>
          <w:color w:val="000000"/>
          <w:sz w:val="24"/>
          <w:u w:val="single"/>
        </w:rPr>
        <w:t>Rights Prior to Assumption of Duties by the Backup Servicer or Designation of Successor Servicer</w:t>
      </w:r>
      <w:r>
        <w:rPr>
          <w:rFonts w:ascii="Times New Roman" w:hAnsi="Times New Roman"/>
          <w:color w:val="000000"/>
          <w:sz w:val="20"/>
        </w:rPr>
        <w:t xml:space="preserve"> </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a)</w:t>
      </w:r>
    </w:p>
    <w:p>
      <w:pPr>
        <w:pStyle w:val="TextBody"/>
        <w:bidi w:val="0"/>
        <w:jc w:val="both"/>
        <w:rPr/>
      </w:pPr>
      <w:r>
        <w:rPr>
          <w:rFonts w:ascii="Times New Roman" w:hAnsi="Times New Roman"/>
          <w:color w:val="000000"/>
          <w:sz w:val="24"/>
        </w:rPr>
        <w:t>On or before each Reporting Date, the Servicer shall deliver to the Backup Servicer an electronic file containing all information necessary to carry out any servicing obligations under this Agreement, sufficient to allow the Backup Servicer to review the Monthly Report related thereto and determine that such Monthly Report is readable and contains all information necessary for the Backup Servicer to complete its duties. The Backup Servicer shall, within five Business Days of each Reporting Date, load the electronic file received from the Servicer, confirm such computer tape or diskette is in readable form and verify (i) the aggregate Principal Balance of all Receivables as of the most recent Determination Date,</w:t>
      </w:r>
      <w:r>
        <w:rPr>
          <w:color w:val="000000"/>
        </w:rPr>
        <w:t xml:space="preserve"> </w:t>
      </w:r>
      <w:r>
        <w:rPr>
          <w:rFonts w:ascii="Times New Roman" w:hAnsi="Times New Roman"/>
          <w:color w:val="000000"/>
          <w:sz w:val="24"/>
        </w:rPr>
        <w:t>(ii) each Concentration Limit and (iii) the Net Principal Balance as set forth in the Monthly Report. The Backup Servicer shall further verify the Borrowing Base, Monthly Principal Payment Amount, Servicing Fees, Account Bank Fee and Backup Servicing Fee (excluding any additional fees), amounts remaining to be distributed to the Borrower in accordance with Section 2.08, the Reserve Account Amount as of the end of the Collection Period, the Annualized Default Ratio, the Annualized Net Loss Ratio, the Collateral Coverage Ratio, the UACC Excess Spread Percentage, the Vroom Excess Spread Percentage, and the Overcollateralization Percentage based solely on a mathematical recalculation of the information contained in the Monthly Report as of the related Reporting Date (calculated as of the related Determination Date, or, with respect to Receivables added to the Collateral following such Determination Date, but prior to the date of such Monthly Report, the related Cutoff Date). In addition, the Backup Servicer shall verify any other amounts or calculations as may be mutually agreed to by the Administrative Agent and the Backup Servicer based solely on a mathematical recalculation of the information contained in the Monthly Report as of the related Reporting Date. In the event of any discrepancy between the information set forth in the three foregoing sentences, as calculated by the Servicer, from that determined or calculated by the Backup Servicer, the Backup Servicer shall promptly notify the Servicer and, if within five days of such notice being provided to the Servicer, the Backup Servicer and the Servicer are unable to resolve such discrepancy, the Backup Servicer shall promptly notify the Administrative Agent of such discrepancy. The Servicer shall cooperate with the Backup Servicer to ensure that the Monthly Report contains sufficient information for the Backup Servicer to perform its duties hereunder. Notwithstanding the foregoing, if the electronic file or Monthly Report does not contain sufficient information for the Backup Servicer to perform its duties hereunder, the Backup Servicer shall promptly notify the Servicer of any additional information to be delivered by the Servicer to the Backup Servicer, and the Backup Servicer and the Servicer shall mutually agree upon the form thereof; provided, however, that the Backup Servicer shall not be liable for the performance of any action unable to be taken hereunder without such additional information until it is received from the Servicer. In the performance of its duties hereunder, the Backup Servicer shall be entitled to conclusively rely on the Monthly Report or written notice with respect to the occurrence of any Overcollateralization Increase Event, Termination Date or other event which affects the verification obligations of the Backup Servicer, with no duty to independently verify the information therein or confirm whether any such event has occurred or otherwise make any determination with respect thereto.</w:t>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Administrative Agent may request in writing, up to four times per calendar year, that the Servicer use commercially reasonable efforts to promptly deliver to the Backup Servicer the Test Data File, in a format acceptable to the Backup Servicer; provided, that if an </w:t>
      </w:r>
    </w:p>
    <w:p>
      <w:pPr>
        <w:pStyle w:val="TextBody"/>
        <w:bidi w:val="0"/>
        <w:jc w:val="center"/>
        <w:rPr>
          <w:rFonts w:ascii="Times New Roman" w:hAnsi="Times New Roman"/>
          <w:color w:val="000000"/>
          <w:sz w:val="24"/>
        </w:rPr>
      </w:pPr>
      <w:r>
        <w:rPr>
          <w:rFonts w:ascii="Times New Roman" w:hAnsi="Times New Roman"/>
          <w:color w:val="000000"/>
          <w:sz w:val="24"/>
        </w:rPr>
        <w:t>107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Overcollateralization Increase Event shall have occurred and is continuing, the Administrative Agent may make such request at any time. The Backup Servicer and the Servicer will agree upon the file layout and electronic medium to transfer such data to the Backup Servicer. The Backup Servicer shall confirm to the Servicer and the Administrative Agent in writing that the Test Data File is in the correct format or if any changes or modifications are necessary. The Backup Servicer shall confirm in writing to the Servicer and the Administrative Agent that it has received and verified the completeness of the Test Data File within 90 days of receipt of such Test Data File; provided, however, that such confirmation shall not be deemed to apply to the accuracy of the Test Data File data as provided by the Servicer, but shall be deemed only to apply to the accuracy of the conversion of the Test Data Files to the Backup Servicer’s internal systems. The cost of loading the Test Data File will be paid by the Servicer and, to the extent not paid, will be paid in accordance with Section 2.08(ii).</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than as specifically set forth elsewhere in this Agreement, the Backup Servicer shall have no obligation to supervise, verify, monitor or administer the performance of the Servicer and shall have no duty, responsibility, obligation or liability for any action taken or omitted by the Servicer.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Backup Servicer shall consult with the Servicer as may be necessary from time to time to perform or carry out the Backup Servicer’s obligations hereunder, including the obligation, if requested in writing by the Administrative Agent, to succeed to the duties and obligations of the Servicer pursuant hereto.</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Backup Servicer shall be indemnified by the Servicer and the Borrower from and against any fee, damage, loss, liability or expense incurred (including the reasonable fees and expenses of counsel and court costs, including, without limitation, those incurred in connection with any enforcement (including any action, claim, or suit brought) by the Backup Servicer of any indemnification or other obligation of Servicer or Borrower) on any matter arising out of this Agreement to the extent the act or omission giving rise to the claim accrues before the date on which the Backup Servicer assumes the duties of Servicer hereunder, except for any claims, damages, losses or expenses arising from the Backup Servicer’s own gross negligence, bad faith or willful misconduct. Payments in respect of any indemnity by the Borrower shall be paid, to the extent of funds available therefor, in accordance with the priorities set forth in Section 2.08. Notwithstanding the foregoing, if a successor to the Backup Servicer is appointed hereunder, then the Servicer and the Borrower shall have no obligations to indemnify the successor Backup Servicer except to the extent that the Servicer and the Borrower have consented, in their reasonable discretion, to the selection of the successor Backup Servicer. This indemnification shall survive the resignation or removal of the Backup Servicer, and the termination or assignment of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pPr>
      <w:r>
        <w:rPr>
          <w:rFonts w:ascii="Times New Roman" w:hAnsi="Times New Roman"/>
          <w:color w:val="000000"/>
          <w:sz w:val="24"/>
        </w:rPr>
        <w:t>Any entity into which</w:t>
      </w:r>
      <w:r>
        <w:rPr>
          <w:color w:val="000000"/>
        </w:rPr>
        <w:t xml:space="preserve"> </w:t>
      </w:r>
      <w:r>
        <w:rPr>
          <w:rFonts w:ascii="Times New Roman" w:hAnsi="Times New Roman"/>
          <w:color w:val="000000"/>
          <w:sz w:val="24"/>
        </w:rPr>
        <w:t>the Backup Servicer (including in its role as Successor Servicer) may be merged or converted or with which it may be consolidated, or any entity resulting from any merger, conversion or consolidation to which the Backup Servicer shall be a party, or any entity to which substantially all the corporate trust business of the Backup Servicer may be transferred, shall be the Backup Servicer under this Agreement without further act.</w:t>
      </w:r>
    </w:p>
    <w:p>
      <w:pPr>
        <w:pStyle w:val="TextBody"/>
        <w:bidi w:val="0"/>
        <w:jc w:val="center"/>
        <w:rPr>
          <w:rFonts w:ascii="Times New Roman" w:hAnsi="Times New Roman"/>
          <w:color w:val="000000"/>
          <w:sz w:val="24"/>
        </w:rPr>
      </w:pPr>
      <w:r>
        <w:rPr>
          <w:rFonts w:ascii="Times New Roman" w:hAnsi="Times New Roman"/>
          <w:color w:val="000000"/>
          <w:sz w:val="24"/>
        </w:rPr>
        <w:t>108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7.11.</w:t>
      </w:r>
      <w:r>
        <w:rPr>
          <w:rFonts w:ascii="Times New Roman" w:hAnsi="Times New Roman"/>
          <w:color w:val="000000"/>
          <w:sz w:val="20"/>
          <w:u w:val="single"/>
        </w:rPr>
        <w:t xml:space="preserve"> </w:t>
      </w:r>
      <w:r>
        <w:rPr>
          <w:rFonts w:ascii="Times New Roman" w:hAnsi="Times New Roman"/>
          <w:b w:val="false"/>
          <w:color w:val="000000"/>
          <w:sz w:val="24"/>
          <w:u w:val="single"/>
        </w:rPr>
        <w:t>Rights After Assumption of Duties by Backup Servicer or Designation of Successor Servicer; Liability</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At any time following the assumption of the duties of the Servicer by a Backup Servicer or the designation of a Successor Servicer pursuant to Section 7.14 as a result of the occurrence of a Servicer Termination Event: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on behalf of the Borrower, shall, at the Administrative Agent’s request, (i) assemble all of the records relating to the Collateral, including all Receivable Files, and shall make the same available to the Administrative Agent, the Backup Servicer or any other Successor Servicer at a place selected by the Administrative Agent or, with the Administrative Agent’s prior written consent, by the Backup Servicer or such other Successor Servicer, and (ii) segregate all cash, checks and other instruments received by it from time to time constituting collections of Collateral in a manner acceptable to the Administrative Agent and shall, promptly upon receipt but no later than two Business Days after receipt, remit all such cash, checks and instruments, duly endorsed or with duly executed instruments of transfer to, or at the direction of, the Administrative Agent.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authorizes the Administrative Agent to take or cause to be taken any and all steps in the Borrower’s name and on behalf of the Borrower necessary or desirable, in the determination of the Administrative Agent, to collect all amounts due under the Collateral, including endorsing the Borrower’s name on checks and other instruments representing Collections and enforcing the Receivables.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Backup Servicer shall be liable in accordance herewith only to the extent of the obligations specifically undertaken by the Backup Servicer in such capacity herein. Such liability is limited to only those actions taken or omitted to be taken by the Backup Servicer and caused through its gross negligence, bad faith or willful misconduct. No implied covenants or obligations shall be read into this Agreement against the Backup Servicer and, in the absence of bad faith on its part, the Backup Servicer may conclusively rely on the truth of the statements and the correctness of the opinions expressed in any certificates or opinions furnished to the Backup Servicer and conforming to the requirements of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Backup Servicer shall not be charged with knowledge of any Termination Event or Unmatured Termination Event unless a Responsible Officer of the Backup Servicer obtains actual knowledge of such event or receives written notice of such event from the Borrower, the Servicer or the Administrative Agent.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Backup Servicer shall not be required to expend or risk its own funds or otherwise incur financial liability in the performance of its duties hereunder, or in the exercise of any of its rights or powers, if the repayment of such funds or adequate indemnity against such risks or liability is not reasonably assured to it in writing prior to the expenditure of such funds or the incurrence of financial liability. Notwithstanding any provision to the contrary, the Backup Servicer, so long as it is not the Successor Servicer, shall not be liable for any obligation of the Servicer contained in this Agreement, and the parties shall look only to the Servicer to perform such obligations.</w:t>
      </w:r>
    </w:p>
    <w:p>
      <w:pPr>
        <w:pStyle w:val="TextBody"/>
        <w:bidi w:val="0"/>
        <w:jc w:val="center"/>
        <w:rPr>
          <w:rFonts w:ascii="Times New Roman" w:hAnsi="Times New Roman"/>
          <w:color w:val="000000"/>
          <w:sz w:val="24"/>
        </w:rPr>
      </w:pPr>
      <w:r>
        <w:rPr>
          <w:rFonts w:ascii="Times New Roman" w:hAnsi="Times New Roman"/>
          <w:color w:val="000000"/>
          <w:sz w:val="24"/>
        </w:rPr>
        <w:t>109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provided in this Agreement, the Backup Servicer, as successor Servicer, may accept and reasonably rely on all accounting, records and work of the Servicer without audit, and the Backup Servicer, as successor Servicer, shall have no duty, responsibility, obligation or liability for the acts or omissions of the Servicer. If any error, inaccuracy or omission (collectively, “Errors”) exists in any information received from the Servicer, and such Errors should cause or materially contribute to the Backup Servicer, as the successor Servicer, making or continuing any Errors (collectively, “Continued Errors”), the Backup Servicer, as the successor Servicer, shall have no duty, responsibility, obligation or liability for such Continued Errors; provided, however, that the Backup Servicer, as the successor Servicer, agrees to use its best efforts to prevent further Continued Errors. In the event the Backup Servicer, as the successor Servicer, has actual knowledge or has received written notice of Errors or Continued Errors, the Backup Servicer shall, with the prior consent of the Administrative Agent, use its best efforts to reconstruct and reconcile such data as is commercially reasonable to correct such Errors and Continued Errors and prevent future Continued Errors. The Backup Servicer, as the successor Servicer, shall be entitled to recover its costs thereby expended from the Servicer (or, to the extent not paid by the Servicer, in accordance with Section 2.08).</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7.12.</w:t>
      </w:r>
      <w:r>
        <w:rPr>
          <w:rFonts w:ascii="Times New Roman" w:hAnsi="Times New Roman"/>
          <w:color w:val="000000"/>
          <w:sz w:val="20"/>
          <w:u w:val="single"/>
        </w:rPr>
        <w:t xml:space="preserve"> </w:t>
      </w:r>
      <w:r>
        <w:rPr>
          <w:rFonts w:ascii="Times New Roman" w:hAnsi="Times New Roman"/>
          <w:b w:val="false"/>
          <w:color w:val="000000"/>
          <w:sz w:val="24"/>
          <w:u w:val="single"/>
        </w:rPr>
        <w:t>Limitation on Liability of the Servicer and Others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Except as expressly provided herein, neither the Servicer nor any of its directors or officers or employees or agents shall be under any liability to the Secured Parties or any other Person for any action taken or for refraining from the taking of any action pursuant to this Agreement; provided, however, that this provision shall not protect the Servicer or any such Person against any liability that would otherwise be imposed by reason of its willful misfeasance, bad faith or negligence in the performance of duties or by reason of its willful misconduct hereunder.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7.13.</w:t>
      </w:r>
      <w:r>
        <w:rPr>
          <w:rFonts w:ascii="Times New Roman" w:hAnsi="Times New Roman"/>
          <w:color w:val="000000"/>
          <w:sz w:val="20"/>
          <w:u w:val="single"/>
        </w:rPr>
        <w:t xml:space="preserve"> </w:t>
      </w:r>
      <w:r>
        <w:rPr>
          <w:rFonts w:ascii="Times New Roman" w:hAnsi="Times New Roman"/>
          <w:b w:val="false"/>
          <w:color w:val="000000"/>
          <w:sz w:val="24"/>
          <w:u w:val="single"/>
        </w:rPr>
        <w:t>The Servicer Not to Resign</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The Servicer shall resign only with the prior written consent of the Administrative Agent or if the Servicer provides an Opinion of Counsel to the Administrative Agent to the effect that such Servicer is no longer permitted by Applicable Law to act as Servicer hereunder. No termination or resignation of the Servicer hereunder shall be effective until a Successor Servicer, acceptable to the Administrative Agent has accepted its appointment as Successor Servicer hereunder and has agreed to be bound by the terms of this Agreement and the Receivable Files shall have been delivered to a successor Custodian.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7.14. </w:t>
      </w:r>
      <w:r>
        <w:rPr>
          <w:rFonts w:ascii="Times New Roman" w:hAnsi="Times New Roman"/>
          <w:b w:val="false"/>
          <w:color w:val="000000"/>
          <w:sz w:val="24"/>
          <w:u w:val="single"/>
        </w:rPr>
        <w:t>Servicer Termination Events</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The occurrence and continuance of any one of the following events shall constitute a “Servicer Termination Event” hereunder: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Upon the occurrence of any of the foregoing, notwithstanding anything herein to the contrary, so long as any such Servicer Termination Event shall not have been remedied within any applicable cure period or waived in writing by the Administrative Agent, the Administrative Agent, by written notice to the Servicer (with a copy to each Hedge Counterparty, the Backup</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Servicer and the Custodian) (each, a “Servicer Termination Notice”), may terminate all of the rights and obligations of the Servicer as Servicer under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7.15.</w:t>
      </w:r>
      <w:r>
        <w:rPr>
          <w:rFonts w:ascii="Times New Roman" w:hAnsi="Times New Roman"/>
          <w:color w:val="000000"/>
          <w:sz w:val="20"/>
          <w:u w:val="single"/>
        </w:rPr>
        <w:t xml:space="preserve"> </w:t>
      </w:r>
      <w:r>
        <w:rPr>
          <w:rFonts w:ascii="Times New Roman" w:hAnsi="Times New Roman"/>
          <w:b w:val="false"/>
          <w:color w:val="000000"/>
          <w:sz w:val="24"/>
          <w:u w:val="single"/>
        </w:rPr>
        <w:t>Appointment of Successor Servicer</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On and after the receipt by the Servicer of a Servicer Termination Notice, the Servicer shall continue to perform all servicing functions under this Agreement until the date specified in the Servicer Termination Notice or otherwise specified by the Administrative Agent in writing or, if no such date is specified in such Servicer Termination Notice or otherwise specified by the Administrative Agent, until a date mutually agreed upon by the Servicer, the Backup Servicer and the Administrative Agent. The Administrative Agent may, in its discretion, at the time described in the immediately preceding sentence, appoint the Backup Servicer as the Successor Servicer hereunder, and the Backup Servicer shall on such date assume all duties and obligations of the Servicer hereunder, and all authority and power of the Servicer under this Agreement shall pass to and be vested in the Backup Servicer, except to the extent otherwise set forth herein.</w:t>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In the event that the Administrative Agent does not so appoint the Backup Servicer to succeed the Servicer as Servicer hereunder or the Backup Servicer is unable to assume such obligations on such date, the Administrative Agent shall as promptly as possible appoint a successor servicer (the “Successor Servicer”), and such Successor Servicer shall accept its appointment by a written assumption in a form acceptable to the Administrative Agent. In the event that a Successor Servicer has not accepted its appointment at the time when the Servicer ceases to act as Servicer, the Administrative Agent shall petition a court of competent jurisdiction to appoint any established financial institution having a net worth of not less than $[***] and whose regular business includes the servicing of subprime automobile receivables as the Successor Servicer hereunder.</w:t>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Upon the termination and removal of the Servicer, the predecessor Servicer shall cooperate with the Successor Servicer or the Backup Servicer, as applicable, in effecting the termination of the rights and responsibilities of the predecessor Servicer under this Agreement, including the transfer to the Backup Servicer or the Successor Servicer, as applicable, for administration by it of all cash amounts that shall at the time be held by the predecessor Servicer for deposit, or shall thereafter be received, with respect to a Receivable, and the related accounts and records maintained by the Servicer. In the case that the Backup Servicer or any other Successor Servicer shall not agree to perform any duties or obligations of the Servicer hereunder, such duties or obligations may be performed or delegated by the Administrative Agent. The Servicer, if other than UACC, shall as soon as practicable upon demand, deliver to the Borrower all records in its possession which evidence or relate to Indebtedness of an Obligor which is not a Receivable.</w:t>
      </w:r>
    </w:p>
    <w:p>
      <w:pPr>
        <w:pStyle w:val="TextBody"/>
        <w:bidi w:val="0"/>
        <w:jc w:val="left"/>
        <w:rPr/>
      </w:pPr>
      <w:r>
        <w:rPr/>
        <w:t> </w:t>
      </w:r>
    </w:p>
    <w:p>
      <w:pPr>
        <w:pStyle w:val="TextBody"/>
        <w:bidi w:val="0"/>
        <w:spacing w:before="40" w:after="283"/>
        <w:jc w:val="both"/>
        <w:rPr>
          <w:rFonts w:ascii="Times New Roman" w:hAnsi="Times New Roman"/>
          <w:color w:val="1F3763"/>
          <w:sz w:val="24"/>
        </w:rPr>
      </w:pPr>
      <w:r>
        <w:rPr>
          <w:rFonts w:ascii="Times New Roman" w:hAnsi="Times New Roman"/>
          <w:color w:val="1F3763"/>
          <w:sz w:val="24"/>
        </w:rPr>
        <w:t>(d)</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The Administrative Agent shall have the same rights of removal and termination for cause with respect to the Backup Servicer or any other Successor Servicer as with respect to UACC as the Servicer.</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1F3763"/>
          <w:sz w:val="24"/>
        </w:rPr>
      </w:pPr>
      <w:r>
        <w:rPr>
          <w:rFonts w:ascii="Times New Roman" w:hAnsi="Times New Roman"/>
          <w:color w:val="1F3763"/>
          <w:sz w:val="24"/>
        </w:rPr>
        <w:t>(e)</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 xml:space="preserve">All reasonable out-of-pocket costs and expenses (including attorneys’ fees and disbursements) incurred in connection with the transferring of Receivables from the Servicer to the Successor Servicer or the Backup Servicer, as the case may be, converting the Servicer’s data to the computer system of the Successor Servicer or the Backup Servicer, as the case may be, and amending this Agreement to reflect such succession as Servicer pursuant to this Section shall be paid by the predecessor Servicer upon presentation of reasonable transition expenses not exceeding $[***] (the “Transition Expenses”). In no event shall the Backup Servicer, if it becomes the Successor Servicer, be responsible for any Transition Expenses. If the predecessor Servicer fails to pay the Transition Expenses, the Transition Expenses shall be payable pursuant to Section 2.08. </w:t>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Upon its appointment and acceptance, the Backup Servicer (subject to Section 7.15(a)) or the Successor Servicer, as applicable, shall, except as otherwise set forth in this Agreement,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to the Servicer shall be deemed to refer to the Backup Servicer or the Successor Servicer, as applicable; provided, however, that any Successor Servicer (including the Backup Servicer) shall have (i) no liability with respect to any obligation which was required to be performed by the predecessor Servicer prior to the date that the successor becomes the Successor Servicer or any claim based on any alleged action or inaction of the predecessor Servicer, (ii) no obligation to perform any repurchase or advancing obligations, if any, of the Servicer, (iii) no obligation to pay any taxes required to be paid by the Servicer, (iv) no obligation to pay any of the fees and expenses of any other party to this Agreement and (v) no liability or obligation with respect to any Servicer indemnification obligations of any prior Servicer, including UACC. The indemnification obligations of the Backup Servicer, upon becoming a successor Servicer are expressly limited to those instances of gross negligence or willful misconduct of the Backup Servicer in its role as Successor Servicer.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authority and power granted to the Servicer under this Agreement shall automatically cease and terminate upon termination of this Agreement and shall pass to and be vested in the Borrower and the Borrower is hereby authorized and empowered to execute and deliver, on behalf of the Servicer, as attorney-in-fact or otherwise, all documents and other instruments, and to do and accomplish all other acts or things necessary or appropriate to effect the purposes of such transfer of servicing rights. The Servicer agrees to cooperate with the Borrower in effecting the termination of the responsibilities and rights of the Servicer to conduct servicing of the Receivables.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Successor Servicer shall act as Servicer hereunder and shall, subject to the availability of sufficient funds in the Collection Account pursuant to Section 2.08(i) (up to the Servicing Fee), receive as compensation therefor the Servicing Fee pursuant to Section 2.12(b).</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7.16.</w:t>
      </w:r>
      <w:r>
        <w:rPr>
          <w:rFonts w:ascii="Times New Roman" w:hAnsi="Times New Roman"/>
          <w:color w:val="000000"/>
          <w:sz w:val="20"/>
          <w:u w:val="single"/>
        </w:rPr>
        <w:t xml:space="preserve"> </w:t>
      </w:r>
      <w:r>
        <w:rPr>
          <w:rFonts w:ascii="Times New Roman" w:hAnsi="Times New Roman"/>
          <w:b w:val="false"/>
          <w:color w:val="000000"/>
          <w:sz w:val="24"/>
          <w:u w:val="single"/>
        </w:rPr>
        <w:t>Merger or Consolidation, Assumption of Obligations or Resignation of the Servicer</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Any Person (a) into which the Servicer may be merged or consolidated, (b) which may result from any merger or consolidation to which the Servicer may be a party, (c) which may succeed to the properties and assets of the Servicer substantially as a whole or (d) which may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succeed to the duties and obligations of the Servicer under this Agreement following the resignation of the Servicer, which Person executes an agreement of assumption acceptable to the Administrative Agent to perform every obligation of the Servicer hereunder, shall, with the prior written consent of the Administrative Agent (which consent shall not be unreasonably withheld, conditioned or delayed), be the successor to the Servicer under this Agreement without further act on the part of any of the parties to this Agreement; provided, however, that: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written notice of such consolidation, merger, succession or resignation shall be delivered by the Servicer to the Administrative Agent and the Custodian;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immediately after giving effect to such consolidation, merger, succession or resignation, no Servicer Termination Event and no event which after notice or lapse of time, or both, would become a Servicer Termination Event shall have occurred and be continuing;</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Termination Event or Unmatured Termination Event would occur as result of such consolidation, merger, succession or resignation;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 long as UACC is the Servicer, the Servicer shall have delivered to the Administrative Agent, the Backup Servicer and the Custodian (if other than UACC) an Officer’s Certificate and an Opinion of Counsel, each stating that such consolidation, merger, succession or resignation and such agreement of assumption comply with this Section and that all conditions precedent provided for in this Agreement and the other Servicer Basic Documents relating to such transaction have been complied with; and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 long as UACC is the Servicer, the Servicer shall have delivered to the Borrower, the Administrative Agent, the Backup Servicer and the Custodian (if other than UACC) an Opinion of Counsel to the effect that either: (A) in the opinion of such counsel, all financing statements, continuation statements and amendments and notations on Certificates of Title thereto have been executed and filed that are necessary to preserve and protect the interest of the Borrower, the Secured Parties and the Custodian in the Receivables and reciting the details of such filings or (B) no such action shall be necessary to preserve and protect such interest.</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7.17.</w:t>
      </w:r>
      <w:r>
        <w:rPr>
          <w:rFonts w:ascii="Times New Roman" w:hAnsi="Times New Roman"/>
          <w:color w:val="000000"/>
          <w:sz w:val="20"/>
          <w:u w:val="single"/>
        </w:rPr>
        <w:t xml:space="preserve"> </w:t>
      </w:r>
      <w:r>
        <w:rPr>
          <w:rFonts w:ascii="Times New Roman" w:hAnsi="Times New Roman"/>
          <w:b w:val="false"/>
          <w:color w:val="000000"/>
          <w:sz w:val="24"/>
          <w:u w:val="single"/>
        </w:rPr>
        <w:t>Responsibilities of the Borrower</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Anything herein to the contrary notwithstanding, the Borrower shall (i) perform or cause the Servicer to perform all of its obligations under the Receivables to the same extent as if a security interest in such Receivables had not been granted hereunder, and the exercise by the Administrative Agent of its rights hereunder shall not relieve the Borrower from such obligations and (ii) pay when due, from funds available to the Borrower under Section 2.08(ix), any Taxes, including any sales taxes payable in connection with the Receivables and their creation and satisfaction. Neither the Administrative Agent nor any Secured Party shall have any obligation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liability with respect to any Receivable, nor shall any of them be obligated to perform any of the obligations of the Borrower thereunder.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7.18.</w:t>
      </w:r>
      <w:r>
        <w:rPr>
          <w:rFonts w:ascii="Times New Roman" w:hAnsi="Times New Roman"/>
          <w:color w:val="000000"/>
          <w:sz w:val="20"/>
          <w:u w:val="single"/>
        </w:rPr>
        <w:t xml:space="preserve"> </w:t>
      </w:r>
      <w:r>
        <w:rPr>
          <w:rFonts w:ascii="Times New Roman" w:hAnsi="Times New Roman"/>
          <w:b w:val="false"/>
          <w:color w:val="000000"/>
          <w:sz w:val="24"/>
          <w:u w:val="single"/>
        </w:rPr>
        <w:t>Custody of Receivable Files.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assure uniform quality in servicing the Receivables and to reduce administrative costs, the Administrative Agent, on behalf of the Secured Parties, hereby revocably appoints UACC as its agent, and UACC hereby accepts such appointment, to act as Custodian, on behalf of the Secured Parties, of the Receivables and the Receivable Files. The Custodian shall hold and maintain physical possession of all Tangible Contracts and other items of Receivable Files (other than Electronic Contracts) delivered to the Custodian and “control” (within the meaning of Section 9-105 of the UCC) of all Electronic Contracts relating to the Receivables included in the Collateral pursuant to this Agreement or the Basic Documents for the benefit of the Administrative Agent and the Secured Parties under the terms of this Agreement, as agent for the Administrative Agent for purposes of perfecting and maintaining the priority of the Administrative Agent’s security interest in the Receivables. Except for actions expressly authorized by this Agreement, the Custodian shall take no action which would or would be likely to impair the security interests of any Person created or existing in, to or under any Receivable or Financed Vehicle or to impair the value of any Receivable or Financed Vehicle. The Custodian hereby agrees not to assert (in its individual capacity or otherwise) any Liens or claims of any kind with respect to the Receivable Files held or controlled by it or the related Receivables or any other Collateral and hereby releases and waives any such Liens and claims.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Closing Date, the Custodian shall deliver an Officer’s Certificate to the Administrative Agent, on behalf of the Secured Parties, confirming that it has received, on behalf of the Secured Parties, all the documents and instruments necessary for it to act as the agent of the Secured Parties for the purposes set forth in this Section, including the documents referred to herein, and the Secured Parties are hereby authorized to rely on such Officer’s Certificate.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7.19. </w:t>
      </w:r>
      <w:r>
        <w:rPr>
          <w:rFonts w:ascii="Times New Roman" w:hAnsi="Times New Roman"/>
          <w:b w:val="false"/>
          <w:color w:val="000000"/>
          <w:sz w:val="24"/>
          <w:u w:val="single"/>
        </w:rPr>
        <w:t>Duties of Custodian</w:t>
      </w:r>
      <w:r>
        <w:rPr>
          <w:rFonts w:ascii="Times New Roman" w:hAnsi="Times New Roman"/>
          <w:color w:val="000000"/>
          <w:sz w:val="20"/>
        </w:rPr>
        <w:t xml:space="preserve"> </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(a)</w:t>
      </w:r>
    </w:p>
    <w:p>
      <w:pPr>
        <w:pStyle w:val="TextBody"/>
        <w:bidi w:val="0"/>
        <w:jc w:val="both"/>
        <w:rPr/>
      </w:pPr>
      <w:r>
        <w:rPr>
          <w:rFonts w:ascii="Times New Roman" w:hAnsi="Times New Roman"/>
          <w:color w:val="000000"/>
          <w:sz w:val="24"/>
          <w:u w:val="single"/>
        </w:rPr>
        <w:t>Safekeeping</w:t>
      </w:r>
      <w:r>
        <w:rPr>
          <w:rFonts w:ascii="Times New Roman" w:hAnsi="Times New Roman"/>
          <w:color w:val="000000"/>
          <w:sz w:val="24"/>
        </w:rPr>
        <w:t xml:space="preserve">. UACC, in its capacity as Custodian, shall hold the Receivable Files for the benefit of the Secured Parties and maintain such accurate and complete accounts, records and computer systems pertaining to each Receivable File as shall enable the Servicer and the Borrower to comply with this Agreement; provided, however that UACC may convert a Tangible Contract into a Paper-In Contract so long as such Paper-In Contract is immediately transferred from the Originator Vault Partition to the Warehouse Vault Partition pursuant to the E-Vault System and such transfer has been accepted by the Custodian and confirmed by the Originator within the E-Vault System. In performing its duties, the Custodian shall act with reasonable care, using that degree of skill and attention that it exercises with respect to the files of comparable motor vehicle installment sale contracts and installment loans that it holds for itself or others. The Custodian shall conduct, or cause to be conducted, in accordance with its customary practices and procedures, periodic examinations of the files of all receivables owned or serviced by it which shall include the Receivable Files held by it under this Agreement, and of the related accounts, records and computer systems, in such a manner as shall enable the Administrative Agent or its representatives to verify the accuracy of the Servicer’s record keeping. The Custodian shall promptly report to the Administrative Agent any failure on its part to hold the Receivable Files </w:t>
      </w:r>
    </w:p>
    <w:p>
      <w:pPr>
        <w:pStyle w:val="TextBody"/>
        <w:bidi w:val="0"/>
        <w:jc w:val="center"/>
        <w:rPr>
          <w:rFonts w:ascii="Times New Roman" w:hAnsi="Times New Roman"/>
          <w:color w:val="000000"/>
          <w:sz w:val="24"/>
        </w:rPr>
      </w:pPr>
      <w:r>
        <w:rPr>
          <w:rFonts w:ascii="Times New Roman" w:hAnsi="Times New Roman"/>
          <w:color w:val="000000"/>
          <w:sz w:val="24"/>
        </w:rPr>
        <w:t>114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and to maintain its accounts, records and computer systems as herein provided and promptly take appropriate action to remedy any such failure. Nothing herein shall be deemed to require an initial review or any periodic review of the Receivable Files by any Secured Party, and no Secured Party shall be liable or responsible for any action or failure to act by the Custodian hereunder.</w:t>
      </w:r>
    </w:p>
    <w:p>
      <w:pPr>
        <w:pStyle w:val="TextBody"/>
        <w:bidi w:val="0"/>
        <w:jc w:val="both"/>
        <w:rPr/>
      </w:pPr>
      <w:r>
        <w:rPr/>
        <w:t> </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(b)</w:t>
      </w:r>
    </w:p>
    <w:p>
      <w:pPr>
        <w:pStyle w:val="TextBody"/>
        <w:bidi w:val="0"/>
        <w:jc w:val="both"/>
        <w:rPr/>
      </w:pPr>
      <w:r>
        <w:rPr>
          <w:rFonts w:ascii="Times New Roman" w:hAnsi="Times New Roman"/>
          <w:color w:val="000000"/>
          <w:sz w:val="24"/>
          <w:u w:val="single"/>
        </w:rPr>
        <w:t>Maintenance of and Access to Records</w:t>
      </w:r>
      <w:r>
        <w:rPr>
          <w:rFonts w:ascii="Times New Roman" w:hAnsi="Times New Roman"/>
          <w:color w:val="000000"/>
          <w:sz w:val="24"/>
        </w:rPr>
        <w:t>. The Custodian shall maintain each Receivable File at one of the locations specified in Schedule D or at such other location as shall be specified to the Administrative Agent by 30 days’ prior written notice. The Custodian may temporarily move individual Receivable Files or any portion thereof without notice as necessary to conduct collection and other servicing activities in accordance with its customary practices and procedures. The Custodian shall once per calendar year (commencing with the fourth quarter in 2019) make available to the Secured Parties or their duly authorized representatives, attorneys or auditors a list of locations of the Receivable Files, the Receivable Files and the related accounts, records and computer systems maintained by the Custodian at such times during normal business hours as any Secured Party shall reasonably request; provided, that if a Termination Event or Unmatured Termination Event shall have occurred and is continuing, the Custodian shall make such information available at any time as requested by any Secured Party.</w:t>
      </w:r>
    </w:p>
    <w:p>
      <w:pPr>
        <w:pStyle w:val="TextBody"/>
        <w:bidi w:val="0"/>
        <w:jc w:val="both"/>
        <w:rPr/>
      </w:pPr>
      <w:r>
        <w:rPr/>
        <w:t> </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(c)</w:t>
      </w:r>
    </w:p>
    <w:p>
      <w:pPr>
        <w:pStyle w:val="TextBody"/>
        <w:bidi w:val="0"/>
        <w:jc w:val="both"/>
        <w:rPr/>
      </w:pPr>
      <w:r>
        <w:rPr>
          <w:rFonts w:ascii="Times New Roman" w:hAnsi="Times New Roman"/>
          <w:color w:val="000000"/>
          <w:sz w:val="24"/>
          <w:u w:val="single"/>
        </w:rPr>
        <w:t>Maintenance of Electronic Contracts</w:t>
      </w:r>
      <w:r>
        <w:rPr>
          <w:rFonts w:ascii="Times New Roman" w:hAnsi="Times New Roman"/>
          <w:color w:val="000000"/>
          <w:sz w:val="24"/>
        </w:rPr>
        <w:t>. The parties agree that an Electronic Contract shall be “communicated” to the Custodian upon the transfer of the Authoritative Copy of such Electronic Contract from the Originator Vault Partition to the Warehouse Vault Partition, acceptance by the Custodian of such Authoritative Copy into the Warehouse Vault Partition and confirmation of such transfer by the Originator, and the Custodian shall thereafter maintain such Electronic Contract in the Warehouse Vault Partition on behalf of the Administrative Agent for the purpose of establishing control within the meaning of Section 9-105(3) of the UCC over the Contracts which are Electronic Contracts pursuant to the terms of this Agreement. Pursuant to the Electronic Collateral Control Agreement, watermarks and legends shall be applied to the Electronic Contracts by the E-Vault Provider upon transfer to the Warehouse Vault Partition, such that (i) a watermark on any perceivable rendering of the Authoritative Copy thereof shall read “Copy of Original,” (ii) a watermark on any copy of such Electronic Contract that is not a copy of the Authoritative Copy thereof shall read “Retention Copy”, “Review Copy” or “Copy Retention of Copy Original,” and (iii) the Required Legend is placed on each perceivable rendering thereof. The Custodian shall maintain each Electronic Contract constituting or evidencing a Receivable in the Warehouse Vault Partition to reflect the name of the Borrower. The Custodian shall not Transfer or Export any Electronic Contract that constitutes or evidences a Receivable except in accordance with the terms hereof and the Electronic Collateral Control Agreement and shall not destroy any Electronic Contract that constitutes or evidences a Receivable.</w:t>
      </w:r>
    </w:p>
    <w:p>
      <w:pPr>
        <w:pStyle w:val="TextBody"/>
        <w:bidi w:val="0"/>
        <w:jc w:val="both"/>
        <w:rPr/>
      </w:pPr>
      <w:r>
        <w:rPr/>
        <w:t> </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(d)</w:t>
      </w:r>
    </w:p>
    <w:p>
      <w:pPr>
        <w:pStyle w:val="TextBody"/>
        <w:bidi w:val="0"/>
        <w:jc w:val="both"/>
        <w:rPr/>
      </w:pPr>
      <w:r>
        <w:rPr>
          <w:rFonts w:ascii="Times New Roman" w:hAnsi="Times New Roman"/>
          <w:color w:val="000000"/>
          <w:sz w:val="24"/>
          <w:u w:val="single"/>
        </w:rPr>
        <w:t>Maintenance of Possession and Control of Contracts</w:t>
      </w:r>
      <w:r>
        <w:rPr>
          <w:rFonts w:ascii="Times New Roman" w:hAnsi="Times New Roman"/>
          <w:color w:val="000000"/>
          <w:sz w:val="24"/>
        </w:rPr>
        <w:t>. The Custodian shall carry out such policies and procedures in accordance with its customary actions with respect to the handling, custody and “control” (within the meaning of Section 9-105 of the UCC) of the Contracts so that the integrity and, in the case of the Tangible Contracts, physical possession of such Tangible Contracts, will be maintained. The Custodian shall maintain the Tangible Contracts segregated on its inventory system and shall not commingle the Tangible Contracts with any other files of any other customer of the Custodian.</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(e)</w:t>
      </w:r>
    </w:p>
    <w:p>
      <w:pPr>
        <w:pStyle w:val="TextBody"/>
        <w:bidi w:val="0"/>
        <w:jc w:val="both"/>
        <w:rPr/>
      </w:pPr>
      <w:r>
        <w:rPr>
          <w:rFonts w:ascii="Times New Roman" w:hAnsi="Times New Roman"/>
          <w:color w:val="000000"/>
          <w:sz w:val="24"/>
          <w:u w:val="single"/>
        </w:rPr>
        <w:t>Standard of Care; Indemnification for Losses</w:t>
      </w:r>
      <w:r>
        <w:rPr>
          <w:rFonts w:ascii="Times New Roman" w:hAnsi="Times New Roman"/>
          <w:color w:val="000000"/>
          <w:sz w:val="24"/>
        </w:rPr>
        <w:t>. Each Receivable shall be identified on the books and records of the Custodian in a manner that (i) is consistent with the practices of a comparable custodian with respect to similar receivables, and (ii) indicates that the Receivables that are the subject of such records are owned by the Borrower and pledged to the Administrative Agent for the benefit of the Secured Parties. The Custodian hereby waives any and all rights of offset with respect to any and all Contracts in the Custodian’s possession or “control” (within the meaning of Section 9-105 of the UCC), whether such right of offset arises by contract, operation of law or otherwise. The Custodian shall hold the Receivable Files (other than Contracts which are Electronic Contracts) in its secure and fire resistant facilities under its exclusive custody and control in accordance with customary standards for such custody. If any of the Secured Parties suffers or incurs costs, expenses, losses or damages as a result of the destruction or loss of any of the Receivable Files while in the possession of the Custodian, the Custodian shall, (i) at the request of the Administrative Agent, make any appropriate claim under any bond or insurance, and (ii) to the extent of such Secured Party’s costs, expenses, losses or damages, promptly pay the proceeds thereof to such Secured Party unless the Custodian has replaced the lost or destroyed items or has otherwise reimbursed such Secured Party for such losses or damages. The Custodian shall indemnify the Administrative Agent and its officers, directors, employees and agents from and against, any and all loss, liability or expense incurred (including the reasonable fees and expenses of counsel) as a result of the gross negligence, bad faith, or willful misconduct of the Custodian in the performance of its duties hereunder; provided, however, that the Custodian shall not be liable for any portion of any such loss, liability or expense due to the willful misfeasance, bad faith or gross negligence of the Administrative Agent or its officers, directors, employees or agents.</w:t>
      </w:r>
    </w:p>
    <w:p>
      <w:pPr>
        <w:pStyle w:val="TextBody"/>
        <w:bidi w:val="0"/>
        <w:jc w:val="both"/>
        <w:rPr/>
      </w:pPr>
      <w:r>
        <w:rPr/>
        <w:t> </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(f)</w:t>
      </w:r>
    </w:p>
    <w:p>
      <w:pPr>
        <w:pStyle w:val="TextBody"/>
        <w:bidi w:val="0"/>
        <w:jc w:val="both"/>
        <w:rPr/>
      </w:pPr>
      <w:r>
        <w:rPr>
          <w:rFonts w:ascii="Times New Roman" w:hAnsi="Times New Roman"/>
          <w:color w:val="000000"/>
          <w:sz w:val="24"/>
          <w:u w:val="single"/>
        </w:rPr>
        <w:t>Release of Documents</w:t>
      </w:r>
      <w:r>
        <w:rPr>
          <w:rFonts w:ascii="Times New Roman" w:hAnsi="Times New Roman"/>
          <w:color w:val="000000"/>
          <w:sz w:val="24"/>
        </w:rPr>
        <w:t>. As soon as practicable after receiving written instructions from the Administrative Agent, the Custodian shall release any document in the Receivable Files to the Administrative Agent or its agent or designee, as the case may be, at such place or places as the Administrative Agent may reasonably designate. The Custodian shall not be responsible for any loss occasioned by the failure of the Administrative Agent to return any document or any delay in so doing.</w:t>
      </w:r>
    </w:p>
    <w:p>
      <w:pPr>
        <w:pStyle w:val="TextBody"/>
        <w:bidi w:val="0"/>
        <w:jc w:val="both"/>
        <w:rPr/>
      </w:pPr>
      <w:r>
        <w:rPr/>
        <w:t> </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(g)</w:t>
      </w:r>
    </w:p>
    <w:p>
      <w:pPr>
        <w:pStyle w:val="TextBody"/>
        <w:bidi w:val="0"/>
        <w:jc w:val="both"/>
        <w:rPr/>
      </w:pPr>
      <w:r>
        <w:rPr>
          <w:rFonts w:ascii="Times New Roman" w:hAnsi="Times New Roman"/>
          <w:color w:val="000000"/>
          <w:sz w:val="24"/>
          <w:u w:val="single"/>
        </w:rPr>
        <w:t>Title to Receivables</w:t>
      </w:r>
      <w:r>
        <w:rPr>
          <w:rFonts w:ascii="Times New Roman" w:hAnsi="Times New Roman"/>
          <w:color w:val="000000"/>
          <w:sz w:val="24"/>
        </w:rPr>
        <w:t>. The Custodian shall not at any time have, or in any way attempt to assert, any interest in any Receivable held by it as Custodian hereunder or in the related Receivable File, other than for collecting or enforcing such Receivable for the benefit of the Administrative Agent on behalf of the Secured Parties. The entire equitable interest in each Receivable and the related Receivable File shall at all times be vested in the Administrative Agent on behalf of the Secured Parties.</w:t>
      </w:r>
    </w:p>
    <w:p>
      <w:pPr>
        <w:pStyle w:val="TextBody"/>
        <w:bidi w:val="0"/>
        <w:jc w:val="both"/>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pPr>
      <w:r>
        <w:rPr>
          <w:rFonts w:ascii="Times New Roman" w:hAnsi="Times New Roman"/>
          <w:color w:val="000000"/>
          <w:sz w:val="24"/>
          <w:u w:val="single"/>
        </w:rPr>
        <w:t>Instructions; Authority to Act</w:t>
      </w:r>
      <w:r>
        <w:rPr>
          <w:rFonts w:ascii="Times New Roman" w:hAnsi="Times New Roman"/>
          <w:color w:val="000000"/>
          <w:sz w:val="24"/>
        </w:rPr>
        <w:t>. The Custodian shall be deemed to have received proper instructions with respect to the Receivable Files upon its receipt of written instructions signed by a Responsible Officer of the Administrative Agent.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pPr>
      <w:r>
        <w:rPr>
          <w:rFonts w:ascii="Times New Roman" w:hAnsi="Times New Roman"/>
          <w:color w:val="000000"/>
          <w:sz w:val="24"/>
          <w:u w:val="single"/>
        </w:rPr>
        <w:t>Indemnification by Custodian</w:t>
      </w:r>
      <w:r>
        <w:rPr>
          <w:rFonts w:ascii="Times New Roman" w:hAnsi="Times New Roman"/>
          <w:color w:val="000000"/>
          <w:sz w:val="24"/>
        </w:rPr>
        <w:t xml:space="preserve">. UACC, in its capacity as Custodian of the Receivable Files, shall indemnify and hold harmless the Secured Parties and each of their respective officers, directors, employees and agents from and against any and all loss, liability or expense that may be imposed on, incurred or asserted against the Secured Parties and each of their respective officers, directors, employees and agents as the result of any improper act or omission in any way relating to the maintenance and custody of the Receivable Files by the Custodian; </w:t>
      </w:r>
    </w:p>
    <w:p>
      <w:pPr>
        <w:pStyle w:val="TextBody"/>
        <w:bidi w:val="0"/>
        <w:jc w:val="center"/>
        <w:rPr>
          <w:rFonts w:ascii="Times New Roman" w:hAnsi="Times New Roman"/>
          <w:color w:val="000000"/>
          <w:sz w:val="24"/>
        </w:rPr>
      </w:pPr>
      <w:r>
        <w:rPr>
          <w:rFonts w:ascii="Times New Roman" w:hAnsi="Times New Roman"/>
          <w:color w:val="000000"/>
          <w:sz w:val="24"/>
        </w:rPr>
        <w:t>116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however, that the Custodian shall not be liable for any portion of any such loss, liability or expense resulting from the willful misfeasance, bad faith or negligence of any Secured Party.</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(j)</w:t>
      </w:r>
    </w:p>
    <w:p>
      <w:pPr>
        <w:pStyle w:val="TextBody"/>
        <w:bidi w:val="0"/>
        <w:spacing w:before="0" w:after="240"/>
        <w:jc w:val="both"/>
        <w:rPr/>
      </w:pPr>
      <w:r>
        <w:rPr>
          <w:rFonts w:ascii="Times New Roman" w:hAnsi="Times New Roman"/>
          <w:color w:val="000000"/>
          <w:sz w:val="24"/>
          <w:u w:val="single"/>
        </w:rPr>
        <w:t>Effective Period and Termination</w:t>
      </w:r>
      <w:r>
        <w:rPr>
          <w:rFonts w:ascii="Times New Roman" w:hAnsi="Times New Roman"/>
          <w:color w:val="000000"/>
          <w:sz w:val="24"/>
        </w:rPr>
        <w:t>. UACC’s appointment as Custodian shall become effective as of the Closing Date and shall continue in full force and effect until the occurrence of a Custodian Termination Event. If a Custodian Termination Event occurs, the appointment of the Custodian hereunder may be terminated by the Administrative Agent. As soon as practicable after any such Custodian Termination Event, the Administrative Agent shall appoint [***] or another entity selected by the Administrative Agent as Custodian and the Custodian shall (i) at its sole cost and expense, deliver, or cause to be delivered, possession and/or “control” (within the meaning of Section 9-105 of the UCC) of the Receivable Files and the related accounts and records maintained by the Custodian to the successor Custodian, or its agent or designee, as the case may be, at such place as the successor Custodian may reasonably designate and (ii) otherwise cooperate with the successor Custodian in effecting the termination of the rights and responsibilities of the predecessor Custodian under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7.20. </w:t>
      </w:r>
      <w:r>
        <w:rPr>
          <w:rFonts w:ascii="Times New Roman" w:hAnsi="Times New Roman"/>
          <w:b w:val="false"/>
          <w:color w:val="000000"/>
          <w:sz w:val="24"/>
          <w:u w:val="single"/>
        </w:rPr>
        <w:t>Certain Duties for Electronic Contracts</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The Custodian shall notify the Administrative Agent and the Borrower in writing as soon as reasonably practicable and in any event within two (2) Business Days after any Responsible Officer of the Custodian receives notice or obtains actual knowledge of: (i) the intent or threat (expressed in writing) of the E-Vault Provider to terminate, or the termination of, an E-Vault Access Agreement, (ii) receipt of written notice from the E-Vault Provider of any actual or suspected theft of, accidental disclosure of, loss of, or inability to account for, any nonpublic or confidential information (including, but not limited to, the access codes of the Custodian) of the Custodian which is maintained in the Warehouse Vault Partition or the Originator Vault Partition and/or any unauthorized intrusions into the E-Vault Provider’s or any of its subcontractor’s facilities or secure systems on or in which any nonpublic or confidential information of the Custodian is maintained, (iii) receipt of written notification from the E-Vault Provider of any changes to the System Description, (iv) any Integrity Check failure with respect to or any other attempted unauthorized access to an Electronic Contract which constitutes or evidences a Receivable, (v) any claim in writing of any Person (other than the Administrative Agent) of an interest in an Electronic Contract which constitutes or evidences a Receivable, and (vi) the receipt of written notice of the commencement or the threat in writing of any actions, suits, investigations or proceedings against the E-Vault Provider or the Custodian or otherwise expressly relating to or affecting the Warehouse Vault Partition or the Originator Vault Partition or any Electronic Contract which constitutes or evidences a Receivable, in any court, or before any arbitrator of any kind, or before or by any Governmental Authority.</w:t>
      </w:r>
    </w:p>
    <w:p>
      <w:pPr>
        <w:pStyle w:val="TextBody"/>
        <w:bidi w:val="0"/>
        <w:jc w:val="both"/>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In the event that the Custodian ceases to have access to the E-Vault System, the Warehouse Vault Partition or any of the Electronic Contracts maintained therein (other than during routine maintenance or upgrades by the E-Vault Provider) for a period of more than one (1) Business Day, the Custodian shall promptly notify the Administrative Agent and the Borrower of such event if such event prevents the Custodian from performing its duties hereunder and use commercially reasonable efforts to reestablish access, including contacting the E-Vault Provider for trouble-shooting.</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The Custodian shall appoint only its own personnel (or personnel of its subcontractors) as “Command Center Workspace Users” in respect of the Warehouse Vault Partition and the Electronic Contracts contained therein and shall not otherwise permit any Person to have access to thereto (other than (x) in connection with audits under clause (d) of this Section 7.20 or similar audits provided for under agreements with other parties to an Electronic Collateral Control Agreement and (y) from and after the delivery of a Notice of Exclusive Control under (and as defined in) an Electronic Collateral Control Agreement, the Administrative Agent and any Person appointed by the Administrative Agent as a “Command Center Workspace User”). Except as contemplated in an Electronic Collateral Control Agreement or herein, the Custodian shall not provide any other Person (including any lender having an interest in Electronic Contracts maintained by it as custodian) any right to control the actions of the Custodian with respect to the Electronic Contracts maintained in the Warehouse Vault Partition or permit any Person to direct the Custodian (in any capacity) to take or refrain from taking any action in respect to the Electronic Contracts which constitute or evidence any Receivables. The parties hereto acknowledge that the Custodian has no liability under an E-Vault Access Agreement and has only the duties and obligations of the Custodian specified hereunder or expressly set forth in the Electronic Collateral Control Agreement.</w:t>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40" w:after="283"/>
        <w:jc w:val="both"/>
        <w:rPr/>
      </w:pPr>
      <w:r>
        <w:rPr>
          <w:rFonts w:ascii="Times New Roman" w:hAnsi="Times New Roman"/>
          <w:color w:val="000000"/>
          <w:sz w:val="24"/>
        </w:rPr>
        <w:t xml:space="preserve">At any time and from time to time during regular business hours and upon at least two (2) Business Days’ prior written notice, the Custodian shall permit the Administrative Agent and its agents or representatives: (i) to conduct periodic reviews of the Electronic Contracts which constitute or evidence Receivables and the related Records of the Custodian, which shall consist of setting all such Electronic Contracts to “audit” status and providing the Administrative Agent and agents or representatives with credentials to view such Electronic Contracts; (ii) to examine and obtain copies of and prepare summaries and reports relating to the Records in its possession or control relating to the Electronic Contracts which constitute or evidence Receivables; (iii) to visit the offices and properties of the Custodian for the purpose of examining the materials described in clause (ii) above; and (iv) to discuss matters relating to the Electronic Contracts which constitute or evidence Receivables or the Custodian’s performance hereunder with any of the officers or employees of the Custodian having knowledge of such matters; </w:t>
      </w:r>
      <w:r>
        <w:rPr>
          <w:rFonts w:ascii="Times New Roman" w:hAnsi="Times New Roman"/>
          <w:i/>
          <w:color w:val="000000"/>
          <w:sz w:val="24"/>
        </w:rPr>
        <w:t>provided</w:t>
      </w:r>
      <w:r>
        <w:rPr>
          <w:rFonts w:ascii="Times New Roman" w:hAnsi="Times New Roman"/>
          <w:color w:val="000000"/>
          <w:sz w:val="24"/>
        </w:rPr>
        <w:t>, that if no Termination Event and no breach of the Custodian’s obligations hereunder shall have occurred and be continuing, the Administrative Agent and its agents or representatives shall only be entitled to conduct two (2) such reviews of the Custodian during any calendar year. The cost of any such examination shall be reimbursed by the Borrower in accordance with Section 2.08 of this Agreement.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Upon (w) the occurrence of a Termination Event or a Servicer Termination Event, (x) a breach by the Custodian of its obligations hereunder or a breach by any Person of its obligations under the E-Vault Access Agreement or the Electronic Collateral Control Agreement, (y) the termination of the E-Vault Access Agreement or the Electronic Collateral Control Agreement or the delivery of any notice of termination thereunder or (z) a determination by the Administrative Agent, in its reasonable discretion, that the functionality, security, integrity or reliability of the E-Vault System, the Originator Vault Partition or the Warehouse Vault Partition is impaired or the Receivables are otherwise adversely affected by any event (including any change in configuration, technology or law) or circumstance with respect to the E-Vault Provider, the Custodian, the E-Vault System, the Warehouse Vault Partition, the Originator Vault Partition, the Electronic Collateral Control Agreement or Electronic Contracts generally, including, without limitation, adverse claims being asserted therein by the E-Vault Provider or other lenders, (a) the Custodian shall, notwithstanding any contrary instruction received from the Borrower, promptly take such action with respect to the Electronic Contracts which constitute or evidence the Receivables and with respect to the Warehouse Vault Partition, as the Administrative Agent may direct in writing, including Exporting the Electronic Contracts maintained within the E-Vault System which constitute or evidence the Receivables and (b) the Administrative Agent, as “Secured Party” under the Electronic Collateral Control Agreement in respect of the Warehouse Vault Partition, may deliver a Notice of Exclusive Control under (and as defined in) an Electronic Collateral Control Agreement.</w:t>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In connection with the exercise of any foreclosure or similar rights and remedies by the Administrative Agent in respect of the Electronic Contracts which constitute or evidence Receivables, the Custodian shall, as directed by the Administrative Agent in writing, (i) direct the E-Vault Provider to update the Required Legend to read as directed in writing by the Administrative Agent and (ii) otherwise take such reasonable action in respect thereof as the Administrative Agent shall reasonably request.</w:t>
      </w:r>
    </w:p>
    <w:p>
      <w:pPr>
        <w:pStyle w:val="TextBody"/>
        <w:bidi w:val="0"/>
        <w:jc w:val="left"/>
        <w:rPr/>
      </w:pPr>
      <w:r>
        <w:rPr/>
        <w:t> </w:t>
      </w:r>
    </w:p>
    <w:p>
      <w:pPr>
        <w:pStyle w:val="Heading1"/>
        <w:bidi w:val="0"/>
        <w:spacing w:before="0" w:after="240"/>
        <w:jc w:val="center"/>
        <w:rPr>
          <w:rFonts w:ascii="Times New Roman" w:hAnsi="Times New Roman"/>
          <w:sz w:val="20"/>
        </w:rPr>
      </w:pPr>
      <w:r>
        <w:rPr>
          <w:rFonts w:ascii="Times New Roman" w:hAnsi="Times New Roman"/>
          <w:color w:val="000000"/>
          <w:sz w:val="24"/>
        </w:rPr>
        <w:t xml:space="preserve">ARTICLE EIGHT </w:t>
        <w:br/>
        <w:br/>
      </w:r>
      <w:r>
        <w:rPr>
          <w:rFonts w:ascii="Times New Roman" w:hAnsi="Times New Roman"/>
          <w:b w:val="false"/>
          <w:color w:val="000000"/>
          <w:sz w:val="24"/>
        </w:rPr>
        <w:t>THE BACKUP SERVICER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8.01. </w:t>
      </w:r>
      <w:r>
        <w:rPr>
          <w:rFonts w:ascii="Times New Roman" w:hAnsi="Times New Roman"/>
          <w:b w:val="false"/>
          <w:color w:val="000000"/>
          <w:sz w:val="24"/>
          <w:u w:val="single"/>
        </w:rPr>
        <w:t>Designation of the Backup Servicer</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Upon the occurrence of a Servicer Termination Event, the Administrative Agent may designate the Backup Servicer to act as Servicer for the benefit of the Administrative Agent and the Secured Parties. The Backup Servicer shall accept such appointment and agree to perform the duties and obligations with respect thereto set forth herein.</w:t>
      </w:r>
    </w:p>
    <w:p>
      <w:pPr>
        <w:pStyle w:val="TextBody"/>
        <w:bidi w:val="0"/>
        <w:jc w:val="both"/>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Until the receipt by the Backup Servicer of a notice from the Administrative Agent of the designation of a new Backup Servicer pursuant to Section 8.04, the Backup Servicer will not terminate its activities as Backup Servicer hereunder.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8.02. </w:t>
      </w:r>
      <w:r>
        <w:rPr>
          <w:rFonts w:ascii="Times New Roman" w:hAnsi="Times New Roman"/>
          <w:b w:val="false"/>
          <w:color w:val="000000"/>
          <w:sz w:val="24"/>
          <w:u w:val="single"/>
        </w:rPr>
        <w:t>Duties of the Backup Servicer</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From the Closing Date until the earlier of (i) its removal pursuant to Section 8.04, (ii) its resignation pursuant to Section 8.05, or (iii) the Facility Termination Date, the Backup Servicer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shall perform, on behalf of the Secured Parties, the duties and obligations set forth in Sections 7.10 and 7.11.</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8.03. </w:t>
      </w:r>
      <w:r>
        <w:rPr>
          <w:rFonts w:ascii="Times New Roman" w:hAnsi="Times New Roman"/>
          <w:b w:val="false"/>
          <w:color w:val="000000"/>
          <w:sz w:val="24"/>
          <w:u w:val="single"/>
        </w:rPr>
        <w:t>Backup Servicing Compensation</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As compensation for its backup servicing activities hereunder, the Backup Servicer shall be entitled to receive a monthly fee up to an amount equal to the Backup Servicing Fee in accordance with the priorities set forth in Section 2.08 or, at the option of UACC, the Backup Servicing Fee may be paid directly to the Backup Servicer by UACC. The Backup Servicer’s entitlement to receive such fee shall cease on the earliest to occur of (i) it becoming the Successor Servicer, (ii) its removal as Backup Servicer pursuant to Section 8.04, (iii) its resignation as Backup Servicer pursuant to Section 8.05 or (iv) the termination of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8.04. </w:t>
      </w:r>
      <w:r>
        <w:rPr>
          <w:rFonts w:ascii="Times New Roman" w:hAnsi="Times New Roman"/>
          <w:b w:val="false"/>
          <w:color w:val="000000"/>
          <w:sz w:val="24"/>
          <w:u w:val="single"/>
        </w:rPr>
        <w:t xml:space="preserve">Backup Servicer Removal </w:t>
      </w:r>
      <w:r>
        <w:rPr>
          <w:rFonts w:ascii="Times New Roman" w:hAnsi="Times New Roman"/>
          <w:b w:val="false"/>
          <w:color w:val="000000"/>
          <w:sz w:val="24"/>
        </w:rPr>
        <w:t>The Backup Servicer may be removed upon 30 days’ prior written notice in connection with a breach by the Backup Servicer of any representation, warranty or covenant of the Backup Servicer under this Agreement, or otherwise in the discretion of the Administrative Agent and, so long as no Termination Event or Servicer Termination Event has occurred, the Borrower, by notice given in writing and delivered to the Backup Servicer from the Administrative Agent or, so long as no Termination Event or Servicer Termination Event has occurred, the Borrower (the “Backup Servicer Termination Notice”). On and after the receipt by the Backup Servicer of the Backup Servicer Termination Notice, the Backup Servicer shall continue to perform all backup servicing functions under this Agreement until the date specified in the Backup Servicer Termination Notice or otherwise specified by the Administrative Agent in writing or, if no such date is specified in the Backup Servicer Termination Notice or otherwise specified by the Administrative Agent, until a date mutually agreed upon by the Backup Servicer and the Administrative Agent. If a successor Backup Servicer does not take office within 30 days after the Backup Servicer is removed, the Backup Servicer may petition any court of competent jurisdiction for the appointment of a successor Backup Servicer, with all fees, costs and expenses (including any attorneys’ fees and expenses) of such petition to be paid by the Borrower.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8.05. </w:t>
      </w:r>
      <w:r>
        <w:rPr>
          <w:rFonts w:ascii="Times New Roman" w:hAnsi="Times New Roman"/>
          <w:b w:val="false"/>
          <w:color w:val="000000"/>
          <w:sz w:val="24"/>
          <w:u w:val="single"/>
        </w:rPr>
        <w:t>Backup Servicer Not to Resign</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The Backup Servicer shall resign only with the prior written consent of the Administrative Agent and the Required Lenders and, so long as no Termination Event or Servicer Termination Event has occurred, the Borrower or if the Backup Servicer provides an Opinion of Counsel to the Administrative Agent to the effect that the Backup Servicer is no longer permitted by Applicable Law to act as Backup Servicer hereunder. No termination or resignation of the Backup Servicer hereunder shall be effective until a successor Backup Servicer, acceptable to the Administrative Agent and, so long as no Termination Event or Servicer Termination Event has occurred, the Borrower, has accepted its appointment as successor Backup Servicer hereunder and has agreed to be bound by the terms of this Agreement. If a successor Backup Servicer does not take office within 30 days after the Backup Servicer resigns or is removed, the Backup Servicer may petition any court of competent jurisdiction for the appointment of a successor Backup Servicer, with 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fees, costs and expenses (including any attorneys’ fees and expenses) of such petition to be paid by the Borrower.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8.06. </w:t>
      </w:r>
      <w:r>
        <w:rPr>
          <w:rFonts w:ascii="Times New Roman" w:hAnsi="Times New Roman"/>
          <w:b w:val="false"/>
          <w:color w:val="000000"/>
          <w:sz w:val="24"/>
          <w:u w:val="single"/>
        </w:rPr>
        <w:t>Monthly Backup Servicer Certificate</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The Backup Servicer shall provide a Monthly Backup Servicer Certificate to the Administrative Agent and the Borrower, on or before the close of business on the fifth Business Day following the related Reporting Date. The Backup Servicer, in its capacity as such, shall not be responsible for delays attributable to the Servicer’s failure to deliver information, defects in the information supplied by the Servicer or other circumstances beyond the control of the Backup Servicer.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8.07. </w:t>
      </w:r>
      <w:r>
        <w:rPr>
          <w:rFonts w:ascii="Times New Roman" w:hAnsi="Times New Roman"/>
          <w:b w:val="false"/>
          <w:color w:val="000000"/>
          <w:sz w:val="24"/>
          <w:u w:val="single"/>
        </w:rPr>
        <w:t>Covenants of the Backup Servicer</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a)</w:t>
      </w:r>
    </w:p>
    <w:p>
      <w:pPr>
        <w:pStyle w:val="TextBody"/>
        <w:bidi w:val="0"/>
        <w:jc w:val="both"/>
        <w:rPr/>
      </w:pPr>
      <w:r>
        <w:rPr>
          <w:rFonts w:ascii="Times New Roman" w:hAnsi="Times New Roman"/>
          <w:color w:val="000000"/>
          <w:sz w:val="24"/>
          <w:u w:val="single"/>
        </w:rPr>
        <w:t>Affirmative Covenants</w:t>
      </w:r>
      <w:r>
        <w:rPr>
          <w:rFonts w:ascii="Times New Roman" w:hAnsi="Times New Roman"/>
          <w:color w:val="000000"/>
          <w:sz w:val="24"/>
        </w:rPr>
        <w:t>. From the date of its appointment until the Facility Termination Date:</w:t>
      </w:r>
    </w:p>
    <w:p>
      <w:pPr>
        <w:pStyle w:val="TextBody"/>
        <w:bidi w:val="0"/>
        <w:jc w:val="lef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pPr>
      <w:r>
        <w:rPr>
          <w:rFonts w:ascii="Times New Roman" w:hAnsi="Times New Roman"/>
          <w:color w:val="000000"/>
          <w:sz w:val="24"/>
          <w:u w:val="single"/>
        </w:rPr>
        <w:t>Compliance with Law</w:t>
      </w:r>
      <w:r>
        <w:rPr>
          <w:rFonts w:ascii="Times New Roman" w:hAnsi="Times New Roman"/>
          <w:color w:val="000000"/>
          <w:sz w:val="24"/>
        </w:rPr>
        <w:t>. The Backup Servicer will comply in all material respects with all Applicable Laws.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pPr>
      <w:r>
        <w:rPr>
          <w:rFonts w:ascii="Times New Roman" w:hAnsi="Times New Roman"/>
          <w:color w:val="000000"/>
          <w:sz w:val="24"/>
          <w:u w:val="single"/>
        </w:rPr>
        <w:t>Preservation of Existence</w:t>
      </w:r>
      <w:r>
        <w:rPr>
          <w:rFonts w:ascii="Times New Roman" w:hAnsi="Times New Roman"/>
          <w:color w:val="000000"/>
          <w:sz w:val="24"/>
        </w:rPr>
        <w:t>. The Backup Servicer will preserve and maintain its existence, rights, franchises and privileges in the jurisdiction of its formation, and qualify and remain qualified in good standing in each jurisdiction where the failure to preserve and maintain such existence, rights, franchises, privileges and qualification has had, or could reasonably be expected to have, a Material Adverse Effect.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Negative Covenant</w:t>
      </w:r>
      <w:r>
        <w:rPr>
          <w:rFonts w:ascii="Times New Roman" w:hAnsi="Times New Roman"/>
          <w:color w:val="000000"/>
          <w:sz w:val="24"/>
        </w:rPr>
        <w:t>. From the date of its appointment until the Facility Termination Date, the Backup Servicer will not make any changes to the Backup Servicing Fee without the prior written approval of the Administrative Agent and, so long as no Termination Event or Servicer Termination Event has occurred, the Borrower.</w:t>
      </w:r>
    </w:p>
    <w:p>
      <w:pPr>
        <w:pStyle w:val="Heading1"/>
        <w:bidi w:val="0"/>
        <w:spacing w:before="0" w:after="240"/>
        <w:jc w:val="center"/>
        <w:rPr>
          <w:rFonts w:ascii="Times New Roman" w:hAnsi="Times New Roman"/>
          <w:sz w:val="20"/>
        </w:rPr>
      </w:pPr>
      <w:r>
        <w:rPr>
          <w:rFonts w:ascii="Times New Roman" w:hAnsi="Times New Roman"/>
          <w:b w:val="false"/>
          <w:color w:val="000000"/>
          <w:sz w:val="24"/>
        </w:rPr>
        <w:t>ARTICLE NINE</w:t>
      </w:r>
      <w:r>
        <w:rPr>
          <w:rFonts w:ascii="Times New Roman" w:hAnsi="Times New Roman"/>
          <w:color w:val="000000"/>
          <w:sz w:val="24"/>
        </w:rPr>
        <w:br/>
        <w:br/>
      </w:r>
      <w:r>
        <w:rPr>
          <w:rFonts w:ascii="Times New Roman" w:hAnsi="Times New Roman"/>
          <w:b w:val="false"/>
          <w:color w:val="000000"/>
          <w:sz w:val="24"/>
        </w:rPr>
        <w:t>TERMINATION EVENTS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9.01. </w:t>
      </w:r>
      <w:r>
        <w:rPr>
          <w:rFonts w:ascii="Times New Roman" w:hAnsi="Times New Roman"/>
          <w:b w:val="false"/>
          <w:color w:val="000000"/>
          <w:sz w:val="24"/>
          <w:u w:val="single"/>
        </w:rPr>
        <w:t>Termination Events</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Each of the following events shall constitute a “Termination Event”:</w:t>
      </w:r>
    </w:p>
    <w:p>
      <w:pPr>
        <w:pStyle w:val="TextBody"/>
        <w:bidi w:val="0"/>
        <w:jc w:val="lef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Without demand, protest or any notice of any kind, all of which are hereby expressly waived by the Borrower (with a copy to each Hedge Counterparty), (i) in the event that a Termination Event described in Section 9.01(a)(vii) has occurred, the Termination Date shall automatically occur and (ii) upon the occurrence of any other Termination Event, the Administrative Agent shall, at the written request, or may with the written consent, of the Required Lenders, by notice to the Borrower, declare the Termination Date to have occurred. Upon the automatic occurrence or declaration of the Termination Date, all Loans </w:t>
      </w:r>
    </w:p>
    <w:p>
      <w:pPr>
        <w:pStyle w:val="TextBody"/>
        <w:bidi w:val="0"/>
        <w:jc w:val="center"/>
        <w:rPr>
          <w:rFonts w:ascii="Times New Roman" w:hAnsi="Times New Roman"/>
          <w:color w:val="000000"/>
          <w:sz w:val="24"/>
        </w:rPr>
      </w:pPr>
      <w:r>
        <w:rPr>
          <w:rFonts w:ascii="Times New Roman" w:hAnsi="Times New Roman"/>
          <w:color w:val="000000"/>
          <w:sz w:val="24"/>
        </w:rPr>
        <w:t>121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Outstanding and all other amounts owing by the Borrower under this Agreement shall be accelerated and become immediately due and payable.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9.02. </w:t>
      </w:r>
      <w:r>
        <w:rPr>
          <w:rFonts w:ascii="Times New Roman" w:hAnsi="Times New Roman"/>
          <w:b w:val="false"/>
          <w:color w:val="000000"/>
          <w:sz w:val="24"/>
          <w:u w:val="single"/>
        </w:rPr>
        <w:t>Actions Upon Occurrence of the Termination Date</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 xml:space="preserve">Upon the automatic occurrence, or the declaration of the occurrence, of the Termination Date in accordance with Section 9.01(b), the following shall immediately occur without further action: (i) the Revolving Period shall terminate and no further Loans will be made and (ii) all Available Funds after item (v) of Section 2.08 will be used to reduce the Loans Outstanding and Interest on all Loans Outstanding will increase to the Default Rate. </w:t>
      </w:r>
    </w:p>
    <w:p>
      <w:pPr>
        <w:pStyle w:val="TextBody"/>
        <w:bidi w:val="0"/>
        <w:jc w:val="both"/>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Upon the automatic occurrence of, or the declaration of the occurrence of, the Termination Date, the Administrative Agent may, or at the direction of the Required Lenders, shall, exercise in respect of the Collateral, in addition to any and all other rights and remedies otherwise available to it, including rights available hereunder and all of the rights and remedies of a secured party upon default under the UCC (such rights and remedies to be cumulative and nonexclusive), and, in addition, upon direction of the Required Lenders, may, or at the direction of the Required Lenders, shall take the following remedial actions:</w:t>
      </w:r>
    </w:p>
    <w:p>
      <w:pPr>
        <w:pStyle w:val="TextBody"/>
        <w:bidi w:val="0"/>
        <w:jc w:val="lef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may, without notice to the Borrower except as required by Applicable Law and at any time or from time to time, charge, set-off and otherwise apply all or any part of the Loans Outstanding, any Interest accrued thereon and or any other amount due and owing to any Secured Party against amounts payable to the Borrower from the Reserve Account, the Collection Account or any part of such accounts in accordance with the priorities required by Section 2.08.</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may take any action permitted under the Basic Documents, including exercising any rights available to it under the Intercreditor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may (x) direct the Custodian in writing to exercise any rights and remedies available to it under the E-Vault Access Agreement in respect of the Warehouse Vault Partition and the Electronic Contracts therein which constitute or evidence the Receivables, including directing the transfer of such Electronic Contracts to another provider of e-vaulting services or causing such Electronic Contracts to be Exported, and (y) exercise any rights or remedies of the Administrative Agent under the Electronic Collateral Control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Consistent with the rights and remedies of a secured party under the UCC (and except as otherwise required by the UCC), the Administrative Agent may, without notice except as specified below, foreclose, solicit and accept bids for and sell the Collateral or any part of the Collateral in one or more parcels at public or private sale, at any exchange, broker’s board or at the Administrative Agent’s offices or elsewhere, for cash, on credit or for future delivery, and upon such other terms as the Administrative Agent may deem commercially reasonable. The Borrower agrees that, to the extent notice of sale shall be required by Applicable Law, at least ten Business Days’ notice to the Borrower (with a copy to each Secured Party) of the time and place of any public sale or the time after which </w:t>
      </w:r>
    </w:p>
    <w:p>
      <w:pPr>
        <w:pStyle w:val="TextBody"/>
        <w:bidi w:val="0"/>
        <w:jc w:val="center"/>
        <w:rPr>
          <w:rFonts w:ascii="Times New Roman" w:hAnsi="Times New Roman"/>
          <w:color w:val="000000"/>
          <w:sz w:val="24"/>
        </w:rPr>
      </w:pPr>
      <w:r>
        <w:rPr>
          <w:rFonts w:ascii="Times New Roman" w:hAnsi="Times New Roman"/>
          <w:color w:val="000000"/>
          <w:sz w:val="24"/>
        </w:rPr>
        <w:t>122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for such sale, and such sale may, without further notice, be made at the time and place to which it was so adjourned. Every such sale shall operate to divest all right, title, interest, claim and demand whatsoever of the Borrower in and to the Collateral so sold, and shall be a perpetual bar, both at law and in equity, against the Borrower or any Person claiming the Collateral sold through the Borrower and its successors or assigns.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completion of any sale under Section 9.02(b)(iv), the Borrower will deliver or cause to be delivered all of the Collateral sold to the purchaser or purchasers at such sale on the date of sale, or within a reasonable time thereafter if it shall be impractical to make immediate delivery, but in any event full title and right of possession to such property shall pass to such purchaser or purchasers forthwith upon the completion of such sale. Nevertheless, if so requested by the Administrative Agent or by any purchaser, the Borrower shall confirm any such sale or transfer by executing and delivering to such purchaser all proper instruments of conveyance and transfer and release as may be designated in any such request.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any sale under Section 9.02(b)(iv), UACC or any Secured Party may bid for and purchase the property offered for sale and, upon compliance with the terms of sale, may hold, retain and dispose of such property without further accountability therefor. Any Secured Party purchasing property at a sale under Section 9.02(b)(iv) may set off the purchase price of such property against amounts owing to such Secured Party in full payment of such purchase price.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may exercise at the Borrower’s sole expense any and all rights and remedies of the Borrower under or in connection with the Collateral, including directing that Collections be deposited into an account specified by the Administrative Agent.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9.03. </w:t>
      </w:r>
      <w:r>
        <w:rPr>
          <w:rFonts w:ascii="Times New Roman" w:hAnsi="Times New Roman"/>
          <w:b w:val="false"/>
          <w:color w:val="000000"/>
          <w:sz w:val="24"/>
          <w:u w:val="single"/>
        </w:rPr>
        <w:t>Exercise of Remedies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No failure or delay on the part of the Administrative Agent to exercise any right, power or privilege under this Agreement and no course of dealing between the Borrower or the Secured Parties, on the one hand, and the Administrative Agent, on the other hand, shall operate as a waiver of such right, power or privilege, nor shall any single or partial exercise of any right, power or privilege under this Agreement preclude any other or further exercise of such right, power or privilege or the exercise of any other right, power or privilege. The rights and remedies expressly provided in this Agreement are cumulative and not exclusive of any rights or remedies which the Secured Parties would otherwise have pursuant to Applicable Law or equity. No notice to or demand on any party in any case shall entitle such party to any other or further notice or demand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in similar or other circumstances, or constitute a waiver of the right of the other party to any other or further action in any circumstances without notice or demand.</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9.04. </w:t>
      </w:r>
      <w:r>
        <w:rPr>
          <w:rFonts w:ascii="Times New Roman" w:hAnsi="Times New Roman"/>
          <w:b w:val="false"/>
          <w:color w:val="000000"/>
          <w:sz w:val="24"/>
          <w:u w:val="single"/>
        </w:rPr>
        <w:t>Waiver of Certain Laws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The Borrower agrees, to the full extent that it may lawfully so agree, that neither it nor anyone claiming through or under it will set up, claim or seek to take advantage of any appraisal, valuation, stay, extension or redemption law now or hereafter in force in any locality where any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the Borrower, for itself and all who may at any time claim through or under it, hereby waives, to the full extent that it may be lawful so to do, the benefit of all such Applicable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such parcels as the Administrative Agent or such court may determine.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9.05. </w:t>
      </w:r>
      <w:r>
        <w:rPr>
          <w:rFonts w:ascii="Times New Roman" w:hAnsi="Times New Roman"/>
          <w:b w:val="false"/>
          <w:color w:val="000000"/>
          <w:sz w:val="24"/>
          <w:u w:val="single"/>
        </w:rPr>
        <w:t>Power of Attorney</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The Borrower hereby irrevocably appoints the Administrative Agent its true and lawful attorney (with full power of substitution) in its name, place and stead and at its expense, in connection with the enforcement of the rights and remedies provided for in this Article, including: (i) exercise all rights and privileges of the Borrower under the Purchase Agreement (including each Transfer Agreement); (ii) pay or discharge any taxes, Liens or other encumbrances levied or placed on or threatened against the Borrower or the Borrower’s property; (iii) defend any suit, action or proceeding brought against the Borrower if the Borrower does not defend such suit, action or proceeding or if the Administrative Agent believes that it is not pursuing such defense in a manner that will maximize the recovery to the Administrative Agent, and settle, compromise or adjust any suit, action or proceeding described above and, in connection therewith, give such discharges or releases as the Administrative Agent may deem appropriate; (iv) file or prosecute any claim, litigation, suit or proceeding in any court of competent jurisdiction or before any arbitrator, or take any other action otherwise deemed appropriate by the Administrative Agent for the purpose of collecting any and all such moneys due to the Borrower whenever payable and to enforce any other right in respect of the Borrower’s property; (v) sell, transfer, pledge, make any agreement with respect to or otherwise deal with, any of the Borrower’s property, and execute, in connection with such sale or action, any endorsements, assignments or other instruments of conveyance or transfer in connection therewith; and (vi) cause the certified public accountants then engaged by the Borrower to prepare and deliver to the Administrative Agent at any time and from time to time, promptly upon the Administrative Agent’s request, any reports required to be prepared by or on behalf of the Borrower under this Agreement or any other Basic Document, all as though the Administrative Agent were the absolute owner of its property for all purposes, and to do, at the Administrative Agent’s option and the Borrower’s expense, at any time or from time to time, all acts and other things that the Administrative Agent reasonably deems necessary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perfect, preserve, or realize upon its property or assets and the Liens of the Administrative Agent, as agent for the Secured Parties thereon, all as fully and effectively as it might do.</w:t>
      </w:r>
    </w:p>
    <w:p>
      <w:pPr>
        <w:pStyle w:val="Heading1"/>
        <w:bidi w:val="0"/>
        <w:spacing w:before="0" w:after="240"/>
        <w:jc w:val="center"/>
        <w:rPr>
          <w:rFonts w:ascii="Times New Roman" w:hAnsi="Times New Roman"/>
          <w:sz w:val="20"/>
        </w:rPr>
      </w:pPr>
      <w:r>
        <w:rPr>
          <w:rFonts w:ascii="Times New Roman" w:hAnsi="Times New Roman"/>
          <w:b w:val="false"/>
          <w:color w:val="000000"/>
          <w:sz w:val="24"/>
        </w:rPr>
        <w:t>ARTICLE TEN</w:t>
      </w:r>
      <w:r>
        <w:rPr>
          <w:rFonts w:ascii="Times New Roman" w:hAnsi="Times New Roman"/>
          <w:color w:val="000000"/>
          <w:sz w:val="24"/>
        </w:rPr>
        <w:br/>
        <w:br/>
      </w:r>
      <w:r>
        <w:rPr>
          <w:rFonts w:ascii="Times New Roman" w:hAnsi="Times New Roman"/>
          <w:b w:val="false"/>
          <w:color w:val="000000"/>
          <w:sz w:val="24"/>
        </w:rPr>
        <w:t>INDEMNIFICATION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10.01. </w:t>
      </w:r>
      <w:r>
        <w:rPr>
          <w:rFonts w:ascii="Times New Roman" w:hAnsi="Times New Roman"/>
          <w:b w:val="false"/>
          <w:color w:val="000000"/>
          <w:sz w:val="24"/>
          <w:u w:val="single"/>
        </w:rPr>
        <w:t>Indemnities by the Borrower and UACC</w:t>
      </w:r>
      <w:r>
        <w:rPr>
          <w:rFonts w:ascii="Times New Roman" w:hAnsi="Times New Roman"/>
          <w:color w:val="000000"/>
          <w:sz w:val="20"/>
        </w:rPr>
        <w:t xml:space="preserve"> </w:t>
      </w:r>
    </w:p>
    <w:p>
      <w:pPr>
        <w:pStyle w:val="TextBody"/>
        <w:bidi w:val="0"/>
        <w:spacing w:before="0" w:after="0"/>
        <w:jc w:val="both"/>
        <w:rPr>
          <w:rFonts w:ascii="Times New Roman" w:hAnsi="Times New Roman"/>
          <w:color w:val="1F3763"/>
          <w:sz w:val="24"/>
        </w:rPr>
      </w:pPr>
      <w:r>
        <w:rPr>
          <w:rFonts w:ascii="Times New Roman" w:hAnsi="Times New Roman"/>
          <w:color w:val="1F3763"/>
          <w:sz w:val="24"/>
        </w:rPr>
        <w:t>a)</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Notwithstanding the foregoing, in no event shall any Indemnified Party (i) be indemnified against any Indemnified Amounts to the extent such Indemnified Amounts are or result from taxes asserted with respect to taxes on, or measured by, the net income of the applicable Indemnified Party or (ii) indemnified twice for the same UACC Indemnified Amount by reason of application of the indemnity provided under Section 5.07 of the Purchase Agreement.</w:t>
      </w:r>
    </w:p>
    <w:p>
      <w:pPr>
        <w:pStyle w:val="TextBody"/>
        <w:bidi w:val="0"/>
        <w:jc w:val="both"/>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Any amounts subject to the indemnification provisions of this Section and payable by the Borrower shall be paid by the Borrower solely pursuant to the provisions of Section 2.08 in the order and priority set forth therein.</w:t>
      </w:r>
    </w:p>
    <w:p>
      <w:pPr>
        <w:pStyle w:val="TextBody"/>
        <w:bidi w:val="0"/>
        <w:jc w:val="lef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indemnity obligations in this Section 10.01 shall be cumulative and in addition to any obligation that the Borrower and UACC may otherwise have and shall survive the resignation or removal of any indemnified party and the termination or assignment of this Agreement.</w:t>
      </w:r>
    </w:p>
    <w:p>
      <w:pPr>
        <w:pStyle w:val="Heading1"/>
        <w:bidi w:val="0"/>
        <w:spacing w:before="0" w:after="240"/>
        <w:jc w:val="center"/>
        <w:rPr>
          <w:rFonts w:ascii="Times New Roman" w:hAnsi="Times New Roman"/>
          <w:sz w:val="20"/>
        </w:rPr>
      </w:pPr>
      <w:r>
        <w:rPr>
          <w:rFonts w:ascii="Times New Roman" w:hAnsi="Times New Roman"/>
          <w:b w:val="false"/>
          <w:color w:val="000000"/>
          <w:sz w:val="24"/>
        </w:rPr>
        <w:t>ARTICLE ELEVEN</w:t>
      </w:r>
      <w:r>
        <w:rPr>
          <w:rFonts w:ascii="Times New Roman" w:hAnsi="Times New Roman"/>
          <w:color w:val="000000"/>
          <w:sz w:val="24"/>
        </w:rPr>
        <w:br/>
        <w:br/>
      </w:r>
      <w:r>
        <w:rPr>
          <w:rFonts w:ascii="Times New Roman" w:hAnsi="Times New Roman"/>
          <w:b w:val="false"/>
          <w:color w:val="000000"/>
          <w:sz w:val="24"/>
        </w:rPr>
        <w:t>THE ADMINISTRATIVE AGENT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11.01. </w:t>
      </w:r>
      <w:r>
        <w:rPr>
          <w:rFonts w:ascii="Times New Roman" w:hAnsi="Times New Roman"/>
          <w:b w:val="false"/>
          <w:color w:val="000000"/>
          <w:sz w:val="24"/>
          <w:u w:val="single"/>
        </w:rPr>
        <w:t>Authorization and Action</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Each Lender and each Secured Party hereby designates and appoints [***] (and [***] accepts such designation and appointment) as Administrative Agent hereunder, and authorizes the Administrative Agent to take such actions as agent on its behalf and to exercise such powers as are delegated to the Administrative Agent by the terms of this Agreement together with such powers as are reasonably incidental thereto. In performing its functions and duties hereunder, the Administrative Agent shall act solely as agent for the Secured Parties and does not assume nor shall be deemed to have assumed any obligation or relationship of trust or agency with or for the Borrower or any of its successors or assigns. The Administrative Agent shall not be required to take any action which exposes it to personal liability or which is contrary to this Agreement or Applicable Law. The appointment and authority of the Administrative Agent hereunder shall terminate at the indefeasible payment in full of the Aggregate Unpaids.</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otherwise exist against the Administrative Agent.</w:t>
      </w:r>
    </w:p>
    <w:p>
      <w:pPr>
        <w:pStyle w:val="TextBody"/>
        <w:bidi w:val="0"/>
        <w:jc w:val="both"/>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The Administrative Agent shall promptly distribute to each Lender all notices, requests for consent and other information received by the Administrative Agent under this Agreement.</w:t>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11.02. </w:t>
      </w:r>
      <w:r>
        <w:rPr>
          <w:rFonts w:ascii="Times New Roman" w:hAnsi="Times New Roman"/>
          <w:b w:val="false"/>
          <w:color w:val="000000"/>
          <w:sz w:val="24"/>
          <w:u w:val="single"/>
        </w:rPr>
        <w:t>Delegation of Duties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The Administrative Agent may execute any of its duties under any of the Basic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11.03. </w:t>
      </w:r>
      <w:r>
        <w:rPr>
          <w:rFonts w:ascii="Times New Roman" w:hAnsi="Times New Roman"/>
          <w:b w:val="false"/>
          <w:color w:val="000000"/>
          <w:sz w:val="24"/>
          <w:u w:val="single"/>
        </w:rPr>
        <w:t>Exculpatory Provisions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Neither the Administrative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the Administrative Agent, the breach of its obligations expressly set forth in this Agreement) or (ii) responsible in any manner to any of the Secured Parties for any recitals, statements, representations or warranties made by the Borrower, the Servicer, UACC, the Backup Servicer, the Account Bank or the Custodian contained in this Agreement or in any certificate, report, statement or other document referred to or provided for in, or received under or in connection with, this Agreement or any other Basic Document to which it is a party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Four. The Administrative Agent shall not be under any obligation to any Secured Party to ascertain or to inquire as to the observance or performance of any of the agreements or covenants contained in, or conditions of, this Agreement, or to inspect the properties, books or records of the Borrower. The Administrative Agent shall not be deemed to have knowledge of any Termination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Event or Servicer Termination Event unless it has received written notice thereof from the Borrower, the Servicer or a Secured Party.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11.04. </w:t>
      </w:r>
      <w:r>
        <w:rPr>
          <w:rFonts w:ascii="Times New Roman" w:hAnsi="Times New Roman"/>
          <w:b w:val="false"/>
          <w:color w:val="000000"/>
          <w:sz w:val="24"/>
          <w:u w:val="single"/>
        </w:rPr>
        <w:t>Reliance</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The Administrative Agent shall be entitled to rely, and shall be fully protected in relying, upon any writing, resolution, notice, consent, certificate, affidavit, letter, cablegram, telegram, telecopy, telex or teletype message, written statement, order or other document or conversation believed by it to be genuine and correct and to have been signed, sent or made by the proper Person or Persons and upon advice and statements of legal counsel (including counsel to the Administrative Agent), independent accountants and other experts selected by the Administrative Agent.</w:t>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The Administrative Agent shall be fully justified in failing or refusing to take any action under any of the Basic Documents unless it shall first receive such advice or concurrence of the Required Lenders as it deems appropriate or it shall first be indemnified to its satisfaction by, the Lenders, against any and all liability and expense which may be incurred by it by reason of taking or continuing to take any such action.</w:t>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The Administrative Agent shall in all cases be fully protected in acting, or in refraining from acting, under any of the Basic Documents in accordance with a request of the Required Lenders, and such request and any action taken or failure to act pursuant thereto shall be binding upon all present and future Lenders.</w:t>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The Administrative Agent shall not be deemed to have knowledge or notice of the occurrence of any breach of this Agreement or the occurrence of any Termination Event or Servicer Termination Event unless it has received notice from the Borrower, the Servicer, the Backup Servicer or any Lender, referring to this Agreement and describing such event. In the event that the Administrative Agent receives such a notice, it shall promptly give notice thereof to each Lender. The Administrative Agent shall take such action with respect to such event as shall be reasonably directed by the Required Lenders; provided that unless and until the Administrative Agent shall have received such directions, the Administrative Agent may (but shall not be obligated to) take such action, or refrain from taking such action, with respect to such event as it shall deem advisable in the best interests of the Lenders.</w:t>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11.05. </w:t>
      </w:r>
      <w:r>
        <w:rPr>
          <w:rFonts w:ascii="Times New Roman" w:hAnsi="Times New Roman"/>
          <w:b w:val="false"/>
          <w:color w:val="000000"/>
          <w:sz w:val="24"/>
          <w:u w:val="single"/>
        </w:rPr>
        <w:t>Non-Reliance on Administrative Agent and Other Lenders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Each Lender expressly acknowledges that neither the Administrative Agent nor any of its officers, directors, employees, agents, attorneys-in-fact or Affiliates has made any representations or warranties to it and that no act by the Administrative Agent hereafter taken, including any review of the affairs of the Borrower, UACC, the Servicer, the Backup Servicer, the Account Bank and the Custodian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creditworthiness of the Borrower, the Servicer, UACC, the Backup Servicer, the Account Bank or the Custodian and the Receivables and made its own decision to purchase its interest in the Notes hereunder and enter into this Agreement. Each Lender also represents that it will, independently and without reliance upon the Administrative Agent or any other Lender, and based on such documents and information as it shall deem appropriate at the time, continue to make its own analysis, appraisals and decisions in taking or not taking action under any of the Basic Documents, and to make such investigation as it deems necessary to inform itself as to the business, operations, property, financial and other condition and creditworthiness of the Borrower, the Servicer, UACC, the Backup Servicer, the Account Bank or the Custodian and the Receivables. Except for notices, reports and other documents received by the Administrative Agent hereunder, the Administrative Agent shall have any duty or responsibility to provide any Lender with any credit or other information concerning the business, operations, property, condition (financial or otherwise), prospects or creditworthiness of the Borrower, the Servicer, UACC, the Backup Servicer, the Account Bank or the Custodian or the Receivables which may come into the possession of the Administrative Agent or any of its officers, directors, employees, agents, attorneys-in-fact or Affiliates.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11.06. </w:t>
      </w:r>
      <w:r>
        <w:rPr>
          <w:rFonts w:ascii="Times New Roman" w:hAnsi="Times New Roman"/>
          <w:b w:val="false"/>
          <w:color w:val="000000"/>
          <w:sz w:val="24"/>
          <w:u w:val="single"/>
        </w:rPr>
        <w:t>Indemnification</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The Lenders agree to indemnify the Administrative Agent in its capacity as such (without limiting the obligation (if any) of the Borrower or the Servicer to reimburse the Administrative Agent for any such amounts), ratably according to their respective Commitments (or, if the Commitments have terminated, Invested Percentages) from and against any and all liabilities, obligations, losses, damages, penalties, actions, judgments, suits, costs, expenses or disbursements of any kind whatsoever which may at any time (including at any time following the payment of the obligations under this Agreement, including the Loans Outstanding) be imposed on, incurred by or asserted against the Administrative Agent in any way relating to or arising out of this Agreement, or any documents contemplated by or referred to herein or the transactions contemplated hereby or any action taken or omitted by the Administrative Agent under or in connection with any of the foregoing; provided that no Lender shall be liable for the payment of any portion of such liabilities, obligations, losses, damages, penalties, actions, judgments, suits, costs, expenses or disbursements of the Administrative Agent resulting from its own gross negligence or willful misconduct. The provisions of this Section shall survive the payment of the obligations under this Agreement, including the Loans Outstanding, the termination of this Agreement, and any resignation or removal of the Administrative Agent.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11.07. </w:t>
      </w:r>
      <w:r>
        <w:rPr>
          <w:rFonts w:ascii="Times New Roman" w:hAnsi="Times New Roman"/>
          <w:b w:val="false"/>
          <w:color w:val="000000"/>
          <w:sz w:val="24"/>
          <w:u w:val="single"/>
        </w:rPr>
        <w:t>Administrative Agent in its Individual Capacity</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The Administrative Agent and its Affiliates may make loans to, accept deposits from and generally engage in any kind of business with the Borrower and any other party to a Basic Document as though it were not the Administrative Agent hereunder. Any such Person shall not, by virtue of its acting in any such other capacities, be deemed to have duties or responsibilities hereunder or be held to a standard of care in connection with the performance of its duties as Administrative Agent other than as expressly provided in this Agreement. None of the provisions to this Agreement shall require the Administrative Agent to expend or risk its own funds or otherwise to incur any liability, financial or otherwise, in the performance of any of its duties hereunder, or in the exercise of any of its rights or powers if it shall have reasonable grounds for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believing that repayment of such funds or indemnity satisfactory to it against such risk or liability is not assured to it.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11.08. </w:t>
      </w:r>
      <w:r>
        <w:rPr>
          <w:rFonts w:ascii="Times New Roman" w:hAnsi="Times New Roman"/>
          <w:b w:val="false"/>
          <w:color w:val="000000"/>
          <w:sz w:val="24"/>
          <w:u w:val="single"/>
        </w:rPr>
        <w:t>Successor Agents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The Administrative Agent may freely assign its rights and obligations hereunder upon ten days’ notice to the Lenders and the Borrower. The Administrative Agent may resign as Administrative Agent upon ten days’ notice to the Lenders and the Borrower with such resignation becoming effective upon a successor agent succeeding to the rights, powers and duties of the Administrative Agent pursuant to this Section. If the Administrative Agent shall resign as Administrative Agent under this Agreement, then the Required Lenders shall appoint a successor administrative agent. Any successor administrative agent or agent shall succeed to the rights, powers and duties of resigning Administrative Agent, and the term “Administrative Agent” shall mean such successor administrative agent or agent effective upon its appointment, and the former Administrative Agent’s rights, powers and duties as Administrative Agent shall be terminated, without any other or further act or deed on the part of such former Administrative Agent or any of the parties to this Agreement. After the retiring Administrative Agent’s resignation as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Administrative Agent, the provisions of this Article shall inure to its benefit as to any actions taken or omitted to be taken by it while it was Administrative Agent under this Agreement.</w:t>
      </w:r>
    </w:p>
    <w:p>
      <w:pPr>
        <w:pStyle w:val="Heading1"/>
        <w:bidi w:val="0"/>
        <w:spacing w:before="0" w:after="240"/>
        <w:jc w:val="center"/>
        <w:rPr>
          <w:rFonts w:ascii="Times New Roman" w:hAnsi="Times New Roman"/>
          <w:sz w:val="20"/>
        </w:rPr>
      </w:pPr>
      <w:r>
        <w:rPr>
          <w:rFonts w:ascii="Times New Roman" w:hAnsi="Times New Roman"/>
          <w:b w:val="false"/>
          <w:color w:val="000000"/>
          <w:sz w:val="24"/>
        </w:rPr>
        <w:t>ARTICLE TWELVE</w:t>
      </w:r>
      <w:r>
        <w:rPr>
          <w:rFonts w:ascii="Times New Roman" w:hAnsi="Times New Roman"/>
          <w:color w:val="000000"/>
          <w:sz w:val="24"/>
        </w:rPr>
        <w:br/>
        <w:br/>
      </w:r>
      <w:r>
        <w:rPr>
          <w:rFonts w:ascii="Times New Roman" w:hAnsi="Times New Roman"/>
          <w:b w:val="false"/>
          <w:color w:val="000000"/>
          <w:sz w:val="24"/>
        </w:rPr>
        <w:t>ASSIGNMENTS; PARTICIPATIONS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12.01. </w:t>
      </w:r>
      <w:r>
        <w:rPr>
          <w:rFonts w:ascii="Times New Roman" w:hAnsi="Times New Roman"/>
          <w:b w:val="false"/>
          <w:color w:val="000000"/>
          <w:sz w:val="24"/>
          <w:u w:val="single"/>
        </w:rPr>
        <w:t>Assignments and Participations</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Each Lender agrees that the Notes or interest therein owned by such Lender pursuant to this Agreement will be acquired for investment only and not with a view to any public distribution thereof, and that such Lender will not offer to sell or otherwise dispose of the Notes or the interest therein so acquired by it (or any interest therein) in violation of any of the registration requirements of the Securities Act or any applicable State securities laws. Each Lender hereby confirms and agrees that, in connection with any syndication, offering, transfer or sale by it of any interest in the Notes, such Lender has not engaged and will not engage in a general solicitation or general advertising.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Lender may upon at least 30 days’ notice to the Borrower and the Administrative Agent, assign to one or more banks or other entities all or a portion of its rights and obligations under this Agreement; provided, however, that (i) each such assignment shall be of a constant, and not a varying percentage of all of the assigning Lender’s rights and obligations under this Agreement, (ii) the amount of the Commitment of the assigning Lender being assigned pursuant to each such assignment (determined as of the date of the Assignment and Acceptance with respect to such assignment) shall in no event be less than the lesser of (A) $[***] or an integral multiple of $[***] in excess of that amount and (B) the full amount of the assigning Lender’s Commitment, (iii) each such assignment shall be to an Eligible Assignee, (iv) the parties to each such assignment shall execute and deliver to the Administrative Agent (with a copy to the Borrower), for its acceptance and recording in the Lender Register, an Assignment and Acceptance, together with a processing and recordation fee of $[***] or such lesser amount as shall be approved by the Administrative Agent, (v) the parties to each such assignment shall have agreed to reimburse the Administrative Agent for all reasonable fees, costs and expenses (including the reasonable fees and disbursements of counsel for the Administrative Agent) incurred by the Administrative Agent in connection with such assignment, (vi) each Person that becomes a Lender under an Assignment and Acceptance shall agree to be bound by the confidentiality provisions of Article Thirteen and (vii) there shall be no increased costs, expenses or taxes incurred by the Administrative upon assignment or participation. Upon such execution, delivery, acceptance and recording by the Administrative Agent, from and after the effective date specified in each Assignment and Acceptance, which effective date shall be the date of acceptance thereof by the Administrative Agent, unless a later date is specified therein, (i) the assignee thereunder shall be a party hereto and, to the extent that rights and obligations hereunder have been assigned to it pursuant to such Assignment and Acceptance, have the rights and obligations of a Lender hereunder and (ii)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pStyle w:val="TextBody"/>
        <w:bidi w:val="0"/>
        <w:jc w:val="center"/>
        <w:rPr>
          <w:rFonts w:ascii="Times New Roman" w:hAnsi="Times New Roman"/>
          <w:color w:val="000000"/>
          <w:sz w:val="24"/>
        </w:rPr>
      </w:pPr>
      <w:r>
        <w:rPr>
          <w:rFonts w:ascii="Times New Roman" w:hAnsi="Times New Roman"/>
          <w:color w:val="000000"/>
          <w:sz w:val="24"/>
        </w:rPr>
        <w:t>130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assignee confirms that it has received a copy of this Agreement, together with copies of such financial statements and other documents and information as it has deemed appropriate to make its own credit analysis and decision to enter into such Assignment and Acceptance; (iii) such assignee will, independently and without reliance upon the Administrative Agent, such assigning Lender or any other Lender and based on such documents and information as it shall deem appropriate at the time, continue to make its own credit decisions in taking or not taking action under this Agreement; (iv) such assigning Lender and such assignee confirm that such assignee is an Eligible Assignee; (v) such assignee appoints and authorizes the Administrative Agent to take such action as agent on its behalf and to exercise such powers under this Agreement as are delegated to such agent by the terms hereof, together with such powers as are reasonably incidental thereto; and (vi) such assignee agrees that it will perform in accordance with their terms all of the obligations which by the terms of this Agreement are required to be performed by it as a Lender.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Administrative Agent shall maintain at its address referred to herein a copy of each Assignment and Acceptance delivered to and accepted by it and a register for the recordation of the names, addresses and Commitment of each Lender and the Principal Amount and stated interest of each Loan made by each Lender from time to time (the “Lender Register”). The entries in the Lender Register shall be conclusive and binding for all purposes, absent manifest error, and the Borrower and the Lenders shall treat each Person whose name is recorded in the Lender Register as a Lender hereunder for all purposes of this Agreement. The Lender Register shall be available for inspection by the Borrower and any Lender at any reasonable time and from time to time upon reasonable prior notice.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the provisions of Sections 12.01(a) and 12.01(b), upon its receipt of an Assignment and Acceptance executed by an assigning Lender and an assignee, the Administrative Agent shall, if such Assignment and Acceptance has been completed, accept such Assignment and Acceptance, and the Administrative Agent shall then record the information contained therein in the Lender Register.</w:t>
      </w:r>
    </w:p>
    <w:p>
      <w:pPr>
        <w:pStyle w:val="TextBody"/>
        <w:bidi w:val="0"/>
        <w:jc w:val="center"/>
        <w:rPr>
          <w:rFonts w:ascii="Times New Roman" w:hAnsi="Times New Roman"/>
          <w:color w:val="000000"/>
          <w:sz w:val="24"/>
        </w:rPr>
      </w:pPr>
      <w:r>
        <w:rPr>
          <w:rFonts w:ascii="Times New Roman" w:hAnsi="Times New Roman"/>
          <w:color w:val="000000"/>
          <w:sz w:val="24"/>
        </w:rPr>
        <w:t>131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Lender may sell participations to one or more banks or other entities in or to all or a portion of its rights and obligations under this Agreement (including all or a portion of its Commitment and each Loan owned by it); provided, however, that (i) such Lender’s obligations under this Agreement (including its Commitment hereunder) shall remain unchanged, (ii) such Lender shall remain solely responsible to the other parties hereto for the performance of such obligations and (iii) the Administrative Agent and the other Lenders shall continue to deal solely and directly with such Lender in connection with such Lender’s rights and obligations under this Agreement. Notwithstanding anything herein to the contrary, each participant shall have the rights and obligations of a Lender (including any right to receive payment) under Sections 2.13 and 2.14; provided, however, that no participant shall be entitled to receive payment under either such Section in excess of the amount that would have been payable under such Section by the Borrower to the Lender granting its participation had such participation not been granted, and no Lender granting a participation shall be entitled to receive payment under either such Section in an amount which exceeds the sum of (i) the amount to which such Lender is entitled under such Section with respect to any portion of any Loan owned by such Lender which is not subject to any participation plus (ii) the aggregate amount to which its participants are entitled under such Sections with respect to the amounts of their respective participations. With respect to any participation described in this Section, the participant’s rights as set forth in the agreement between such participant and the applicable Lender to agree to or to restrict such Lender’s ability to agree to any modification, waiver or release of any of the terms of this Agreement or to exercise or refrain from exercising any powers or rights which such Lender may have under or in respect of this Agreement shall be limited to the right to consent to any of the matters set forth in Section 12.01. Each Lender that sells a participation agrees, at the Borrower's request and expense, to use reasonable efforts to cooperate with the Borrower to effectuate the provisions of Section 2.14 with respect to any participant.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 or other obligations under the Basic Documents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Basic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Lender may, in connection with any assignment or participation or proposed assignment or participation pursuant to this Section, disclose to the assignee or participant or proposed assignee or participant any information, including Confidential Information, relating to the Borrower furnished to such Lender by or on behalf of the Borrower.</w:t>
      </w:r>
    </w:p>
    <w:p>
      <w:pPr>
        <w:pStyle w:val="TextBody"/>
        <w:bidi w:val="0"/>
        <w:jc w:val="center"/>
        <w:rPr>
          <w:rFonts w:ascii="Times New Roman" w:hAnsi="Times New Roman"/>
          <w:color w:val="000000"/>
          <w:sz w:val="24"/>
        </w:rPr>
      </w:pPr>
      <w:r>
        <w:rPr>
          <w:rFonts w:ascii="Times New Roman" w:hAnsi="Times New Roman"/>
          <w:color w:val="000000"/>
          <w:sz w:val="24"/>
        </w:rPr>
        <w:t>132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Nothing herein shall prohibit any Lender from pledging or assigning as Collateral any of its rights under this Agreement to any Federal Reserve Bank or any other Governmental Authority in accordance with Applicable Law and any such pledge or Collateral assignment may be made without compliance with Section 12.01(a) or 12.01(b).</w:t>
      </w:r>
    </w:p>
    <w:p>
      <w:pPr>
        <w:pStyle w:val="TextBody"/>
        <w:bidi w:val="0"/>
        <w:jc w:val="left"/>
        <w:rPr/>
      </w:pPr>
      <w:r>
        <w:rPr/>
        <w:t> </w:t>
      </w:r>
    </w:p>
    <w:p>
      <w:pPr>
        <w:pStyle w:val="Heading1"/>
        <w:bidi w:val="0"/>
        <w:spacing w:before="0" w:after="240"/>
        <w:jc w:val="center"/>
        <w:rPr>
          <w:rFonts w:ascii="Times New Roman" w:hAnsi="Times New Roman"/>
          <w:sz w:val="20"/>
        </w:rPr>
      </w:pPr>
      <w:r>
        <w:rPr>
          <w:rFonts w:ascii="Times New Roman" w:hAnsi="Times New Roman"/>
          <w:b w:val="false"/>
          <w:color w:val="000000"/>
          <w:sz w:val="24"/>
        </w:rPr>
        <w:t>ARTICLE THIRTEEN</w:t>
      </w:r>
      <w:r>
        <w:rPr>
          <w:rFonts w:ascii="Times New Roman" w:hAnsi="Times New Roman"/>
          <w:color w:val="000000"/>
          <w:sz w:val="24"/>
        </w:rPr>
        <w:br/>
        <w:br/>
      </w:r>
      <w:r>
        <w:rPr>
          <w:rFonts w:ascii="Times New Roman" w:hAnsi="Times New Roman"/>
          <w:b w:val="false"/>
          <w:color w:val="000000"/>
          <w:sz w:val="24"/>
        </w:rPr>
        <w:t>MUTUAL COVENANTS REGARDING CONFIDENTIALITY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13.01. </w:t>
      </w:r>
      <w:r>
        <w:rPr>
          <w:rFonts w:ascii="Times New Roman" w:hAnsi="Times New Roman"/>
          <w:b w:val="false"/>
          <w:color w:val="000000"/>
          <w:sz w:val="24"/>
          <w:u w:val="single"/>
        </w:rPr>
        <w:t>Covenants of the Borrower, the Servicer, the Backup Servicer, the Account Bank and the Custodian</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Each of the Borrower, the Servicer, the Backup Servicer, the Account Bank and the Custodian severally and with respect to itself only, covenants and agrees to hold in confidence, and not disclose to any Person, the terms of this Agreement (including any fees payable in connection with this Agreement or the identity of a Lender under this Agreement), except as the Administrative Agent or any such Lender may have consented to in writing prior to any proposed disclosure and except it may disclose such information (i) to its Advisors, officers, directors, employees, agents, counsel, accountants, subservicers, auditors, advisors or representatives, (ii) to the extent such information has become available to the public other than as a result of a disclosure by or through the Borrower, the Servicer, the Backup Servicer, the Account Bank or the Custodian, (iii) to the Administrative Agent, the Lenders or their respective Affiliates or (iv) to the extent it is (a) required by Applicable Law (including filing a copy of this Agreement and the other Basic Documents (other than the Fee Letter and excluding from any such copy the identity of each Lender)) as exhibits to filings required to be made with the Securities and Exchange Commission, or in connection with any legal or regulatory proceeding, (b) requested by any Governmental Authority to disclose such information or (c) requested by any Rating Agency; provided, that, in the case of clause (iv)(a), the Borrower, the Servicer, the Backup Servicer, the Account Bank and the Custodian, as applicable, will use all reasonable efforts to maintain confidentiality and will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(unless otherwise prohibited by Applicable Law) notify the Lender of its intention to make any such disclosure prior to making such disclosure.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13.02. </w:t>
      </w:r>
      <w:r>
        <w:rPr>
          <w:rFonts w:ascii="Times New Roman" w:hAnsi="Times New Roman"/>
          <w:b w:val="false"/>
          <w:color w:val="000000"/>
          <w:sz w:val="24"/>
          <w:u w:val="single"/>
        </w:rPr>
        <w:t>Covenants of the Administrative Agent and the Lenders</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Each of the Administrative Agent and each Lender covenants and agrees that it will not disclose any of the Confidential Information now or hereafter received or obtained by it without the Borrower’s prior written consent; provided, however, that it may disclose any such Confidential Information to those of its employees or Affiliates directly involved in the transactions contemplated by the Basic Documents or to the Rating Agencies.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of the Administrative Agent and each Lender may also disclose any such Confidential Information to its Advisors who need to know such information for the purpose of assisting it in connection with the transactions contemplated by the Basic Documents. Each of the Administrative Agent and each Lender agrees to be responsible for any breach of this Agreement by its Affiliates and Advisors, and it agrees that its Affiliates and Advisors will be advised by it of the confidential nature of such information and that it shall cause its Affiliates to be bound by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None of the Administrative Agent, any Lender nor any of their respective Affiliates, employees, agents or Advisors, without the prior written consent of the Borrower, will disclose to any person the fact that Confidential Information has been provided to it or them, that discussions or negotiations have taken place with respect to the transactions contemplated by the Basic Documents, or the existence, terms, conditions or other facts of the transactions contemplated by the Basic Documents, including the status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of the Administrative Agent and each Lender acknowledges and agrees that any Confidential Information provided to it, in whatever form, is the sole property of the Borrower and UACC. Neither such Person nor its Affiliates or Advisors shall use any of the Confidential Information now or hereafter received or obtained from or through the Borrower, UACC or any of their respective Affiliates for any purpose other than for purposes of engaging in, or as otherwise contemplated by, the transactions contemplated by the Basic Documents. The Administrative Agent and each Lender agree that if the Borrower and/or UACC should request that it destroy or return the Confidential Information, it shall return or destroy such Confidential Information as so directed; provided that it shall be permitted to retain only that portion of the Confidential Information, in accordance with the confidentiality obligations specified in this Agreement, that is necessary for purposes of documenting any due diligence review performed by it in connection with the Transaction.</w:t>
      </w:r>
    </w:p>
    <w:p>
      <w:pPr>
        <w:pStyle w:val="TextBody"/>
        <w:bidi w:val="0"/>
        <w:jc w:val="center"/>
        <w:rPr>
          <w:rFonts w:ascii="Times New Roman" w:hAnsi="Times New Roman"/>
          <w:color w:val="000000"/>
          <w:sz w:val="24"/>
        </w:rPr>
      </w:pPr>
      <w:r>
        <w:rPr>
          <w:rFonts w:ascii="Times New Roman" w:hAnsi="Times New Roman"/>
          <w:color w:val="000000"/>
          <w:sz w:val="24"/>
        </w:rPr>
        <w:t>134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of the Administrative Agent and each Lender acknowledges that all Confidential Information is considered to be proprietary and of competitive value, and in many instances trade secrets. Each of the Administrative Agent and each Lender agrees that because of the unique nature of the Confidential Information any breach of this Agreement would cause the Borrower, UACC and their respective Affiliates irreparable harm and money damages and other remedies available at law in the event of a breach would not be adequate to compensate the Borrower, UACC and their Affiliates for any such breach. Accordingly, each of the Administrative Agent and each Lender acknowledges and agrees that the Borrower, UACC and their respective Affiliates shall be entitled, without the requirement of posting a bond or other security, to equitable relief, including injunctive relief and specific performance, as a remedy for any such breach. Such relief shall be in addition to, and not in lieu of, all other remedies available to the Borrower, UACC and their respective Affiliates whether at law or in equity.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Administrative Agent, a Lender or any of their respective Affiliates or Advisors are legally compelled (whether by deposition, interrogatory, request for documents, subpoena, civil investigation, demand or similar process) to disclose any of the Confidential Information (including the fact that discussions or negotiations took place with respect to the transactions contemplated by the Basic Documents), the related entity shall promptly notify the Borrower and UACC in writing (unless it has been advised by an Opinion of Counsel that such notification is prohibited by Applicable Law or regulation) of such requirement so that the Borrower and/or UACC, at their sole cost and expense, may seek a protective order or other appropriate remedy and/or waive compliance with the provisions hereof. The Administrative Agent and each Lender agrees to use its reasonable efforts, upon the written request of the Borrower or UACC, to obtain or assist the Borrower or the Servicer in obtaining any such protective order. Failing the reasonably timely entry of a protective order or the reasonably timely receipt of a waiver hereunder, it may disclose, without liability hereunder, that portion (and only that portion) of the Confidential Information that it has been advised by an Opinion of Counsel that it is legally compelled to disclose; provided that it agrees to use reasonable efforts to obtain assurance that confidential treatment will be accorded such Confidential Information by the person or persons to whom it was disclosed.</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it is understood that the Administrative Agent and each Lender or its Affiliates may be required to disclose (and may so disclose, without liability hereunder, provided that it complies with the following sentence) the Confidential Information or portions thereof at the request of a bank examiner or other regulatory authority or in connection with an examination of it or its Affiliates by a bank examiner or other regulatory authority, including in connection with the regulator compliance policy of Administrative Agent or any Lender. Under such circumstances, the related entity agrees to provide notice to the Borrower and UACC as soon as practicable in connection with (and, if possible, before) releasing the Confidential Information to the bank examiner or other regulatory authority pursuant to such request or examination.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understood and agreed that no failure or delay by the Borrower, the Servicer, the Backup Servicer, the Account Bank, the Custodian, the Administrative Agent or any Lender in exercising any right, power or privilege hereunder shall operate as a waiver thereof, nor shall any single or partial exercise thereof preclude any other or further exercise thereof or the exercise of any right, power or privilege hereunder.</w:t>
      </w:r>
    </w:p>
    <w:p>
      <w:pPr>
        <w:pStyle w:val="TextBody"/>
        <w:bidi w:val="0"/>
        <w:jc w:val="center"/>
        <w:rPr>
          <w:rFonts w:ascii="Times New Roman" w:hAnsi="Times New Roman"/>
          <w:color w:val="000000"/>
          <w:sz w:val="24"/>
        </w:rPr>
      </w:pPr>
      <w:r>
        <w:rPr>
          <w:rFonts w:ascii="Times New Roman" w:hAnsi="Times New Roman"/>
          <w:color w:val="000000"/>
          <w:sz w:val="24"/>
        </w:rPr>
        <w:t>135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13.03 </w:t>
      </w:r>
      <w:r>
        <w:rPr>
          <w:rFonts w:ascii="Times New Roman" w:hAnsi="Times New Roman"/>
          <w:b w:val="false"/>
          <w:color w:val="000000"/>
          <w:sz w:val="24"/>
          <w:u w:val="single"/>
        </w:rPr>
        <w:t>Non-Confidentiality of Tax Treatment and Tax Structure</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Notwithstanding anything to the contrary contained herein or in any document related to the transactions contemplated hereby, in connection with Treasury Regulations Section 1.6011-4T, Section 301.6111-1T and Section 301.6112-1T of the Code, the parties hereby agree that, from the commencement of discussions with respect to the transactions described herein, each party hereto (and each of its employees, representatives, Advisors, Affiliates or agents) is permitted to disclose to any and all persons of any kind, the tax structure and tax treatment of the transactions, and all materials of any kind (including opinions or other tax analyses) that are provided to each such party related to such tax structure and tax treatment. In this regard, each party hereto acknowledges and agrees that this disclosure of the tax structure or tax treatment of the transactions is not limited in any way by an express or implied understanding or agreement, oral or written (whether or not such understanding or agreement is legally binding).</w:t>
      </w:r>
      <w:r>
        <w:rPr>
          <w:rFonts w:ascii="Times New Roman" w:hAnsi="Times New Roman"/>
          <w:color w:val="000000"/>
          <w:sz w:val="20"/>
        </w:rPr>
        <w:t xml:space="preserve"> </w:t>
      </w:r>
    </w:p>
    <w:p>
      <w:pPr>
        <w:pStyle w:val="Heading1"/>
        <w:bidi w:val="0"/>
        <w:spacing w:before="0" w:after="240"/>
        <w:jc w:val="center"/>
        <w:rPr>
          <w:rFonts w:ascii="Times New Roman" w:hAnsi="Times New Roman"/>
          <w:sz w:val="20"/>
        </w:rPr>
      </w:pPr>
      <w:r>
        <w:rPr>
          <w:rFonts w:ascii="Times New Roman" w:hAnsi="Times New Roman"/>
          <w:b w:val="false"/>
          <w:color w:val="000000"/>
          <w:sz w:val="24"/>
        </w:rPr>
        <w:t>ARTICLE FOURTEEN</w:t>
      </w:r>
      <w:r>
        <w:rPr>
          <w:rFonts w:ascii="Times New Roman" w:hAnsi="Times New Roman"/>
          <w:color w:val="000000"/>
          <w:sz w:val="24"/>
        </w:rPr>
        <w:br/>
        <w:br/>
      </w:r>
      <w:r>
        <w:rPr>
          <w:rFonts w:ascii="Times New Roman" w:hAnsi="Times New Roman"/>
          <w:b w:val="false"/>
          <w:color w:val="000000"/>
          <w:sz w:val="24"/>
        </w:rPr>
        <w:t>MISCELLANEOUS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14.01. </w:t>
      </w:r>
      <w:r>
        <w:rPr>
          <w:rFonts w:ascii="Times New Roman" w:hAnsi="Times New Roman"/>
          <w:b w:val="false"/>
          <w:color w:val="000000"/>
          <w:sz w:val="24"/>
          <w:u w:val="single"/>
        </w:rPr>
        <w:t>Amendments and Waivers</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 xml:space="preserve">No failure or delay by the Administrative Agent or a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each Lender hereunder are cumulative and are not exclusive of any rights or remedies that they would otherwise have. No waiver of any provision of this Agreement or consent to any departure by the Borrower therefrom shall in any event be effective unless the same shall be permitted by Section 14.01(b), and then such waiver or consent shall be effective only in the specific instance and for the purpose for which given. Without limiting the generality of the foregoing, the making of a Loan shall not be construed as a waiver of any Termination Event or Unmatured Termination Event, regardless of whether the Administrative Agent or any Lender may have had notice or knowledge of such Termination Event or Unmatured Termination Event at the time. </w:t>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 xml:space="preserve">Neither this Agreement nor any provision hereof may be amended or modified except pursuant to an agreement or agreements in writing entered into by the Borrower and the Administrative Agent; provided, that no such agreement shall, without the written consent of: </w:t>
      </w:r>
    </w:p>
    <w:p>
      <w:pPr>
        <w:pStyle w:val="TextBody"/>
        <w:bidi w:val="0"/>
        <w:jc w:val="lef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Required Lenders, (1) amend any provision of Section 2.08, (2) amend any provision of Schedule B or (3) reduce the principal or the rate of Interest on any Loans Outstanding or any fees or other amounts payable hereunder or under any other Basic Documents, and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Lenders, (1) change any provision of this Section or the definitions of “Required Lenders”, “Commitment Termination Event”, “Termination Event” or “Servicer Termination Event” or any other provision hereof specifying the number or percentage of Lenders required to amend, waive, or otherwise modify any rights hereunder or make any </w:t>
      </w:r>
    </w:p>
    <w:p>
      <w:pPr>
        <w:pStyle w:val="TextBody"/>
        <w:bidi w:val="0"/>
        <w:jc w:val="center"/>
        <w:rPr>
          <w:rFonts w:ascii="Times New Roman" w:hAnsi="Times New Roman"/>
          <w:color w:val="000000"/>
          <w:sz w:val="24"/>
        </w:rPr>
      </w:pPr>
      <w:r>
        <w:rPr>
          <w:rFonts w:ascii="Times New Roman" w:hAnsi="Times New Roman"/>
          <w:color w:val="000000"/>
          <w:sz w:val="24"/>
        </w:rPr>
        <w:t>136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determination or grant any consent hereunder or (2) amend or change the definition of “Advance Rate”, “Annualized Default Ratio”, “Annualized Net Loss Ratio”, “Borrowing Base”, “Concentration Limits”, “Delinquency Ratio”, “UACC Excess Spread Percentage”, “Vroom Excess Spread Percentage”, “Extension Ratio”, "Final Maturity Date", “Overcollateralization Increase Events”, “Reserve Account Required Amount”, “Serviced Portfolio Annualized Default Ratio, “Serviced Portfolio Annualized Net Loss Ratio”, “Serviced Portfolio Delinquency Ratio”, “Serviced Portfolio Extension Ratio” or any provision of this Agreement that uses any of the foregoing terms;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further, that no such agreement shall amend, modify or otherwise affect the rights, protections or duties of the Servicer, the Custodian, the Backup Servicer, the Owner Trustee, the Account Bank or any Hedge Counterparty hereunder without the prior written consent of the Servicer, the Custodian, the Backup Servicer, the Owner Trustee, the Account Bank or any Hedge Counterparty, as the case may be.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Neither this Agreement nor any provision hereof may be waived except pursuant to an agreement or agreements in writing entered into by the Administrative Agent; provided, that no such agreement shall, without the written consent of (i) the Required Lenders, waive any condition set forth in Section 4.02 or (ii) the Servicer, the Custodian, the Backup Servicer, the Owner Trustee, the Account Bank or any Hedge Counterparty, waive its respective rights, protections or duties hereunder.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to the execution of any amendment, modification or waiver to this Agreement or any other Basic Document, the Borrower shall deliver an Opinion of Counsel or an Officer’s Certificate to the Administrative Agent stating that such amendment, modification or waiver without the prior written consent of the Servicer, the Custodian, the Backup Servicer, the Account Bank or any Hedge Counterparty will not affect the rights, protections or duties of each such party. The Borrower shall provide a copy of each executed amendment, waiver or other modification to the Servicer, the Custodian, the Backup Servicer, the Account Bank and each Hedge Counterparty.</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14.02</w:t>
      </w:r>
      <w:r>
        <w:rPr>
          <w:rFonts w:ascii="Times New Roman" w:hAnsi="Times New Roman"/>
          <w:color w:val="000000"/>
          <w:sz w:val="20"/>
          <w:u w:val="single"/>
        </w:rPr>
        <w:t xml:space="preserve"> </w:t>
      </w:r>
      <w:r>
        <w:rPr>
          <w:rFonts w:ascii="Times New Roman" w:hAnsi="Times New Roman"/>
          <w:b w:val="false"/>
          <w:color w:val="000000"/>
          <w:sz w:val="24"/>
          <w:u w:val="single"/>
        </w:rPr>
        <w:t>Notices, Etc.</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All notices and other communications provided for hereunder shall, unless otherwise stated herein, be in writing (including telex communication and communication by facsimile copy) and e-mailed, mailed, telexed, transmitted or delivered, as to each party hereto, at its address set forth under its name on the signature pages hereof or specified in such party’s Assignment and Acceptance or at such other address as shall be designated by such party in a written notice to the other parties hereto. All such notices and communications shall be effective, upon receipt, or in the case of notice by (i) mail, five days after being deposited in the United States mail, first class postage prepaid, (ii) telex, when telexed against receipt of answer back, (iii) facsimile copy, when verbal communication of receipt is obtained or (iv) e-mail, when receipt is confirmed by telephone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or by reply e-mail from the recipient, except that notices and communications pursuant to Article Two shall not be effective until received with respect to any notice sent by mail or telex.</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14.03.</w:t>
      </w:r>
      <w:r>
        <w:rPr>
          <w:rFonts w:ascii="Times New Roman" w:hAnsi="Times New Roman"/>
          <w:color w:val="000000"/>
          <w:sz w:val="20"/>
          <w:u w:val="single"/>
        </w:rPr>
        <w:t xml:space="preserve"> </w:t>
      </w:r>
      <w:r>
        <w:rPr>
          <w:rFonts w:ascii="Times New Roman" w:hAnsi="Times New Roman"/>
          <w:b w:val="false"/>
          <w:color w:val="000000"/>
          <w:sz w:val="24"/>
          <w:u w:val="single"/>
        </w:rPr>
        <w:t>No Waiver, Rights and Remedies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No failure on the part of the Administrative Agent or any Secured Party or any assignee of any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Applicable Law.</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14.04.</w:t>
      </w:r>
      <w:r>
        <w:rPr>
          <w:rFonts w:ascii="Times New Roman" w:hAnsi="Times New Roman"/>
          <w:color w:val="000000"/>
          <w:sz w:val="20"/>
          <w:u w:val="single"/>
        </w:rPr>
        <w:t xml:space="preserve"> </w:t>
      </w:r>
      <w:r>
        <w:rPr>
          <w:rFonts w:ascii="Times New Roman" w:hAnsi="Times New Roman"/>
          <w:b w:val="false"/>
          <w:color w:val="000000"/>
          <w:sz w:val="24"/>
          <w:u w:val="single"/>
        </w:rPr>
        <w:t>Binding Effect</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This Agreement shall be binding upon and inure to the benefit of the Borrower, the Servicer, the Backup Servicer, the Owner Trustee, the Account Bank, the Custodian, the Administrative Agent, the Secured Parties and their respective successors and permitted assigns and each Hedge Counterparty shall be an express third-party beneficiary of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14.05.</w:t>
      </w:r>
      <w:r>
        <w:rPr>
          <w:rFonts w:ascii="Times New Roman" w:hAnsi="Times New Roman"/>
          <w:color w:val="000000"/>
          <w:sz w:val="20"/>
          <w:u w:val="single"/>
        </w:rPr>
        <w:t xml:space="preserve"> </w:t>
      </w:r>
      <w:r>
        <w:rPr>
          <w:rFonts w:ascii="Times New Roman" w:hAnsi="Times New Roman"/>
          <w:b w:val="false"/>
          <w:color w:val="000000"/>
          <w:sz w:val="24"/>
          <w:u w:val="single"/>
        </w:rPr>
        <w:t>Term of this Agreement</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This Agreement shall remain in full force and effect until the Facility Termination Date; provided, however, that the rights and remedies with respect to any breach of any representation and warranty made or deemed made by the Borrower pursuant to Article Five and the indemnification and payment provisions of Article Ten, the confidentiality provisions of Article Thirteen, the provisions of Section 14.10 and any other provision of this Agreement expressly stated to survive, shall be continuing and shall survive any termination of this Agreement.</w:t>
      </w:r>
    </w:p>
    <w:p>
      <w:pPr>
        <w:pStyle w:val="Heading2"/>
        <w:bidi w:val="0"/>
        <w:spacing w:before="0" w:after="240"/>
        <w:jc w:val="both"/>
        <w:rPr>
          <w:rFonts w:ascii="Times New Roman" w:hAnsi="Times New Roman"/>
          <w:sz w:val="20"/>
        </w:rPr>
      </w:pPr>
      <w:r>
        <w:rPr>
          <w:rFonts w:ascii="Times New Roman" w:hAnsi="Times New Roman"/>
          <w:color w:val="000000"/>
          <w:sz w:val="24"/>
        </w:rPr>
        <w:t xml:space="preserve">Section 14.06. </w:t>
      </w:r>
      <w:r>
        <w:rPr>
          <w:rFonts w:ascii="Times New Roman" w:hAnsi="Times New Roman"/>
          <w:color w:val="000000"/>
          <w:sz w:val="24"/>
          <w:u w:val="single"/>
        </w:rPr>
        <w:t>GOVERNING LAW; CONSENT TO JURISDICTION; WAIVER OF OBJECTION TO VENUE</w:t>
      </w:r>
    </w:p>
    <w:p>
      <w:pPr>
        <w:pStyle w:val="Heading2"/>
        <w:bidi w:val="0"/>
        <w:spacing w:before="0" w:after="240"/>
        <w:jc w:val="both"/>
        <w:rPr>
          <w:rFonts w:ascii="Times New Roman" w:hAnsi="Times New Roman"/>
          <w:color w:val="000000"/>
          <w:sz w:val="24"/>
        </w:rPr>
      </w:pPr>
      <w:r>
        <w:rPr>
          <w:rFonts w:ascii="Times New Roman" w:hAnsi="Times New Roman"/>
          <w:color w:val="000000"/>
          <w:sz w:val="24"/>
        </w:rPr>
        <w:t>THIS AGREEMENT SHALL BE GOVERNED BY, AND CONSTRUED IN ACCORDANCE WITH, THE LAWS OF THE STATE OF NEW YORK WITHOUT REFERENCE TO ITS CONFLICTS OF LAW PROVISIONS (OTHER THAN § 5</w:t>
        <w:noBreakHyphen/>
        <w:t>1401 AND § 5</w:t>
        <w:noBreakHyphen/>
        <w:t>1402 OF THE NEW YORK GENERAL OBLIGATIONS LAW). EACH OF THE PARTIES HERETO HEREBY AGREES TO THE NON-EXCLUSIVE JURISDICTION OF ANY FEDERAL COURT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pStyle w:val="Heading2"/>
        <w:bidi w:val="0"/>
        <w:spacing w:before="0" w:after="240"/>
        <w:jc w:val="both"/>
        <w:rPr>
          <w:rFonts w:ascii="Times New Roman" w:hAnsi="Times New Roman"/>
          <w:sz w:val="20"/>
        </w:rPr>
      </w:pPr>
      <w:r>
        <w:rPr>
          <w:rFonts w:ascii="Times New Roman" w:hAnsi="Times New Roman"/>
          <w:color w:val="000000"/>
          <w:sz w:val="24"/>
        </w:rPr>
        <w:t xml:space="preserve">Section 14.07. </w:t>
      </w:r>
      <w:r>
        <w:rPr>
          <w:rFonts w:ascii="Times New Roman" w:hAnsi="Times New Roman"/>
          <w:color w:val="000000"/>
          <w:sz w:val="24"/>
          <w:u w:val="single"/>
        </w:rPr>
        <w:t>WAIVER OF JURY TRIAL</w:t>
      </w:r>
    </w:p>
    <w:p>
      <w:pPr>
        <w:pStyle w:val="Heading2"/>
        <w:bidi w:val="0"/>
        <w:spacing w:before="0" w:after="240"/>
        <w:jc w:val="both"/>
        <w:rPr>
          <w:rFonts w:ascii="Times New Roman" w:hAnsi="Times New Roman"/>
          <w:sz w:val="20"/>
        </w:rPr>
      </w:pPr>
      <w:r>
        <w:rPr>
          <w:rFonts w:ascii="Times New Roman" w:hAnsi="Times New Roman"/>
          <w:color w:val="000000"/>
          <w:sz w:val="24"/>
        </w:rPr>
        <w:t>TO THE EXTENT PERMITTED BY APPLICABLE LAW, EACH OF THE PARTIES HERETO WAIVES ANY RIGHT TO HAVE A JURY PARTICIPATE IN RESOLVING ANY DISPUTE, WHETHER SOUNDING IN CONTRACT, TORT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color w:val="000000"/>
          <w:sz w:val="24"/>
        </w:rPr>
      </w:pPr>
      <w:r>
        <w:rPr>
          <w:rFonts w:ascii="Times New Roman" w:hAnsi="Times New Roman"/>
          <w:color w:val="000000"/>
          <w:sz w:val="24"/>
        </w:rPr>
        <w:t>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14.08.</w:t>
      </w:r>
      <w:r>
        <w:rPr>
          <w:rFonts w:ascii="Times New Roman" w:hAnsi="Times New Roman"/>
          <w:color w:val="000000"/>
          <w:sz w:val="20"/>
          <w:u w:val="single"/>
        </w:rPr>
        <w:t xml:space="preserve"> </w:t>
      </w:r>
      <w:r>
        <w:rPr>
          <w:rFonts w:ascii="Times New Roman" w:hAnsi="Times New Roman"/>
          <w:b w:val="false"/>
          <w:color w:val="000000"/>
          <w:sz w:val="24"/>
          <w:u w:val="single"/>
        </w:rPr>
        <w:t>Costs and Expenses</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In addition to the rights of indemnification granted to the Administrative Agent, the Backup Servicer, the Account Bank, the Secured Parties and its or their Affiliates and officers, directors, employees and agents thereof under Article Ten, the Borrower agrees to pay on demand all reasonable costs and expenses of the Administrative Agent, the Backup Servicer, the Account Bank and the Secured Parties incurred in connection with the administration (including periodic auditing), amendment or modification of, or any waiver or consent issued in connection with, this Agreement and the other documents to be delivered hereunder or in connection herewith, including, subject to any agreed upon cap between the Borrower and the Administrative Agent, the reasonable fees and out-of-pocket expenses of counsel for the Backup Servicer, the Account Bank, the Administrative Agent and the Secured Parties with respect thereto and with respect to advising such entities as to their respective rights and remedies under this Agreement and the other documents to be delivered hereunder or in connection herewith, and all costs and expenses, if any (including reasonable counsel fees and expenses), incurred by such entities in connection with the enforcement of this Agreement and the other documents to be delivered hereunder or in connection herewith. This Section 14.08 shall not apply with respect to Taxes other than any Taxes that represent losses, claims, damages, etc., arising from any non-Tax claim.</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14.09. </w:t>
      </w:r>
      <w:r>
        <w:rPr>
          <w:rFonts w:ascii="Times New Roman" w:hAnsi="Times New Roman"/>
          <w:b w:val="false"/>
          <w:color w:val="000000"/>
          <w:sz w:val="24"/>
          <w:u w:val="single"/>
        </w:rPr>
        <w:t>No Insolvency Proceedings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rFonts w:ascii="Times New Roman" w:hAnsi="Times New Roman"/>
          <w:color w:val="000000"/>
          <w:sz w:val="24"/>
        </w:rPr>
      </w:pPr>
      <w:r>
        <w:rPr>
          <w:rFonts w:ascii="Times New Roman" w:hAnsi="Times New Roman"/>
          <w:color w:val="000000"/>
          <w:sz w:val="24"/>
        </w:rPr>
        <w:t>Notwithstanding any prior termination of this Agreement, no Lender shall, prior to the date which is one year and one day after the final payment of the Aggregate Unpaids, petition, cooperate with or encourage any other Person in petitioning or otherwise invoke the process of any Governmental Authority for the purpose of commencing or sustaining an Insolvency Proceeding against the Borrower under any United States federal or State Insolvency Laws or appointing a receiver, liquidator, assignee, trustee, custodian, sequestrator or other similar official of the Borrower or any substantial part of its property or ordering the winding up or liquidation of the affairs of the Borrower.</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139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Section 14.10. </w:t>
      </w:r>
      <w:r>
        <w:rPr>
          <w:rFonts w:ascii="Times New Roman" w:hAnsi="Times New Roman"/>
          <w:b w:val="false"/>
          <w:color w:val="000000"/>
          <w:sz w:val="24"/>
          <w:u w:val="single"/>
        </w:rPr>
        <w:t>Recourse Against Certain Parties</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No recourse under or with respect to any obligation, covenant or agreement (including the payment of any fees or any other obligations) of the Administrative Agent or any Secured Party as contained in this Agreement or any other agreement, instrument or document entered into by it pursuant hereto or in connection herewith shall be had against any such Person or any manager or administrator of such Person or any incorporator, affiliate, stockholder, officer, employee or director of such Person or of the Borrower or of any such manager or administrator, as such, by the enforcement of any assessment or by any legal or equitable proceeding, by virtue of any statute or otherwise; it being expressly agreed and understood that the agreements of the Administrative Agent and any Secured Party contained in this Agreement and all of the other agreements, instruments and documents entered into by it pursuant hereto or in connection herewith are, in each case, solely the corporate obligations of such Person, and that no personal liability whatsoever shall attach to or be incurred by any administrator of any such Person or any incorporator, stockholder, affiliate, officer, employee or director of such Person or of any such administrator, as such, or any other of them, under or by reason of any of the obligations, covenants or agreements of such Person contained in this Agreement or in any other such instruments, documents or agreements, or that are implied therefrom, and that any and all personal liability of every such administrator of such Person and each incorporator, stockholder, affiliate, officer, employee or director of such Person or of any such administrator, or any of them, for breaches by such Person of any such obligations, covenants or agreements, which liability may arise either at common law or at equity, by statute or constitution, or otherwise, is hereby expressly waived as a condition of and in consideration for the execution of this Agreement. The provisions of this Section shall survive the termination of this Agreement.</w:t>
      </w:r>
    </w:p>
    <w:p>
      <w:pPr>
        <w:pStyle w:val="TextBody"/>
        <w:bidi w:val="0"/>
        <w:jc w:val="both"/>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The provisions of this Section shall survive the termination of this Agreement.</w:t>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14.11.</w:t>
      </w:r>
      <w:r>
        <w:rPr>
          <w:rFonts w:ascii="Times New Roman" w:hAnsi="Times New Roman"/>
          <w:color w:val="000000"/>
          <w:sz w:val="20"/>
          <w:u w:val="single"/>
        </w:rPr>
        <w:t xml:space="preserve"> </w:t>
      </w:r>
      <w:r>
        <w:rPr>
          <w:rFonts w:ascii="Times New Roman" w:hAnsi="Times New Roman"/>
          <w:b w:val="false"/>
          <w:color w:val="000000"/>
          <w:sz w:val="24"/>
          <w:u w:val="single"/>
        </w:rPr>
        <w:t>Limitations on Consequential, Indirect and Certain Other Damages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No claim can be made by the Borrower, UACC or any of their respective Affiliates against the Administrative Agent, any Secured Party or any of their respective Affiliates, directors, officers, employees, attorneys or agents for any special, indirect, consequential or punitive damages arising out of or related to the transactions contemplated by this Agreement or the other Basic Documents, or any act, omission or event occurring in connection therewith, and each of the Borrower and UACC, to the extent permitted by Applicable Law, hereby waives, releases and agrees not to bring any such claim for any such damages, whether or not accrued and whether or not known or suspected to exist in its favor.</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14.12.</w:t>
      </w:r>
      <w:r>
        <w:rPr>
          <w:rFonts w:ascii="Times New Roman" w:hAnsi="Times New Roman"/>
          <w:color w:val="000000"/>
          <w:sz w:val="20"/>
          <w:u w:val="single"/>
        </w:rPr>
        <w:t xml:space="preserve"> </w:t>
      </w:r>
      <w:r>
        <w:rPr>
          <w:rFonts w:ascii="Times New Roman" w:hAnsi="Times New Roman"/>
          <w:b w:val="false"/>
          <w:color w:val="000000"/>
          <w:sz w:val="24"/>
          <w:u w:val="single"/>
        </w:rPr>
        <w:t>AML Law Compliance</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The parties hereto acknowledge that in accordance with laws, 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107-56) and regulations promulgated by the Office of Foreign Asset Control (collectively, </w:t>
      </w:r>
      <w:r>
        <w:rPr>
          <w:rFonts w:ascii="Times New Roman" w:hAnsi="Times New Roman"/>
          <w:color w:val="000000"/>
          <w:sz w:val="20"/>
        </w:rPr>
        <w:t>“</w:t>
      </w:r>
      <w:r>
        <w:rPr>
          <w:rFonts w:ascii="Times New Roman" w:hAnsi="Times New Roman"/>
          <w:b w:val="false"/>
          <w:i/>
          <w:color w:val="000000"/>
          <w:sz w:val="24"/>
        </w:rPr>
        <w:t>AML Law”</w:t>
      </w:r>
      <w:r>
        <w:rPr>
          <w:rFonts w:ascii="Times New Roman" w:hAnsi="Times New Roman"/>
          <w:b w:val="false"/>
          <w:color w:val="000000"/>
          <w:sz w:val="24"/>
        </w:rPr>
        <w:t>), each of the Account Bank and Backup Servicer is required to obtain, verify, and record information relating to individuals and entities that establish a business relationship or open an account with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Account Bank or Backup Servicer. Each party hereby agrees that it shall provide the Account Bank and Backup Servicer with such identifying information and documentation as they may request from time to time in order to enable them to comply with all applicable requirements of AML Law.</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14.13.</w:t>
      </w:r>
      <w:r>
        <w:rPr>
          <w:rFonts w:ascii="Times New Roman" w:hAnsi="Times New Roman"/>
          <w:color w:val="000000"/>
          <w:sz w:val="20"/>
          <w:u w:val="single"/>
        </w:rPr>
        <w:t xml:space="preserve"> </w:t>
      </w:r>
      <w:r>
        <w:rPr>
          <w:rFonts w:ascii="Times New Roman" w:hAnsi="Times New Roman"/>
          <w:b w:val="false"/>
          <w:color w:val="000000"/>
          <w:sz w:val="24"/>
          <w:u w:val="single"/>
        </w:rPr>
        <w:t>Execution in Counterparts; Severability; Integration</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This Agreement may be executed in any number of counterparts and by different parties hereto in separate counterparts, each of which when so executed shall be deemed to be an original and all of which when taken together shall constitute one and the same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 contemplated hereby. This Agreement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w:t>
      </w:r>
      <w:r>
        <w:rPr>
          <w:rFonts w:ascii="Times New Roman" w:hAnsi="Times New Roman"/>
          <w:color w:val="000000"/>
          <w:sz w:val="20"/>
        </w:rPr>
        <w:t>“</w:t>
      </w:r>
      <w:r>
        <w:rPr>
          <w:rFonts w:ascii="Times New Roman" w:hAnsi="Times New Roman"/>
          <w:b w:val="false"/>
          <w:i/>
          <w:color w:val="000000"/>
          <w:sz w:val="24"/>
        </w:rPr>
        <w:t>Signature Law”</w:t>
      </w:r>
      <w:r>
        <w:rPr>
          <w:rFonts w:ascii="Times New Roman" w:hAnsi="Times New Roman"/>
          <w:b w:val="false"/>
          <w:color w:val="000000"/>
          <w:sz w:val="24"/>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and authentication of securities when required under the Uniform Commercial Code or other Signature Law due to the character or intended character of the writings.</w:t>
      </w:r>
    </w:p>
    <w:p>
      <w:pPr>
        <w:pStyle w:val="Heading2"/>
        <w:bidi w:val="0"/>
        <w:spacing w:before="0" w:after="240"/>
        <w:jc w:val="both"/>
        <w:rPr>
          <w:rFonts w:ascii="Times New Roman" w:hAnsi="Times New Roman"/>
          <w:sz w:val="20"/>
        </w:rPr>
      </w:pPr>
      <w:r>
        <w:rPr>
          <w:rFonts w:ascii="Times New Roman" w:hAnsi="Times New Roman"/>
          <w:b w:val="false"/>
          <w:color w:val="000000"/>
          <w:sz w:val="24"/>
        </w:rPr>
        <w:t>Section 14.14.</w:t>
      </w:r>
      <w:r>
        <w:rPr>
          <w:rFonts w:ascii="Times New Roman" w:hAnsi="Times New Roman"/>
          <w:color w:val="000000"/>
          <w:sz w:val="20"/>
          <w:u w:val="single"/>
        </w:rPr>
        <w:t xml:space="preserve"> </w:t>
      </w:r>
      <w:r>
        <w:rPr>
          <w:rFonts w:ascii="Times New Roman" w:hAnsi="Times New Roman"/>
          <w:b w:val="false"/>
          <w:color w:val="000000"/>
          <w:sz w:val="24"/>
          <w:u w:val="single"/>
        </w:rPr>
        <w:t>Limitation of Liability of Owner Trustee</w:t>
      </w:r>
    </w:p>
    <w:p>
      <w:pPr>
        <w:pStyle w:val="Heading2"/>
        <w:bidi w:val="0"/>
        <w:spacing w:before="0" w:after="240"/>
        <w:jc w:val="both"/>
        <w:rPr>
          <w:rFonts w:ascii="Times New Roman" w:hAnsi="Times New Roman"/>
          <w:sz w:val="20"/>
        </w:rPr>
      </w:pPr>
      <w:r>
        <w:rPr>
          <w:rFonts w:ascii="Times New Roman" w:hAnsi="Times New Roman"/>
          <w:b w:val="false"/>
          <w:color w:val="000000"/>
          <w:sz w:val="24"/>
        </w:rPr>
        <w:t>It is expressly understood and agreed by the parties hereto that (i) this Agreement is executed and delivered by [***], not individually or personally but solely as Owner Trustee of the Borrower, in the exercise of the powers and authority conferred and vested in it, (ii) each of the representations, undertakings and agreements herein made on the part of the Borrower is made and intended not as personal representations, undertakings and agreements by [***], but is made and intended for the purpose for binding only the Borrower, (iii) nothing herein contained shall be construed as creating any liability on [***], individually or personally, to perform any covenant either expressed or implied contained herein, all such liability, if any, being expressly waived by the parties hereto and by any Person claiming by, through or under the parties hereto, (iv) [***], has made no investigation as to the accuracy or completeness of any representations and warranties made by the Borrower in this Agreement, and (v) under no circumstances shall [***], be personally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liable for the payment of any indebtedness or expenses of the Borrower or be liable for the breach or failure of any obligation, representation, warranty or covenant made or undertaken by the Borrower under this Agreement or any other Basic Document.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142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have caused this Agreement to be executed by their respective officers thereunto duly authorized, as of the date first above written.</w:t>
      </w:r>
    </w:p>
    <w:tbl>
      <w:tblPr>
        <w:tblW w:w="8762" w:type="dxa"/>
        <w:jc w:val="left"/>
        <w:tblInd w:w="0" w:type="dxa"/>
        <w:tblLayout w:type="fixed"/>
        <w:tblCellMar>
          <w:top w:w="28" w:type="dxa"/>
          <w:left w:w="28" w:type="dxa"/>
          <w:bottom w:w="28" w:type="dxa"/>
          <w:right w:w="28" w:type="dxa"/>
        </w:tblCellMar>
      </w:tblPr>
      <w:tblGrid>
        <w:gridCol w:w="2206"/>
        <w:gridCol w:w="6556"/>
      </w:tblGrid>
      <w:tr>
        <w:trPr/>
        <w:tc>
          <w:tcPr>
            <w:tcW w:w="2206" w:type="dxa"/>
            <w:tcBorders/>
            <w:vAlign w:val="center"/>
          </w:tcPr>
          <w:p>
            <w:pPr>
              <w:pStyle w:val="TableContents"/>
              <w:bidi w:val="0"/>
              <w:spacing w:before="0" w:after="283"/>
              <w:jc w:val="left"/>
              <w:rPr>
                <w:sz w:val="4"/>
                <w:szCs w:val="4"/>
              </w:rPr>
            </w:pPr>
            <w:r>
              <w:rPr>
                <w:sz w:val="4"/>
                <w:szCs w:val="4"/>
              </w:rPr>
            </w:r>
          </w:p>
        </w:tc>
        <w:tc>
          <w:tcPr>
            <w:tcW w:w="655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BORROWER:</w:t>
            </w:r>
          </w:p>
        </w:tc>
        <w:tc>
          <w:tcPr>
            <w:tcW w:w="65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UACC AUTO FINANCING TRUST V</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By: [***], not in its individual capacity but solely as Owner Trustee</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By: [***], as its attorney-in-fact</w:t>
            </w:r>
          </w:p>
          <w:p>
            <w:pPr>
              <w:pStyle w:val="TableContents"/>
              <w:bidi w:val="0"/>
              <w:spacing w:before="480" w:after="283"/>
              <w:jc w:val="left"/>
              <w:rPr>
                <w:rFonts w:ascii="Times New Roman" w:hAnsi="Times New Roman"/>
                <w:color w:val="000000"/>
                <w:sz w:val="24"/>
              </w:rPr>
            </w:pPr>
            <w:r>
              <w:rPr>
                <w:rFonts w:ascii="Times New Roman" w:hAnsi="Times New Roman"/>
                <w:color w:val="000000"/>
                <w:sz w:val="24"/>
              </w:rPr>
              <w:t>By: /s/[***]</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 [***]</w:t>
              <w:br/>
              <w:t>Title: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Address for Notices:</w:t>
            </w:r>
          </w:p>
          <w:p>
            <w:pPr>
              <w:pStyle w:val="TableContents"/>
              <w:bidi w:val="0"/>
              <w:jc w:val="left"/>
              <w:rPr>
                <w:rFonts w:ascii="Times New Roman" w:hAnsi="Times New Roman"/>
                <w:color w:val="000000"/>
                <w:sz w:val="24"/>
              </w:rPr>
            </w:pPr>
            <w:r>
              <w:rPr>
                <w:rFonts w:ascii="Times New Roman" w:hAnsi="Times New Roman"/>
                <w:color w:val="000000"/>
                <w:sz w:val="24"/>
              </w:rPr>
              <w:t>UACC Auto Financing Trust V</w:t>
              <w:br/>
              <w:t>c/o [***]</w:t>
              <w:br/>
              <w:t xml:space="preserve">With a copy to: </w:t>
              <w:br/>
              <w:t>United Auto Credit Corporation</w:t>
              <w:br/>
              <w:t>1071 Camelback Street</w:t>
            </w:r>
          </w:p>
          <w:p>
            <w:pPr>
              <w:pStyle w:val="TableContents"/>
              <w:bidi w:val="0"/>
              <w:spacing w:before="0" w:after="480"/>
              <w:jc w:val="left"/>
              <w:rPr>
                <w:rFonts w:ascii="Times New Roman" w:hAnsi="Times New Roman"/>
                <w:color w:val="000000"/>
                <w:sz w:val="24"/>
              </w:rPr>
            </w:pPr>
            <w:r>
              <w:rPr>
                <w:rFonts w:ascii="Times New Roman" w:hAnsi="Times New Roman"/>
                <w:color w:val="000000"/>
                <w:sz w:val="24"/>
              </w:rPr>
              <w:t>Newport Beach, California 92660</w:t>
              <w:br/>
              <w:t>Attention: [***]</w:t>
              <w:br/>
              <w:t>Telephone No.: [***]</w:t>
              <w:br/>
              <w:t>Facsimile No.: [***]</w:t>
              <w:br/>
              <w:t>E-mail: [***]</w:t>
            </w:r>
          </w:p>
        </w:tc>
      </w:tr>
      <w:tr>
        <w:trPr/>
        <w:tc>
          <w:tcPr>
            <w:tcW w:w="22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SERVICER</w:t>
              <w:br/>
              <w:t>AND CUSTODIAN:</w:t>
            </w:r>
          </w:p>
        </w:tc>
        <w:tc>
          <w:tcPr>
            <w:tcW w:w="65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UNITED AUTO CREDIT CORPORATION</w:t>
            </w:r>
          </w:p>
          <w:p>
            <w:pPr>
              <w:pStyle w:val="TableContents"/>
              <w:bidi w:val="0"/>
              <w:spacing w:before="720" w:after="283"/>
              <w:jc w:val="left"/>
              <w:rPr>
                <w:rFonts w:ascii="Times New Roman" w:hAnsi="Times New Roman"/>
                <w:color w:val="000000"/>
                <w:sz w:val="24"/>
              </w:rPr>
            </w:pPr>
            <w:r>
              <w:rPr>
                <w:rFonts w:ascii="Times New Roman" w:hAnsi="Times New Roman"/>
                <w:color w:val="000000"/>
                <w:sz w:val="24"/>
              </w:rPr>
              <w:t>By: /s/[***]</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 [***]</w:t>
              <w:br/>
              <w:t>Title: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Address for Notices:</w:t>
            </w:r>
          </w:p>
          <w:p>
            <w:pPr>
              <w:pStyle w:val="TableContents"/>
              <w:bidi w:val="0"/>
              <w:jc w:val="left"/>
              <w:rPr>
                <w:rFonts w:ascii="Times New Roman" w:hAnsi="Times New Roman"/>
                <w:color w:val="000000"/>
                <w:sz w:val="24"/>
              </w:rPr>
            </w:pPr>
            <w:r>
              <w:rPr>
                <w:rFonts w:ascii="Times New Roman" w:hAnsi="Times New Roman"/>
                <w:color w:val="000000"/>
                <w:sz w:val="24"/>
              </w:rPr>
              <w:t>United Auto Credit Corporation</w:t>
              <w:br/>
              <w:t>1071 Camelback Street</w:t>
            </w:r>
          </w:p>
          <w:p>
            <w:pPr>
              <w:pStyle w:val="TableContents"/>
              <w:bidi w:val="0"/>
              <w:spacing w:before="0" w:after="480"/>
              <w:jc w:val="left"/>
              <w:rPr>
                <w:rFonts w:ascii="Times New Roman" w:hAnsi="Times New Roman"/>
                <w:color w:val="000000"/>
                <w:sz w:val="24"/>
              </w:rPr>
            </w:pPr>
            <w:r>
              <w:rPr>
                <w:rFonts w:ascii="Times New Roman" w:hAnsi="Times New Roman"/>
                <w:color w:val="000000"/>
                <w:sz w:val="24"/>
              </w:rPr>
              <w:t>Newport Beach, California 92660</w:t>
              <w:br/>
              <w:t>Attention: [***]</w:t>
              <w:br/>
              <w:t>Telephone No.: [***]</w:t>
              <w:br/>
              <w:t>Facsimile No.: [***]</w:t>
              <w:br/>
              <w:t>E-mail: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052" w:type="dxa"/>
        <w:jc w:val="left"/>
        <w:tblInd w:w="0" w:type="dxa"/>
        <w:tblLayout w:type="fixed"/>
        <w:tblCellMar>
          <w:top w:w="28" w:type="dxa"/>
          <w:left w:w="28" w:type="dxa"/>
          <w:bottom w:w="28" w:type="dxa"/>
          <w:right w:w="28" w:type="dxa"/>
        </w:tblCellMar>
      </w:tblPr>
      <w:tblGrid>
        <w:gridCol w:w="5596"/>
        <w:gridCol w:w="4456"/>
      </w:tblGrid>
      <w:tr>
        <w:trPr/>
        <w:tc>
          <w:tcPr>
            <w:tcW w:w="559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5596" w:type="dxa"/>
            <w:tcBorders/>
            <w:tcMar>
              <w:top w:w="0" w:type="dxa"/>
              <w:left w:w="0" w:type="dxa"/>
              <w:bottom w:w="0" w:type="dxa"/>
              <w:right w:w="0" w:type="dxa"/>
            </w:tcMar>
            <w:vAlign w:val="center"/>
          </w:tcPr>
          <w:p>
            <w:pPr>
              <w:pStyle w:val="TableContents"/>
              <w:bidi w:val="0"/>
              <w:spacing w:before="0" w:after="240"/>
              <w:jc w:val="left"/>
              <w:rPr/>
            </w:pPr>
            <w:r>
              <w:rPr/>
              <w:t> </w:t>
            </w:r>
          </w:p>
        </w:tc>
        <w:tc>
          <w:tcPr>
            <w:tcW w:w="4456" w:type="dxa"/>
            <w:tcBorders/>
            <w:tcMar>
              <w:top w:w="0" w:type="dxa"/>
              <w:left w:w="0" w:type="dxa"/>
              <w:bottom w:w="0" w:type="dxa"/>
              <w:right w:w="0" w:type="dxa"/>
            </w:tcMar>
            <w:vAlign w:val="center"/>
          </w:tcPr>
          <w:p>
            <w:pPr>
              <w:pStyle w:val="TableContents"/>
              <w:bidi w:val="0"/>
              <w:spacing w:before="0" w:after="480"/>
              <w:jc w:val="left"/>
              <w:rPr/>
            </w:pPr>
            <w:r>
              <w:rPr/>
              <w:t> </w:t>
            </w:r>
          </w:p>
        </w:tc>
      </w:tr>
      <w:tr>
        <w:trPr/>
        <w:tc>
          <w:tcPr>
            <w:tcW w:w="559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BACKUP SERVICER AND ACCOUNT BANK:</w:t>
            </w:r>
          </w:p>
        </w:tc>
        <w:tc>
          <w:tcPr>
            <w:tcW w:w="44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as Backup Servicer and Account Bank</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 [***], as its attorney-in-fact</w:t>
            </w:r>
          </w:p>
          <w:p>
            <w:pPr>
              <w:pStyle w:val="TableContents"/>
              <w:bidi w:val="0"/>
              <w:spacing w:before="720" w:after="283"/>
              <w:jc w:val="left"/>
              <w:rPr>
                <w:rFonts w:ascii="Times New Roman" w:hAnsi="Times New Roman"/>
                <w:color w:val="000000"/>
                <w:sz w:val="24"/>
              </w:rPr>
            </w:pPr>
            <w:r>
              <w:rPr>
                <w:rFonts w:ascii="Times New Roman" w:hAnsi="Times New Roman"/>
                <w:color w:val="000000"/>
                <w:sz w:val="24"/>
              </w:rPr>
              <w:t>By: /s/[***]</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 [***]</w:t>
              <w:br/>
              <w:t>Title: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Address for Notices:</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spacing w:before="0" w:after="283"/>
              <w:jc w:val="left"/>
              <w:rPr/>
            </w:pPr>
            <w:r>
              <w:rPr/>
              <w:t> </w:t>
            </w:r>
          </w:p>
        </w:tc>
      </w:tr>
      <w:tr>
        <w:trPr/>
        <w:tc>
          <w:tcPr>
            <w:tcW w:w="5596" w:type="dxa"/>
            <w:tcBorders/>
            <w:tcMar>
              <w:top w:w="0" w:type="dxa"/>
              <w:left w:w="0" w:type="dxa"/>
              <w:bottom w:w="0" w:type="dxa"/>
              <w:right w:w="0" w:type="dxa"/>
            </w:tcMar>
            <w:vAlign w:val="center"/>
          </w:tcPr>
          <w:p>
            <w:pPr>
              <w:pStyle w:val="TableContents"/>
              <w:bidi w:val="0"/>
              <w:spacing w:before="0" w:after="240"/>
              <w:jc w:val="left"/>
              <w:rPr/>
            </w:pPr>
            <w:r>
              <w:rPr/>
              <w:t> </w:t>
            </w:r>
          </w:p>
        </w:tc>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Times New Roman" w:hAnsi="Times New Roman"/>
          <w:i/>
          <w:color w:val="000000"/>
          <w:sz w:val="20"/>
        </w:rPr>
      </w:pPr>
      <w:r>
        <w:rPr>
          <w:rFonts w:ascii="Times New Roman" w:hAnsi="Times New Roman"/>
          <w:i/>
          <w:color w:val="000000"/>
          <w:sz w:val="20"/>
        </w:rPr>
        <w:t>Warehouse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782" w:type="dxa"/>
        <w:jc w:val="left"/>
        <w:tblInd w:w="0" w:type="dxa"/>
        <w:tblLayout w:type="fixed"/>
        <w:tblCellMar>
          <w:top w:w="28" w:type="dxa"/>
          <w:left w:w="28" w:type="dxa"/>
          <w:bottom w:w="28" w:type="dxa"/>
          <w:right w:w="28" w:type="dxa"/>
        </w:tblCellMar>
      </w:tblPr>
      <w:tblGrid>
        <w:gridCol w:w="3706"/>
        <w:gridCol w:w="3076"/>
      </w:tblGrid>
      <w:tr>
        <w:trPr/>
        <w:tc>
          <w:tcPr>
            <w:tcW w:w="370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ADMINISTRATIVE AGENT:</w:t>
            </w:r>
          </w:p>
        </w:tc>
        <w:tc>
          <w:tcPr>
            <w:tcW w:w="30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as Administrative Agent</w:t>
            </w:r>
          </w:p>
          <w:p>
            <w:pPr>
              <w:pStyle w:val="TableContents"/>
              <w:bidi w:val="0"/>
              <w:spacing w:before="720" w:after="283"/>
              <w:jc w:val="left"/>
              <w:rPr>
                <w:rFonts w:ascii="Times New Roman" w:hAnsi="Times New Roman"/>
                <w:color w:val="000000"/>
                <w:sz w:val="24"/>
              </w:rPr>
            </w:pPr>
            <w:r>
              <w:rPr>
                <w:rFonts w:ascii="Times New Roman" w:hAnsi="Times New Roman"/>
                <w:color w:val="000000"/>
                <w:sz w:val="24"/>
              </w:rPr>
              <w:t>By: /s/[***]</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 [***]</w:t>
              <w:br/>
              <w:t>Title: [***]</w:t>
            </w:r>
          </w:p>
          <w:p>
            <w:pPr>
              <w:pStyle w:val="TableContents"/>
              <w:bidi w:val="0"/>
              <w:jc w:val="left"/>
              <w:rPr>
                <w:rFonts w:ascii="Times New Roman" w:hAnsi="Times New Roman"/>
                <w:color w:val="000000"/>
                <w:sz w:val="24"/>
              </w:rPr>
            </w:pPr>
            <w:r>
              <w:rPr>
                <w:rFonts w:ascii="Times New Roman" w:hAnsi="Times New Roman"/>
                <w:color w:val="000000"/>
                <w:sz w:val="24"/>
              </w:rPr>
              <w:t>Address for Notices:</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br/>
              <w:t> </w:t>
            </w:r>
          </w:p>
          <w:p>
            <w:pPr>
              <w:pStyle w:val="TableContents"/>
              <w:bidi w:val="0"/>
              <w:jc w:val="left"/>
              <w:rPr>
                <w:rFonts w:ascii="Times New Roman" w:hAnsi="Times New Roman"/>
                <w:color w:val="000000"/>
                <w:sz w:val="24"/>
              </w:rPr>
            </w:pPr>
            <w:r>
              <w:rPr>
                <w:rFonts w:ascii="Times New Roman" w:hAnsi="Times New Roman"/>
                <w:color w:val="000000"/>
                <w:sz w:val="24"/>
              </w:rPr>
              <w:t>w/copy to:</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pPr>
            <w:r>
              <w:rPr/>
              <w:t> </w:t>
            </w:r>
          </w:p>
          <w:p>
            <w:pPr>
              <w:pStyle w:val="TableContents"/>
              <w:bidi w:val="0"/>
              <w:spacing w:before="0" w:after="283"/>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40"/>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Times New Roman" w:hAnsi="Times New Roman"/>
          <w:i/>
          <w:color w:val="000000"/>
          <w:sz w:val="20"/>
        </w:rPr>
      </w:pPr>
      <w:r>
        <w:rPr>
          <w:rFonts w:ascii="Times New Roman" w:hAnsi="Times New Roman"/>
          <w:i/>
          <w:color w:val="000000"/>
          <w:sz w:val="20"/>
        </w:rPr>
        <w:t>Warehouse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347" w:type="dxa"/>
        <w:jc w:val="left"/>
        <w:tblInd w:w="0" w:type="dxa"/>
        <w:tblLayout w:type="fixed"/>
        <w:tblCellMar>
          <w:top w:w="28" w:type="dxa"/>
          <w:left w:w="28" w:type="dxa"/>
          <w:bottom w:w="28" w:type="dxa"/>
          <w:right w:w="28" w:type="dxa"/>
        </w:tblCellMar>
      </w:tblPr>
      <w:tblGrid>
        <w:gridCol w:w="1291"/>
        <w:gridCol w:w="5056"/>
      </w:tblGrid>
      <w:tr>
        <w:trPr/>
        <w:tc>
          <w:tcPr>
            <w:tcW w:w="1291" w:type="dxa"/>
            <w:tcBorders/>
            <w:vAlign w:val="center"/>
          </w:tcPr>
          <w:p>
            <w:pPr>
              <w:pStyle w:val="TableContents"/>
              <w:bidi w:val="0"/>
              <w:spacing w:before="0" w:after="283"/>
              <w:jc w:val="left"/>
              <w:rPr>
                <w:sz w:val="4"/>
                <w:szCs w:val="4"/>
              </w:rPr>
            </w:pPr>
            <w:r>
              <w:rPr>
                <w:sz w:val="4"/>
                <w:szCs w:val="4"/>
              </w:rPr>
            </w:r>
          </w:p>
        </w:tc>
        <w:tc>
          <w:tcPr>
            <w:tcW w:w="5056" w:type="dxa"/>
            <w:tcBorders/>
            <w:vAlign w:val="center"/>
          </w:tcPr>
          <w:p>
            <w:pPr>
              <w:pStyle w:val="TableContents"/>
              <w:bidi w:val="0"/>
              <w:spacing w:before="0" w:after="283"/>
              <w:jc w:val="left"/>
              <w:rPr>
                <w:sz w:val="4"/>
                <w:szCs w:val="4"/>
              </w:rPr>
            </w:pPr>
            <w:r>
              <w:rPr>
                <w:sz w:val="4"/>
                <w:szCs w:val="4"/>
              </w:rPr>
            </w:r>
          </w:p>
        </w:tc>
      </w:tr>
      <w:tr>
        <w:trPr/>
        <w:tc>
          <w:tcPr>
            <w:tcW w:w="129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LENDERS:</w:t>
            </w:r>
          </w:p>
          <w:p>
            <w:pPr>
              <w:pStyle w:val="TableContents"/>
              <w:bidi w:val="0"/>
              <w:spacing w:before="0" w:after="240"/>
              <w:jc w:val="left"/>
              <w:rPr/>
            </w:pPr>
            <w:r>
              <w:rPr/>
              <w:t> </w:t>
            </w:r>
          </w:p>
          <w:p>
            <w:pPr>
              <w:pStyle w:val="TableContents"/>
              <w:bidi w:val="0"/>
              <w:spacing w:before="0" w:after="240"/>
              <w:jc w:val="left"/>
              <w:rPr/>
            </w:pPr>
            <w:r>
              <w:rPr/>
              <w:t> </w:t>
            </w:r>
          </w:p>
        </w:tc>
        <w:tc>
          <w:tcPr>
            <w:tcW w:w="50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pPr>
            <w:r>
              <w:rPr/>
              <w:t> </w:t>
            </w:r>
          </w:p>
          <w:p>
            <w:pPr>
              <w:pStyle w:val="TableContents"/>
              <w:bidi w:val="0"/>
              <w:spacing w:before="720" w:after="283"/>
              <w:jc w:val="left"/>
              <w:rPr>
                <w:rFonts w:ascii="Times New Roman" w:hAnsi="Times New Roman"/>
                <w:color w:val="000000"/>
                <w:sz w:val="24"/>
              </w:rPr>
            </w:pPr>
            <w:r>
              <w:rPr>
                <w:rFonts w:ascii="Times New Roman" w:hAnsi="Times New Roman"/>
                <w:color w:val="000000"/>
                <w:sz w:val="24"/>
              </w:rPr>
              <w:t>By: /s/[***]</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 [***]</w:t>
              <w:br/>
              <w:t>Title: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Commitment: $150,000,000 (prior to 9/24/2022)</w:t>
              <w:br/>
              <w:t>                       $200,000,000 (on or after 9/24/2022)</w:t>
            </w:r>
          </w:p>
          <w:p>
            <w:pPr>
              <w:pStyle w:val="TableContents"/>
              <w:bidi w:val="0"/>
              <w:jc w:val="left"/>
              <w:rPr>
                <w:rFonts w:ascii="Times New Roman" w:hAnsi="Times New Roman"/>
                <w:color w:val="000000"/>
                <w:sz w:val="24"/>
              </w:rPr>
            </w:pPr>
            <w:r>
              <w:rPr>
                <w:rFonts w:ascii="Times New Roman" w:hAnsi="Times New Roman"/>
                <w:color w:val="000000"/>
                <w:sz w:val="24"/>
              </w:rPr>
              <w:br/>
              <w:t xml:space="preserve">Address for Notices: </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br/>
              <w:t> </w:t>
            </w:r>
          </w:p>
          <w:p>
            <w:pPr>
              <w:pStyle w:val="TableContents"/>
              <w:bidi w:val="0"/>
              <w:jc w:val="left"/>
              <w:rPr>
                <w:rFonts w:ascii="Times New Roman" w:hAnsi="Times New Roman"/>
                <w:color w:val="000000"/>
                <w:sz w:val="24"/>
              </w:rPr>
            </w:pPr>
            <w:r>
              <w:rPr>
                <w:rFonts w:ascii="Times New Roman" w:hAnsi="Times New Roman"/>
                <w:color w:val="000000"/>
                <w:sz w:val="24"/>
              </w:rPr>
              <w:t>w/copy to:</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spacing w:before="0" w:after="283"/>
              <w:jc w:val="left"/>
              <w:rPr/>
            </w:pPr>
            <w:r>
              <w:rPr/>
              <w:t> </w:t>
            </w:r>
          </w:p>
        </w:tc>
      </w:tr>
      <w:tr>
        <w:trPr/>
        <w:tc>
          <w:tcPr>
            <w:tcW w:w="1291" w:type="dxa"/>
            <w:tcBorders/>
            <w:tcMar>
              <w:top w:w="0" w:type="dxa"/>
              <w:left w:w="0" w:type="dxa"/>
              <w:bottom w:w="0" w:type="dxa"/>
              <w:right w:w="0" w:type="dxa"/>
            </w:tcMar>
            <w:vAlign w:val="center"/>
          </w:tcPr>
          <w:p>
            <w:pPr>
              <w:pStyle w:val="TableContents"/>
              <w:bidi w:val="0"/>
              <w:spacing w:before="0" w:after="240"/>
              <w:jc w:val="left"/>
              <w:rPr/>
            </w:pPr>
            <w:r>
              <w:rPr/>
              <w:t> </w:t>
            </w:r>
          </w:p>
        </w:tc>
        <w:tc>
          <w:tcPr>
            <w:tcW w:w="50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Times New Roman" w:hAnsi="Times New Roman"/>
          <w:i/>
          <w:color w:val="000000"/>
          <w:sz w:val="20"/>
        </w:rPr>
      </w:pPr>
      <w:r>
        <w:rPr>
          <w:rFonts w:ascii="Times New Roman" w:hAnsi="Times New Roman"/>
          <w:i/>
          <w:color w:val="000000"/>
          <w:sz w:val="20"/>
        </w:rPr>
        <w:t>Warehouse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A</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REPRESENTATIONS AND WARRANTIES REGARDING SECURITY INTEREST</w:t>
      </w:r>
    </w:p>
    <w:p>
      <w:pPr>
        <w:pStyle w:val="TextBody"/>
        <w:bidi w:val="0"/>
        <w:jc w:val="center"/>
        <w:rPr/>
      </w:pPr>
      <w:r>
        <w:rPr/>
        <w:t> </w:t>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represents and warrants, as of the Closing Date and as of each Funding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creates a valid and continuing security interest (as defined in the applicable UCC) in all Receivables in favor of the Administrative Agent, which security interest is prior to all other Liens, and is enforceable as such against creditors of and purchasers from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has taken all steps necessary to perfect its security interest against the Obligor in the property securing the Receivables;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Receivables constitute “tangible chattel paper” or “electronic chattel paper” within the meaning of the applicable UCC;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owns and has good and marketable title to the Receivables free and clear of any Lien (other than Permitted Liens), claim, or encumbrance of any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has caused or will have caused, within ten days after the Closing Date, the filing of all appropriate financing statements in the proper filing office in the appropriate jurisdictions under Applicable Law in order to perfect the security interest in the Collateral granted to the Administrative Agent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than the security interest granted to the Administrative Agent pursuant to this Agreement, the Borrower has not pledged, assigned, sold, granted a security interest in, or otherwise conveyed any of the Receivables. The Borrower has not authorized the filing of and is not aware of any financing statements against the Borrower that include a description of collateral covering the Receivables other than any financing statement relating to the security interest granted to the Administrative Agent hereunder or that has been terminated. The Borrower is not aware of any judgment or tax lien filings against the Borrower;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Custodian has (x) in the case of Tangible Contract, in its possession or (y) in the case of an Electronic Contract, under its “control” (within the meaning of Section 9-105 of the UCC) all of the Contracts that constitute or evidence the Receivables. The Borrower has not communicated an Authoritative Copy of any Electronic Contract that constitutes or evidences any Receivable to any Person other than the Custodian on behalf of the Administrative Agent. The Tangible Contracts that constitute or evidence the Receivables do not have any marks or notations indicating that they have been pledged, assigned, or otherwise conveyed to any Person. The Electronic Contracts which constitute or evidence the Receivables contain the Required Legend. All financing statements filed or to be filed against the Borrower in favor of the Administrative Agent in connection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herewith describing the Receivables will contain a statement to the following effect: “A purchase of or security interest in any collateral described in this financing statement will violate the rights of the Program Agent.”</w:t>
      </w:r>
    </w:p>
    <w:p>
      <w:pPr>
        <w:pStyle w:val="TextBody"/>
        <w:bidi w:val="0"/>
        <w:spacing w:before="0" w:after="48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SA-148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B</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ELIGIBLE RECEIVABLE CRITERIA</w:t>
      </w:r>
    </w:p>
    <w:p>
      <w:pPr>
        <w:pStyle w:val="TextBody"/>
        <w:bidi w:val="0"/>
        <w:spacing w:before="0" w:after="240"/>
        <w:jc w:val="both"/>
        <w:rPr>
          <w:rFonts w:ascii="Times New Roman" w:hAnsi="Times New Roman"/>
          <w:sz w:val="20"/>
        </w:rPr>
      </w:pPr>
      <w:r>
        <w:rPr>
          <w:rFonts w:ascii="Times New Roman" w:hAnsi="Times New Roman"/>
          <w:color w:val="000000"/>
          <w:sz w:val="24"/>
        </w:rPr>
        <w:t>An “Eligible Receivable” means, with respect to (i) all Receivables other than Acquired Portfolio Receivables, a Receivable as to which all of the following conditions are satisfied and (ii) all Acquired Portfolio Receivables, a Receivable as to which the Administrative Agent has approved the related sale and purchase agreement and all of the following conditions are satisfied excluding clauses (iii), (iv), (v), (vii), (viii), (ix), (xii), (xxx), (xxxiii), (xxxvii) and (xxxviii):</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is payable in Dollars in the United States and with respect to which, at the time of origination, the related Obligor provided as its most recent billing address an address located in the United States or one of its territories;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 respect to which the related Obligor is not an Affiliate of the Originator, the U.S. government or any State or any agency, department or instrumentality of the U.S. government or any State or other government entity;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if the primary Obligor has a credit bureau score obtained from Fair-Isaacs Corporation, Experian, Equifax of TransUnion LLC, the score is at least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which had an original Principal Balance of not more than $[***] and the related Obligor of which is required to make payments to the Post Office Boxes or the Local Bank Account under the control of the Servicer;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had a first Scheduled Payment due no more than [***] days after the date of origination of the related Contract and, at the time of inclusion in the Collateral, the first Scheduled Payment was not past due; provided, that no funds have been advanced by the Originator, the Borrower, the related Dealer, any of their respective Affiliates or any other Person in respect of making such first Scheduled 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is not a Defaulted Receivable or Delinquent Receivable (a) at the time such Receivable first becomes part of the Collateral or (b) as of the related Cutoff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pPr>
      <w:r>
        <w:rPr>
          <w:rFonts w:ascii="Times New Roman" w:hAnsi="Times New Roman"/>
          <w:color w:val="000000"/>
          <w:sz w:val="24"/>
        </w:rPr>
        <w:t xml:space="preserve">which no more than </w:t>
      </w:r>
      <w:r>
        <w:rPr>
          <w:rFonts w:ascii="Times New Roman" w:hAnsi="Times New Roman"/>
          <w:b/>
          <w:color w:val="000000"/>
          <w:sz w:val="24"/>
        </w:rPr>
        <w:t>[***]</w:t>
      </w:r>
      <w:r>
        <w:rPr>
          <w:rFonts w:ascii="Times New Roman" w:hAnsi="Times New Roman"/>
          <w:color w:val="000000"/>
          <w:sz w:val="24"/>
        </w:rPr>
        <w:t xml:space="preserve">% of any related Scheduled Payment is more than </w:t>
      </w:r>
      <w:r>
        <w:rPr>
          <w:rFonts w:ascii="Times New Roman" w:hAnsi="Times New Roman"/>
          <w:b/>
          <w:color w:val="000000"/>
          <w:sz w:val="24"/>
        </w:rPr>
        <w:t xml:space="preserve">[***] </w:t>
      </w:r>
      <w:r>
        <w:rPr>
          <w:rFonts w:ascii="Times New Roman" w:hAnsi="Times New Roman"/>
          <w:color w:val="000000"/>
          <w:sz w:val="24"/>
        </w:rPr>
        <w:t>days past due (a) at the time such Receivable first becomes part of the Collateral and (b) as of the first Securitization Date after the date on which such receivable first becomes part of the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was sold and originated in the United States in the ordinary course of the Originator’s business pursuant to a transaction constituting a bona fide sale, which was created as a result of an advance by the Originator in the ordinary course of its business, directly to or for the benefit of an Obligor for the purchase or refinancing of the Financed Vehicle and which, to the best of the Borrower’s knowledge, was originated without fraud or misrepresentation;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related Contract satisfies in all material respects the requirements of the Credit and Collection Policy as in effect as of the related Cutoff Date, was underwritten by the Originator in accordance with the Credit and Collection Policy, which shall have complied with, at the time of its origination, and shall remain in compliance with, all Requirements of Law, including all consumer protection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to which the Borrower will have good and marketable title thereto and as to which there is no Lien (other than Liens arising pursuant to the related Receivable) against the related Financed Vehicle, and as to which at any time, the Administrative Agent, for the benefit of the Secured Parties, shall have a valid and perfected first priority security interest, free and clear of all Liens and rights of others;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which provides for level monthly payments (provided that the payment in the first and last months of the Receivable may be minimally different from the level payment) that fully amortize the Amount Financed and yield interest, calculated in accordance with the Simple Interest Method, at the related APR over its original term of no fewer than [***] months and, no more than [***] months;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provides for, in the event that such Receivable is prepaid by the Obligor, a prepayment that fully pays the Principal Balance of such Receivable and any interest accrued at the related APR through the date of prepayment;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has either (A) been originated by a Dealer approved by the Originator in the United States in the ordinary course of such Dealer’s business to finance the retail sale by such Dealer of the related Finance Vehicle and has been purchased by the Originator in the ordinary course of its respective business pursuant to a Dealer Agreement or (B) has been originated in the United States by the Originator in accordance with its customary practices, and sold to the Borrower by the Originator pursuant to the Purchase Agreement; provided that, in the case of (A) and (B) at the time of such origination the Dealer or the Originator, as applicable, had all necessary licenses and permits to originate such Receivable in the State where such Dealer or the Originator, as the case may be, was located;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(a) the related Financed Vehicle was purchased with the proceeds of such Receivable, (b) to the knowledge of the Borrower, all accessories and optional equipment are described in the related Contract and (c) at the time of origination of the related Contract, such Financed Vehicle was not a commercial vehicle weighing over two tons, designated for racing, modified for use as a public delivery vehicle or any other commercial 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provides the Borrower with a clear right of repossession on the Financed Vehicle securing such Receivable and contains customary and enforceable provisions such that the rights and remedies of the holder thereof shall be adequate for realization against the collateral of the benefits of the security;</w:t>
      </w:r>
    </w:p>
    <w:p>
      <w:pPr>
        <w:pStyle w:val="TextBody"/>
        <w:bidi w:val="0"/>
        <w:jc w:val="center"/>
        <w:rPr>
          <w:rFonts w:ascii="Times New Roman" w:hAnsi="Times New Roman"/>
          <w:color w:val="000000"/>
          <w:sz w:val="24"/>
        </w:rPr>
      </w:pPr>
      <w:r>
        <w:rPr>
          <w:rFonts w:ascii="Times New Roman" w:hAnsi="Times New Roman"/>
          <w:color w:val="000000"/>
          <w:sz w:val="24"/>
        </w:rPr>
        <w:t>SB-151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purchase of which with the proceeds of Commercial Paper Notes would constitute a “current transaction” within the meaning of Section 3(a)(3) of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is not subject to any right of rescission, cancellation, set-off, claim, counterclaim or defense (including the defense of usury) of the Obligor or any proceedings pending or, to the best of the Borrower’s knowledge threatened, wherein the Obligor or any Governmental Authority has alleged the related Contract is illegal or unenforceable;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arises pursuant to a Contract with respect to which each of the Originator and the Borrower has performed all obligations required to be performed by it thereunder, including shipment of the related Financed Vehicle in good repair, without defects and in satisfactory order and/or the performance of the services purchased thereunder and, at the time such Receivable first became part of the Collateral, neither the Originator or the Borrower had done anything to impair the rights of the Secured Parties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is secured by a valid, subsisting and enforceable first priority perfected security interest in favor of the Borrower in the related Financed Vehicle with respect to which all filings have been made, which security interest has been validly assigned by the Borrower to the Administrative Agent and with respect to which all filings necessary in any jurisdiction to give the Administrative Agent a first priority perfected security interest in such Receivable and Financed Vehicle have been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arises under a Contract which has been properly executed by the parties thereto and which represents the genuine, legal, valid and binding payment obligation in writing of the Obligor, in full force and effect, enforceable by the holder thereof in accordance with its terms, subject to the effect of Insolvency Laws affecting the enforcement of creditors’ rights generally;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there is only one original Contract related thereto and such Contract has not been sold, transferred, assigned or pledged by the Originator to any Person other than the Borrower; and with respect to which the Originator has fulfilled all obligations to be fulfilled on its part under or in connection with the origination, acquisition and assignment of such Receivable, including giving notices or consents necessary to effect the acquisition of the Receivable and which, at the time such Receivable first became part of the Collateral, the related Contract has not been waived or modified, except in accordance with the Credit and Collection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related Financed Vehicle is required by the terms of the related Contract to be covered by an individual physical damage insurance policy in at least the minimum amount required by applicable State law and the related Contract (a) if required by applicable State law, requires such Obligor to pay all sales, use, property, excise and other similar Taxes imposed on or with respect to the related Financed Vehicle and (b) makes such Obligor liable for all payments required to be made thereunder, without any setoff, counterclaim or defense for any reason whatsoever, subject only to such Obligor’s right of quiet enjoyment;</w:t>
      </w:r>
    </w:p>
    <w:p>
      <w:pPr>
        <w:pStyle w:val="TextBody"/>
        <w:bidi w:val="0"/>
        <w:jc w:val="center"/>
        <w:rPr>
          <w:rFonts w:ascii="Times New Roman" w:hAnsi="Times New Roman"/>
          <w:color w:val="000000"/>
          <w:sz w:val="24"/>
        </w:rPr>
      </w:pPr>
      <w:r>
        <w:rPr>
          <w:rFonts w:ascii="Times New Roman" w:hAnsi="Times New Roman"/>
          <w:color w:val="000000"/>
          <w:sz w:val="24"/>
        </w:rPr>
        <w:t>SB-152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constitutes “tangible chattel paper” or “electronic chattel paper” under and as defined in Article 9 of the UCC as then in effect in the UCC;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to which (x) in the case of a Tangible Contract, there is only one original executed copy, and (y) in the case of an Electronic Contract, there is only one Authoritative Copy and any perceivable rendering of such Authoritative Copy bears the Required Legend;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to which (x) in the case of a Tangible Contract, has been manually or electronically signed by the Obligor in the appropriate spaces, (y) in the case of an Electronic Contract, has been electronically signed through the DocuSign System or eOriginal SmartSign by the Obligor in the appropriate spaces and (z) in the case of a Contract which has been Exported, contains a representation of the electronic signature of the Obligor in the appropriate spaces and the document history includes the date and time such signatures were obtained; and, in each case, all blanks that are required to be filled in have been properly filled 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to which the Custodian or the Title Administrator has possession for the benefit of the Secured Parties of the original Certificate of Title, or evidence of the electronic Certificate of Title;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Contract evidencing such Receivable, including the description of the motor vehicle and/or services contained therein, is in all respects complete, accurate and represents the entire agreement between the Originator and the Obligor;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related Receivable File is in the possession or “control” (within the meaning of Section 9-105 of the UCC) of the Custodian, and the Custodian has issued a Receivable Receipt to the Administrative Agent acknowledging that such Receivable File is in the Custodian’s possession or “control” (within the meaning of Section 9-105 of the UCC);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with respect to each Electronic Contract other than a Paper-In Contract, (a) such Contract was originally originated as an Electronic Contract and has not at any time been a Tangible Contract, (b) the E-Vault System (including the back-up system) is fully operational and is being maintained in accordance with the System Description, and the Custodian has access to the Warehouse Vault Partition (other than during routine maintenance or upgrades by the E-Vault Provider), (c) such Contract was created within the DocuSign System or eOriginal SmartSign by the Originator and, at all times after creation and prior to the transfer thereof to the Borrower, was maintained within the E-Vault System, (d) such Contract was transferred from the Originator Vault Partition to the Warehouse Vault Partition and such transfer has been accepted by the Custodian and confirmed by the Originator within the E-Vault System, (e) during the period from and after the origination thereof to the transfer thereof to the Borrower, the E-Vault Access Agreement was in full force and effect and there was no event of default or material breach by any party thereunder, (f) each of the E-Vault Access Agreement and the Electronic Collateral Control Agreement is in full force and effect and is no event of default or </w:t>
      </w:r>
    </w:p>
    <w:p>
      <w:pPr>
        <w:pStyle w:val="TextBody"/>
        <w:bidi w:val="0"/>
        <w:jc w:val="center"/>
        <w:rPr>
          <w:rFonts w:ascii="Times New Roman" w:hAnsi="Times New Roman"/>
          <w:color w:val="000000"/>
          <w:sz w:val="24"/>
        </w:rPr>
      </w:pPr>
      <w:r>
        <w:rPr>
          <w:rFonts w:ascii="Times New Roman" w:hAnsi="Times New Roman"/>
          <w:color w:val="000000"/>
          <w:sz w:val="24"/>
        </w:rPr>
        <w:t>SB-153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material breach by any party thereunder and (g) in respect of which all onboarding fees that are due and payable have been paid to DocuSign, eOriginal SmartSign and the E-Vault Provider and no fees will be payable to or in respect of DocuSign, eOriginal SmartSign or the E-Vault Provider in respect thereof under the E-Vault Access Agreement, the Electronic Collateral Control Agreement (other than in respect of Exporting) or any other applicable agreement, and (B) with respect to each Paper-In Contract, (a) prior to the conversion of such Paper-In Contract from a Tangible Contract to an Electronic Contract, UACC or its agents had sole possession of such Tangible Contract, (b) upon such conversion or within 30 days thereafter, such Tangible Contract was destroyed, (c) the destruction of such Tangible Contract was conducted by UACC or a third party agent on behalf of UACC, (d) the destruction of such Tangible Contract is evidenced in a manner that is satisfactory to the Administrative Agent, whether by visual recording or certification of UACC or such third party agent of UACC or by any other means, and that such evidence has been delivered to or made available to the Administrative Agent, and (e) at the time of conversion of the Paper-In Contract, the requirements set forth in subclauses (b), (d), (f) and (g) of the foregoing clause (A) were satisfied with respect to such Paper-In Contract;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(xxx)</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which is an “eligible asset” as defined in Rule 3a-7 under the Investment Company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any compromise, extension, rebate, adjustment, amendment or modification (including by the extension of time for payment or the granting of any discounts, allowances or credits) was made as permitted by the Credit and Collection Policy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information set forth in the Schedule of Receivables is true and correct in all material respects as of the opening of business on the related Cutoff Date and with respect to which the Originator used no selection procedures (other than as expressly set forth in this Schedule) (a) that identified such Receivable as being less desirable or valuable than other comparable motor vehicle loans originated or acquired by the Originator or (b) for which no selection procedures adverse to the interests of the Secured Parties have been utilized;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related Financed Vehicle has not been repossessed from the Obligor at the time such Receivable first became part of the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sale, transfer, assignment and conveyance of by the Originator is not subject to and will not result in any Tax payable by the Originator or the Borrower to any federal, State or local government, other than those Taxes which have or will be paid by the Originator as due;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at the time of origination, all proceeds on the related Contract were fully disbursed and there is no requirement for future advances thereunder and all fees and expenses in connection with the origination of the Receivable have been paid;</w:t>
      </w:r>
    </w:p>
    <w:p>
      <w:pPr>
        <w:pStyle w:val="TextBody"/>
        <w:bidi w:val="0"/>
        <w:jc w:val="center"/>
        <w:rPr>
          <w:rFonts w:ascii="Times New Roman" w:hAnsi="Times New Roman"/>
          <w:color w:val="000000"/>
          <w:sz w:val="24"/>
        </w:rPr>
      </w:pPr>
      <w:r>
        <w:rPr>
          <w:rFonts w:ascii="Times New Roman" w:hAnsi="Times New Roman"/>
          <w:color w:val="000000"/>
          <w:sz w:val="24"/>
        </w:rPr>
        <w:t>SB-154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which does not provide for the substitution, exchange or addition of any Financed Vehicle to such Receivable and with respect to which the related Financed Vehicle was properly delivered to the related Obligor in good repair, without defects and in satisfactory order;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Servicer holds the Certificate of Title or the application for a Certificate of Title for the related Financed Vehicle or the Servicer will obtain within [***] days of the related Cutoff Date a Certificate of Title with respect to the Financed Vehicle as to which the Servicer holds only such application;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related Dealer (a) was selected by the Originator based on the Credit and Collection Policy, the Dealer’s financial operating history and record of compliance with requirements under applicable United States federal and State law, (b) is authorized to originate such Receivable for sale to the Originator and (c) has not engaged in any conduct constituting fraud or misrepresentation with respect to such Receivable;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at the time of origination of the related Contract, (a) the related Dealer that sold the related Contract to the Originator has entered into a Dealer Agreement and such Dealer Agreement constitutes the entire agreement between the Originator and such Dealer with respect to the sale of such Contract to the Originator, (b) such Dealer Agreement is in full force and effect and is the legal, valid and binding obligation of the Originator, (c) there have been no material defaults by the Originator under such Dealer Agreement, (d) the Originator has fully performed all of its obligations under such Dealer Agreement, (e) the Originator has not made any written statements or representations to such Dealer inconsistent with any term of such Dealer Agreement, (f) the purchase price (as specified in such Dealer Agreement, if any) for such Contract has been paid in full by the Originator, (g) there is no other payment due to such Dealer from the Originator for the purchase of such Contract, (h) such Dealer has no right, title or interest in or to such Contract, (i) there is no prior course of dealing between such Dealer and the Originator which will affect the terms of such Dealer Agreement and (j) any payment owed to such Dealer by the Originator is a corporate obligation of the Originator in the nature of a bonus for amounts collected by the Originator in excess of the purchase price for such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if the related Financed Vehicle is titled in the State of Texas, such Financed Vehicle is a “motor vehicle” as defined in Section 501.002 of the Texas Transportation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related Contract has not been stamped or otherwise marked to show any interest of any other Person or any such stamp or other mark has been cancelled;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 respect to which, until such time as the Borrower has provided the Administrative Agent with copies of all required licenses under (a) the Maryland Vehicle Sales Finance Act, Maryland Code Annotated, Financial Institutions Sections 11-401 et seq., such Receivable may not have been originated in the State of Maryland or have an </w:t>
      </w:r>
    </w:p>
    <w:p>
      <w:pPr>
        <w:pStyle w:val="TextBody"/>
        <w:bidi w:val="0"/>
        <w:jc w:val="center"/>
        <w:rPr>
          <w:rFonts w:ascii="Times New Roman" w:hAnsi="Times New Roman"/>
          <w:color w:val="000000"/>
          <w:sz w:val="24"/>
        </w:rPr>
      </w:pPr>
      <w:r>
        <w:rPr>
          <w:rFonts w:ascii="Times New Roman" w:hAnsi="Times New Roman"/>
          <w:color w:val="000000"/>
          <w:sz w:val="24"/>
        </w:rPr>
        <w:t>SB-155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Obligor with a billing address in the State of Maryland or (b) the Pennsylvania Motor Vehicle Sales Finance Act, 69 P.S. Section 601 et seq., such Receivable may not have been originated in the State of Pennsylvania or have an Obligor with a billing address in the State of Pennsylvania;</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(xliii)</w:t>
      </w:r>
    </w:p>
    <w:p>
      <w:pPr>
        <w:pStyle w:val="TextBody"/>
        <w:bidi w:val="0"/>
        <w:spacing w:before="0" w:after="240"/>
        <w:jc w:val="both"/>
        <w:rPr/>
      </w:pPr>
      <w:r>
        <w:rPr>
          <w:rFonts w:ascii="Times New Roman" w:hAnsi="Times New Roman"/>
          <w:color w:val="000000"/>
          <w:sz w:val="24"/>
        </w:rPr>
        <w:t xml:space="preserve">which has a Loan-to-Value Ratio (CarStory) of no greater than </w:t>
      </w:r>
      <w:r>
        <w:rPr>
          <w:rFonts w:ascii="Times New Roman" w:hAnsi="Times New Roman"/>
          <w:b/>
          <w:color w:val="000000"/>
          <w:sz w:val="24"/>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(xliv)</w:t>
      </w:r>
    </w:p>
    <w:p>
      <w:pPr>
        <w:pStyle w:val="TextBody"/>
        <w:bidi w:val="0"/>
        <w:spacing w:before="0" w:after="240"/>
        <w:jc w:val="both"/>
        <w:rPr/>
      </w:pPr>
      <w:r>
        <w:rPr>
          <w:rFonts w:ascii="Times New Roman" w:hAnsi="Times New Roman"/>
          <w:color w:val="000000"/>
          <w:sz w:val="24"/>
        </w:rPr>
        <w:t xml:space="preserve">which has a Loan-to-Value Ratio (KBB/NADA) of no greater than </w:t>
      </w:r>
      <w:r>
        <w:rPr>
          <w:rFonts w:ascii="Times New Roman" w:hAnsi="Times New Roman"/>
          <w:b/>
          <w:color w:val="000000"/>
          <w:sz w:val="24"/>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(xlv)</w:t>
      </w:r>
    </w:p>
    <w:p>
      <w:pPr>
        <w:pStyle w:val="TextBody"/>
        <w:bidi w:val="0"/>
        <w:spacing w:before="0" w:after="240"/>
        <w:jc w:val="both"/>
        <w:rPr/>
      </w:pPr>
      <w:r>
        <w:rPr>
          <w:rFonts w:ascii="Times New Roman" w:hAnsi="Times New Roman"/>
          <w:color w:val="000000"/>
          <w:sz w:val="24"/>
        </w:rPr>
        <w:t xml:space="preserve">with respect to which the related Obligor has a PTI of less than </w:t>
      </w:r>
      <w:r>
        <w:rPr>
          <w:rFonts w:ascii="Times New Roman" w:hAnsi="Times New Roman"/>
          <w:b/>
          <w:color w:val="000000"/>
          <w:sz w:val="24"/>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(xlvi)</w:t>
      </w:r>
    </w:p>
    <w:p>
      <w:pPr>
        <w:pStyle w:val="TextBody"/>
        <w:bidi w:val="0"/>
        <w:spacing w:before="0" w:after="240"/>
        <w:jc w:val="both"/>
        <w:rPr/>
      </w:pPr>
      <w:r>
        <w:rPr>
          <w:rFonts w:ascii="Times New Roman" w:hAnsi="Times New Roman"/>
          <w:color w:val="000000"/>
          <w:sz w:val="24"/>
        </w:rPr>
        <w:t xml:space="preserve">with respect to which the related Obligor has a DTI of less than </w:t>
      </w:r>
      <w:r>
        <w:rPr>
          <w:rFonts w:ascii="Times New Roman" w:hAnsi="Times New Roman"/>
          <w:b/>
          <w:color w:val="000000"/>
          <w:sz w:val="24"/>
        </w:rPr>
        <w: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requirements of applicable federal, state and local laws, and regulations thereunder (including, without limitation, usury laws, the Federal Truth-in-Lending Act, the Equal Credit Opportunity Act, the Fair Credit Billing Act, the Fair Credit Reporting Act, the Fair Debt Collection Practices Act, the Federal Trade Commission Act, the Moss-Magnuson Warranty Act, the Federal Reserve Board’s Regulations “B” and “Z” (including amendments to the Federal Reserve’s Official Staff Commentary to Regulation Z, effective October 1, 1998, concerning negative equity loans), the Servicemembers Civil Relief Act, the Electronic Signatures in Global and National Commerce Act (E-SIGN), the Uniform Electronic Transactions Act and other state adaptations thereof, each applicable state Motor Vehicle Retail Installment Sales Act, and state adaptations of the National Consumer Act and of the Uniform Consumer Credit Code and other consumer credit laws and equal credit opportunity and disclosure laws) in respect of such Receivable and the Financed Vehicles, have been complied with in all material respects, and such Receivable and the sale of the Financed Vehicle evidenced by such Receivable complied at the time it was originated or made and now complies in all material respects with all applicable legal requirements;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to which, on the applicable Funding Date, the related Obligor has not been identified on the records of the Servicer as being the subject of a current bankruptcy proceeding;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(xlix)</w:t>
      </w:r>
    </w:p>
    <w:p>
      <w:pPr>
        <w:pStyle w:val="TextBody"/>
        <w:bidi w:val="0"/>
        <w:spacing w:before="0" w:after="240"/>
        <w:jc w:val="both"/>
        <w:rPr/>
      </w:pPr>
      <w:r>
        <w:rPr>
          <w:rFonts w:ascii="Times New Roman" w:hAnsi="Times New Roman"/>
          <w:color w:val="000000"/>
          <w:sz w:val="24"/>
        </w:rPr>
        <w:t>with respect to which, the Servicer has not utilized, and has not permitted any Subservicer or any independent contractor or agent to utilize, any “starter interrupt” or similar device (each, a “</w:t>
      </w:r>
      <w:r>
        <w:rPr>
          <w:rFonts w:ascii="Times New Roman" w:hAnsi="Times New Roman"/>
          <w:color w:val="000000"/>
          <w:sz w:val="24"/>
          <w:u w:val="single"/>
        </w:rPr>
        <w:t>SID</w:t>
      </w:r>
      <w:r>
        <w:rPr>
          <w:color w:val="000000"/>
        </w:rPr>
        <w:t>”</w:t>
      </w:r>
      <w:r>
        <w:rPr>
          <w:rFonts w:ascii="Times New Roman" w:hAnsi="Times New Roman"/>
          <w:color w:val="000000"/>
          <w:sz w:val="24"/>
        </w:rPr>
        <w:t>) that may be installed on the related Financed Vehicle, provided that, for the avoidance of doubt, the use of any global positioning system (GPS) enabled device that may accompany a SID that is installed on the related Financed Vehicle shall not be deemed a breach of this clause (xlvii);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if repurchased from a Securitization, is a Repurchased UACST Receivable.</w:t>
      </w:r>
    </w:p>
    <w:p>
      <w:pPr>
        <w:pStyle w:val="TextBody"/>
        <w:bidi w:val="0"/>
        <w:jc w:val="center"/>
        <w:rPr>
          <w:rFonts w:ascii="Times New Roman" w:hAnsi="Times New Roman"/>
          <w:color w:val="000000"/>
          <w:sz w:val="24"/>
        </w:rPr>
      </w:pPr>
      <w:r>
        <w:rPr>
          <w:rFonts w:ascii="Times New Roman" w:hAnsi="Times New Roman"/>
          <w:color w:val="000000"/>
          <w:sz w:val="24"/>
        </w:rPr>
        <w:t>SB-156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C</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SCHEDULE OF RECEIVABLES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(Original delivered to the Administrative Agent)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D</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LOCATION OF RECEIVABLE FILES</w:t>
      </w:r>
    </w:p>
    <w:p>
      <w:pPr>
        <w:pStyle w:val="TextBody"/>
        <w:bidi w:val="0"/>
        <w:jc w:val="left"/>
        <w:rPr>
          <w:rFonts w:ascii="Times New Roman" w:hAnsi="Times New Roman"/>
          <w:color w:val="000000"/>
          <w:sz w:val="24"/>
        </w:rPr>
      </w:pPr>
      <w:r>
        <w:rPr>
          <w:rFonts w:ascii="Times New Roman" w:hAnsi="Times New Roman"/>
          <w:color w:val="000000"/>
          <w:sz w:val="24"/>
        </w:rPr>
        <w:t>United Auto Credit Corporation</w:t>
      </w:r>
    </w:p>
    <w:p>
      <w:pPr>
        <w:pStyle w:val="TextBody"/>
        <w:bidi w:val="0"/>
        <w:jc w:val="left"/>
        <w:rPr>
          <w:rFonts w:ascii="Times New Roman" w:hAnsi="Times New Roman"/>
          <w:color w:val="000000"/>
          <w:sz w:val="24"/>
        </w:rPr>
      </w:pPr>
      <w:r>
        <w:rPr>
          <w:rFonts w:ascii="Times New Roman" w:hAnsi="Times New Roman"/>
          <w:color w:val="000000"/>
          <w:sz w:val="24"/>
        </w:rPr>
        <w:t>1071 Camelback Street</w:t>
      </w:r>
    </w:p>
    <w:p>
      <w:pPr>
        <w:pStyle w:val="TextBody"/>
        <w:bidi w:val="0"/>
        <w:jc w:val="left"/>
        <w:rPr>
          <w:rFonts w:ascii="Times New Roman" w:hAnsi="Times New Roman"/>
          <w:color w:val="000000"/>
          <w:sz w:val="24"/>
        </w:rPr>
      </w:pPr>
      <w:r>
        <w:rPr>
          <w:rFonts w:ascii="Times New Roman" w:hAnsi="Times New Roman"/>
          <w:color w:val="000000"/>
          <w:sz w:val="24"/>
        </w:rPr>
        <w:t>Newport Beach, California 92660</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E</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A</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Funding Request</w:t>
      </w:r>
    </w:p>
    <w:p>
      <w:pPr>
        <w:pStyle w:val="TextBody"/>
        <w:bidi w:val="0"/>
        <w:jc w:val="right"/>
        <w:rPr>
          <w:rFonts w:ascii="Times New Roman" w:hAnsi="Times New Roman"/>
          <w:color w:val="000000"/>
          <w:sz w:val="24"/>
        </w:rPr>
      </w:pPr>
      <w:r>
        <w:rPr>
          <w:rFonts w:ascii="Times New Roman" w:hAnsi="Times New Roman"/>
          <w:color w:val="000000"/>
          <w:sz w:val="24"/>
        </w:rPr>
        <w:t>____________, 201_</w:t>
      </w:r>
    </w:p>
    <w:p>
      <w:pPr>
        <w:pStyle w:val="TextBody"/>
        <w:bidi w:val="0"/>
        <w:jc w:val="left"/>
        <w:rPr>
          <w:rFonts w:ascii="Times New Roman" w:hAnsi="Times New Roman"/>
          <w:sz w:val="20"/>
        </w:rPr>
      </w:pPr>
      <w:r>
        <w:rPr>
          <w:rFonts w:ascii="Times New Roman" w:hAnsi="Times New Roman"/>
          <w:color w:val="000000"/>
          <w:sz w:val="24"/>
        </w:rPr>
        <w:t>[***]</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br/>
        <w:br/>
        <w:t xml:space="preserve">Re: </w:t>
      </w:r>
      <w:r>
        <w:rPr>
          <w:rFonts w:ascii="Times New Roman" w:hAnsi="Times New Roman"/>
          <w:color w:val="000000"/>
          <w:sz w:val="24"/>
          <w:u w:val="single"/>
        </w:rPr>
        <w:t>UACC Auto Financing Trust V Warehouse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is a Responsible Officer of UACC Auto Financing Trust V (the “Borrower”) and is authorized to execute and deliver this Funding Request on behalf of the Borrower pursuant to the Warehouse Agreement, dated as of July 11, 2019 (as amended, restated, supplemented or otherwise modified from time to time, the “Warehouse Agreement”), among the Borrower, United Auto Credit Corporation, as servicer and as custodian, [***], as backup servicer and account bank, the Lenders from time to time party thereto, and [***], as administrative agent. Capitalized terms not otherwise defined herein have the meanings ascribed thereto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requests that a Loan be made under the Warehouse Agreement on __________, ____ in the amount of $__________.</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the foregoing, the undersigned hereby certifies, on behalf of the Borrower,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date hereof, the Borrowing Base (calculated as of the previous Determination Date or, with respect to Receivables added to the Collateral following such Determination Date, but prior to or on such date of determination, the related Cutoff Date) is __________. Attached to this Funding Request is a true, complete and correct calculation of the Borrowing Base and all components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of the conditions applicable to the requested Loan as set forth in the Warehouse Agreement have been satisfied as of the date hereof and will remain satisfied to the date of such Loan, including: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representations and warranties contained in Article Five of the Warehouse Agreement are true and correct in all respects on and as of the date hereof, before and after giving effect to the Loan and to the application of the proceeds therefrom as though made on and as of the date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event has occurred, or would result from such Loan or from the application of the proceeds therefrom, which constitutes a Termination Event or Unmatured Termination Event;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is in material compliance with each of its covenants set forth in the Warehouse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best of the Borrower’s knowledge, no event has occurred which constitutes a Servicer Termination Event or Unmatured Servicer Termination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requested Loan will not, on the Funding Date, exceed the Available Amount.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Collateral Coverage Ratio, with respect to the Receivables being added to the Collateral on such Funding Date, (a) is equal to ____%, which is equal to or less than the Advance Rate, or (b) in the case of a Reborrowing, is equal to ___%, which is equal to or less than the Collateral Coverage Ratio with respect to all Receivables then constituting a portion of the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Attached hereto is a true, correct and complete Schedule A to the Purchase Agreement, reflecting all Receivables which will become part of the Collateral on the Funding Date, each Receivable reflected thereon being an Eligible Receivable.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rPr>
        <w:t>The Cutoff Date with respect to the Receivables is , 20_</w:t>
      </w:r>
      <w:r>
        <w:rPr>
          <w:color w:val="000000"/>
          <w:u w:val="single"/>
        </w:rPr>
        <w:t xml:space="preserve"> </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to and after giving effect to the requested Loan, the Borrower is Solvent.</w:t>
      </w:r>
    </w:p>
    <w:p>
      <w:pPr>
        <w:pStyle w:val="TextBody"/>
        <w:bidi w:val="0"/>
        <w:jc w:val="left"/>
        <w:rPr>
          <w:rFonts w:ascii="Times New Roman" w:hAnsi="Times New Roman"/>
          <w:color w:val="000000"/>
          <w:sz w:val="24"/>
        </w:rPr>
      </w:pPr>
      <w:r>
        <w:rPr>
          <w:rFonts w:ascii="Times New Roman" w:hAnsi="Times New Roman"/>
          <w:color w:val="000000"/>
          <w:sz w:val="24"/>
        </w:rPr>
        <w:t>UACC AUTO FINANCING TRUST V</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UNITED AUTO CREDIT CORPORATION, as Attorney-In-Fact</w:t>
      </w:r>
    </w:p>
    <w:p>
      <w:pPr>
        <w:pStyle w:val="TextBody"/>
        <w:bidi w:val="0"/>
        <w:jc w:val="left"/>
        <w:rPr/>
      </w:pPr>
      <w:r>
        <w:rPr/>
        <w:t> </w:t>
      </w:r>
    </w:p>
    <w:p>
      <w:pPr>
        <w:pStyle w:val="TextBody"/>
        <w:bidi w:val="0"/>
        <w:spacing w:before="7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 xml:space="preserve">Name: </w:t>
        <w:br/>
        <w:t>Title: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A-161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B</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NOTE</w:t>
      </w:r>
    </w:p>
    <w:p>
      <w:pPr>
        <w:pStyle w:val="TextBody"/>
        <w:bidi w:val="0"/>
        <w:spacing w:before="0" w:after="240"/>
        <w:jc w:val="right"/>
        <w:rPr>
          <w:rFonts w:ascii="Times New Roman" w:hAnsi="Times New Roman"/>
          <w:color w:val="000000"/>
          <w:sz w:val="24"/>
        </w:rPr>
      </w:pPr>
      <w:r>
        <w:rPr>
          <w:rFonts w:ascii="Times New Roman" w:hAnsi="Times New Roman"/>
          <w:color w:val="000000"/>
          <w:sz w:val="24"/>
        </w:rPr>
        <w:t>[DATE]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VALUE RECEIVED, the undersigned, UACC AUTO FINANCING TRUST V, a Delaware statutory trust (the “Borrower”), promises to pay to [***], as agent for the Lenders (the “Administrative Agent”), at the office of the Administrative Agent set forth in the Warehouse Agreement, dated as of July 11, 2019 (as amended, restated, supplemented or otherwise modified from time to time, the “Warehouse Agreement”) among the Borrower, United Auto Credit Corporation, as servicer and as custodian, [***], as backup servicer and account bank, the Lenders named therein, and the Administrative Agent, on the Termination Date, in lawful money of the United States of America and in immediately available funds, the principal amount of [__________] Dollars ($[__________]), or, if less, such Lender’s Invested Percentage of the Loans Outstanding under the Warehouse Agreement, and to pay interest at such office, in like money, from the date hereof on the unpaid principal amount of such Lender’s Invested Percentage of the Loans from time to time outstanding at the rates and on the dates specified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is authorized to record, on the schedules annexed hereto and made a part hereof or on other appropriate records, the date and the amount each Lender’s Invested Percentage of each Loan made under the Warehouse Agreement, each continuation thereof, the funding period for such Loan and the date and amount of each payment or prepayment of principal thereof. Any such recordation shall constitute prima facie evidence of the accuracy of the information so recorded; provided that the failure of the Administrative Agent to make any such recordation (or any error in such recordation) shall not affect the obligations of the Borrower hereunder or under the Warehouse Agreement in respect of the Loans or each Lender’s Invested Percentage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Note is one of the Notes referred to in the Warehouse Agreement, and is entitled to the benefits thereof. Capitalized terms used herein and defined herein have the meanings given them in the Warehouse Agreement. This Note is subject to periodic pay-downs, and optional and mandatory prepayment as provided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occurrence of a Termination Event, the Administrative Agent, on behalf of the Secured Parties, shall have all of the remedies specified in the Warehouse Agreement. The Borrower hereby waives presentment, demand, protest and all notices of any kind.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THIS NOTE SHALL BE GOVERNED BY, AND CONSTRUED AND INTERPRETED IN ACCORDANCE WITH, THE LAWS OF THE STATE OF NEW YORK WITHOUT REGARD TO PRINCIPLES OF CONFLICTS OF LAW (OTHER THAN SECTIONS 5-1401 AND 5-1402 OF THE NEW YORK GENERAL OBLIGATIONS LAW).</w:t>
      </w:r>
    </w:p>
    <w:p>
      <w:pPr>
        <w:pStyle w:val="TextBody"/>
        <w:bidi w:val="0"/>
        <w:jc w:val="left"/>
        <w:rPr>
          <w:rFonts w:ascii="Times New Roman" w:hAnsi="Times New Roman"/>
          <w:color w:val="000000"/>
          <w:sz w:val="24"/>
        </w:rPr>
      </w:pPr>
      <w:r>
        <w:rPr>
          <w:rFonts w:ascii="Times New Roman" w:hAnsi="Times New Roman"/>
          <w:color w:val="000000"/>
          <w:sz w:val="24"/>
        </w:rPr>
        <w:t>UACC AUTO FINANCING TRUST V/</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 not in its individual capacity but solely as Owner Trustee</w:t>
      </w:r>
    </w:p>
    <w:p>
      <w:pPr>
        <w:pStyle w:val="TextBody"/>
        <w:bidi w:val="0"/>
        <w:spacing w:before="240" w:after="283"/>
        <w:jc w:val="left"/>
        <w:rPr/>
      </w:pPr>
      <w:r>
        <w:rPr/>
        <w:t> </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center"/>
        <w:rPr>
          <w:rFonts w:ascii="Times New Roman" w:hAnsi="Times New Roman"/>
          <w:color w:val="000000"/>
          <w:sz w:val="24"/>
        </w:rPr>
      </w:pPr>
      <w:r>
        <w:rPr>
          <w:rFonts w:ascii="Times New Roman" w:hAnsi="Times New Roman"/>
          <w:color w:val="000000"/>
          <w:sz w:val="24"/>
        </w:rPr>
        <w:t>B-163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 1 to</w:t>
        <w:br/>
        <w:t>Note</w:t>
      </w:r>
    </w:p>
    <w:tbl>
      <w:tblPr>
        <w:tblW w:w="8404" w:type="dxa"/>
        <w:jc w:val="left"/>
        <w:tblInd w:w="0" w:type="dxa"/>
        <w:tblLayout w:type="fixed"/>
        <w:tblCellMar>
          <w:top w:w="28" w:type="dxa"/>
          <w:left w:w="28" w:type="dxa"/>
          <w:bottom w:w="28" w:type="dxa"/>
          <w:right w:w="28" w:type="dxa"/>
        </w:tblCellMar>
      </w:tblPr>
      <w:tblGrid>
        <w:gridCol w:w="2911"/>
        <w:gridCol w:w="1741"/>
        <w:gridCol w:w="1966"/>
        <w:gridCol w:w="1786"/>
      </w:tblGrid>
      <w:tr>
        <w:trPr/>
        <w:tc>
          <w:tcPr>
            <w:tcW w:w="291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4"/>
              </w:rPr>
            </w:pPr>
            <w:r>
              <w:rPr>
                <w:rFonts w:ascii="Times New Roman" w:hAnsi="Times New Roman"/>
                <w:color w:val="000000"/>
                <w:sz w:val="24"/>
              </w:rPr>
              <w:t>Invested Percentage of Loans</w:t>
            </w:r>
          </w:p>
        </w:tc>
        <w:tc>
          <w:tcPr>
            <w:tcW w:w="174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4"/>
              </w:rPr>
            </w:pPr>
            <w:r>
              <w:rPr>
                <w:rFonts w:ascii="Times New Roman" w:hAnsi="Times New Roman"/>
                <w:color w:val="000000"/>
                <w:sz w:val="24"/>
              </w:rPr>
              <w:t>Interest on Loans</w:t>
            </w:r>
          </w:p>
        </w:tc>
        <w:tc>
          <w:tcPr>
            <w:tcW w:w="196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4"/>
              </w:rPr>
            </w:pPr>
            <w:r>
              <w:rPr>
                <w:rFonts w:ascii="Times New Roman" w:hAnsi="Times New Roman"/>
                <w:color w:val="000000"/>
                <w:sz w:val="24"/>
              </w:rPr>
              <w:t>Payments on Loans</w:t>
            </w:r>
          </w:p>
        </w:tc>
        <w:tc>
          <w:tcPr>
            <w:tcW w:w="178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4"/>
              </w:rPr>
            </w:pPr>
            <w:r>
              <w:rPr>
                <w:rFonts w:ascii="Times New Roman" w:hAnsi="Times New Roman"/>
                <w:color w:val="000000"/>
                <w:sz w:val="24"/>
              </w:rPr>
              <w:t>Notation by Date</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B-164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C</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ASSIGNMENT AND ACCEPTANCE</w:t>
      </w:r>
    </w:p>
    <w:p>
      <w:pPr>
        <w:pStyle w:val="TextBody"/>
        <w:bidi w:val="0"/>
        <w:spacing w:before="0" w:after="240"/>
        <w:jc w:val="center"/>
        <w:rPr>
          <w:rFonts w:ascii="Times New Roman" w:hAnsi="Times New Roman"/>
          <w:sz w:val="20"/>
        </w:rPr>
      </w:pPr>
      <w:r>
        <w:rPr>
          <w:rFonts w:ascii="Times New Roman" w:hAnsi="Times New Roman"/>
          <w:color w:val="000000"/>
          <w:sz w:val="24"/>
        </w:rPr>
        <w:t>Dated __________, 201</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Reference is made to the Warehouse Agreement, dated as of July 11, 2019 (as amended, restated, supplemented or otherwise modified from time to time, the “Warehouse Agreement”), among UACC Auto Financing Trust V, as borrower, United Auto Credit Corporation, as servicer and as custodian, [***], as backup servicer and account bank, the lenders from time to time parties thereto and [***], as administrative agent (the “Administrative Agent”). Capitalized terms used but not otherwise defined herein shall have the meaning given to them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__________________ (the “Assignor”) and ___________________ (the “Assignee”)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Assignor hereby sells and assigns to the Assignee, and the Assignee hereby purchases and assumes from the Assignor, that interest in and to all of the Assignor’s rights and obligations under the Warehouse Agreement as of the date hereof which represents the percentage interest specified in Section 1 of Schedule 1 of all outstanding rights and obligations of the Assignor under the Warehouse Agreement, including such interest in the Commitment of the Assignor and the Lender Advances made by the Assignor. After giving effect to such sale and assignment, the Commitment and the amount of Lender Advances made by the Assignee will be as set forth in Section 2 of Schedule 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Assignor represents and warrants that it is the legal and beneficial owner of the interest being assigned by it hereunder and that such interest is free and clear of any Lien.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Assignor and the Assignee confirm to and agree with each other and the other parties to Warehouse Agreement that: (i) other than as provided herein, the Assignor makes no representation or warranty and assumes no responsibility with respect to any statements, warranties or representations made in or in connection with the Warehouse Agreement or the execution, legality, validity, enforceability, genuineness, sufficiency or value of the Warehouse Agreement or any other instrument or document furnished pursuant thereto; (ii) the Assignee confirms that it has received a copy of the Warehouse Agreement, together with copies of such financial statements and other documents and information as it has deemed appropriate to make its own credit analysis and decision to enter into such Assignment and Acceptance; (iii) the Assignee will, independently and without reliance upon the Administrative Agent, the Assignor or any other Lender party to the Warehouse Agreement and based on such documents and information as it shall deem appropriate at the time, continue to make its own credit decisions in taking or not taking action under the Warehouse Agreement; (iv) the Assignor and the Assignee confirm that the Assignee is an Eligible Assignee; (v) the Assignee appoints and authorizes the Administrative Agent to take such action as agent on its behalf and to exercise such powers under this Agreement as are delegated to such agent by the terms hereof, together with such powers as are reasonably incidental thereto; (vi) the Assignee agrees that it will perform in accordance with their terms all of the obligations which by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terms of the Warehouse Agreement are required to be performed by it as a Lender, including the confidentiality provisions of Article Thirteen; and (vii) this Assignment and Acceptance meets all other requirements for such an Assignment and Acceptance set forth in Article Thirteen of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Following the execution of this Assignment and Acceptance by the Assignor and the Assignee, it will be delivered to the Administrative Agent for acceptance. The effective date of this Assignment and Acceptance (the “Assignment Date”) shall be the date of acceptance thereof by the Administrative Agent, unless a later date is specified in Section 3 of Schedule 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Assignor and the Assignee agree to reimburse the Administrative Agent for all reasonable fees, costs and expenses (including reasonable fees and out-of-pocket expenses of counsel for the Administrative Agent) incurred by the Administrative Agent in connection with this Assignment and Acceptance.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such acceptance by the Administrative Agent, the Assignee shall be a party to the Warehouse Agreement and, to the extent provided in this Assignment and Acceptance, have the rights and obligations of a Lender thereunder, provided, however, that the Assignor shall, to the extent such rights have been assigned by it under this Assignment and Acceptance, relinquish its assigned rights and be released from its assigned obligations under the Warehouse Agreement (and, in the case of an Assignment and Acceptance coving all or the remaining portion of an assigning Assignor’s rights and obligations under the Warehouse Agreement, Assignor shall cease to be a party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such acceptance by the Administrative Agent, from and after the Assignment Date, the Administrative Agent shall make, or cause to be made, all payments under the Warehouse Agreement in respect of the interest assigned hereby (including, without limitation, all payments of principal, interest and fees with respect thereto) to the Assignee. The Assignor and Assignee shall make all appropriate adjustments in payments under the Warehouse Agreement for periods prior to the Assignment Date directly between themselves.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THIS ASSIGNMENT AND ACCEPTANCE SHALL BE GOVERNED BY, AND CONSTRUED IN ACCORDANCE WITH, THE LAWS OF THE STATE OF NEW YORK WITHOUT REGARD TO PRINCIPLES OF CONFLICTS OF LAW (OTHER THAN SECTIONS 5-1401 AND 5-1402 OF THE NEW YORK GENERAL OBLIGATIONS LAW).</w:t>
      </w:r>
    </w:p>
    <w:p>
      <w:pPr>
        <w:pStyle w:val="TextBody"/>
        <w:bidi w:val="0"/>
        <w:jc w:val="center"/>
        <w:rPr>
          <w:rFonts w:ascii="Times New Roman" w:hAnsi="Times New Roman"/>
          <w:color w:val="000000"/>
          <w:sz w:val="24"/>
        </w:rPr>
      </w:pPr>
      <w:r>
        <w:rPr>
          <w:rFonts w:ascii="Times New Roman" w:hAnsi="Times New Roman"/>
          <w:color w:val="000000"/>
          <w:sz w:val="24"/>
        </w:rPr>
        <w:t>C-166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IN WITNESS WHEREOF, the Assignor and the Assignee have executed this Acceptance and Assignment as of the __ day of ________, 201</w:t>
      </w:r>
      <w:r>
        <w:rPr>
          <w:rFonts w:ascii="Times New Roman" w:hAnsi="Times New Roman"/>
          <w:color w:val="000000"/>
          <w:sz w:val="20"/>
          <w:u w:val="single"/>
        </w:rPr>
        <w:t xml:space="preserve"> </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_______________, as Assignor</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left"/>
        <w:rPr>
          <w:rFonts w:ascii="Times New Roman" w:hAnsi="Times New Roman"/>
          <w:color w:val="000000"/>
          <w:sz w:val="24"/>
        </w:rPr>
      </w:pPr>
      <w:r>
        <w:rPr>
          <w:rFonts w:ascii="Times New Roman" w:hAnsi="Times New Roman"/>
          <w:color w:val="000000"/>
          <w:sz w:val="24"/>
        </w:rPr>
        <w:t>_______________, as Assignee</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spacing w:before="0" w:after="480"/>
        <w:jc w:val="center"/>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cc:</w:t>
        <w:br/>
        <w:br/>
        <w:t>UACC Auto Financing Trust V</w:t>
        <w:br/>
        <w:t>c/o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br/>
        <w:t xml:space="preserve">With a copy to: </w:t>
        <w:br/>
        <w:t>United Auto Credit Corporation</w:t>
        <w:br/>
        <w:t>1071 Camelback Street</w:t>
        <w:br/>
        <w:t>Newport Beach, California 92660</w:t>
        <w:br/>
        <w:t>Attention: [***]</w:t>
        <w:br/>
        <w:t>Telephone No.: [***]</w:t>
        <w:br/>
        <w:t>Email: [***]</w:t>
      </w:r>
    </w:p>
    <w:p>
      <w:pPr>
        <w:pStyle w:val="TextBody"/>
        <w:bidi w:val="0"/>
        <w:jc w:val="center"/>
        <w:rPr>
          <w:rFonts w:ascii="Times New Roman" w:hAnsi="Times New Roman"/>
          <w:color w:val="000000"/>
          <w:sz w:val="24"/>
        </w:rPr>
      </w:pPr>
      <w:r>
        <w:rPr>
          <w:rFonts w:ascii="Times New Roman" w:hAnsi="Times New Roman"/>
          <w:color w:val="000000"/>
          <w:sz w:val="24"/>
        </w:rPr>
        <w:t>C-167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sz w:val="20"/>
        </w:rPr>
      </w:pPr>
      <w:r>
        <w:rPr>
          <w:rFonts w:ascii="Times New Roman" w:hAnsi="Times New Roman"/>
          <w:color w:val="000000"/>
          <w:sz w:val="24"/>
        </w:rPr>
        <w:t>Schedule 1</w:t>
        <w:br/>
        <w:t>to</w:t>
        <w:br/>
        <w:t>Assignment and Acceptance</w:t>
        <w:br/>
        <w:t>Dated _________, 20_</w:t>
      </w:r>
      <w:r>
        <w:rPr>
          <w:rFonts w:ascii="Times New Roman" w:hAnsi="Times New Roman"/>
          <w:color w:val="000000"/>
          <w:sz w:val="20"/>
        </w:rPr>
        <w:t xml:space="preserve"> </w:t>
      </w:r>
    </w:p>
    <w:tbl>
      <w:tblPr>
        <w:tblW w:w="7697" w:type="dxa"/>
        <w:jc w:val="left"/>
        <w:tblInd w:w="0" w:type="dxa"/>
        <w:tblLayout w:type="fixed"/>
        <w:tblCellMar>
          <w:top w:w="28" w:type="dxa"/>
          <w:left w:w="28" w:type="dxa"/>
          <w:bottom w:w="28" w:type="dxa"/>
          <w:right w:w="28" w:type="dxa"/>
        </w:tblCellMar>
      </w:tblPr>
      <w:tblGrid>
        <w:gridCol w:w="5506"/>
        <w:gridCol w:w="2191"/>
      </w:tblGrid>
      <w:tr>
        <w:trPr/>
        <w:tc>
          <w:tcPr>
            <w:tcW w:w="550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55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u w:val="single"/>
              </w:rPr>
              <w:t>Section 1</w:t>
            </w:r>
            <w:r>
              <w:rPr>
                <w:rFonts w:ascii="Times New Roman" w:hAnsi="Times New Roman"/>
                <w:color w:val="000000"/>
                <w:sz w:val="24"/>
              </w:rPr>
              <w:t>.</w:t>
            </w:r>
          </w:p>
        </w:tc>
        <w:tc>
          <w:tcPr>
            <w:tcW w:w="2191" w:type="dxa"/>
            <w:tcBorders/>
            <w:tcMar>
              <w:top w:w="0" w:type="dxa"/>
              <w:left w:w="0" w:type="dxa"/>
              <w:bottom w:w="0" w:type="dxa"/>
              <w:right w:w="0" w:type="dxa"/>
            </w:tcMar>
            <w:vAlign w:val="center"/>
          </w:tcPr>
          <w:p>
            <w:pPr>
              <w:pStyle w:val="TableContents"/>
              <w:bidi w:val="0"/>
              <w:spacing w:before="0" w:after="240"/>
              <w:ind w:left="0" w:right="0" w:firstLine="360"/>
              <w:jc w:val="left"/>
              <w:rPr/>
            </w:pPr>
            <w:r>
              <w:rPr/>
              <w:t> </w:t>
            </w:r>
          </w:p>
        </w:tc>
      </w:tr>
      <w:tr>
        <w:trPr/>
        <w:tc>
          <w:tcPr>
            <w:tcW w:w="5506" w:type="dxa"/>
            <w:tcBorders/>
            <w:tcMar>
              <w:top w:w="0" w:type="dxa"/>
              <w:left w:w="0" w:type="dxa"/>
              <w:bottom w:w="0" w:type="dxa"/>
              <w:right w:w="0" w:type="dxa"/>
            </w:tcMar>
            <w:vAlign w:val="center"/>
          </w:tcPr>
          <w:p>
            <w:pPr>
              <w:pStyle w:val="TableContents"/>
              <w:bidi w:val="0"/>
              <w:spacing w:before="0" w:after="360"/>
              <w:ind w:left="0" w:right="0" w:firstLine="360"/>
              <w:jc w:val="left"/>
              <w:rPr>
                <w:rFonts w:ascii="Times New Roman" w:hAnsi="Times New Roman"/>
                <w:color w:val="000000"/>
                <w:sz w:val="24"/>
              </w:rPr>
            </w:pPr>
            <w:r>
              <w:rPr>
                <w:rFonts w:ascii="Times New Roman" w:hAnsi="Times New Roman"/>
                <w:color w:val="000000"/>
                <w:sz w:val="24"/>
              </w:rPr>
              <w:t>Percentage Interest:</w:t>
            </w:r>
          </w:p>
        </w:tc>
        <w:tc>
          <w:tcPr>
            <w:tcW w:w="2191" w:type="dxa"/>
            <w:tcBorders/>
            <w:tcMar>
              <w:top w:w="0" w:type="dxa"/>
              <w:left w:w="0" w:type="dxa"/>
              <w:bottom w:w="0" w:type="dxa"/>
              <w:right w:w="0" w:type="dxa"/>
            </w:tcMar>
            <w:vAlign w:val="center"/>
          </w:tcPr>
          <w:p>
            <w:pPr>
              <w:pStyle w:val="TableContents"/>
              <w:bidi w:val="0"/>
              <w:spacing w:before="0" w:after="360"/>
              <w:jc w:val="left"/>
              <w:rPr>
                <w:rFonts w:ascii="Times New Roman" w:hAnsi="Times New Roman"/>
                <w:color w:val="000000"/>
                <w:sz w:val="24"/>
              </w:rPr>
            </w:pPr>
            <w:r>
              <w:rPr>
                <w:rFonts w:ascii="Times New Roman" w:hAnsi="Times New Roman"/>
                <w:color w:val="000000"/>
                <w:sz w:val="24"/>
              </w:rPr>
              <w:t>________%</w:t>
            </w:r>
          </w:p>
        </w:tc>
      </w:tr>
      <w:tr>
        <w:trPr/>
        <w:tc>
          <w:tcPr>
            <w:tcW w:w="55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u w:val="single"/>
              </w:rPr>
              <w:t>Section 2</w:t>
            </w:r>
            <w:r>
              <w:rPr>
                <w:rFonts w:ascii="Times New Roman" w:hAnsi="Times New Roman"/>
                <w:color w:val="000000"/>
                <w:sz w:val="24"/>
              </w:rPr>
              <w:t>.</w:t>
            </w:r>
          </w:p>
        </w:tc>
        <w:tc>
          <w:tcPr>
            <w:tcW w:w="2191" w:type="dxa"/>
            <w:tcBorders/>
            <w:tcMar>
              <w:top w:w="0" w:type="dxa"/>
              <w:left w:w="0" w:type="dxa"/>
              <w:bottom w:w="0" w:type="dxa"/>
              <w:right w:w="0" w:type="dxa"/>
            </w:tcMar>
            <w:vAlign w:val="center"/>
          </w:tcPr>
          <w:p>
            <w:pPr>
              <w:pStyle w:val="TableContents"/>
              <w:bidi w:val="0"/>
              <w:spacing w:before="0" w:after="240"/>
              <w:ind w:left="0" w:right="0" w:firstLine="360"/>
              <w:jc w:val="left"/>
              <w:rPr/>
            </w:pPr>
            <w:r>
              <w:rPr/>
              <w:t> </w:t>
            </w:r>
          </w:p>
        </w:tc>
      </w:tr>
      <w:tr>
        <w:trPr/>
        <w:tc>
          <w:tcPr>
            <w:tcW w:w="5506" w:type="dxa"/>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 xml:space="preserve">Assignee’s Commitment: </w:t>
            </w:r>
          </w:p>
        </w:tc>
        <w:tc>
          <w:tcPr>
            <w:tcW w:w="2191" w:type="dxa"/>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$_____________</w:t>
            </w:r>
          </w:p>
        </w:tc>
      </w:tr>
      <w:tr>
        <w:trPr/>
        <w:tc>
          <w:tcPr>
            <w:tcW w:w="5506" w:type="dxa"/>
            <w:tcBorders/>
            <w:tcMar>
              <w:top w:w="0" w:type="dxa"/>
              <w:left w:w="0" w:type="dxa"/>
              <w:bottom w:w="0" w:type="dxa"/>
              <w:right w:w="0" w:type="dxa"/>
            </w:tcMar>
            <w:vAlign w:val="center"/>
          </w:tcPr>
          <w:p>
            <w:pPr>
              <w:pStyle w:val="TableContents"/>
              <w:bidi w:val="0"/>
              <w:spacing w:before="0" w:after="360"/>
              <w:ind w:left="0" w:right="0" w:firstLine="360"/>
              <w:jc w:val="left"/>
              <w:rPr>
                <w:rFonts w:ascii="Times New Roman" w:hAnsi="Times New Roman"/>
                <w:color w:val="000000"/>
                <w:sz w:val="24"/>
              </w:rPr>
            </w:pPr>
            <w:r>
              <w:rPr>
                <w:rFonts w:ascii="Times New Roman" w:hAnsi="Times New Roman"/>
                <w:color w:val="000000"/>
                <w:sz w:val="24"/>
              </w:rPr>
              <w:t>Aggregate Lender Advances Owing to the Assignee:</w:t>
            </w:r>
          </w:p>
        </w:tc>
        <w:tc>
          <w:tcPr>
            <w:tcW w:w="2191" w:type="dxa"/>
            <w:tcBorders/>
            <w:tcMar>
              <w:top w:w="0" w:type="dxa"/>
              <w:left w:w="0" w:type="dxa"/>
              <w:bottom w:w="0" w:type="dxa"/>
              <w:right w:w="0" w:type="dxa"/>
            </w:tcMar>
            <w:vAlign w:val="center"/>
          </w:tcPr>
          <w:p>
            <w:pPr>
              <w:pStyle w:val="TableContents"/>
              <w:bidi w:val="0"/>
              <w:spacing w:before="0" w:after="360"/>
              <w:jc w:val="left"/>
              <w:rPr>
                <w:rFonts w:ascii="Times New Roman" w:hAnsi="Times New Roman"/>
                <w:color w:val="000000"/>
                <w:sz w:val="24"/>
              </w:rPr>
            </w:pPr>
            <w:r>
              <w:rPr>
                <w:rFonts w:ascii="Times New Roman" w:hAnsi="Times New Roman"/>
                <w:color w:val="000000"/>
                <w:sz w:val="24"/>
              </w:rPr>
              <w:t>$_____________</w:t>
            </w:r>
          </w:p>
        </w:tc>
      </w:tr>
      <w:tr>
        <w:trPr/>
        <w:tc>
          <w:tcPr>
            <w:tcW w:w="55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u w:val="single"/>
              </w:rPr>
              <w:t>Section 3</w:t>
            </w:r>
            <w:r>
              <w:rPr>
                <w:rFonts w:ascii="Times New Roman" w:hAnsi="Times New Roman"/>
                <w:color w:val="000000"/>
                <w:sz w:val="24"/>
              </w:rPr>
              <w:t>.</w:t>
            </w:r>
          </w:p>
        </w:tc>
        <w:tc>
          <w:tcPr>
            <w:tcW w:w="2191" w:type="dxa"/>
            <w:tcBorders/>
            <w:tcMar>
              <w:top w:w="0" w:type="dxa"/>
              <w:left w:w="0" w:type="dxa"/>
              <w:bottom w:w="0" w:type="dxa"/>
              <w:right w:w="0" w:type="dxa"/>
            </w:tcMar>
            <w:vAlign w:val="center"/>
          </w:tcPr>
          <w:p>
            <w:pPr>
              <w:pStyle w:val="TableContents"/>
              <w:bidi w:val="0"/>
              <w:spacing w:before="0" w:after="240"/>
              <w:ind w:left="0" w:right="0" w:firstLine="360"/>
              <w:jc w:val="left"/>
              <w:rPr/>
            </w:pPr>
            <w:r>
              <w:rPr/>
              <w:t> </w:t>
            </w:r>
          </w:p>
        </w:tc>
      </w:tr>
      <w:tr>
        <w:trPr/>
        <w:tc>
          <w:tcPr>
            <w:tcW w:w="7697"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 xml:space="preserve">Assignment Date: _____________, 20_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C-168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D</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CREDIT AND COLLECTION POLICY</w:t>
      </w:r>
    </w:p>
    <w:p>
      <w:pPr>
        <w:pStyle w:val="TextBody"/>
        <w:bidi w:val="0"/>
        <w:spacing w:before="0" w:after="360"/>
        <w:jc w:val="center"/>
        <w:rPr>
          <w:rFonts w:ascii="Times New Roman" w:hAnsi="Times New Roman"/>
          <w:sz w:val="20"/>
        </w:rPr>
      </w:pPr>
      <w:r>
        <w:rPr>
          <w:rFonts w:ascii="Times New Roman" w:hAnsi="Times New Roman"/>
          <w:caps/>
          <w:color w:val="000000"/>
          <w:sz w:val="24"/>
        </w:rPr>
        <w:t>[</w:t>
      </w:r>
      <w:r>
        <w:rPr>
          <w:rFonts w:ascii="Times New Roman" w:hAnsi="Times New Roman"/>
          <w:color w:val="000000"/>
          <w:sz w:val="24"/>
        </w:rPr>
        <w:t>Provided In Electronic Form</w:t>
      </w:r>
      <w:r>
        <w:rPr>
          <w:rFonts w:ascii="Times New Roman" w:hAnsi="Times New Roman"/>
          <w:caps/>
          <w:color w:val="000000"/>
          <w:sz w:val="24"/>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E</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POWER OF ATTORNEY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Power of Attorney (this “Power of Attorney”) is executed and delivered by UACC Auto Financing Trust V (“Grantor”) to [***], as Administrative Agent (“Attorney”), pursuant to the Warehouse Agreement, dated as of July 11, 2019 (as amended, restated, supplemented or otherwise modified from time to time, the “Warehouse Agreement”), among UACC Auto Financing Trust V, as borrower (the “Borrower”), United Auto Credit Corporation, as servicer and as custodian, [***], acting through its Corporate Trust Services division, as backup servicer and account bank, the lenders from time to time parties thereto, and [***], as administrative agent. Capitalized terms used herein that are not otherwise defined shall have the meanings ascribed thereto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person to whom this Power of Attorney is presented, as authority for Attorney to take any action or actions contemplated hereby, shall inquire into or seek confirmation from Grantor as to the authority of Attorney to take any action described below, or as to the existence of or fulfillment of any condition to this Power of Attorney, which is intended to grant to Attorney unconditionally the authority to take and perform the actions contemplated herein, and Grantor irrevocably waives any right to commence any suit or action, in law or equity, against any person or entity that acts in reliance upon or acknowledges the authority granted under this Power of Attorney. This Power of Attorney is coupled with an interest and may not be revoked or canceled by Grantor until all Aggregate Unpaids have been indefeasibly paid in full or Attorney has provided its written consent thereto.</w:t>
      </w:r>
    </w:p>
    <w:p>
      <w:pPr>
        <w:pStyle w:val="TextBody"/>
        <w:bidi w:val="0"/>
        <w:spacing w:before="0" w:after="240"/>
        <w:jc w:val="both"/>
        <w:rPr>
          <w:rFonts w:ascii="Times New Roman" w:hAnsi="Times New Roman"/>
          <w:sz w:val="20"/>
        </w:rPr>
      </w:pPr>
      <w:r>
        <w:rPr>
          <w:rFonts w:ascii="Times New Roman" w:hAnsi="Times New Roman"/>
          <w:color w:val="000000"/>
          <w:sz w:val="24"/>
        </w:rPr>
        <w:t>Grantor hereby irrevocably constitutes and appoints Attorney (and all officers, employees or agents designated by Attorney), with full power of substitution, as its true and lawful attorney-in-fact with full irrevocable power and authority in its place and stead and in its name or in Attorney’s own name, from time to time in Attorney’s discretion, to take any and all appropriate action and to execute and deliver any and all documents and instruments that may be necessary or desirable to accomplish the purposes of the Warehouse Agreement, and, without limiting the generality of the foregoing, hereby grants to Attorney the power and right, on its behalf, without notice to or assent by it, upon the occurrence and during the continuance of any Termination Event, to do the following: (a) exercise all rights and privileges of Grantor under the Purchase Agreement (including each Transfer Agreement); (b) pay or discharge any taxes, Liens or other encumbrances levied or placed on or threatened against Grantor or Grantor’s property; (c) defend any suit, action or proceeding brought against Grantor if Grantor does not defend such suit, action or proceeding or if Attorney believes that it is not pursuing such defense in a manner that will maximize the recovery to Attorney, and settle, compromise or adjust any suit, action or proceeding described above and, in connection therewith, give such discharges or releases as Attorney may deem appropriate; (d) file or prosecute any claim, litigation, suit or proceeding in any court of competent jurisdiction or before any arbitrator, or take any other action otherwise deemed appropriate by Attorney for the purpose of collecting any and all such moneys due to Grantor whenever payable and to enforce any other right in respect of Grantor’s property; (e) sell, transfer, pledge, make any agreement with respect to or otherwise deal with, any of Grantor’s property, and execute, in connection with such sale or action, any endorsements, assignments or other instruments 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conveyance or transfer in connection therewith; and (f) cause the certified public accountants then engaged by Grantor to prepare and deliver to Attorney at any time and from time to time, promptly upon Attorney’s request, any reports required to be prepared by or on behalf of Grantor under the Warehouse Agreement or any other Basic Document, all as though Attorney were the absolute owner of its property for all purposes, and to do, at Attorney’s option and Grantor’s expense, at any time or from time to time, all acts and other things that Attorney reasonably deems necessary to perfect, preserve, or realize upon its property or assets and the Liens of the Administrative Agent, as agent for the Secured Parties thereon, all as fully and effectively as it might do. All actions taken by Attorney pursuant to this Power of Attorney may be taken directly by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Grantor hereby ratifies, to the extent permitted by Applicable Law, all that said attorneys shall lawfully do or cause to be done by virtue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this Power of Attorney is executed by Grantor as of this __ day of [_____________] 2019.</w:t>
      </w:r>
    </w:p>
    <w:p>
      <w:pPr>
        <w:pStyle w:val="TextBody"/>
        <w:bidi w:val="0"/>
        <w:jc w:val="left"/>
        <w:rPr>
          <w:rFonts w:ascii="Times New Roman" w:hAnsi="Times New Roman"/>
          <w:color w:val="000000"/>
          <w:sz w:val="24"/>
        </w:rPr>
      </w:pPr>
      <w:r>
        <w:rPr>
          <w:rFonts w:ascii="Times New Roman" w:hAnsi="Times New Roman"/>
          <w:color w:val="000000"/>
          <w:sz w:val="24"/>
        </w:rPr>
        <w:t>UACC AUTO FINANCING TRUST V</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 not in its individual capacity but solely as Owner Trustee</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left"/>
        <w:rPr>
          <w:rFonts w:ascii="Times New Roman" w:hAnsi="Times New Roman"/>
          <w:color w:val="000000"/>
          <w:sz w:val="24"/>
        </w:rPr>
      </w:pPr>
      <w:r>
        <w:rPr>
          <w:rFonts w:ascii="Times New Roman" w:hAnsi="Times New Roman"/>
          <w:color w:val="000000"/>
          <w:sz w:val="24"/>
        </w:rPr>
        <w:t>Sworn to and subscribed before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me this __ day of [_________] 2019</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Notary Public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[NOTARY SEAL]</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E-171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F</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G</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RELEASE OF DOCUMENTS</w:t>
      </w:r>
    </w:p>
    <w:p>
      <w:pPr>
        <w:pStyle w:val="TextBody"/>
        <w:bidi w:val="0"/>
        <w:spacing w:before="0" w:after="480"/>
        <w:jc w:val="center"/>
        <w:rPr>
          <w:rFonts w:ascii="Times New Roman" w:hAnsi="Times New Roman"/>
          <w:sz w:val="20"/>
        </w:rPr>
      </w:pPr>
      <w:r>
        <w:rPr>
          <w:rFonts w:ascii="Times New Roman" w:hAnsi="Times New Roman"/>
          <w:color w:val="000000"/>
          <w:sz w:val="24"/>
        </w:rPr>
        <w:t>__________, 201</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[Custodian]</w:t>
        <w:br/>
        <w:br/>
        <w:br/>
        <w:t>Attention: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Re: </w:t>
      </w:r>
      <w:r>
        <w:rPr>
          <w:rFonts w:ascii="Times New Roman" w:hAnsi="Times New Roman"/>
          <w:color w:val="000000"/>
          <w:sz w:val="24"/>
          <w:u w:val="single"/>
        </w:rPr>
        <w:t>UACC Auto Financing Trust V Warehouse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Reference is made to the Warehouse Agreement, dated as of July 11, 2019 (as amended, restated, supplemented or otherwise modified from time to time, the “Warehouse Agreement”), among UACC Auto Financing Trust V, as borrower, United Auto Credit Corporation, as servicer (the “Servicer”) and as custodian, [***], as backup servicer and account bank, the lenders from time to time parties thereto, and [***], as administrative agent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in its capacity as Servicer under the Warehouse Agreement, hereby requests (check one):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______ that the Custodian release to the Servicer the Receivable Files or other documents set forth on Schedule A to this Release of Documents. All documents so released to the Servicer shall be held by the Servicer in trust for the benefit of the Administrative Agent in accordance with the terms of the Warehouse Agreement and the Servicer agrees to return to the Custodian the Receivable File or other such documents when the Servicer’s need therefor no longer exists.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______ that the Custodian permanently release to the Servicer the Receivable Files or other documents set forth on Schedule B to this Release of Documents and the Servicer certifies with respect to such Receivable Files that the related Receivable has been liquidated, prepaid or repaid and that all amounts received in connection with such liquidated Receivable have been credited to the Collection Account as provided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herein that are not otherwise defined shall have the meaning ascribed thereto in the Warehouse Agreement.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has executed this Release of Documents as of the date first written above.</w:t>
      </w:r>
    </w:p>
    <w:p>
      <w:pPr>
        <w:pStyle w:val="TextBody"/>
        <w:bidi w:val="0"/>
        <w:jc w:val="left"/>
        <w:rPr>
          <w:rFonts w:ascii="Times New Roman" w:hAnsi="Times New Roman"/>
          <w:color w:val="000000"/>
          <w:sz w:val="24"/>
        </w:rPr>
      </w:pPr>
      <w:r>
        <w:rPr>
          <w:rFonts w:ascii="Times New Roman" w:hAnsi="Times New Roman"/>
          <w:color w:val="000000"/>
          <w:sz w:val="24"/>
        </w:rPr>
        <w:t>UNITED AUTO CREDIT CORPORATION</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AGREED AND ACCEPTED:</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as Custodian</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H</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RECEIVABLE RECEIPT</w:t>
      </w:r>
    </w:p>
    <w:p>
      <w:pPr>
        <w:pStyle w:val="TextBody"/>
        <w:bidi w:val="0"/>
        <w:spacing w:before="0" w:after="480"/>
        <w:jc w:val="center"/>
        <w:rPr>
          <w:rFonts w:ascii="Times New Roman" w:hAnsi="Times New Roman"/>
          <w:sz w:val="20"/>
        </w:rPr>
      </w:pPr>
      <w:r>
        <w:rPr>
          <w:rFonts w:ascii="Times New Roman" w:hAnsi="Times New Roman"/>
          <w:color w:val="000000"/>
          <w:sz w:val="24"/>
        </w:rPr>
        <w:t>__________, 201</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w:t>
        <w:br/>
        <w:t>as Administrative Agent</w:t>
        <w:br/>
      </w:r>
      <w:r>
        <w:rPr>
          <w:rFonts w:ascii="Times New Roman" w:hAnsi="Times New Roman"/>
          <w:color w:val="000000"/>
          <w:sz w:val="20"/>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br/>
        <w:br/>
        <w:t>Attention: [___________]</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Re: </w:t>
      </w:r>
      <w:r>
        <w:rPr>
          <w:rFonts w:ascii="Times New Roman" w:hAnsi="Times New Roman"/>
          <w:color w:val="000000"/>
          <w:sz w:val="24"/>
          <w:u w:val="single"/>
        </w:rPr>
        <w:t>UACC Auto Financing Trust V Warehouse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Reference is made to the Warehouse Agreement, dated as of July 11, 2019 (as amended, restated, supplemented or otherwise modified from time to time, the “Warehouse Agreement”), among UACC Auto Financing Trust V, as borrower, United Auto Credit Corporation (“UACC”), as servicer and as custodian (in such capacity, the “Custodian”), [***], as backup servicer and account bank, the lenders from time to time parties thereto, and [***], as administrative agent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on behalf of UACC, in its capacity as Custodian under the Warehouse Agreement, hereby acknowledges (i) delivery of the executed original counterpart of the Contracts set forth on Schedule 1 hereto, evidencing the related Receivables and (ii) stating that the executed original counterparts of the Contracts set forth on Schedule 2 hereto have not been delivered to the Custodian or are mutilated or damaged in any material respect.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herein that are not otherwise defined shall have the meaning ascribed thereto in the Warehouse Agreement.</w:t>
      </w:r>
    </w:p>
    <w:p>
      <w:pPr>
        <w:pStyle w:val="TextBody"/>
        <w:bidi w:val="0"/>
        <w:jc w:val="left"/>
        <w:rPr>
          <w:rFonts w:ascii="Times New Roman" w:hAnsi="Times New Roman"/>
          <w:color w:val="000000"/>
          <w:sz w:val="24"/>
        </w:rPr>
      </w:pPr>
      <w:r>
        <w:rPr>
          <w:rFonts w:ascii="Times New Roman" w:hAnsi="Times New Roman"/>
          <w:color w:val="000000"/>
          <w:sz w:val="24"/>
        </w:rPr>
        <w:t>UNITED AUTO CREDIT CORPORATION,</w:t>
        <w:br/>
        <w:t>as Custodian</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color w:val="000000"/>
          <w:sz w:val="24"/>
        </w:rPr>
      </w:pPr>
      <w:r>
        <w:rPr>
          <w:rFonts w:ascii="Times New Roman" w:hAnsi="Times New Roman"/>
          <w:color w:val="000000"/>
          <w:sz w:val="24"/>
        </w:rPr>
        <w:t>Schedule 1</w:t>
        <w:br/>
        <w:t>To Receivable Receipt</w:t>
      </w:r>
    </w:p>
    <w:p>
      <w:pPr>
        <w:pStyle w:val="TextBody"/>
        <w:bidi w:val="0"/>
        <w:jc w:val="righ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center"/>
        <w:rPr>
          <w:rFonts w:ascii="Times New Roman" w:hAnsi="Times New Roman"/>
          <w:color w:val="000000"/>
          <w:sz w:val="24"/>
        </w:rPr>
      </w:pPr>
      <w:r>
        <w:rPr>
          <w:rFonts w:ascii="Times New Roman" w:hAnsi="Times New Roman"/>
          <w:color w:val="000000"/>
          <w:sz w:val="24"/>
        </w:rPr>
        <w:t>H-176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color w:val="000000"/>
          <w:sz w:val="24"/>
        </w:rPr>
      </w:pPr>
      <w:r>
        <w:rPr>
          <w:rFonts w:ascii="Times New Roman" w:hAnsi="Times New Roman"/>
          <w:color w:val="000000"/>
          <w:sz w:val="24"/>
        </w:rPr>
        <w:t>Schedule 2</w:t>
        <w:br/>
        <w:t>To Receivable Receipt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H-177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color w:val="000000"/>
          <w:sz w:val="24"/>
        </w:rPr>
      </w:pPr>
      <w:r>
        <w:rPr>
          <w:rFonts w:ascii="Times New Roman" w:hAnsi="Times New Roman"/>
          <w:color w:val="000000"/>
          <w:sz w:val="24"/>
        </w:rPr>
        <w:t>EXHIBIT I</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SECURITIZATION RELEASE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Reference is hereby made to the Warehouse Agreement, Warehouse Agreement, dated as of July 11, 2019 (as amended, restated, supplemented or otherwise modified from time to time, the “Warehouse Agreement”), among the Borrower, United Auto Credit Corporation, as servicer and as custodian, [***], as backup servicer and account bank, the Lenders from time to time party thereto, and [***], as administrative agent. Capitalized terms not otherwise defined herein have the meanings ascribed thereto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represents and warrants that each condition in the Warehouse Agreement and each other Basic Document, to the consummation of the Securitization to which this Securitization Release relates, has been satisfied, including but not limited to delivery of (i) the executed Securitization Date Certificate, in substantially the form attached hereto as Annex 1 and (i) the executed notice, in substantially the form attached hereto as Annex 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deposit in the Collection Account of $___________ in accordance with Section 2.15(a)(iv) in immediately available funds, the Administrative Agent hereby releases all of its right, title and interest, including its Lien, in and to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Receivables to be transferred by the Borrower in the related Securitization and described in Schedule I hereto (the “Securitized Assets” and such Schedule, the “Schedule of Securitized Assets”), together with the related Contracts (including the agreement to service the Receivables), whether now existing or hereafter acquired, and any accounts or obligations evidenced thereby, any guarantee thereof, all Collections related thereto, and all monies due (including any payments made under any guarantee or similar credit enhancement with respect to any such Securitized Assets) or to become due or received by any Person in payment of any of the foregoing on or after the related Securitization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of the Borrower’s interest in the Financed Vehicles relating to the Securitized Assets (including repossessed vehicles) or in any document or writing evidencing any security interest in any such Financed Vehicle and each security interest in each such Financed Vehicle, whether now existing or hereafter acquired, including all proceeds from any sale or other disposition of such Financed Vehicles;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and</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all income, products, accessions and proceeds of the foregoing.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Executed as of __________, 201_.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UACC AUTO FINANCING TRUST V, as Borrower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UNITED AUTO CREDIT CORPORATION, as Attorney-In-Fact</w:t>
      </w:r>
    </w:p>
    <w:p>
      <w:pPr>
        <w:pStyle w:val="TextBody"/>
        <w:bidi w:val="0"/>
        <w:spacing w:before="48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left"/>
        <w:rPr>
          <w:rFonts w:ascii="Times New Roman" w:hAnsi="Times New Roman"/>
          <w:color w:val="000000"/>
          <w:sz w:val="24"/>
        </w:rPr>
      </w:pPr>
      <w:r>
        <w:rPr>
          <w:rFonts w:ascii="Times New Roman" w:hAnsi="Times New Roman"/>
          <w:color w:val="000000"/>
          <w:sz w:val="24"/>
        </w:rPr>
        <w:t>UNITED AUTO CREDIT CORPORATION, as Servicer</w:t>
      </w:r>
    </w:p>
    <w:p>
      <w:pPr>
        <w:pStyle w:val="TextBody"/>
        <w:bidi w:val="0"/>
        <w:spacing w:before="7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 xml:space="preserve">Name: </w:t>
        <w:br/>
        <w:t>Title:</w:t>
      </w:r>
    </w:p>
    <w:p>
      <w:pPr>
        <w:pStyle w:val="TextBody"/>
        <w:bidi w:val="0"/>
        <w:jc w:val="left"/>
        <w:rPr>
          <w:rFonts w:ascii="Times New Roman" w:hAnsi="Times New Roman"/>
          <w:color w:val="000000"/>
          <w:sz w:val="24"/>
        </w:rPr>
      </w:pPr>
      <w:r>
        <w:rPr>
          <w:rFonts w:ascii="Times New Roman" w:hAnsi="Times New Roman"/>
          <w:color w:val="000000"/>
          <w:sz w:val="24"/>
        </w:rPr>
        <w:t>[***], as Administrative Agent</w:t>
      </w:r>
    </w:p>
    <w:p>
      <w:pPr>
        <w:pStyle w:val="TextBody"/>
        <w:bidi w:val="0"/>
        <w:spacing w:before="7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 xml:space="preserve">Name: </w:t>
        <w:br/>
        <w:t>Title:</w:t>
      </w:r>
    </w:p>
    <w:p>
      <w:pPr>
        <w:pStyle w:val="TextBody"/>
        <w:bidi w:val="0"/>
        <w:spacing w:before="0" w:after="72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I-179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ANNEX 1</w:t>
      </w:r>
    </w:p>
    <w:p>
      <w:pPr>
        <w:pStyle w:val="TextBody"/>
        <w:bidi w:val="0"/>
        <w:spacing w:before="0" w:after="24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UACC AUTO FINANCING TRUST V</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SECURITIZATION DATE CERTIFICATE</w:t>
        <w:br/>
        <w:t>PURSUANT TO SECTION 2.15(a)</w:t>
        <w:br/>
        <w:t>OF THE WAREHOUSE AGREEMENT</w:t>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UACC AUTO FINANCING TRUST V, a Delaware statutory trust, as borrower (the “Borrower”), delivers this certificate pursuant to Section 2.15(a) of the Warehouse Agreement, dated as of July 11, 2019 (as amended, restated, supplemented or otherwise modified from time to time, the “Warehouse Agreement”), among the Borrower, United Auto Credit Corporation, as servicer and as custodian, [***], as backup servicer and account bank, the Lenders from time to time party thereto, and [***], as administrative agent, and hereby certifies, as of the date hereof,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has sufficient funds on the related Securitization Date to effect the Securitization in accordance with the Warehouse Agreement (taking into account, to the extent necessary, the proceeds of sales of the Collateral in the Securitization);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giving effect of the Securitization, the release by the Administrative Agent of the related Receivables on the Securitization Date and the transfer by the Borrower of the related Receivables on the Securitization Date, (A) the representations and warranties contained in Section 5.01 and 5.02 of the Warehouse Agreement continue to be true and correct in all material respects, except to the extent relating to an earlier date and (B) no Unmatured Termination Event, Termination Event, Servicer Termination Event or Unmatured Servicer Termination Event has resulted;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adverse selection procedure shall have been used by the Borrower with respect to the Receivables that will remain subject to this Agreement after giving effect to the Securitization.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herein that are not otherwise defined shall have the meanings ascribed thereto in the Warehouse Agreement.</w:t>
      </w:r>
    </w:p>
    <w:p>
      <w:pPr>
        <w:pStyle w:val="TextBody"/>
        <w:bidi w:val="0"/>
        <w:jc w:val="center"/>
        <w:rPr>
          <w:rFonts w:ascii="Times New Roman" w:hAnsi="Times New Roman"/>
          <w:color w:val="000000"/>
          <w:sz w:val="24"/>
        </w:rPr>
      </w:pPr>
      <w:r>
        <w:rPr>
          <w:rFonts w:ascii="Times New Roman" w:hAnsi="Times New Roman"/>
          <w:color w:val="000000"/>
          <w:sz w:val="24"/>
        </w:rPr>
        <w:t>I-180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Borrower has caused this certificate to be executed on its behalf this ___ day of _________, 201_.</w:t>
      </w:r>
    </w:p>
    <w:p>
      <w:pPr>
        <w:pStyle w:val="TextBody"/>
        <w:bidi w:val="0"/>
        <w:jc w:val="left"/>
        <w:rPr>
          <w:rFonts w:ascii="Times New Roman" w:hAnsi="Times New Roman"/>
          <w:color w:val="000000"/>
          <w:sz w:val="24"/>
        </w:rPr>
      </w:pPr>
      <w:r>
        <w:rPr>
          <w:rFonts w:ascii="Times New Roman" w:hAnsi="Times New Roman"/>
          <w:color w:val="000000"/>
          <w:sz w:val="24"/>
        </w:rPr>
        <w:t>UACC AUTO FINANCING TRUST V, as Borrower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UNITED AUTO CREDIT CORPORATION, as Attorney-In-Fact</w:t>
      </w:r>
    </w:p>
    <w:p>
      <w:pPr>
        <w:pStyle w:val="TextBody"/>
        <w:bidi w:val="0"/>
        <w:spacing w:before="7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center"/>
        <w:rPr>
          <w:rFonts w:ascii="Times New Roman" w:hAnsi="Times New Roman"/>
          <w:color w:val="000000"/>
          <w:sz w:val="24"/>
        </w:rPr>
      </w:pPr>
      <w:r>
        <w:rPr>
          <w:rFonts w:ascii="Times New Roman" w:hAnsi="Times New Roman"/>
          <w:color w:val="000000"/>
          <w:sz w:val="24"/>
        </w:rPr>
        <w:t>I-181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ANNEX 2</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NOTICE</w:t>
      </w:r>
    </w:p>
    <w:p>
      <w:pPr>
        <w:pStyle w:val="TextBody"/>
        <w:bidi w:val="0"/>
        <w:spacing w:before="0" w:after="360"/>
        <w:jc w:val="center"/>
        <w:rPr>
          <w:rFonts w:ascii="Times New Roman" w:hAnsi="Times New Roman"/>
          <w:sz w:val="20"/>
        </w:rPr>
      </w:pPr>
      <w:r>
        <w:rPr>
          <w:rFonts w:ascii="Times New Roman" w:hAnsi="Times New Roman"/>
          <w:color w:val="000000"/>
          <w:sz w:val="24"/>
        </w:rPr>
        <w:t>UACC AUTO FINANCING TRUST V</w:t>
        <w:br/>
      </w:r>
      <w:r>
        <w:rPr>
          <w:rFonts w:ascii="Times New Roman" w:hAnsi="Times New Roman"/>
          <w:color w:val="000000"/>
          <w:sz w:val="20"/>
        </w:rPr>
        <w:t> </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______________, 20___</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as Administrative Agent</w:t>
      </w:r>
    </w:p>
    <w:p>
      <w:pPr>
        <w:pStyle w:val="TextBody"/>
        <w:bidi w:val="0"/>
        <w:jc w:val="left"/>
        <w:rPr/>
      </w:pPr>
      <w:r>
        <w:rPr/>
        <w:t> </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Attention: [_____________]</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Re: </w:t>
      </w:r>
      <w:r>
        <w:rPr>
          <w:rFonts w:ascii="Times New Roman" w:hAnsi="Times New Roman"/>
          <w:color w:val="000000"/>
          <w:sz w:val="24"/>
          <w:u w:val="single"/>
        </w:rPr>
        <w:t>UACC AUTO FINANCING TRUST V– Warehouse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Reference is made to the Warehouse Agreement, dated as of July 11, 2019 (as amended, restated, supplemented or otherwise modified from time to time, the “Warehouse Agreement”), among the Borrower, United Auto Credit Corporation, as servicer and as custodian, [***], as backup servicer and account bank, the Lenders from time to time party thereto, and [***], as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Pursuant to Section 2.15(a)(i) of the Warehouse Agreement, the Borrower gives notice of its intent to effect a Securitization on or about __________, 20__ (which date is no fewer than 10 Business Days after the date of delivery of this notice to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herein that are not otherwise defined shall have the meanings ascribed thereto in the Warehouse Agreement.</w:t>
      </w:r>
    </w:p>
    <w:p>
      <w:pPr>
        <w:pStyle w:val="TextBody"/>
        <w:bidi w:val="0"/>
        <w:jc w:val="center"/>
        <w:rPr>
          <w:rFonts w:ascii="Times New Roman" w:hAnsi="Times New Roman"/>
          <w:color w:val="000000"/>
          <w:sz w:val="24"/>
        </w:rPr>
      </w:pPr>
      <w:r>
        <w:rPr>
          <w:rFonts w:ascii="Times New Roman" w:hAnsi="Times New Roman"/>
          <w:color w:val="000000"/>
          <w:sz w:val="24"/>
        </w:rPr>
        <w:t>I-182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Very truly yours,</w:t>
      </w:r>
    </w:p>
    <w:p>
      <w:pPr>
        <w:pStyle w:val="TextBody"/>
        <w:bidi w:val="0"/>
        <w:spacing w:before="480" w:after="283"/>
        <w:jc w:val="left"/>
        <w:rPr>
          <w:rFonts w:ascii="Times New Roman" w:hAnsi="Times New Roman"/>
          <w:color w:val="000000"/>
          <w:sz w:val="24"/>
        </w:rPr>
      </w:pPr>
      <w:r>
        <w:rPr>
          <w:rFonts w:ascii="Times New Roman" w:hAnsi="Times New Roman"/>
          <w:color w:val="000000"/>
          <w:sz w:val="24"/>
        </w:rPr>
        <w:t>UACC AUTO FINANCING TRUST V</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By: UNITED AUTO CREDIT CORPORATION, as Attorney-In-Fact</w:t>
      </w:r>
    </w:p>
    <w:p>
      <w:pPr>
        <w:pStyle w:val="TextBody"/>
        <w:bidi w:val="0"/>
        <w:spacing w:before="7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center"/>
        <w:rPr>
          <w:rFonts w:ascii="Times New Roman" w:hAnsi="Times New Roman"/>
          <w:color w:val="000000"/>
          <w:sz w:val="24"/>
        </w:rPr>
      </w:pPr>
      <w:r>
        <w:rPr>
          <w:rFonts w:ascii="Times New Roman" w:hAnsi="Times New Roman"/>
          <w:color w:val="000000"/>
          <w:sz w:val="24"/>
        </w:rPr>
        <w:t>I-183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 I</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Securitization Release</w:t>
      </w:r>
    </w:p>
    <w:p>
      <w:pPr>
        <w:pStyle w:val="TextBody"/>
        <w:bidi w:val="0"/>
        <w:spacing w:before="0" w:after="720"/>
        <w:jc w:val="center"/>
        <w:rPr>
          <w:rFonts w:ascii="Times New Roman" w:hAnsi="Times New Roman"/>
          <w:color w:val="000000"/>
          <w:sz w:val="24"/>
        </w:rPr>
      </w:pPr>
      <w:r>
        <w:rPr>
          <w:rFonts w:ascii="Times New Roman" w:hAnsi="Times New Roman"/>
          <w:color w:val="000000"/>
          <w:sz w:val="24"/>
        </w:rPr>
        <w:t>Schedule of Securitized Assets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0" w:after="687"/>
        <w:jc w:val="right"/>
        <w:rPr>
          <w:rFonts w:ascii="Times New Roman" w:hAnsi="Times New Roman"/>
          <w:b/>
          <w:color w:val="000000"/>
          <w:sz w:val="24"/>
        </w:rPr>
      </w:pPr>
      <w:bookmarkStart w:id="27" w:name="vrm-ex10_3.htm"/>
      <w:bookmarkStart w:id="28" w:name="ksvrmex10_3"/>
      <w:bookmarkEnd w:id="27"/>
      <w:bookmarkEnd w:id="28"/>
      <w:r>
        <w:rPr>
          <w:rFonts w:ascii="Times New Roman" w:hAnsi="Times New Roman"/>
          <w:b/>
          <w:color w:val="000000"/>
          <w:sz w:val="24"/>
        </w:rPr>
        <w:t>Exhibit 10.3</w:t>
      </w:r>
      <w:r>
        <w:br w:type="page"/>
      </w:r>
    </w:p>
    <w:p>
      <w:pPr>
        <w:pStyle w:val="TextBody"/>
        <w:bidi w:val="0"/>
        <w:spacing w:before="0" w:after="8"/>
        <w:jc w:val="center"/>
        <w:rPr>
          <w:rFonts w:ascii="Times New Roman" w:hAnsi="Times New Roman"/>
          <w:color w:val="000000"/>
          <w:sz w:val="24"/>
        </w:rPr>
      </w:pPr>
      <w:r>
        <w:rPr>
          <w:rFonts w:ascii="Times New Roman" w:hAnsi="Times New Roman"/>
          <w:color w:val="000000"/>
          <w:sz w:val="24"/>
        </w:rPr>
        <w:t>AMENDMENT NO. 28</w:t>
      </w:r>
    </w:p>
    <w:p>
      <w:pPr>
        <w:pStyle w:val="TextBody"/>
        <w:bidi w:val="0"/>
        <w:spacing w:before="0" w:after="4"/>
        <w:jc w:val="center"/>
        <w:rPr>
          <w:rFonts w:ascii="Times New Roman" w:hAnsi="Times New Roman"/>
          <w:color w:val="000000"/>
          <w:sz w:val="24"/>
        </w:rPr>
      </w:pPr>
      <w:r>
        <w:rPr>
          <w:rFonts w:ascii="Times New Roman" w:hAnsi="Times New Roman"/>
          <w:color w:val="000000"/>
          <w:sz w:val="24"/>
        </w:rPr>
        <w:t>TO</w:t>
      </w:r>
    </w:p>
    <w:p>
      <w:pPr>
        <w:pStyle w:val="TextBody"/>
        <w:bidi w:val="0"/>
        <w:spacing w:before="0" w:after="246"/>
        <w:jc w:val="center"/>
        <w:rPr>
          <w:rFonts w:ascii="Times New Roman" w:hAnsi="Times New Roman"/>
          <w:color w:val="000000"/>
          <w:sz w:val="24"/>
        </w:rPr>
      </w:pPr>
      <w:r>
        <w:rPr>
          <w:rFonts w:ascii="Times New Roman" w:hAnsi="Times New Roman"/>
          <w:color w:val="000000"/>
          <w:sz w:val="24"/>
        </w:rPr>
        <w:t>WAREHOUSE AGREEMENT</w:t>
      </w:r>
    </w:p>
    <w:p>
      <w:pPr>
        <w:pStyle w:val="TextBody"/>
        <w:bidi w:val="0"/>
        <w:spacing w:before="0" w:after="242"/>
        <w:jc w:val="both"/>
        <w:rPr>
          <w:rFonts w:ascii="Times New Roman" w:hAnsi="Times New Roman"/>
          <w:sz w:val="20"/>
        </w:rPr>
      </w:pPr>
      <w:r>
        <w:rPr>
          <w:rFonts w:ascii="Times New Roman" w:hAnsi="Times New Roman"/>
          <w:color w:val="000000"/>
          <w:sz w:val="24"/>
        </w:rPr>
        <w:t>THIS AMENDMENT NO. 28 TO WAREHOUSE AGREEMENT (this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dated as of May 29, 2026, is entered into by and among UACC Auto Financing Trust IV, a Delaware statutory trust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United Auto Credit Corporation, a California corporation, as servicer (in such capacity, the “</w:t>
      </w:r>
      <w:r>
        <w:rPr>
          <w:rFonts w:ascii="Times New Roman" w:hAnsi="Times New Roman"/>
          <w:color w:val="000000"/>
          <w:sz w:val="24"/>
          <w:u w:val="single"/>
        </w:rPr>
        <w:t>Servicer</w:t>
      </w:r>
      <w:r>
        <w:rPr>
          <w:rFonts w:ascii="Times New Roman" w:hAnsi="Times New Roman"/>
          <w:color w:val="000000"/>
          <w:sz w:val="20"/>
        </w:rPr>
        <w:t>”</w:t>
      </w:r>
      <w:r>
        <w:rPr>
          <w:rFonts w:ascii="Times New Roman" w:hAnsi="Times New Roman"/>
          <w:color w:val="000000"/>
          <w:sz w:val="24"/>
        </w:rPr>
        <w:t>) and as custodian (in such capacity, the “</w:t>
      </w:r>
      <w:r>
        <w:rPr>
          <w:rFonts w:ascii="Times New Roman" w:hAnsi="Times New Roman"/>
          <w:color w:val="000000"/>
          <w:sz w:val="24"/>
          <w:u w:val="single"/>
        </w:rPr>
        <w:t>Custodian</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2"/>
        </w:rPr>
        <w:t>[***]</w:t>
      </w:r>
      <w:r>
        <w:rPr>
          <w:rFonts w:ascii="Times New Roman" w:hAnsi="Times New Roman"/>
          <w:color w:val="000000"/>
          <w:sz w:val="24"/>
        </w:rPr>
        <w:t>, as backup servicer (in such capacity, the “</w:t>
      </w:r>
      <w:r>
        <w:rPr>
          <w:rFonts w:ascii="Times New Roman" w:hAnsi="Times New Roman"/>
          <w:color w:val="000000"/>
          <w:sz w:val="24"/>
          <w:u w:val="single"/>
        </w:rPr>
        <w:t>Backup Servicer</w:t>
      </w:r>
      <w:r>
        <w:rPr>
          <w:rFonts w:ascii="Times New Roman" w:hAnsi="Times New Roman"/>
          <w:color w:val="000000"/>
          <w:sz w:val="20"/>
        </w:rPr>
        <w:t>”</w:t>
      </w:r>
      <w:r>
        <w:rPr>
          <w:rFonts w:ascii="Times New Roman" w:hAnsi="Times New Roman"/>
          <w:color w:val="000000"/>
          <w:sz w:val="24"/>
        </w:rPr>
        <w:t>) and account bank (in such capacity, the “</w:t>
      </w:r>
      <w:r>
        <w:rPr>
          <w:rFonts w:ascii="Times New Roman" w:hAnsi="Times New Roman"/>
          <w:color w:val="000000"/>
          <w:sz w:val="24"/>
          <w:u w:val="single"/>
        </w:rPr>
        <w:t>Account Bank</w:t>
      </w:r>
      <w:r>
        <w:rPr>
          <w:rFonts w:ascii="Times New Roman" w:hAnsi="Times New Roman"/>
          <w:color w:val="000000"/>
          <w:sz w:val="20"/>
        </w:rPr>
        <w:t>”</w:t>
      </w:r>
      <w:r>
        <w:rPr>
          <w:rFonts w:ascii="Times New Roman" w:hAnsi="Times New Roman"/>
          <w:color w:val="000000"/>
          <w:sz w:val="24"/>
        </w:rPr>
        <w:t>), the Lenders party hereto, the Agents party hereto and [***], as administrative agent (in such capacity,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and is made in respect of the Warehouse Agreement, dated as of November 19, 2013 (as amended, restated, supplemented or otherwise modified prior to the date hereof, the “</w:t>
      </w:r>
      <w:r>
        <w:rPr>
          <w:rFonts w:ascii="Times New Roman" w:hAnsi="Times New Roman"/>
          <w:color w:val="000000"/>
          <w:sz w:val="24"/>
          <w:u w:val="single"/>
        </w:rPr>
        <w:t>Warehouse Agreement</w:t>
      </w:r>
      <w:r>
        <w:rPr>
          <w:rFonts w:ascii="Times New Roman" w:hAnsi="Times New Roman"/>
          <w:color w:val="000000"/>
          <w:sz w:val="20"/>
        </w:rPr>
        <w:t>”</w:t>
      </w:r>
      <w:r>
        <w:rPr>
          <w:rFonts w:ascii="Times New Roman" w:hAnsi="Times New Roman"/>
          <w:color w:val="000000"/>
          <w:sz w:val="24"/>
        </w:rPr>
        <w:t>) among the Borrower, the Servicer, the Custodian, the Backup Servicer and Account Bank, the Lenders party thereto, the Agents party thereto and the Administrative Agent. Defined terms used herein and not otherwise defined herein shall have the meaning given to them in the Warehouse Agreement as amended hereby.</w:t>
      </w:r>
    </w:p>
    <w:p>
      <w:pPr>
        <w:pStyle w:val="TextBody"/>
        <w:bidi w:val="0"/>
        <w:spacing w:before="0" w:after="239"/>
        <w:jc w:val="both"/>
        <w:rPr>
          <w:rFonts w:ascii="Times New Roman" w:hAnsi="Times New Roman"/>
          <w:color w:val="000000"/>
          <w:sz w:val="24"/>
        </w:rPr>
      </w:pPr>
      <w:r>
        <w:rPr>
          <w:rFonts w:ascii="Times New Roman" w:hAnsi="Times New Roman"/>
          <w:color w:val="000000"/>
          <w:sz w:val="24"/>
        </w:rPr>
        <w:t>WHEREAS, the Borrower, the Servicer, the Custodian, the Backup Servicer, the Account Bank, the Lenders, the Agents and the Administrative Agent have agreed to amend the Warehouse Agreement on the terms and conditions set forth herein;</w:t>
      </w:r>
    </w:p>
    <w:p>
      <w:pPr>
        <w:pStyle w:val="TextBody"/>
        <w:bidi w:val="0"/>
        <w:spacing w:before="0" w:after="247"/>
        <w:jc w:val="both"/>
        <w:rPr>
          <w:rFonts w:ascii="Times New Roman" w:hAnsi="Times New Roman"/>
          <w:color w:val="000000"/>
          <w:sz w:val="24"/>
        </w:rPr>
      </w:pPr>
      <w:r>
        <w:rPr>
          <w:rFonts w:ascii="Times New Roman" w:hAnsi="Times New Roman"/>
          <w:color w:val="000000"/>
          <w:sz w:val="24"/>
        </w:rPr>
        <w:t>NOW, THEREFORE, in consideration of the premises set forth above, and for other good and valuable consideration, the receipt and sufficiency of which are hereby acknowledged, the Borrower, the Servicer, the Custodian, the Backup Servicer, the Account Bank, the Lenders, the Agents and the Administrative Agent agree as follows:</w:t>
      </w:r>
    </w:p>
    <w:p>
      <w:pPr>
        <w:pStyle w:val="TextBody"/>
        <w:bidi w:val="0"/>
        <w:spacing w:before="0" w:after="248"/>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8"/>
        <w:jc w:val="both"/>
        <w:rPr/>
      </w:pPr>
      <w:r>
        <w:rPr>
          <w:rFonts w:ascii="Times New Roman" w:hAnsi="Times New Roman"/>
          <w:color w:val="000000"/>
          <w:sz w:val="24"/>
          <w:u w:val="single"/>
        </w:rPr>
        <w:t>Amendments to Warehouse Agreement</w:t>
      </w:r>
      <w:r>
        <w:rPr>
          <w:rFonts w:ascii="Times New Roman" w:hAnsi="Times New Roman"/>
          <w:color w:val="000000"/>
          <w:sz w:val="24"/>
        </w:rPr>
        <w:t>. Subject to the satisfaction of the conditions precedent set forth in Section 2 hereof, the Warehouse Agreement is hereby amended as follows:</w:t>
      </w:r>
    </w:p>
    <w:p>
      <w:pPr>
        <w:pStyle w:val="TextBody"/>
        <w:bidi w:val="0"/>
        <w:spacing w:before="0" w:after="4"/>
        <w:jc w:val="right"/>
        <w:rPr>
          <w:rFonts w:ascii="Times New Roman" w:hAnsi="Times New Roman"/>
          <w:color w:val="000000"/>
          <w:sz w:val="24"/>
        </w:rPr>
      </w:pPr>
      <w:r>
        <w:rPr>
          <w:rFonts w:ascii="Times New Roman" w:hAnsi="Times New Roman"/>
          <w:color w:val="000000"/>
          <w:sz w:val="24"/>
        </w:rPr>
        <w:t>The definition of “Commitment Termination Date” set forth in Section 1.01 of the</w:t>
      </w:r>
    </w:p>
    <w:p>
      <w:pPr>
        <w:pStyle w:val="TextBody"/>
        <w:bidi w:val="0"/>
        <w:spacing w:before="0" w:after="8"/>
        <w:jc w:val="left"/>
        <w:rPr>
          <w:rFonts w:ascii="Times New Roman" w:hAnsi="Times New Roman"/>
          <w:color w:val="000000"/>
          <w:sz w:val="24"/>
        </w:rPr>
      </w:pPr>
      <w:r>
        <w:rPr>
          <w:rFonts w:ascii="Times New Roman" w:hAnsi="Times New Roman"/>
          <w:color w:val="000000"/>
          <w:sz w:val="24"/>
        </w:rPr>
        <w:t>Warehouse Agreement is hereby amended by deleting the reference therein to “June 2, 2026”</w:t>
      </w:r>
    </w:p>
    <w:p>
      <w:pPr>
        <w:pStyle w:val="TextBody"/>
        <w:bidi w:val="0"/>
        <w:spacing w:before="0" w:after="239"/>
        <w:jc w:val="left"/>
        <w:rPr>
          <w:rFonts w:ascii="Times New Roman" w:hAnsi="Times New Roman"/>
          <w:color w:val="000000"/>
          <w:sz w:val="24"/>
        </w:rPr>
      </w:pPr>
      <w:r>
        <w:rPr>
          <w:rFonts w:ascii="Times New Roman" w:hAnsi="Times New Roman"/>
          <w:color w:val="000000"/>
          <w:sz w:val="24"/>
        </w:rPr>
        <w:t>and replacing it with “July 2, 2026”.</w:t>
      </w:r>
    </w:p>
    <w:p>
      <w:pPr>
        <w:pStyle w:val="TextBody"/>
        <w:bidi w:val="0"/>
        <w:spacing w:before="0" w:after="244"/>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4"/>
        <w:jc w:val="both"/>
        <w:rPr/>
      </w:pPr>
      <w:r>
        <w:rPr>
          <w:rFonts w:ascii="Times New Roman" w:hAnsi="Times New Roman"/>
          <w:color w:val="000000"/>
          <w:sz w:val="24"/>
          <w:u w:val="single"/>
        </w:rPr>
        <w:t>Conditions Precedent</w:t>
      </w:r>
      <w:r>
        <w:rPr>
          <w:rFonts w:ascii="Times New Roman" w:hAnsi="Times New Roman"/>
          <w:color w:val="000000"/>
          <w:sz w:val="24"/>
        </w:rPr>
        <w:t>. This Amendment shall become effective as of the date hereof upon the receipt by the Administrative Agent of a copy of this Amendment duly executed by each party hereto and such other documents, instruments and agreements as the Administrative Agent may have reasonably requested.</w:t>
      </w:r>
    </w:p>
    <w:p>
      <w:pPr>
        <w:pStyle w:val="TextBody"/>
        <w:bidi w:val="0"/>
        <w:spacing w:before="0" w:after="236"/>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36"/>
        <w:jc w:val="both"/>
        <w:rPr/>
      </w:pPr>
      <w:r>
        <w:rPr>
          <w:rFonts w:ascii="Times New Roman" w:hAnsi="Times New Roman"/>
          <w:color w:val="000000"/>
          <w:sz w:val="24"/>
          <w:u w:val="single"/>
        </w:rPr>
        <w:t>Representations and Warranties of the Borrower and the Servicer</w:t>
      </w:r>
      <w:r>
        <w:rPr>
          <w:rFonts w:ascii="Times New Roman" w:hAnsi="Times New Roman"/>
          <w:color w:val="000000"/>
          <w:sz w:val="24"/>
        </w:rPr>
        <w:t>. Each of the Borrower and the Servicer, as to itself, hereby represents and warrants to the Administrative Agent, each Agent, the Lenders, the Backup Servicer and the Account Bank as of the date hereof that:</w:t>
      </w:r>
    </w:p>
    <w:p>
      <w:pPr>
        <w:pStyle w:val="TextBody"/>
        <w:bidi w:val="0"/>
        <w:jc w:val="both"/>
        <w:rPr>
          <w:rFonts w:ascii="Times New Roman" w:hAnsi="Times New Roman"/>
          <w:color w:val="000000"/>
          <w:sz w:val="24"/>
        </w:rPr>
      </w:pPr>
      <w:r>
        <w:rPr>
          <w:rFonts w:ascii="Times New Roman" w:hAnsi="Times New Roman"/>
          <w:color w:val="000000"/>
          <w:sz w:val="24"/>
        </w:rPr>
        <w:t>(a) This Amendment and the Warehouse Agreement, as amended hereby, constitute the legal, valid and binding obligations of the Borrower and the Servicer and are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 w:after="244"/>
        <w:jc w:val="both"/>
        <w:rPr>
          <w:rFonts w:ascii="Times New Roman" w:hAnsi="Times New Roman"/>
          <w:color w:val="000000"/>
          <w:sz w:val="24"/>
        </w:rPr>
      </w:pPr>
      <w:r>
        <w:rPr>
          <w:rFonts w:ascii="Times New Roman" w:hAnsi="Times New Roman"/>
          <w:color w:val="000000"/>
          <w:sz w:val="24"/>
        </w:rPr>
        <w:t>enforceable against the Borrower and the Servicer in accordance with their respective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pStyle w:val="TextBody"/>
        <w:bidi w:val="0"/>
        <w:spacing w:before="0" w:after="1"/>
        <w:jc w:val="left"/>
        <w:rPr>
          <w:rFonts w:ascii="Times New Roman" w:hAnsi="Times New Roman"/>
          <w:color w:val="000000"/>
          <w:sz w:val="24"/>
        </w:rPr>
      </w:pPr>
      <w:r>
        <w:rPr>
          <w:rFonts w:ascii="Times New Roman" w:hAnsi="Times New Roman"/>
          <w:color w:val="000000"/>
          <w:sz w:val="24"/>
        </w:rPr>
        <w:t>(b) Upon the effectiveness of this Amendment, each of the Borrower and the</w:t>
      </w:r>
    </w:p>
    <w:p>
      <w:pPr>
        <w:pStyle w:val="TextBody"/>
        <w:bidi w:val="0"/>
        <w:spacing w:before="0" w:after="248"/>
        <w:jc w:val="both"/>
        <w:rPr>
          <w:rFonts w:ascii="Times New Roman" w:hAnsi="Times New Roman"/>
          <w:color w:val="000000"/>
          <w:sz w:val="24"/>
        </w:rPr>
      </w:pPr>
      <w:r>
        <w:rPr>
          <w:rFonts w:ascii="Times New Roman" w:hAnsi="Times New Roman"/>
          <w:color w:val="000000"/>
          <w:sz w:val="24"/>
        </w:rPr>
        <w:t>Servicer hereby affirms that all representations and warranties made by it in Article V of the Warehouse Agreement, as amended, are correct in all material respects on the date hereof as though made as of the effective date of this Amendment, unless and to the extent that any such representation and warranty is stated to relate solely to an earlier date, in which case such representation and warranty shall have been true and correct in all material respects as of such earlier date.</w:t>
      </w:r>
    </w:p>
    <w:p>
      <w:pPr>
        <w:pStyle w:val="TextBody"/>
        <w:bidi w:val="0"/>
        <w:jc w:val="left"/>
        <w:rPr>
          <w:rFonts w:ascii="Times New Roman" w:hAnsi="Times New Roman"/>
          <w:color w:val="000000"/>
          <w:sz w:val="24"/>
        </w:rPr>
      </w:pPr>
      <w:r>
        <w:rPr>
          <w:rFonts w:ascii="Times New Roman" w:hAnsi="Times New Roman"/>
          <w:color w:val="000000"/>
          <w:sz w:val="24"/>
        </w:rPr>
        <w:t>(c) As of the date hereof, no Termination Event, Unmatured Termination</w:t>
      </w:r>
    </w:p>
    <w:p>
      <w:pPr>
        <w:pStyle w:val="TextBody"/>
        <w:bidi w:val="0"/>
        <w:spacing w:before="0" w:after="244"/>
        <w:jc w:val="both"/>
        <w:rPr>
          <w:rFonts w:ascii="Times New Roman" w:hAnsi="Times New Roman"/>
          <w:color w:val="000000"/>
          <w:sz w:val="24"/>
        </w:rPr>
      </w:pPr>
      <w:r>
        <w:rPr>
          <w:rFonts w:ascii="Times New Roman" w:hAnsi="Times New Roman"/>
          <w:color w:val="000000"/>
          <w:sz w:val="24"/>
        </w:rPr>
        <w:t>Event, Early Amortization Event, Servicer Termination Event or event that with the giving of notice or lapse of time, or both would, constitute an Early Amortization Event or Servicer Termination Event has occurred and is continuing.</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rFonts w:ascii="Times New Roman" w:hAnsi="Times New Roman"/>
          <w:color w:val="000000"/>
          <w:sz w:val="24"/>
        </w:rPr>
        <w:t xml:space="preserve">. </w:t>
      </w:r>
      <w:r>
        <w:rPr>
          <w:rFonts w:ascii="Times New Roman" w:hAnsi="Times New Roman"/>
          <w:color w:val="000000"/>
          <w:sz w:val="24"/>
          <w:u w:val="single"/>
        </w:rPr>
        <w:t>Reference to and Effect on the Warehouse Agreement</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(a) Upon the effectiveness of Section 1 hereof, each reference in the</w:t>
      </w:r>
    </w:p>
    <w:p>
      <w:pPr>
        <w:pStyle w:val="TextBody"/>
        <w:bidi w:val="0"/>
        <w:spacing w:before="0" w:after="244"/>
        <w:jc w:val="both"/>
        <w:rPr>
          <w:rFonts w:ascii="Times New Roman" w:hAnsi="Times New Roman"/>
          <w:color w:val="000000"/>
          <w:sz w:val="24"/>
        </w:rPr>
      </w:pPr>
      <w:r>
        <w:rPr>
          <w:rFonts w:ascii="Times New Roman" w:hAnsi="Times New Roman"/>
          <w:color w:val="000000"/>
          <w:sz w:val="24"/>
        </w:rPr>
        <w:t>Warehouse Agreement to “this Agreement”, “hereunder”, “hereof”, “herein” or words of like import shall mean and be a reference to the Warehouse Agreement as amended hereby.</w:t>
      </w:r>
    </w:p>
    <w:p>
      <w:pPr>
        <w:pStyle w:val="TextBody"/>
        <w:bidi w:val="0"/>
        <w:jc w:val="left"/>
        <w:rPr>
          <w:rFonts w:ascii="Times New Roman" w:hAnsi="Times New Roman"/>
          <w:color w:val="000000"/>
          <w:sz w:val="24"/>
        </w:rPr>
      </w:pPr>
      <w:r>
        <w:rPr>
          <w:rFonts w:ascii="Times New Roman" w:hAnsi="Times New Roman"/>
          <w:color w:val="000000"/>
          <w:sz w:val="24"/>
        </w:rPr>
        <w:t>(b) The Warehouse Agreement, as amended hereby, and all other documents,</w:t>
      </w:r>
    </w:p>
    <w:p>
      <w:pPr>
        <w:pStyle w:val="TextBody"/>
        <w:bidi w:val="0"/>
        <w:spacing w:before="0" w:after="243"/>
        <w:jc w:val="both"/>
        <w:rPr>
          <w:rFonts w:ascii="Times New Roman" w:hAnsi="Times New Roman"/>
          <w:color w:val="000000"/>
          <w:sz w:val="24"/>
        </w:rPr>
      </w:pPr>
      <w:r>
        <w:rPr>
          <w:rFonts w:ascii="Times New Roman" w:hAnsi="Times New Roman"/>
          <w:color w:val="000000"/>
          <w:sz w:val="24"/>
        </w:rPr>
        <w:t>instruments and agreements executed and/or delivered in connection therewith, shall remain in full force and effect until hereafter terminated in accordance with their respective terms, and the Warehouse Agreement and such documents, instruments and agreements are hereby ratified and confirmed.</w:t>
      </w:r>
    </w:p>
    <w:p>
      <w:pPr>
        <w:pStyle w:val="TextBody"/>
        <w:bidi w:val="0"/>
        <w:jc w:val="left"/>
        <w:rPr>
          <w:rFonts w:ascii="Times New Roman" w:hAnsi="Times New Roman"/>
          <w:color w:val="000000"/>
          <w:sz w:val="24"/>
        </w:rPr>
      </w:pPr>
      <w:r>
        <w:rPr>
          <w:rFonts w:ascii="Times New Roman" w:hAnsi="Times New Roman"/>
          <w:color w:val="000000"/>
          <w:sz w:val="24"/>
        </w:rPr>
        <w:t>(c) Except as expressly provided herein, the execution, delivery and</w:t>
      </w:r>
    </w:p>
    <w:p>
      <w:pPr>
        <w:pStyle w:val="TextBody"/>
        <w:bidi w:val="0"/>
        <w:spacing w:before="0" w:after="244"/>
        <w:jc w:val="both"/>
        <w:rPr>
          <w:rFonts w:ascii="Times New Roman" w:hAnsi="Times New Roman"/>
          <w:color w:val="000000"/>
          <w:sz w:val="24"/>
        </w:rPr>
      </w:pPr>
      <w:r>
        <w:rPr>
          <w:rFonts w:ascii="Times New Roman" w:hAnsi="Times New Roman"/>
          <w:color w:val="000000"/>
          <w:sz w:val="24"/>
        </w:rPr>
        <w:t>effectiveness of this Amendment shall not operate as a waiver of any right, power or remedy of the Administrative Agent, any Agent or any Lender, nor constitute a waiver of any provision of the Warehouse Agreement or any other documents, instruments and agreements executed and/or delivered in connection therewith.</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rFonts w:ascii="Times New Roman" w:hAnsi="Times New Roman"/>
          <w:color w:val="000000"/>
          <w:sz w:val="24"/>
          <w:u w:val="single"/>
        </w:rPr>
        <w:t>Costs and Expenses</w:t>
      </w:r>
      <w:r>
        <w:rPr>
          <w:rFonts w:ascii="Times New Roman" w:hAnsi="Times New Roman"/>
          <w:color w:val="000000"/>
          <w:sz w:val="24"/>
        </w:rPr>
        <w:t>. The Borrower agrees to pay all costs, fees, and</w:t>
      </w:r>
    </w:p>
    <w:p>
      <w:pPr>
        <w:pStyle w:val="TextBody"/>
        <w:bidi w:val="0"/>
        <w:spacing w:before="0" w:after="243"/>
        <w:jc w:val="both"/>
        <w:rPr>
          <w:rFonts w:ascii="Times New Roman" w:hAnsi="Times New Roman"/>
          <w:color w:val="000000"/>
          <w:sz w:val="24"/>
        </w:rPr>
      </w:pPr>
      <w:r>
        <w:rPr>
          <w:rFonts w:ascii="Times New Roman" w:hAnsi="Times New Roman"/>
          <w:color w:val="000000"/>
          <w:sz w:val="24"/>
        </w:rPr>
        <w:t>out-of-pocket expenses (including the reasonable attorneys’ fees, costs and expenses of [***], counsel to the Administrative Agent, the Agents and the Lenders) incurred by the Administrative Agent, each Agent and each Lender in connection with the preparation, execution and enforcement of this Amendment.</w:t>
      </w:r>
    </w:p>
    <w:p>
      <w:pPr>
        <w:pStyle w:val="TextBody"/>
        <w:bidi w:val="0"/>
        <w:jc w:val="left"/>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GOVERNING LAW</w:t>
      </w:r>
      <w:r>
        <w:rPr>
          <w:rFonts w:ascii="Times New Roman" w:hAnsi="Times New Roman"/>
          <w:color w:val="000000"/>
          <w:sz w:val="24"/>
        </w:rPr>
        <w:t>. THIS AMENDMENT SHALL BE GOVERNED BY,</w:t>
      </w:r>
    </w:p>
    <w:p>
      <w:pPr>
        <w:pStyle w:val="TextBody"/>
        <w:bidi w:val="0"/>
        <w:spacing w:before="0" w:after="719"/>
        <w:jc w:val="both"/>
        <w:rPr>
          <w:rFonts w:ascii="Times New Roman" w:hAnsi="Times New Roman"/>
          <w:color w:val="000000"/>
          <w:sz w:val="24"/>
        </w:rPr>
      </w:pPr>
      <w:r>
        <w:rPr>
          <w:rFonts w:ascii="Times New Roman" w:hAnsi="Times New Roman"/>
          <w:color w:val="000000"/>
          <w:sz w:val="24"/>
        </w:rPr>
        <w:t>AND CONSTRUED IN ACCORDANCE WITH, THE LAWS OF THE STATE OF NEW YORK WITHOUT REFERENCE TO ITS CONFLICTS OF LAWS PROVISIONS (OTHER THAN SECTIONS 5-1401 AND 5-1402 OF THE NEW YORK GENERAL OBLIGATIONS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 w:after="283"/>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 w:after="283"/>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Headings</w:t>
      </w:r>
      <w:r>
        <w:rPr>
          <w:rFonts w:ascii="Times New Roman" w:hAnsi="Times New Roman"/>
          <w:color w:val="000000"/>
          <w:sz w:val="24"/>
        </w:rPr>
        <w:t>. Section headings in this Amendment are included herein for</w:t>
      </w:r>
    </w:p>
    <w:p>
      <w:pPr>
        <w:pStyle w:val="TextBody"/>
        <w:bidi w:val="0"/>
        <w:spacing w:before="0" w:after="242"/>
        <w:jc w:val="both"/>
        <w:rPr>
          <w:rFonts w:ascii="Times New Roman" w:hAnsi="Times New Roman"/>
          <w:color w:val="000000"/>
          <w:sz w:val="24"/>
        </w:rPr>
      </w:pPr>
      <w:r>
        <w:rPr>
          <w:rFonts w:ascii="Times New Roman" w:hAnsi="Times New Roman"/>
          <w:color w:val="000000"/>
          <w:sz w:val="24"/>
        </w:rPr>
        <w:t>convenience of reference only and shall not constitute a part of this Amendment for any other purpose.</w:t>
      </w:r>
    </w:p>
    <w:p>
      <w:pPr>
        <w:pStyle w:val="TextBody"/>
        <w:bidi w:val="0"/>
        <w:spacing w:before="0" w:after="254"/>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Counterparts</w:t>
      </w:r>
      <w:r>
        <w:rPr>
          <w:rFonts w:ascii="Times New Roman" w:hAnsi="Times New Roman"/>
          <w:color w:val="000000"/>
          <w:sz w:val="24"/>
        </w:rPr>
        <w:t>. This Amendment may be executed by one or more of the parties to the Amendment on any number of separate counterparts and all of said counterparts taken together shall be deemed to constitute one and the same instrument. Delivery of an executed counterpart of a signature page to this Amendment by facsimile (transmitted by telecopier or by email) shall be effective as delivery of a manually executed counterpart of this Amendment.</w:t>
      </w:r>
    </w:p>
    <w:p>
      <w:pPr>
        <w:pStyle w:val="TextBody"/>
        <w:bidi w:val="0"/>
        <w:spacing w:before="0" w:after="248"/>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Limitation of Liability of Owner Trustee</w:t>
      </w:r>
      <w:r>
        <w:rPr>
          <w:rFonts w:ascii="Times New Roman" w:hAnsi="Times New Roman"/>
          <w:color w:val="000000"/>
          <w:sz w:val="24"/>
        </w:rPr>
        <w:t xml:space="preserve">. It is expressly understood and agreed by the parties hereto that (i) this Amendment is executed and delivered by [***] Trust Company National Association (“[***]”), not individually or personally but solely as Owner Trustee of the Borrower, in the exercise of the powers and authority conferred and vested in it, (ii) each of the representations, covenants, undertakings and agreements herein made on the part of the Borrower is made and intended not as personal representations, covenants, undertakings and agreements by [***], but is made and intended for the purpose for binding only the Borrower, (iii) nothing herein contained shall be construed as creating any liability on [***], individually or personally, to perform any covenant either expressed or implied contained herein, all such liability, if any, being expressly waived by the parties hereto and by any Person claiming by, through or under the parties hereto, (iv) [***] has not verified or made any investigation as to the accuracy or completeness of any representations and warranties made by the Borrower in this Amendment and (v) under no circumstances shall </w:t>
      </w:r>
      <w:r>
        <w:rPr>
          <w:rFonts w:ascii="Times New Roman" w:hAnsi="Times New Roman"/>
          <w:color w:val="000000"/>
          <w:sz w:val="22"/>
        </w:rPr>
        <w:t>[***]</w:t>
      </w:r>
      <w:r>
        <w:rPr>
          <w:rFonts w:ascii="Times New Roman" w:hAnsi="Times New Roman"/>
          <w:color w:val="000000"/>
          <w:sz w:val="24"/>
        </w:rPr>
        <w:t>, be personally liable for the payment of any indebtedness or expenses of the Borrower or be liable for the breach or failure of any obligation, duty (including fiduciary duty, if any), representation, warranty or covenant made or undertaken by the Borrower under this Amendment or any other Basic Document.</w:t>
      </w:r>
    </w:p>
    <w:p>
      <w:pPr>
        <w:pStyle w:val="TextBody"/>
        <w:bidi w:val="0"/>
        <w:spacing w:before="0" w:after="720"/>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Electronic Signatures</w:t>
      </w:r>
      <w:r>
        <w:rPr>
          <w:rFonts w:ascii="Times New Roman" w:hAnsi="Times New Roman"/>
          <w:color w:val="000000"/>
          <w:sz w:val="24"/>
        </w:rPr>
        <w:t>. This Amendment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Uniform Commercial Code (collectively, “</w:t>
      </w:r>
      <w:r>
        <w:rPr>
          <w:rFonts w:ascii="Times New Roman" w:hAnsi="Times New Roman"/>
          <w:color w:val="000000"/>
          <w:sz w:val="24"/>
          <w:u w:val="single"/>
        </w:rPr>
        <w:t>Signature Law</w:t>
      </w:r>
      <w:r>
        <w:rPr>
          <w:rFonts w:ascii="Times New Roman" w:hAnsi="Times New Roman"/>
          <w:color w:val="000000"/>
          <w:sz w:val="20"/>
        </w:rPr>
        <w:t>”</w:t>
      </w:r>
      <w:r>
        <w:rPr>
          <w:rFonts w:ascii="Times New Roman" w:hAnsi="Times New Roman"/>
          <w:color w:val="000000"/>
          <w:sz w:val="24"/>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This Amendment may be executed in any number of counterparts, each of which shall be deemed to be an original, but such counterparts shall, together, constitute one and the same instrument. For the avoidance of doubt, original manual signatures shall be used for execution or indorsement of writings when required under the Uniform Commercial Code or other Signature Law due to the character or intended character of the writings.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 w:after="720"/>
        <w:jc w:val="center"/>
        <w:rPr>
          <w:rFonts w:ascii="Times New Roman" w:hAnsi="Times New Roman"/>
          <w:color w:val="000000"/>
          <w:sz w:val="24"/>
        </w:rPr>
      </w:pPr>
      <w:r>
        <w:rPr>
          <w:rFonts w:ascii="Times New Roman" w:hAnsi="Times New Roman"/>
          <w:color w:val="000000"/>
          <w:sz w:val="24"/>
        </w:rPr>
        <w:t>[Remainder of page left intentionally blank]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 w:after="283"/>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parties have caused this Amendment to be duly executed and delivered by their duly authorized signatories as of the date first above written.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UACC AUTO FINANCING TRUST IV,</w:t>
      </w:r>
    </w:p>
    <w:p>
      <w:pPr>
        <w:pStyle w:val="TextBody"/>
        <w:bidi w:val="0"/>
        <w:jc w:val="left"/>
        <w:rPr>
          <w:rFonts w:ascii="Times New Roman" w:hAnsi="Times New Roman"/>
          <w:color w:val="000000"/>
          <w:sz w:val="22"/>
        </w:rPr>
      </w:pPr>
      <w:r>
        <w:rPr>
          <w:rFonts w:ascii="Times New Roman" w:hAnsi="Times New Roman"/>
          <w:color w:val="000000"/>
          <w:sz w:val="22"/>
        </w:rPr>
        <w:t>as Borrower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 Trust Company,</w:t>
      </w:r>
    </w:p>
    <w:p>
      <w:pPr>
        <w:pStyle w:val="TextBody"/>
        <w:bidi w:val="0"/>
        <w:jc w:val="left"/>
        <w:rPr>
          <w:rFonts w:ascii="Times New Roman" w:hAnsi="Times New Roman"/>
          <w:color w:val="000000"/>
          <w:sz w:val="22"/>
        </w:rPr>
      </w:pPr>
      <w:r>
        <w:rPr>
          <w:rFonts w:ascii="Times New Roman" w:hAnsi="Times New Roman"/>
          <w:color w:val="000000"/>
          <w:sz w:val="22"/>
        </w:rPr>
        <w:t>National Association, not in its individual</w:t>
      </w:r>
    </w:p>
    <w:p>
      <w:pPr>
        <w:pStyle w:val="TextBody"/>
        <w:bidi w:val="0"/>
        <w:jc w:val="left"/>
        <w:rPr>
          <w:rFonts w:ascii="Times New Roman" w:hAnsi="Times New Roman"/>
          <w:color w:val="000000"/>
          <w:sz w:val="22"/>
        </w:rPr>
      </w:pPr>
      <w:r>
        <w:rPr>
          <w:rFonts w:ascii="Times New Roman" w:hAnsi="Times New Roman"/>
          <w:color w:val="000000"/>
          <w:sz w:val="22"/>
        </w:rPr>
        <w:t>capacity, but solely as Owner Trustee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Computershare Delaware Trust Company, as attorney-in-fact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_</w:t>
      </w:r>
      <w:r>
        <w:rPr>
          <w:rFonts w:ascii="Times New Roman" w:hAnsi="Times New Roman"/>
          <w:color w:val="000000"/>
          <w:sz w:val="22"/>
          <w:u w:val="single"/>
        </w:rPr>
        <w:t>/s/ [***]________________________</w:t>
      </w:r>
      <w:r>
        <w:rPr>
          <w:rFonts w:ascii="Times New Roman" w:hAnsi="Times New Roman"/>
          <w:color w:val="000000"/>
          <w:sz w:val="22"/>
        </w:rPr>
        <w:t>_____________</w:t>
      </w:r>
    </w:p>
    <w:p>
      <w:pPr>
        <w:pStyle w:val="TextBody"/>
        <w:bidi w:val="0"/>
        <w:jc w:val="left"/>
        <w:rPr>
          <w:rFonts w:ascii="Times New Roman" w:hAnsi="Times New Roman"/>
          <w:color w:val="000000"/>
          <w:sz w:val="22"/>
        </w:rPr>
      </w:pPr>
      <w:r>
        <w:rPr>
          <w:rFonts w:ascii="Times New Roman" w:hAnsi="Times New Roman"/>
          <w:color w:val="000000"/>
          <w:sz w:val="22"/>
        </w:rPr>
        <w:t>Name: [***]</w:t>
      </w:r>
    </w:p>
    <w:p>
      <w:pPr>
        <w:pStyle w:val="TextBody"/>
        <w:bidi w:val="0"/>
        <w:jc w:val="left"/>
        <w:rPr>
          <w:rFonts w:ascii="Times New Roman" w:hAnsi="Times New Roman"/>
          <w:color w:val="000000"/>
          <w:sz w:val="22"/>
        </w:rPr>
      </w:pPr>
      <w:r>
        <w:rPr>
          <w:rFonts w:ascii="Times New Roman" w:hAnsi="Times New Roman"/>
          <w:color w:val="000000"/>
          <w:sz w:val="22"/>
        </w:rPr>
        <w:t>Title: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UNITED AUTO CREDIT CORPORATION,</w:t>
      </w:r>
    </w:p>
    <w:p>
      <w:pPr>
        <w:pStyle w:val="TextBody"/>
        <w:bidi w:val="0"/>
        <w:jc w:val="left"/>
        <w:rPr>
          <w:rFonts w:ascii="Times New Roman" w:hAnsi="Times New Roman"/>
          <w:color w:val="000000"/>
          <w:sz w:val="22"/>
        </w:rPr>
      </w:pPr>
      <w:r>
        <w:rPr>
          <w:rFonts w:ascii="Times New Roman" w:hAnsi="Times New Roman"/>
          <w:color w:val="000000"/>
          <w:sz w:val="22"/>
        </w:rPr>
        <w:t>as Servicer and as Custodian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[***]________________________________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w:t>
      </w:r>
    </w:p>
    <w:p>
      <w:pPr>
        <w:pStyle w:val="TextBody"/>
        <w:bidi w:val="0"/>
        <w:jc w:val="left"/>
        <w:rPr>
          <w:rFonts w:ascii="Times New Roman" w:hAnsi="Times New Roman"/>
          <w:color w:val="000000"/>
          <w:sz w:val="22"/>
        </w:rPr>
      </w:pPr>
      <w:r>
        <w:rPr>
          <w:rFonts w:ascii="Times New Roman" w:hAnsi="Times New Roman"/>
          <w:color w:val="000000"/>
          <w:sz w:val="22"/>
        </w:rPr>
        <w:t>Title: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as Backup Servicer and as Account Bank</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 as attorney-in fact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[***]________________________________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w:t>
      </w:r>
    </w:p>
    <w:p>
      <w:pPr>
        <w:pStyle w:val="TextBody"/>
        <w:bidi w:val="0"/>
        <w:jc w:val="left"/>
        <w:rPr>
          <w:rFonts w:ascii="Times New Roman" w:hAnsi="Times New Roman"/>
          <w:color w:val="000000"/>
          <w:sz w:val="22"/>
        </w:rPr>
      </w:pPr>
      <w:r>
        <w:rPr>
          <w:rFonts w:ascii="Times New Roman" w:hAnsi="Times New Roman"/>
          <w:color w:val="000000"/>
          <w:sz w:val="22"/>
        </w:rPr>
        <w:t>Title: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as Administrative Agent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[***]________________________________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w:t>
      </w:r>
    </w:p>
    <w:p>
      <w:pPr>
        <w:pStyle w:val="TextBody"/>
        <w:bidi w:val="0"/>
        <w:jc w:val="left"/>
        <w:rPr>
          <w:rFonts w:ascii="Times New Roman" w:hAnsi="Times New Roman"/>
          <w:color w:val="000000"/>
          <w:sz w:val="22"/>
        </w:rPr>
      </w:pPr>
      <w:r>
        <w:rPr>
          <w:rFonts w:ascii="Times New Roman" w:hAnsi="Times New Roman"/>
          <w:color w:val="000000"/>
          <w:sz w:val="22"/>
        </w:rPr>
        <w:t>Title: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as Conduit Lender and as Committed Lender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w:t>
      </w:r>
    </w:p>
    <w:p>
      <w:pPr>
        <w:pStyle w:val="TextBody"/>
        <w:bidi w:val="0"/>
        <w:jc w:val="left"/>
        <w:rPr>
          <w:rFonts w:ascii="Times New Roman" w:hAnsi="Times New Roman"/>
          <w:color w:val="000000"/>
          <w:sz w:val="22"/>
        </w:rPr>
      </w:pPr>
      <w:r>
        <w:rPr>
          <w:rFonts w:ascii="Times New Roman" w:hAnsi="Times New Roman"/>
          <w:color w:val="000000"/>
          <w:sz w:val="22"/>
        </w:rPr>
        <w:t>as its attorney-in-fact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[***]________________________________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w:t>
      </w:r>
    </w:p>
    <w:p>
      <w:pPr>
        <w:pStyle w:val="TextBody"/>
        <w:bidi w:val="0"/>
        <w:jc w:val="left"/>
        <w:rPr>
          <w:rFonts w:ascii="Times New Roman" w:hAnsi="Times New Roman"/>
          <w:color w:val="000000"/>
          <w:sz w:val="22"/>
        </w:rPr>
      </w:pPr>
      <w:r>
        <w:rPr>
          <w:rFonts w:ascii="Times New Roman" w:hAnsi="Times New Roman"/>
          <w:color w:val="000000"/>
          <w:sz w:val="22"/>
        </w:rPr>
        <w:t>Title: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vrm-ex10_4.htm"/>
      <w:bookmarkStart w:id="30" w:name="ksvrmex10_4"/>
      <w:bookmarkEnd w:id="29"/>
      <w:bookmarkEnd w:id="30"/>
      <w:r>
        <w:rPr/>
        <w:t> </w:t>
      </w:r>
      <w:r>
        <w:br w:type="page"/>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Exhibit 10.4</w:t>
      </w:r>
    </w:p>
    <w:p>
      <w:pPr>
        <w:pStyle w:val="TextBody"/>
        <w:bidi w:val="0"/>
        <w:spacing w:before="0" w:after="120"/>
        <w:jc w:val="right"/>
        <w:rPr>
          <w:rFonts w:ascii="Times New Roman" w:hAnsi="Times New Roman"/>
          <w:b/>
          <w:color w:val="000000"/>
          <w:sz w:val="24"/>
        </w:rPr>
      </w:pPr>
      <w:r>
        <w:rPr>
          <w:rFonts w:ascii="Times New Roman" w:hAnsi="Times New Roman"/>
          <w:b/>
          <w:color w:val="000000"/>
          <w:sz w:val="24"/>
        </w:rPr>
        <w:t>CONFORMED COPY</w:t>
      </w:r>
    </w:p>
    <w:tbl>
      <w:tblPr>
        <w:tblW w:w="6017" w:type="dxa"/>
        <w:jc w:val="left"/>
        <w:tblInd w:w="0" w:type="dxa"/>
        <w:tblLayout w:type="fixed"/>
        <w:tblCellMar>
          <w:top w:w="28" w:type="dxa"/>
          <w:left w:w="28" w:type="dxa"/>
          <w:bottom w:w="28" w:type="dxa"/>
          <w:right w:w="28" w:type="dxa"/>
        </w:tblCellMar>
      </w:tblPr>
      <w:tblGrid>
        <w:gridCol w:w="2971"/>
        <w:gridCol w:w="3046"/>
      </w:tblGrid>
      <w:tr>
        <w:trPr/>
        <w:tc>
          <w:tcPr>
            <w:tcW w:w="2971"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jc w:val="both"/>
              <w:rPr>
                <w:rFonts w:ascii="Times New Roman" w:hAnsi="Times New Roman"/>
                <w:i/>
                <w:color w:val="000000"/>
                <w:sz w:val="14"/>
              </w:rPr>
            </w:pPr>
            <w:r>
              <w:rPr>
                <w:rFonts w:ascii="Times New Roman" w:hAnsi="Times New Roman"/>
                <w:i/>
                <w:color w:val="000000"/>
                <w:sz w:val="14"/>
              </w:rPr>
              <w:t>Amendment No. 1 dated as of May 16, 2014</w:t>
            </w:r>
          </w:p>
          <w:p>
            <w:pPr>
              <w:pStyle w:val="TableContents"/>
              <w:bidi w:val="0"/>
              <w:jc w:val="both"/>
              <w:rPr>
                <w:rFonts w:ascii="Times New Roman" w:hAnsi="Times New Roman"/>
                <w:i/>
                <w:color w:val="000000"/>
                <w:sz w:val="14"/>
              </w:rPr>
            </w:pPr>
            <w:r>
              <w:rPr>
                <w:rFonts w:ascii="Times New Roman" w:hAnsi="Times New Roman"/>
                <w:i/>
                <w:color w:val="000000"/>
                <w:sz w:val="14"/>
              </w:rPr>
              <w:t>Amendment No. 2 dated as of November 20, 2014</w:t>
            </w:r>
          </w:p>
          <w:p>
            <w:pPr>
              <w:pStyle w:val="TableContents"/>
              <w:bidi w:val="0"/>
              <w:jc w:val="both"/>
              <w:rPr>
                <w:rFonts w:ascii="Times New Roman" w:hAnsi="Times New Roman"/>
                <w:i/>
                <w:color w:val="000000"/>
                <w:sz w:val="14"/>
              </w:rPr>
            </w:pPr>
            <w:r>
              <w:rPr>
                <w:rFonts w:ascii="Times New Roman" w:hAnsi="Times New Roman"/>
                <w:i/>
                <w:color w:val="000000"/>
                <w:sz w:val="14"/>
              </w:rPr>
              <w:t>Amendment No. 3 dated as of February 2, 2015</w:t>
            </w:r>
          </w:p>
          <w:p>
            <w:pPr>
              <w:pStyle w:val="TableContents"/>
              <w:bidi w:val="0"/>
              <w:jc w:val="both"/>
              <w:rPr>
                <w:rFonts w:ascii="Times New Roman" w:hAnsi="Times New Roman"/>
                <w:i/>
                <w:color w:val="000000"/>
                <w:sz w:val="14"/>
              </w:rPr>
            </w:pPr>
            <w:r>
              <w:rPr>
                <w:rFonts w:ascii="Times New Roman" w:hAnsi="Times New Roman"/>
                <w:i/>
                <w:color w:val="000000"/>
                <w:sz w:val="14"/>
              </w:rPr>
              <w:t>Amendment No. 4 dated as of June 5, 2015</w:t>
            </w:r>
          </w:p>
          <w:p>
            <w:pPr>
              <w:pStyle w:val="TableContents"/>
              <w:bidi w:val="0"/>
              <w:jc w:val="both"/>
              <w:rPr>
                <w:rFonts w:ascii="Times New Roman" w:hAnsi="Times New Roman"/>
                <w:i/>
                <w:color w:val="000000"/>
                <w:sz w:val="14"/>
              </w:rPr>
            </w:pPr>
            <w:r>
              <w:rPr>
                <w:rFonts w:ascii="Times New Roman" w:hAnsi="Times New Roman"/>
                <w:i/>
                <w:color w:val="000000"/>
                <w:sz w:val="14"/>
              </w:rPr>
              <w:t>Amendment No. 5 dated as of December 15, 2015</w:t>
            </w:r>
          </w:p>
          <w:p>
            <w:pPr>
              <w:pStyle w:val="TableContents"/>
              <w:bidi w:val="0"/>
              <w:jc w:val="both"/>
              <w:rPr>
                <w:rFonts w:ascii="Times New Roman" w:hAnsi="Times New Roman"/>
                <w:i/>
                <w:color w:val="000000"/>
                <w:sz w:val="14"/>
              </w:rPr>
            </w:pPr>
            <w:r>
              <w:rPr>
                <w:rFonts w:ascii="Times New Roman" w:hAnsi="Times New Roman"/>
                <w:i/>
                <w:color w:val="000000"/>
                <w:sz w:val="14"/>
              </w:rPr>
              <w:t>Amendment No. 6 dated as of June 13, 2016</w:t>
            </w:r>
          </w:p>
          <w:p>
            <w:pPr>
              <w:pStyle w:val="TableContents"/>
              <w:bidi w:val="0"/>
              <w:jc w:val="both"/>
              <w:rPr>
                <w:rFonts w:ascii="Times New Roman" w:hAnsi="Times New Roman"/>
                <w:i/>
                <w:color w:val="000000"/>
                <w:sz w:val="14"/>
              </w:rPr>
            </w:pPr>
            <w:r>
              <w:rPr>
                <w:rFonts w:ascii="Times New Roman" w:hAnsi="Times New Roman"/>
                <w:i/>
                <w:color w:val="000000"/>
                <w:sz w:val="14"/>
              </w:rPr>
              <w:t>Amendment No. 7 dated as of January 9, 2017</w:t>
            </w:r>
          </w:p>
          <w:p>
            <w:pPr>
              <w:pStyle w:val="TableContents"/>
              <w:bidi w:val="0"/>
              <w:jc w:val="both"/>
              <w:rPr>
                <w:rFonts w:ascii="Times New Roman" w:hAnsi="Times New Roman"/>
                <w:i/>
                <w:color w:val="000000"/>
                <w:sz w:val="14"/>
              </w:rPr>
            </w:pPr>
            <w:r>
              <w:rPr>
                <w:rFonts w:ascii="Times New Roman" w:hAnsi="Times New Roman"/>
                <w:i/>
                <w:color w:val="000000"/>
                <w:sz w:val="14"/>
              </w:rPr>
              <w:t>Amendment No. 8 dated as of May 11, 2017</w:t>
            </w:r>
          </w:p>
          <w:p>
            <w:pPr>
              <w:pStyle w:val="TableContents"/>
              <w:bidi w:val="0"/>
              <w:jc w:val="both"/>
              <w:rPr>
                <w:rFonts w:ascii="Times New Roman" w:hAnsi="Times New Roman"/>
                <w:i/>
                <w:color w:val="000000"/>
                <w:sz w:val="14"/>
              </w:rPr>
            </w:pPr>
            <w:r>
              <w:rPr>
                <w:rFonts w:ascii="Times New Roman" w:hAnsi="Times New Roman"/>
                <w:i/>
                <w:color w:val="000000"/>
                <w:sz w:val="14"/>
              </w:rPr>
              <w:t>Amendment No. 9 dated as of September 29, 2017</w:t>
            </w:r>
          </w:p>
          <w:p>
            <w:pPr>
              <w:pStyle w:val="TableContents"/>
              <w:bidi w:val="0"/>
              <w:jc w:val="both"/>
              <w:rPr>
                <w:rFonts w:ascii="Times New Roman" w:hAnsi="Times New Roman"/>
                <w:i/>
                <w:color w:val="000000"/>
                <w:sz w:val="14"/>
              </w:rPr>
            </w:pPr>
            <w:r>
              <w:rPr>
                <w:rFonts w:ascii="Times New Roman" w:hAnsi="Times New Roman"/>
                <w:i/>
                <w:color w:val="000000"/>
                <w:sz w:val="14"/>
              </w:rPr>
              <w:t>Amendment No. 10 dated as of October 26, 2017</w:t>
            </w:r>
          </w:p>
          <w:p>
            <w:pPr>
              <w:pStyle w:val="TableContents"/>
              <w:bidi w:val="0"/>
              <w:jc w:val="both"/>
              <w:rPr>
                <w:rFonts w:ascii="Times New Roman" w:hAnsi="Times New Roman"/>
                <w:i/>
                <w:color w:val="000000"/>
                <w:sz w:val="14"/>
              </w:rPr>
            </w:pPr>
            <w:r>
              <w:rPr>
                <w:rFonts w:ascii="Times New Roman" w:hAnsi="Times New Roman"/>
                <w:i/>
                <w:color w:val="000000"/>
                <w:sz w:val="14"/>
              </w:rPr>
              <w:t>Amendment No. 11 dated as of April 17, 2018</w:t>
            </w:r>
          </w:p>
          <w:p>
            <w:pPr>
              <w:pStyle w:val="TableContents"/>
              <w:bidi w:val="0"/>
              <w:jc w:val="both"/>
              <w:rPr>
                <w:rFonts w:ascii="Times New Roman" w:hAnsi="Times New Roman"/>
                <w:i/>
                <w:color w:val="000000"/>
                <w:sz w:val="14"/>
              </w:rPr>
            </w:pPr>
            <w:r>
              <w:rPr>
                <w:rFonts w:ascii="Times New Roman" w:hAnsi="Times New Roman"/>
                <w:i/>
                <w:color w:val="000000"/>
                <w:sz w:val="14"/>
              </w:rPr>
              <w:t>Amendment No. 12 dated as of June 12, 2018</w:t>
            </w:r>
          </w:p>
          <w:p>
            <w:pPr>
              <w:pStyle w:val="TableContents"/>
              <w:bidi w:val="0"/>
              <w:jc w:val="both"/>
              <w:rPr>
                <w:rFonts w:ascii="Times New Roman" w:hAnsi="Times New Roman"/>
                <w:i/>
                <w:color w:val="000000"/>
                <w:sz w:val="14"/>
              </w:rPr>
            </w:pPr>
            <w:r>
              <w:rPr>
                <w:rFonts w:ascii="Times New Roman" w:hAnsi="Times New Roman"/>
                <w:i/>
                <w:color w:val="000000"/>
                <w:sz w:val="14"/>
              </w:rPr>
              <w:t>Amendment No. 13 dated as of October 30, 2018</w:t>
            </w:r>
          </w:p>
          <w:p>
            <w:pPr>
              <w:pStyle w:val="TableContents"/>
              <w:bidi w:val="0"/>
              <w:spacing w:before="0" w:after="283"/>
              <w:jc w:val="both"/>
              <w:rPr>
                <w:rFonts w:ascii="Times New Roman" w:hAnsi="Times New Roman"/>
                <w:i/>
                <w:color w:val="000000"/>
                <w:sz w:val="14"/>
              </w:rPr>
            </w:pPr>
            <w:r>
              <w:rPr>
                <w:rFonts w:ascii="Times New Roman" w:hAnsi="Times New Roman"/>
                <w:i/>
                <w:color w:val="000000"/>
                <w:sz w:val="14"/>
              </w:rPr>
              <w:t>Amendment No. 14 dated as of December 19, 2018</w:t>
            </w:r>
          </w:p>
        </w:tc>
        <w:tc>
          <w:tcPr>
            <w:tcW w:w="3046" w:type="dxa"/>
            <w:tcBorders/>
            <w:tcMar>
              <w:top w:w="0" w:type="dxa"/>
              <w:left w:w="0" w:type="dxa"/>
              <w:bottom w:w="0" w:type="dxa"/>
              <w:right w:w="0" w:type="dxa"/>
            </w:tcMar>
            <w:vAlign w:val="center"/>
          </w:tcPr>
          <w:p>
            <w:pPr>
              <w:pStyle w:val="TableContents"/>
              <w:bidi w:val="0"/>
              <w:jc w:val="both"/>
              <w:rPr>
                <w:rFonts w:ascii="Times New Roman" w:hAnsi="Times New Roman"/>
                <w:i/>
                <w:color w:val="000000"/>
                <w:sz w:val="14"/>
              </w:rPr>
            </w:pPr>
            <w:r>
              <w:rPr>
                <w:rFonts w:ascii="Times New Roman" w:hAnsi="Times New Roman"/>
                <w:i/>
                <w:color w:val="000000"/>
                <w:sz w:val="14"/>
              </w:rPr>
              <w:t>Amendment No. 15 dated as of May 3, 2019</w:t>
            </w:r>
          </w:p>
          <w:p>
            <w:pPr>
              <w:pStyle w:val="TableContents"/>
              <w:bidi w:val="0"/>
              <w:jc w:val="both"/>
              <w:rPr>
                <w:rFonts w:ascii="Times New Roman" w:hAnsi="Times New Roman"/>
                <w:i/>
                <w:color w:val="000000"/>
                <w:sz w:val="14"/>
              </w:rPr>
            </w:pPr>
            <w:r>
              <w:rPr>
                <w:rFonts w:ascii="Times New Roman" w:hAnsi="Times New Roman"/>
                <w:i/>
                <w:color w:val="000000"/>
                <w:sz w:val="14"/>
              </w:rPr>
              <w:t>Amendment No. 16 dated as of December 20, 2019</w:t>
            </w:r>
          </w:p>
          <w:p>
            <w:pPr>
              <w:pStyle w:val="TableContents"/>
              <w:bidi w:val="0"/>
              <w:jc w:val="both"/>
              <w:rPr>
                <w:rFonts w:ascii="Times New Roman" w:hAnsi="Times New Roman"/>
                <w:i/>
                <w:color w:val="000000"/>
                <w:sz w:val="14"/>
              </w:rPr>
            </w:pPr>
            <w:r>
              <w:rPr>
                <w:rFonts w:ascii="Times New Roman" w:hAnsi="Times New Roman"/>
                <w:i/>
                <w:color w:val="000000"/>
                <w:sz w:val="14"/>
              </w:rPr>
              <w:t>Amendment No. 17 dated as of May 11, 2020</w:t>
            </w:r>
          </w:p>
          <w:p>
            <w:pPr>
              <w:pStyle w:val="TableContents"/>
              <w:bidi w:val="0"/>
              <w:jc w:val="both"/>
              <w:rPr>
                <w:rFonts w:ascii="Times New Roman" w:hAnsi="Times New Roman"/>
                <w:i/>
                <w:color w:val="000000"/>
                <w:sz w:val="14"/>
              </w:rPr>
            </w:pPr>
            <w:r>
              <w:rPr>
                <w:rFonts w:ascii="Times New Roman" w:hAnsi="Times New Roman"/>
                <w:i/>
                <w:color w:val="000000"/>
                <w:sz w:val="14"/>
              </w:rPr>
              <w:t>Amendment No. 18 dated as of September 28, 2020</w:t>
            </w:r>
          </w:p>
          <w:p>
            <w:pPr>
              <w:pStyle w:val="TableContents"/>
              <w:bidi w:val="0"/>
              <w:jc w:val="both"/>
              <w:rPr>
                <w:rFonts w:ascii="Times New Roman" w:hAnsi="Times New Roman"/>
                <w:i/>
                <w:color w:val="000000"/>
                <w:sz w:val="14"/>
              </w:rPr>
            </w:pPr>
            <w:r>
              <w:rPr>
                <w:rFonts w:ascii="Times New Roman" w:hAnsi="Times New Roman"/>
                <w:i/>
                <w:color w:val="000000"/>
                <w:sz w:val="14"/>
              </w:rPr>
              <w:t>Amendment No. 19 dated as of May 19, 2021</w:t>
            </w:r>
          </w:p>
          <w:p>
            <w:pPr>
              <w:pStyle w:val="TableContents"/>
              <w:bidi w:val="0"/>
              <w:jc w:val="both"/>
              <w:rPr>
                <w:rFonts w:ascii="Times New Roman" w:hAnsi="Times New Roman"/>
                <w:i/>
                <w:color w:val="000000"/>
                <w:sz w:val="14"/>
              </w:rPr>
            </w:pPr>
            <w:r>
              <w:rPr>
                <w:rFonts w:ascii="Times New Roman" w:hAnsi="Times New Roman"/>
                <w:i/>
                <w:color w:val="000000"/>
                <w:sz w:val="14"/>
              </w:rPr>
              <w:t>Amendment No. 20 dated as of December 10, 2021</w:t>
            </w:r>
          </w:p>
          <w:p>
            <w:pPr>
              <w:pStyle w:val="TableContents"/>
              <w:bidi w:val="0"/>
              <w:jc w:val="both"/>
              <w:rPr>
                <w:rFonts w:ascii="Times New Roman" w:hAnsi="Times New Roman"/>
                <w:i/>
                <w:color w:val="000000"/>
                <w:sz w:val="14"/>
              </w:rPr>
            </w:pPr>
            <w:r>
              <w:rPr>
                <w:rFonts w:ascii="Times New Roman" w:hAnsi="Times New Roman"/>
                <w:i/>
                <w:color w:val="000000"/>
                <w:sz w:val="14"/>
              </w:rPr>
              <w:t>Amendment No. 21 dated as of September 29, 2022</w:t>
            </w:r>
          </w:p>
          <w:p>
            <w:pPr>
              <w:pStyle w:val="TableContents"/>
              <w:bidi w:val="0"/>
              <w:jc w:val="both"/>
              <w:rPr>
                <w:rFonts w:ascii="Times New Roman" w:hAnsi="Times New Roman"/>
                <w:i/>
                <w:color w:val="000000"/>
                <w:sz w:val="14"/>
              </w:rPr>
            </w:pPr>
            <w:r>
              <w:rPr>
                <w:rFonts w:ascii="Times New Roman" w:hAnsi="Times New Roman"/>
                <w:i/>
                <w:color w:val="000000"/>
                <w:sz w:val="14"/>
              </w:rPr>
              <w:t>Amendment No. 22 dated as of December 16, 2022</w:t>
            </w:r>
          </w:p>
          <w:p>
            <w:pPr>
              <w:pStyle w:val="TableContents"/>
              <w:bidi w:val="0"/>
              <w:jc w:val="both"/>
              <w:rPr>
                <w:rFonts w:ascii="Times New Roman" w:hAnsi="Times New Roman"/>
                <w:i/>
                <w:color w:val="000000"/>
                <w:sz w:val="14"/>
              </w:rPr>
            </w:pPr>
            <w:r>
              <w:rPr>
                <w:rFonts w:ascii="Times New Roman" w:hAnsi="Times New Roman"/>
                <w:i/>
                <w:color w:val="000000"/>
                <w:sz w:val="14"/>
              </w:rPr>
              <w:t>Amendment No. 23 dated as of March 15, 2023</w:t>
            </w:r>
          </w:p>
          <w:p>
            <w:pPr>
              <w:pStyle w:val="TableContents"/>
              <w:bidi w:val="0"/>
              <w:jc w:val="both"/>
              <w:rPr>
                <w:rFonts w:ascii="Times New Roman" w:hAnsi="Times New Roman"/>
                <w:i/>
                <w:color w:val="000000"/>
                <w:sz w:val="14"/>
              </w:rPr>
            </w:pPr>
            <w:r>
              <w:rPr>
                <w:rFonts w:ascii="Times New Roman" w:hAnsi="Times New Roman"/>
                <w:i/>
                <w:color w:val="000000"/>
                <w:sz w:val="14"/>
              </w:rPr>
              <w:t>Amendment No. 24 dated as of June 2, 2023</w:t>
            </w:r>
          </w:p>
          <w:p>
            <w:pPr>
              <w:pStyle w:val="TableContents"/>
              <w:bidi w:val="0"/>
              <w:jc w:val="both"/>
              <w:rPr>
                <w:rFonts w:ascii="Times New Roman" w:hAnsi="Times New Roman"/>
                <w:i/>
                <w:color w:val="000000"/>
                <w:sz w:val="14"/>
              </w:rPr>
            </w:pPr>
            <w:r>
              <w:rPr>
                <w:rFonts w:ascii="Times New Roman" w:hAnsi="Times New Roman"/>
                <w:i/>
                <w:color w:val="000000"/>
                <w:sz w:val="14"/>
              </w:rPr>
              <w:t>Amendment No. 25 dated as of October 26, 2023</w:t>
            </w:r>
          </w:p>
          <w:p>
            <w:pPr>
              <w:pStyle w:val="TableContents"/>
              <w:bidi w:val="0"/>
              <w:jc w:val="both"/>
              <w:rPr>
                <w:rFonts w:ascii="Times New Roman" w:hAnsi="Times New Roman"/>
                <w:i/>
                <w:color w:val="000000"/>
                <w:sz w:val="14"/>
              </w:rPr>
            </w:pPr>
            <w:r>
              <w:rPr>
                <w:rFonts w:ascii="Times New Roman" w:hAnsi="Times New Roman"/>
                <w:i/>
                <w:color w:val="000000"/>
                <w:sz w:val="14"/>
              </w:rPr>
              <w:t>Amendment No. 26 dated as of December 15, 2023</w:t>
            </w:r>
          </w:p>
          <w:p>
            <w:pPr>
              <w:pStyle w:val="TableContents"/>
              <w:bidi w:val="0"/>
              <w:jc w:val="both"/>
              <w:rPr>
                <w:rFonts w:ascii="Times New Roman" w:hAnsi="Times New Roman"/>
                <w:i/>
                <w:color w:val="000000"/>
                <w:sz w:val="14"/>
              </w:rPr>
            </w:pPr>
            <w:r>
              <w:rPr>
                <w:rFonts w:ascii="Times New Roman" w:hAnsi="Times New Roman"/>
                <w:i/>
                <w:color w:val="000000"/>
                <w:sz w:val="14"/>
              </w:rPr>
              <w:t>Amendment No. 27 dated as of March 7, 2025</w:t>
            </w:r>
          </w:p>
          <w:p>
            <w:pPr>
              <w:pStyle w:val="TableContents"/>
              <w:bidi w:val="0"/>
              <w:jc w:val="both"/>
              <w:rPr>
                <w:rFonts w:ascii="Times New Roman" w:hAnsi="Times New Roman"/>
                <w:i/>
                <w:color w:val="000000"/>
                <w:sz w:val="14"/>
              </w:rPr>
            </w:pPr>
            <w:r>
              <w:rPr>
                <w:rFonts w:ascii="Times New Roman" w:hAnsi="Times New Roman"/>
                <w:i/>
                <w:color w:val="000000"/>
                <w:sz w:val="14"/>
              </w:rPr>
              <w:t>Amendment No. 28 dated as of May 29, 2026</w:t>
            </w:r>
          </w:p>
          <w:p>
            <w:pPr>
              <w:pStyle w:val="TableContents"/>
              <w:bidi w:val="0"/>
              <w:spacing w:before="0" w:after="283"/>
              <w:jc w:val="both"/>
              <w:rPr>
                <w:rFonts w:ascii="Times New Roman" w:hAnsi="Times New Roman"/>
                <w:i/>
                <w:color w:val="000000"/>
                <w:sz w:val="14"/>
              </w:rPr>
            </w:pPr>
            <w:r>
              <w:rPr>
                <w:rFonts w:ascii="Times New Roman" w:hAnsi="Times New Roman"/>
                <w:i/>
                <w:color w:val="000000"/>
                <w:sz w:val="14"/>
              </w:rPr>
              <w:t>Amendment No. 29 dated as of June 30, 2026</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xml:space="preserve">UACC AUTO FINANCING TRUST IV, </w:t>
        <w:br/>
        <w:t>as Borrower,</w:t>
      </w:r>
    </w:p>
    <w:p>
      <w:pPr>
        <w:pStyle w:val="TextBody"/>
        <w:bidi w:val="0"/>
        <w:jc w:val="center"/>
        <w:rPr>
          <w:rFonts w:ascii="Times New Roman" w:hAnsi="Times New Roman"/>
          <w:color w:val="000000"/>
          <w:sz w:val="24"/>
        </w:rPr>
      </w:pPr>
      <w:r>
        <w:rPr>
          <w:rFonts w:ascii="Times New Roman" w:hAnsi="Times New Roman"/>
          <w:color w:val="000000"/>
          <w:sz w:val="24"/>
        </w:rPr>
        <w:t>UNITED AUTO CREDIT CORPORATION,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as Servicer and Custodian,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t>
        <w:br/>
        <w:t>Backup Servicer and Account Bank,</w:t>
      </w:r>
    </w:p>
    <w:p>
      <w:pPr>
        <w:pStyle w:val="TextBody"/>
        <w:bidi w:val="0"/>
        <w:jc w:val="center"/>
        <w:rPr>
          <w:rFonts w:ascii="Times New Roman" w:hAnsi="Times New Roman"/>
          <w:color w:val="000000"/>
          <w:sz w:val="24"/>
        </w:rPr>
      </w:pPr>
      <w:r>
        <w:rPr>
          <w:rFonts w:ascii="Times New Roman" w:hAnsi="Times New Roman"/>
          <w:color w:val="000000"/>
          <w:sz w:val="24"/>
        </w:rPr>
        <w:t>the LENDERS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from time to time parties hereto,</w:t>
      </w:r>
    </w:p>
    <w:p>
      <w:pPr>
        <w:pStyle w:val="TextBody"/>
        <w:bidi w:val="0"/>
        <w:jc w:val="center"/>
        <w:rPr>
          <w:rFonts w:ascii="Times New Roman" w:hAnsi="Times New Roman"/>
          <w:color w:val="000000"/>
          <w:sz w:val="24"/>
        </w:rPr>
      </w:pPr>
      <w:r>
        <w:rPr>
          <w:rFonts w:ascii="Times New Roman" w:hAnsi="Times New Roman"/>
          <w:color w:val="000000"/>
          <w:sz w:val="24"/>
        </w:rPr>
        <w:t>the AGENTS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from time to time parties hereto,</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w:t>
        <w:br/>
        <w:t>as Administrative Agent</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top w:val="single" w:sz="4" w:space="0" w:color="000000"/>
            </w:tcBorders>
            <w:tcMar>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WAREHOUSE AGREEMENT</w:t>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Dated as of November 19, 2013</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60"/>
        <w:jc w:val="center"/>
        <w:rPr>
          <w:rFonts w:ascii="Times New Roman" w:hAnsi="Times New Roman"/>
          <w:caps/>
          <w:color w:val="000000"/>
          <w:sz w:val="24"/>
        </w:rPr>
      </w:pPr>
      <w:r>
        <w:rPr>
          <w:rFonts w:ascii="Times New Roman" w:hAnsi="Times New Roman"/>
          <w:caps/>
          <w:color w:val="000000"/>
          <w:sz w:val="24"/>
        </w:rPr>
        <w:t>Table of Contents</w:t>
      </w:r>
    </w:p>
    <w:p>
      <w:pPr>
        <w:pStyle w:val="TextBody"/>
        <w:bidi w:val="0"/>
        <w:spacing w:before="0" w:after="240"/>
        <w:jc w:val="right"/>
        <w:rPr>
          <w:rFonts w:ascii="Times New Roman" w:hAnsi="Times New Roman"/>
          <w:color w:val="000000"/>
          <w:sz w:val="24"/>
          <w:u w:val="single"/>
        </w:rPr>
      </w:pPr>
      <w:bookmarkStart w:id="31" w:name="tocheading1"/>
      <w:bookmarkEnd w:id="31"/>
      <w:r>
        <w:rPr>
          <w:rFonts w:ascii="Times New Roman" w:hAnsi="Times New Roman"/>
          <w:color w:val="000000"/>
          <w:sz w:val="24"/>
          <w:u w:val="single"/>
        </w:rPr>
        <w:t>Page</w:t>
      </w:r>
    </w:p>
    <w:p>
      <w:pPr>
        <w:pStyle w:val="TextBody"/>
        <w:bidi w:val="0"/>
        <w:spacing w:before="0" w:after="120"/>
        <w:jc w:val="left"/>
        <w:rPr>
          <w:rFonts w:ascii="Times New Roman" w:hAnsi="Times New Roman"/>
          <w:caps/>
          <w:color w:val="000000"/>
          <w:sz w:val="24"/>
        </w:rPr>
      </w:pPr>
      <w:bookmarkStart w:id="32" w:name="tocpage1"/>
      <w:bookmarkEnd w:id="32"/>
      <w:r>
        <w:rPr>
          <w:rFonts w:ascii="Times New Roman" w:hAnsi="Times New Roman"/>
          <w:caps/>
          <w:color w:val="000000"/>
          <w:sz w:val="24"/>
        </w:rPr>
        <w:t>ARTICLE One DEFINITIONS; CONSTRUCTION</w:t>
      </w:r>
    </w:p>
    <w:p>
      <w:pPr>
        <w:pStyle w:val="TextBody"/>
        <w:bidi w:val="0"/>
        <w:spacing w:before="0" w:after="120"/>
        <w:jc w:val="left"/>
        <w:rPr>
          <w:rFonts w:ascii="Times New Roman" w:hAnsi="Times New Roman"/>
          <w:sz w:val="20"/>
        </w:rPr>
      </w:pPr>
      <w:r>
        <w:rPr>
          <w:rFonts w:ascii="Times New Roman" w:hAnsi="Times New Roman"/>
          <w:color w:val="000000"/>
          <w:sz w:val="24"/>
        </w:rPr>
        <w:t>Section 1.01. Definitions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1.02. Accounting Terms and Determinations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1.03. Computation of Time Periods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1.04. Interpretation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1.05. Interest Rates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1.06. Acknowledgement Regarding Any Supported QFCs.</w:t>
      </w:r>
      <w:r>
        <w:rPr>
          <w:rFonts w:ascii="Times New Roman" w:hAnsi="Times New Roman"/>
          <w:color w:val="000000"/>
          <w:sz w:val="20"/>
        </w:rPr>
        <w:t xml:space="preserve"> </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Two LOANS</w:t>
      </w:r>
    </w:p>
    <w:p>
      <w:pPr>
        <w:pStyle w:val="TextBody"/>
        <w:bidi w:val="0"/>
        <w:spacing w:before="0" w:after="120"/>
        <w:jc w:val="left"/>
        <w:rPr>
          <w:rFonts w:ascii="Times New Roman" w:hAnsi="Times New Roman"/>
          <w:sz w:val="20"/>
        </w:rPr>
      </w:pPr>
      <w:r>
        <w:rPr>
          <w:rFonts w:ascii="Times New Roman" w:hAnsi="Times New Roman"/>
          <w:color w:val="000000"/>
          <w:sz w:val="24"/>
        </w:rPr>
        <w:t>Section 2.01. Loans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2.02. Funding Mechanics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2.03. Reductions of Commitments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2.04. Extensions of Commitments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2.05. The Notes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2.06. Optional Principal Repayments; Interpayments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2.07. Payments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2.08. Settlement Procedures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2.09. Mandatory Payments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2.10. Payments, Computations, Etc.</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2.11. Collections and Allocations; Investment of Funds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2.12. Fees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2.13. Increased Costs; Capital Adequacy; Illegality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2.14. Taxes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2.15. Sharing of Payments, Etc.</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2.16. The Account Bank</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2.17. Alternate Rate of Interest.</w:t>
      </w:r>
      <w:r>
        <w:rPr>
          <w:rFonts w:ascii="Times New Roman" w:hAnsi="Times New Roman"/>
          <w:color w:val="000000"/>
          <w:sz w:val="20"/>
        </w:rPr>
        <w:t xml:space="preserve"> </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Three SECURITY</w:t>
      </w:r>
    </w:p>
    <w:p>
      <w:pPr>
        <w:pStyle w:val="TextBody"/>
        <w:bidi w:val="0"/>
        <w:spacing w:before="0" w:after="120"/>
        <w:jc w:val="left"/>
        <w:rPr>
          <w:rFonts w:ascii="Times New Roman" w:hAnsi="Times New Roman"/>
          <w:sz w:val="20"/>
        </w:rPr>
      </w:pPr>
      <w:r>
        <w:rPr>
          <w:rFonts w:ascii="Times New Roman" w:hAnsi="Times New Roman"/>
          <w:color w:val="000000"/>
          <w:sz w:val="24"/>
        </w:rPr>
        <w:t>Section 3.01. Collateral</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3.02. Release of Collateral; No Legal Title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3.03. Protection of Security Interest; Administrative Agent, as Attorney-in-Fact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Times New Roman" w:hAnsi="Times New Roman"/>
          <w:sz w:val="20"/>
        </w:rPr>
      </w:pPr>
      <w:r>
        <w:rPr>
          <w:rFonts w:ascii="Times New Roman" w:hAnsi="Times New Roman"/>
          <w:color w:val="000000"/>
          <w:sz w:val="24"/>
        </w:rPr>
        <w:t>Section 3.04. Assignment of the Purchase Agreement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3.05. Waiver of Certain Laws</w:t>
      </w:r>
      <w:r>
        <w:rPr>
          <w:rFonts w:ascii="Times New Roman" w:hAnsi="Times New Roman"/>
          <w:color w:val="000000"/>
          <w:sz w:val="20"/>
        </w:rPr>
        <w:t xml:space="preserve"> </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Four CONDITIONS OF CLOSING AND LOANS</w:t>
      </w:r>
    </w:p>
    <w:p>
      <w:pPr>
        <w:pStyle w:val="TextBody"/>
        <w:bidi w:val="0"/>
        <w:spacing w:before="0" w:after="120"/>
        <w:jc w:val="left"/>
        <w:rPr>
          <w:rFonts w:ascii="Times New Roman" w:hAnsi="Times New Roman"/>
          <w:sz w:val="20"/>
        </w:rPr>
      </w:pPr>
      <w:r>
        <w:rPr>
          <w:rFonts w:ascii="Times New Roman" w:hAnsi="Times New Roman"/>
          <w:color w:val="000000"/>
          <w:sz w:val="24"/>
        </w:rPr>
        <w:t>Section 4.01. Conditions to Closing and Initial Loan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4.02. Conditions Precedent to All Loans</w:t>
      </w:r>
      <w:r>
        <w:rPr>
          <w:rFonts w:ascii="Times New Roman" w:hAnsi="Times New Roman"/>
          <w:color w:val="000000"/>
          <w:sz w:val="20"/>
        </w:rPr>
        <w:t xml:space="preserve"> </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Five REPRESENTATIONS AND WARRANTIES</w:t>
      </w:r>
    </w:p>
    <w:p>
      <w:pPr>
        <w:pStyle w:val="TextBody"/>
        <w:bidi w:val="0"/>
        <w:spacing w:before="0" w:after="120"/>
        <w:jc w:val="left"/>
        <w:rPr>
          <w:rFonts w:ascii="Times New Roman" w:hAnsi="Times New Roman"/>
          <w:sz w:val="20"/>
        </w:rPr>
      </w:pPr>
      <w:r>
        <w:rPr>
          <w:rFonts w:ascii="Times New Roman" w:hAnsi="Times New Roman"/>
          <w:color w:val="000000"/>
          <w:sz w:val="24"/>
        </w:rPr>
        <w:t>Section 5.01. Representations and Warranties of the Borrower</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 xml:space="preserve">Section 5.02. Representations and Warranties of the Borrower Relating to this Agreement and the Receivables </w:t>
      </w:r>
    </w:p>
    <w:p>
      <w:pPr>
        <w:pStyle w:val="TextBody"/>
        <w:bidi w:val="0"/>
        <w:spacing w:before="0" w:after="120"/>
        <w:jc w:val="left"/>
        <w:rPr>
          <w:rFonts w:ascii="Times New Roman" w:hAnsi="Times New Roman"/>
          <w:sz w:val="20"/>
        </w:rPr>
      </w:pPr>
      <w:r>
        <w:rPr>
          <w:rFonts w:ascii="Times New Roman" w:hAnsi="Times New Roman"/>
          <w:color w:val="000000"/>
          <w:sz w:val="24"/>
        </w:rPr>
        <w:t>Section 5.03. Representations and Warranties of the Servicer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5.04. Retransfer of Certain Receivables</w:t>
      </w:r>
      <w:r>
        <w:rPr>
          <w:rFonts w:ascii="Times New Roman" w:hAnsi="Times New Roman"/>
          <w:color w:val="000000"/>
          <w:sz w:val="20"/>
        </w:rPr>
        <w:t xml:space="preserve"> </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Six COVENANTS</w:t>
      </w:r>
    </w:p>
    <w:p>
      <w:pPr>
        <w:pStyle w:val="TextBody"/>
        <w:bidi w:val="0"/>
        <w:spacing w:before="0" w:after="120"/>
        <w:jc w:val="left"/>
        <w:rPr>
          <w:rFonts w:ascii="Times New Roman" w:hAnsi="Times New Roman"/>
          <w:sz w:val="20"/>
        </w:rPr>
      </w:pPr>
      <w:r>
        <w:rPr>
          <w:rFonts w:ascii="Times New Roman" w:hAnsi="Times New Roman"/>
          <w:color w:val="000000"/>
          <w:sz w:val="24"/>
        </w:rPr>
        <w:t>Section 6.01. Affirmative Covenants of the Borrower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6.02. Negative Covenants of the Borrower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6.03. Covenant of the Borrower Relating to Hedging</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6.04. Affirmative Covenants of the Servicer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6.05. Negative Covenants of the Servicer</w:t>
      </w:r>
      <w:r>
        <w:rPr>
          <w:rFonts w:ascii="Times New Roman" w:hAnsi="Times New Roman"/>
          <w:color w:val="000000"/>
          <w:sz w:val="20"/>
        </w:rPr>
        <w:t xml:space="preserve"> </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Seven ADMINISTRATION AND SERVICING OF RECEIVABLES</w:t>
      </w:r>
    </w:p>
    <w:p>
      <w:pPr>
        <w:pStyle w:val="TextBody"/>
        <w:bidi w:val="0"/>
        <w:spacing w:before="0" w:after="120"/>
        <w:jc w:val="left"/>
        <w:rPr>
          <w:rFonts w:ascii="Times New Roman" w:hAnsi="Times New Roman"/>
          <w:sz w:val="20"/>
        </w:rPr>
      </w:pPr>
      <w:r>
        <w:rPr>
          <w:rFonts w:ascii="Times New Roman" w:hAnsi="Times New Roman"/>
          <w:color w:val="000000"/>
          <w:sz w:val="24"/>
        </w:rPr>
        <w:t>Section 7.01. Designation of Servicing</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7.02. Servicing Compensation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7.03. Duties of the Servicer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7.04. Collection of Payments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7.05. Payment of Certain Expenses by Servicer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7.06. Reports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7.07. Due Diligence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7.08. Annual Statement as to Compliance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7.09. Annual Independent Public Accountant’s Reports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 xml:space="preserve">Section 7.10. Rights Prior to Assumption of Duties by the Backup Servicer or Designation of Successor Servicer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 xml:space="preserve">Section 7.11. Rights After Assumption of Duties by Backup Servicer or Designation of Successor Servicer; Liability </w:t>
      </w:r>
    </w:p>
    <w:p>
      <w:pPr>
        <w:pStyle w:val="TextBody"/>
        <w:bidi w:val="0"/>
        <w:spacing w:before="0" w:after="120"/>
        <w:jc w:val="left"/>
        <w:rPr>
          <w:rFonts w:ascii="Times New Roman" w:hAnsi="Times New Roman"/>
          <w:sz w:val="20"/>
        </w:rPr>
      </w:pPr>
      <w:r>
        <w:rPr>
          <w:rFonts w:ascii="Times New Roman" w:hAnsi="Times New Roman"/>
          <w:color w:val="000000"/>
          <w:sz w:val="24"/>
        </w:rPr>
        <w:t>Section 7.12. Limitation on Liability of the Servicer and Others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7.13. The Servicer Not to Resign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Times New Roman" w:hAnsi="Times New Roman"/>
          <w:sz w:val="20"/>
        </w:rPr>
      </w:pPr>
      <w:r>
        <w:rPr>
          <w:rFonts w:ascii="Times New Roman" w:hAnsi="Times New Roman"/>
          <w:color w:val="000000"/>
          <w:sz w:val="24"/>
        </w:rPr>
        <w:t>Section 7.14. Servicer Termination Events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7.15. Appointment of Successor Servicer</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 xml:space="preserve">Section 7.16. Merger or Consolidation, Assumption of Obligations or Resignation of the Servicer </w:t>
      </w:r>
    </w:p>
    <w:p>
      <w:pPr>
        <w:pStyle w:val="TextBody"/>
        <w:bidi w:val="0"/>
        <w:spacing w:before="0" w:after="120"/>
        <w:jc w:val="left"/>
        <w:rPr>
          <w:rFonts w:ascii="Times New Roman" w:hAnsi="Times New Roman"/>
          <w:sz w:val="20"/>
        </w:rPr>
      </w:pPr>
      <w:r>
        <w:rPr>
          <w:rFonts w:ascii="Times New Roman" w:hAnsi="Times New Roman"/>
          <w:color w:val="000000"/>
          <w:sz w:val="24"/>
        </w:rPr>
        <w:t>Section 7.17. Responsibilities of the Borrower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7.18. Custody of Receivable Files.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7.19. Duties of Custodian</w:t>
      </w:r>
      <w:r>
        <w:rPr>
          <w:rFonts w:ascii="Times New Roman" w:hAnsi="Times New Roman"/>
          <w:color w:val="000000"/>
          <w:sz w:val="20"/>
        </w:rPr>
        <w:t xml:space="preserve"> </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Eight THE BACKUP SERVICER</w:t>
      </w:r>
    </w:p>
    <w:p>
      <w:pPr>
        <w:pStyle w:val="TextBody"/>
        <w:bidi w:val="0"/>
        <w:spacing w:before="0" w:after="120"/>
        <w:jc w:val="left"/>
        <w:rPr>
          <w:rFonts w:ascii="Times New Roman" w:hAnsi="Times New Roman"/>
          <w:sz w:val="20"/>
        </w:rPr>
      </w:pPr>
      <w:r>
        <w:rPr>
          <w:rFonts w:ascii="Times New Roman" w:hAnsi="Times New Roman"/>
          <w:color w:val="000000"/>
          <w:sz w:val="24"/>
        </w:rPr>
        <w:t>Section 8.01. Designation of the Backup Servicer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8.02. Duties of the Backup Servicer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8.03. Backup Servicing Compensation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8.04. Backup Servicer Removal</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8.05. Backup Servicer Not to Resign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8.06. Monthly Backup Servicer Certificate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8.07. Covenants of the Backup Servicer</w:t>
      </w:r>
      <w:r>
        <w:rPr>
          <w:rFonts w:ascii="Times New Roman" w:hAnsi="Times New Roman"/>
          <w:color w:val="000000"/>
          <w:sz w:val="20"/>
        </w:rPr>
        <w:t xml:space="preserve"> </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Nine TERMINATION EVENTS</w:t>
      </w:r>
    </w:p>
    <w:p>
      <w:pPr>
        <w:pStyle w:val="TextBody"/>
        <w:bidi w:val="0"/>
        <w:spacing w:before="0" w:after="120"/>
        <w:jc w:val="left"/>
        <w:rPr>
          <w:rFonts w:ascii="Times New Roman" w:hAnsi="Times New Roman"/>
          <w:sz w:val="20"/>
        </w:rPr>
      </w:pPr>
      <w:r>
        <w:rPr>
          <w:rFonts w:ascii="Times New Roman" w:hAnsi="Times New Roman"/>
          <w:color w:val="000000"/>
          <w:sz w:val="24"/>
        </w:rPr>
        <w:t>Section 9.01. Termination Events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9.02. Actions Upon Occurrence of the Termination Date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9.03. Exercise of Remedies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9.04. Waiver of Certain Laws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9.05. Power of Attorney</w:t>
      </w:r>
      <w:r>
        <w:rPr>
          <w:rFonts w:ascii="Times New Roman" w:hAnsi="Times New Roman"/>
          <w:color w:val="000000"/>
          <w:sz w:val="20"/>
        </w:rPr>
        <w:t xml:space="preserve"> </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Ten INDEMNIFICATION</w:t>
      </w:r>
    </w:p>
    <w:p>
      <w:pPr>
        <w:pStyle w:val="TextBody"/>
        <w:bidi w:val="0"/>
        <w:spacing w:before="0" w:after="120"/>
        <w:jc w:val="left"/>
        <w:rPr>
          <w:rFonts w:ascii="Times New Roman" w:hAnsi="Times New Roman"/>
          <w:sz w:val="20"/>
        </w:rPr>
      </w:pPr>
      <w:r>
        <w:rPr>
          <w:rFonts w:ascii="Times New Roman" w:hAnsi="Times New Roman"/>
          <w:color w:val="000000"/>
          <w:sz w:val="24"/>
        </w:rPr>
        <w:t>Section 10.01. Indemnities by the Borrower and UACC</w:t>
      </w:r>
      <w:r>
        <w:rPr>
          <w:rFonts w:ascii="Times New Roman" w:hAnsi="Times New Roman"/>
          <w:color w:val="000000"/>
          <w:sz w:val="20"/>
        </w:rPr>
        <w:t xml:space="preserve"> </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Eleven THE ADMINISTRATIVE AGENT AND THE AGENTS</w:t>
      </w:r>
    </w:p>
    <w:p>
      <w:pPr>
        <w:pStyle w:val="TextBody"/>
        <w:bidi w:val="0"/>
        <w:spacing w:before="0" w:after="120"/>
        <w:jc w:val="left"/>
        <w:rPr>
          <w:rFonts w:ascii="Times New Roman" w:hAnsi="Times New Roman"/>
          <w:sz w:val="20"/>
        </w:rPr>
      </w:pPr>
      <w:r>
        <w:rPr>
          <w:rFonts w:ascii="Times New Roman" w:hAnsi="Times New Roman"/>
          <w:color w:val="000000"/>
          <w:sz w:val="24"/>
        </w:rPr>
        <w:t>Section 11.01. Authorization and Action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11.02. Delegation of Duties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11.03. Exculpatory Provisions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11.04. Reliance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11.05. Non-Reliance on Agents and Other Lenders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11.06. Indemnification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11.07. Agents in their Individual Capacity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11.08. Successor Agents</w:t>
      </w:r>
      <w:r>
        <w:rPr>
          <w:rFonts w:ascii="Times New Roman" w:hAnsi="Times New Roman"/>
          <w:color w:val="000000"/>
          <w:sz w:val="20"/>
        </w:rPr>
        <w:t xml:space="preserve"> </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Twelve ASSIGNMENTS; PARTICIPATIONS</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Times New Roman" w:hAnsi="Times New Roman"/>
          <w:sz w:val="20"/>
        </w:rPr>
      </w:pPr>
      <w:r>
        <w:rPr>
          <w:rFonts w:ascii="Times New Roman" w:hAnsi="Times New Roman"/>
          <w:color w:val="000000"/>
          <w:sz w:val="24"/>
        </w:rPr>
        <w:t>Section 12.01. Assignments and Participations</w:t>
      </w:r>
      <w:r>
        <w:rPr>
          <w:rFonts w:ascii="Times New Roman" w:hAnsi="Times New Roman"/>
          <w:color w:val="000000"/>
          <w:sz w:val="20"/>
        </w:rPr>
        <w:t xml:space="preserve"> </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Thirteen MUTUAL COVENANTS REGARDING CONFIDENTIALITY</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 xml:space="preserve">Section 13.01. Covenants of the Borrower, the Servicer, the Backup Servicer, the Account Bank and the Custodian </w:t>
      </w:r>
    </w:p>
    <w:p>
      <w:pPr>
        <w:pStyle w:val="TextBody"/>
        <w:bidi w:val="0"/>
        <w:spacing w:before="0" w:after="120"/>
        <w:jc w:val="left"/>
        <w:rPr>
          <w:rFonts w:ascii="Times New Roman" w:hAnsi="Times New Roman"/>
          <w:sz w:val="20"/>
        </w:rPr>
      </w:pPr>
      <w:r>
        <w:rPr>
          <w:rFonts w:ascii="Times New Roman" w:hAnsi="Times New Roman"/>
          <w:color w:val="000000"/>
          <w:sz w:val="24"/>
        </w:rPr>
        <w:t>Section 13.02. Covenants of the Administrative Agent, the Agents and the Lenders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13.03. Non-Confidentiality of Tax Treatment and Tax Structure</w:t>
      </w:r>
      <w:r>
        <w:rPr>
          <w:rFonts w:ascii="Times New Roman" w:hAnsi="Times New Roman"/>
          <w:color w:val="000000"/>
          <w:sz w:val="20"/>
        </w:rPr>
        <w:t xml:space="preserve"> </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Fourteen MISCELLANEOUS</w:t>
      </w:r>
    </w:p>
    <w:p>
      <w:pPr>
        <w:pStyle w:val="TextBody"/>
        <w:bidi w:val="0"/>
        <w:spacing w:before="0" w:after="120"/>
        <w:jc w:val="left"/>
        <w:rPr>
          <w:rFonts w:ascii="Times New Roman" w:hAnsi="Times New Roman"/>
          <w:sz w:val="20"/>
        </w:rPr>
      </w:pPr>
      <w:r>
        <w:rPr>
          <w:rFonts w:ascii="Times New Roman" w:hAnsi="Times New Roman"/>
          <w:color w:val="000000"/>
          <w:sz w:val="24"/>
        </w:rPr>
        <w:t>Section 14.01. Amendments and Waivers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14.02. Notices, Etc.</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14.03. No Waiver, Rights and Remedies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14.04. Binding Effect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14.05. Term of this Agreement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 xml:space="preserve">Section 14.06. GOVERNING LAW; CONSENT TO JURISDICTION; WAIVER OF OBJECTION TO VENUE </w:t>
      </w:r>
    </w:p>
    <w:p>
      <w:pPr>
        <w:pStyle w:val="TextBody"/>
        <w:bidi w:val="0"/>
        <w:spacing w:before="0" w:after="120"/>
        <w:jc w:val="left"/>
        <w:rPr>
          <w:rFonts w:ascii="Times New Roman" w:hAnsi="Times New Roman"/>
          <w:sz w:val="20"/>
        </w:rPr>
      </w:pPr>
      <w:r>
        <w:rPr>
          <w:rFonts w:ascii="Times New Roman" w:hAnsi="Times New Roman"/>
          <w:color w:val="000000"/>
          <w:sz w:val="24"/>
        </w:rPr>
        <w:t>Section 14.07. WAIVER OF JURY TRIAL</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14.08. Costs, Expenses and Taxes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14.09. No Insolvency Proceedings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14.10. Recourse Against Certain Parties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14.11. Limitations on Consequential, Indirect and Certain Other Damages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14.12. Patriot Act Compliance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14.13. Execution in Counterparts; Severability; Integration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Section 14.14. Limitation of Liability of Owner Trustee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bookmarkStart w:id="33" w:name="mptableofcontents"/>
      <w:bookmarkEnd w:id="33"/>
      <w:r>
        <w:rPr>
          <w:rFonts w:ascii="Times New Roman" w:hAnsi="Times New Roman"/>
          <w:color w:val="000000"/>
          <w:sz w:val="24"/>
        </w:rPr>
        <w:t>SCHEDULES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Schedule A – Conduit Supplement SA-1</w:t>
      </w:r>
    </w:p>
    <w:p>
      <w:pPr>
        <w:pStyle w:val="TextBody"/>
        <w:bidi w:val="0"/>
        <w:jc w:val="left"/>
        <w:rPr>
          <w:rFonts w:ascii="Times New Roman" w:hAnsi="Times New Roman"/>
          <w:color w:val="000000"/>
          <w:sz w:val="24"/>
        </w:rPr>
      </w:pPr>
      <w:r>
        <w:rPr>
          <w:rFonts w:ascii="Times New Roman" w:hAnsi="Times New Roman"/>
          <w:color w:val="000000"/>
          <w:sz w:val="24"/>
        </w:rPr>
        <w:t>Schedule B – Eligible Receivable Criteria SB-1</w:t>
      </w:r>
    </w:p>
    <w:p>
      <w:pPr>
        <w:pStyle w:val="TextBody"/>
        <w:bidi w:val="0"/>
        <w:jc w:val="left"/>
        <w:rPr>
          <w:rFonts w:ascii="Times New Roman" w:hAnsi="Times New Roman"/>
          <w:color w:val="000000"/>
          <w:sz w:val="24"/>
        </w:rPr>
      </w:pPr>
      <w:r>
        <w:rPr>
          <w:rFonts w:ascii="Times New Roman" w:hAnsi="Times New Roman"/>
          <w:color w:val="000000"/>
          <w:sz w:val="24"/>
        </w:rPr>
        <w:t>Schedule C – Schedule of Receivables SC-1</w:t>
      </w:r>
    </w:p>
    <w:p>
      <w:pPr>
        <w:pStyle w:val="TextBody"/>
        <w:bidi w:val="0"/>
        <w:jc w:val="left"/>
        <w:rPr>
          <w:rFonts w:ascii="Times New Roman" w:hAnsi="Times New Roman"/>
          <w:sz w:val="20"/>
        </w:rPr>
      </w:pPr>
      <w:r>
        <w:rPr>
          <w:rFonts w:ascii="Times New Roman" w:hAnsi="Times New Roman"/>
          <w:color w:val="000000"/>
          <w:sz w:val="24"/>
        </w:rPr>
        <w:t>Schedule D – Location of Receivable Files</w:t>
      </w:r>
      <w:r>
        <w:rPr>
          <w:rFonts w:ascii="Times New Roman" w:hAnsi="Times New Roman"/>
          <w:color w:val="000000"/>
          <w:sz w:val="20"/>
        </w:rPr>
        <w:t xml:space="preserve"> </w:t>
      </w:r>
      <w:r>
        <w:rPr>
          <w:rFonts w:ascii="Times New Roman" w:hAnsi="Times New Roman"/>
          <w:color w:val="000000"/>
          <w:sz w:val="24"/>
        </w:rPr>
        <w:t>SD-1</w:t>
      </w:r>
    </w:p>
    <w:p>
      <w:pPr>
        <w:pStyle w:val="TextBody"/>
        <w:bidi w:val="0"/>
        <w:jc w:val="left"/>
        <w:rPr>
          <w:rFonts w:ascii="Times New Roman" w:hAnsi="Times New Roman"/>
          <w:color w:val="000000"/>
          <w:sz w:val="24"/>
        </w:rPr>
      </w:pPr>
      <w:r>
        <w:rPr>
          <w:rFonts w:ascii="Times New Roman" w:hAnsi="Times New Roman"/>
          <w:color w:val="000000"/>
          <w:sz w:val="24"/>
        </w:rPr>
        <w:t>Schedule E – Schedule of Documents SE-1</w:t>
      </w:r>
    </w:p>
    <w:p>
      <w:pPr>
        <w:pStyle w:val="TextBody"/>
        <w:bidi w:val="0"/>
        <w:jc w:val="left"/>
        <w:rPr>
          <w:rFonts w:ascii="Times New Roman" w:hAnsi="Times New Roman"/>
          <w:color w:val="000000"/>
          <w:sz w:val="24"/>
        </w:rPr>
      </w:pPr>
      <w:r>
        <w:rPr>
          <w:rFonts w:ascii="Times New Roman" w:hAnsi="Times New Roman"/>
          <w:color w:val="000000"/>
          <w:sz w:val="24"/>
        </w:rPr>
        <w:t>Schedule F – Eligible Commercial Vehicle Criteria SF-1</w:t>
      </w:r>
    </w:p>
    <w:p>
      <w:pPr>
        <w:pStyle w:val="TextBody"/>
        <w:bidi w:val="0"/>
        <w:jc w:val="left"/>
        <w:rPr>
          <w:rFonts w:ascii="Times New Roman" w:hAnsi="Times New Roman"/>
          <w:color w:val="000000"/>
          <w:sz w:val="24"/>
        </w:rPr>
      </w:pPr>
      <w:r>
        <w:rPr>
          <w:rFonts w:ascii="Times New Roman" w:hAnsi="Times New Roman"/>
          <w:color w:val="000000"/>
          <w:sz w:val="24"/>
        </w:rPr>
        <w:t>Schedule G – Portfolio Purchase Receivables SG-1</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480" w:after="240"/>
        <w:jc w:val="center"/>
        <w:rPr>
          <w:rFonts w:ascii="Times New Roman" w:hAnsi="Times New Roman"/>
          <w:color w:val="000000"/>
          <w:sz w:val="24"/>
        </w:rPr>
      </w:pPr>
      <w:r>
        <w:rPr>
          <w:rFonts w:ascii="Times New Roman" w:hAnsi="Times New Roman"/>
          <w:color w:val="000000"/>
          <w:sz w:val="24"/>
        </w:rPr>
        <w:t>EXHIBITS</w:t>
      </w:r>
    </w:p>
    <w:p>
      <w:pPr>
        <w:pStyle w:val="TextBody"/>
        <w:bidi w:val="0"/>
        <w:jc w:val="left"/>
        <w:rPr>
          <w:rFonts w:ascii="Times New Roman" w:hAnsi="Times New Roman"/>
          <w:color w:val="000000"/>
          <w:sz w:val="24"/>
        </w:rPr>
      </w:pPr>
      <w:r>
        <w:rPr>
          <w:rFonts w:ascii="Times New Roman" w:hAnsi="Times New Roman"/>
          <w:color w:val="000000"/>
          <w:sz w:val="24"/>
        </w:rPr>
        <w:t>Exhibit A – Form of Funding Request A-1</w:t>
      </w:r>
    </w:p>
    <w:p>
      <w:pPr>
        <w:pStyle w:val="TextBody"/>
        <w:bidi w:val="0"/>
        <w:jc w:val="left"/>
        <w:rPr>
          <w:rFonts w:ascii="Times New Roman" w:hAnsi="Times New Roman"/>
          <w:color w:val="000000"/>
          <w:sz w:val="24"/>
        </w:rPr>
      </w:pPr>
      <w:r>
        <w:rPr>
          <w:rFonts w:ascii="Times New Roman" w:hAnsi="Times New Roman"/>
          <w:color w:val="000000"/>
          <w:sz w:val="24"/>
        </w:rPr>
        <w:t>Exhibit B – Form of Note B-1</w:t>
      </w:r>
    </w:p>
    <w:p>
      <w:pPr>
        <w:pStyle w:val="TextBody"/>
        <w:bidi w:val="0"/>
        <w:jc w:val="left"/>
        <w:rPr>
          <w:rFonts w:ascii="Times New Roman" w:hAnsi="Times New Roman"/>
          <w:color w:val="000000"/>
          <w:sz w:val="24"/>
        </w:rPr>
      </w:pPr>
      <w:r>
        <w:rPr>
          <w:rFonts w:ascii="Times New Roman" w:hAnsi="Times New Roman"/>
          <w:color w:val="000000"/>
          <w:sz w:val="24"/>
        </w:rPr>
        <w:t>Exhibit C – Form of Assignment and Acceptance C-1</w:t>
      </w:r>
    </w:p>
    <w:p>
      <w:pPr>
        <w:pStyle w:val="TextBody"/>
        <w:bidi w:val="0"/>
        <w:jc w:val="left"/>
        <w:rPr>
          <w:rFonts w:ascii="Times New Roman" w:hAnsi="Times New Roman"/>
          <w:sz w:val="20"/>
        </w:rPr>
      </w:pPr>
      <w:r>
        <w:rPr>
          <w:rFonts w:ascii="Times New Roman" w:hAnsi="Times New Roman"/>
          <w:color w:val="000000"/>
          <w:sz w:val="24"/>
        </w:rPr>
        <w:t>Exhibit D – [***]</w:t>
      </w:r>
      <w:r>
        <w:rPr>
          <w:rFonts w:ascii="Times New Roman" w:hAnsi="Times New Roman"/>
          <w:color w:val="000000"/>
          <w:sz w:val="20"/>
        </w:rPr>
        <w:t xml:space="preserve"> </w:t>
      </w:r>
      <w:r>
        <w:rPr>
          <w:rFonts w:ascii="Times New Roman" w:hAnsi="Times New Roman"/>
          <w:color w:val="000000"/>
          <w:sz w:val="24"/>
        </w:rPr>
        <w:t>D-1</w:t>
      </w:r>
    </w:p>
    <w:p>
      <w:pPr>
        <w:pStyle w:val="TextBody"/>
        <w:bidi w:val="0"/>
        <w:jc w:val="left"/>
        <w:rPr>
          <w:rFonts w:ascii="Times New Roman" w:hAnsi="Times New Roman"/>
          <w:sz w:val="20"/>
        </w:rPr>
      </w:pPr>
      <w:r>
        <w:rPr>
          <w:rFonts w:ascii="Times New Roman" w:hAnsi="Times New Roman"/>
          <w:color w:val="000000"/>
          <w:sz w:val="24"/>
        </w:rPr>
        <w:t>Exhibit E – Form of Power of Attorney</w:t>
      </w:r>
      <w:r>
        <w:rPr>
          <w:rFonts w:ascii="Times New Roman" w:hAnsi="Times New Roman"/>
          <w:color w:val="000000"/>
          <w:sz w:val="20"/>
        </w:rPr>
        <w:t xml:space="preserve"> </w:t>
      </w:r>
      <w:r>
        <w:rPr>
          <w:rFonts w:ascii="Times New Roman" w:hAnsi="Times New Roman"/>
          <w:color w:val="000000"/>
          <w:sz w:val="24"/>
        </w:rPr>
        <w:t>E-1</w:t>
      </w:r>
    </w:p>
    <w:p>
      <w:pPr>
        <w:pStyle w:val="TextBody"/>
        <w:bidi w:val="0"/>
        <w:jc w:val="left"/>
        <w:rPr>
          <w:rFonts w:ascii="Times New Roman" w:hAnsi="Times New Roman"/>
          <w:sz w:val="20"/>
        </w:rPr>
      </w:pPr>
      <w:r>
        <w:rPr>
          <w:rFonts w:ascii="Times New Roman" w:hAnsi="Times New Roman"/>
          <w:color w:val="000000"/>
          <w:sz w:val="24"/>
        </w:rPr>
        <w:t>Exhibit F – [***]</w:t>
      </w:r>
      <w:r>
        <w:rPr>
          <w:rFonts w:ascii="Times New Roman" w:hAnsi="Times New Roman"/>
          <w:color w:val="000000"/>
          <w:sz w:val="20"/>
        </w:rPr>
        <w:t xml:space="preserve"> </w:t>
      </w:r>
      <w:r>
        <w:rPr>
          <w:rFonts w:ascii="Times New Roman" w:hAnsi="Times New Roman"/>
          <w:color w:val="000000"/>
          <w:sz w:val="24"/>
        </w:rPr>
        <w:t>F-1</w:t>
      </w:r>
    </w:p>
    <w:p>
      <w:pPr>
        <w:pStyle w:val="TextBody"/>
        <w:bidi w:val="0"/>
        <w:jc w:val="left"/>
        <w:rPr>
          <w:rFonts w:ascii="Times New Roman" w:hAnsi="Times New Roman"/>
          <w:color w:val="000000"/>
          <w:sz w:val="24"/>
        </w:rPr>
      </w:pPr>
      <w:r>
        <w:rPr>
          <w:rFonts w:ascii="Times New Roman" w:hAnsi="Times New Roman"/>
          <w:color w:val="000000"/>
          <w:sz w:val="24"/>
        </w:rPr>
        <w:t>Exhibit G – Form of Release of Documents G-1</w:t>
      </w:r>
    </w:p>
    <w:p>
      <w:pPr>
        <w:pStyle w:val="TextBody"/>
        <w:bidi w:val="0"/>
        <w:jc w:val="left"/>
        <w:rPr>
          <w:rFonts w:ascii="Times New Roman" w:hAnsi="Times New Roman"/>
          <w:color w:val="000000"/>
          <w:sz w:val="24"/>
        </w:rPr>
      </w:pPr>
      <w:r>
        <w:rPr>
          <w:rFonts w:ascii="Times New Roman" w:hAnsi="Times New Roman"/>
          <w:color w:val="000000"/>
          <w:sz w:val="24"/>
        </w:rPr>
        <w:t>Exhibit H – Form of Receivable Receipt H-1</w:t>
      </w:r>
    </w:p>
    <w:p>
      <w:pPr>
        <w:pStyle w:val="TextBody"/>
        <w:bidi w:val="0"/>
        <w:jc w:val="left"/>
        <w:rPr>
          <w:rFonts w:ascii="Times New Roman" w:hAnsi="Times New Roman"/>
          <w:color w:val="000000"/>
          <w:sz w:val="24"/>
        </w:rPr>
      </w:pPr>
      <w:r>
        <w:rPr>
          <w:rFonts w:ascii="Times New Roman" w:hAnsi="Times New Roman"/>
          <w:color w:val="000000"/>
          <w:sz w:val="24"/>
        </w:rPr>
        <w:t>Exhibit I – Authorized Representatives H-1</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WAREHOUSE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Warehouse Agreement, dated as of November 19, 2013 (as amended, restated, supplemented or otherwise modified from time to time,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among UACC Auto Financing Trust IV, a Delaware statutory trust, as borrower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United Auto Credit Corporation, a California corporation (“</w:t>
      </w:r>
      <w:r>
        <w:rPr>
          <w:rFonts w:ascii="Times New Roman" w:hAnsi="Times New Roman"/>
          <w:color w:val="000000"/>
          <w:sz w:val="24"/>
          <w:u w:val="single"/>
        </w:rPr>
        <w:t>UACC</w:t>
      </w:r>
      <w:r>
        <w:rPr>
          <w:rFonts w:ascii="Times New Roman" w:hAnsi="Times New Roman"/>
          <w:color w:val="000000"/>
          <w:sz w:val="20"/>
        </w:rPr>
        <w:t>”</w:t>
      </w:r>
      <w:r>
        <w:rPr>
          <w:rFonts w:ascii="Times New Roman" w:hAnsi="Times New Roman"/>
          <w:color w:val="000000"/>
          <w:sz w:val="24"/>
        </w:rPr>
        <w:t>), as servicer (in such capacity, the “</w:t>
      </w:r>
      <w:r>
        <w:rPr>
          <w:rFonts w:ascii="Times New Roman" w:hAnsi="Times New Roman"/>
          <w:color w:val="000000"/>
          <w:sz w:val="24"/>
          <w:u w:val="single"/>
        </w:rPr>
        <w:t>Servicer</w:t>
      </w:r>
      <w:r>
        <w:rPr>
          <w:rFonts w:ascii="Times New Roman" w:hAnsi="Times New Roman"/>
          <w:color w:val="000000"/>
          <w:sz w:val="20"/>
        </w:rPr>
        <w:t>”</w:t>
      </w:r>
      <w:r>
        <w:rPr>
          <w:rFonts w:ascii="Times New Roman" w:hAnsi="Times New Roman"/>
          <w:color w:val="000000"/>
          <w:sz w:val="24"/>
        </w:rPr>
        <w:t>) and as custodian (in such capacity, the “</w:t>
      </w:r>
      <w:r>
        <w:rPr>
          <w:rFonts w:ascii="Times New Roman" w:hAnsi="Times New Roman"/>
          <w:color w:val="000000"/>
          <w:sz w:val="24"/>
          <w:u w:val="single"/>
        </w:rPr>
        <w:t>Custodian</w:t>
      </w:r>
      <w:r>
        <w:rPr>
          <w:rFonts w:ascii="Times New Roman" w:hAnsi="Times New Roman"/>
          <w:color w:val="000000"/>
          <w:sz w:val="20"/>
        </w:rPr>
        <w:t>”</w:t>
      </w:r>
      <w:r>
        <w:rPr>
          <w:rFonts w:ascii="Times New Roman" w:hAnsi="Times New Roman"/>
          <w:color w:val="000000"/>
          <w:sz w:val="24"/>
        </w:rPr>
        <w:t>), [***], as backup servicer (in such capacity, the “</w:t>
      </w:r>
      <w:r>
        <w:rPr>
          <w:rFonts w:ascii="Times New Roman" w:hAnsi="Times New Roman"/>
          <w:color w:val="000000"/>
          <w:sz w:val="24"/>
          <w:u w:val="single"/>
        </w:rPr>
        <w:t>Backup Servicer</w:t>
      </w:r>
      <w:r>
        <w:rPr>
          <w:rFonts w:ascii="Times New Roman" w:hAnsi="Times New Roman"/>
          <w:color w:val="000000"/>
          <w:sz w:val="20"/>
        </w:rPr>
        <w:t>”</w:t>
      </w:r>
      <w:r>
        <w:rPr>
          <w:rFonts w:ascii="Times New Roman" w:hAnsi="Times New Roman"/>
          <w:color w:val="000000"/>
          <w:sz w:val="24"/>
        </w:rPr>
        <w:t>) and account bank (in such capacity, the “</w:t>
      </w:r>
      <w:r>
        <w:rPr>
          <w:rFonts w:ascii="Times New Roman" w:hAnsi="Times New Roman"/>
          <w:color w:val="000000"/>
          <w:sz w:val="24"/>
          <w:u w:val="single"/>
        </w:rPr>
        <w:t>Account Bank</w:t>
      </w:r>
      <w:r>
        <w:rPr>
          <w:rFonts w:ascii="Times New Roman" w:hAnsi="Times New Roman"/>
          <w:color w:val="000000"/>
          <w:sz w:val="20"/>
        </w:rPr>
        <w:t>”</w:t>
      </w:r>
      <w:r>
        <w:rPr>
          <w:rFonts w:ascii="Times New Roman" w:hAnsi="Times New Roman"/>
          <w:color w:val="000000"/>
          <w:sz w:val="24"/>
        </w:rPr>
        <w:t>), the Lenders from time to time parties hereto (the “</w:t>
      </w:r>
      <w:r>
        <w:rPr>
          <w:rFonts w:ascii="Times New Roman" w:hAnsi="Times New Roman"/>
          <w:color w:val="000000"/>
          <w:sz w:val="24"/>
          <w:u w:val="single"/>
        </w:rPr>
        <w:t>Lenders</w:t>
      </w:r>
      <w:r>
        <w:rPr>
          <w:rFonts w:ascii="Times New Roman" w:hAnsi="Times New Roman"/>
          <w:color w:val="000000"/>
          <w:sz w:val="20"/>
        </w:rPr>
        <w:t>”</w:t>
      </w:r>
      <w:r>
        <w:rPr>
          <w:rFonts w:ascii="Times New Roman" w:hAnsi="Times New Roman"/>
          <w:color w:val="000000"/>
          <w:sz w:val="24"/>
        </w:rPr>
        <w:t>), the Agents for the Lender Groups (as defined herein) from time to time parties hereto (the “</w:t>
      </w:r>
      <w:r>
        <w:rPr>
          <w:rFonts w:ascii="Times New Roman" w:hAnsi="Times New Roman"/>
          <w:color w:val="000000"/>
          <w:sz w:val="24"/>
          <w:u w:val="single"/>
        </w:rPr>
        <w:t>Agents</w:t>
      </w:r>
      <w:r>
        <w:rPr>
          <w:rFonts w:ascii="Times New Roman" w:hAnsi="Times New Roman"/>
          <w:color w:val="000000"/>
          <w:sz w:val="20"/>
        </w:rPr>
        <w:t>”</w:t>
      </w:r>
      <w:r>
        <w:rPr>
          <w:rFonts w:ascii="Times New Roman" w:hAnsi="Times New Roman"/>
          <w:color w:val="000000"/>
          <w:sz w:val="24"/>
        </w:rPr>
        <w:t>), and [***], a national banking association, as administrative agent for the Lenders and the Agents and as agent for the Secured Parties (as defined herein)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 I T N E S S E T 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was formed for the purpose of taking assignments of, and holding, various assets, including motor vehicle finance contracts, amounts received on or in respect of such finance contracts and proceeds of the foregoing;</w:t>
      </w:r>
    </w:p>
    <w:p>
      <w:pPr>
        <w:pStyle w:val="TextBody"/>
        <w:bidi w:val="0"/>
        <w:spacing w:before="0" w:after="240"/>
        <w:jc w:val="both"/>
        <w:rPr>
          <w:rFonts w:ascii="Times New Roman" w:hAnsi="Times New Roman"/>
          <w:sz w:val="20"/>
        </w:rPr>
      </w:pPr>
      <w:r>
        <w:rPr>
          <w:rFonts w:ascii="Times New Roman" w:hAnsi="Times New Roman"/>
          <w:color w:val="000000"/>
          <w:sz w:val="24"/>
        </w:rPr>
        <w:t>WHEREAS, the Borrower has requested that the Lenders make loans to the Borrower from time to time, the proceeds of which will be used to finance the purchase price of motor vehicle retail installment contracts as described herein;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Lenders agree to make such loans to the Borrower and [***] agrees to act as Backup Servicer and Account Bank, in each case upon the terms and subject to the conditions set forth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premises and for other good and valuable consideration, the receipt and sufficiency of which are hereby acknowledged, the parties hereto agree as follows:</w:t>
      </w:r>
    </w:p>
    <w:p>
      <w:pPr>
        <w:pStyle w:val="TextBody"/>
        <w:bidi w:val="0"/>
        <w:spacing w:before="0" w:after="240"/>
        <w:jc w:val="center"/>
        <w:rPr>
          <w:rFonts w:ascii="Times New Roman" w:hAnsi="Times New Roman"/>
          <w:caps/>
          <w:color w:val="2F5496"/>
          <w:sz w:val="24"/>
        </w:rPr>
      </w:pPr>
      <w:r>
        <w:rPr>
          <w:rFonts w:ascii="Times New Roman" w:hAnsi="Times New Roman"/>
          <w:caps/>
          <w:color w:val="2F5496"/>
          <w:sz w:val="24"/>
        </w:rPr>
        <w:t>ARTICLE 1</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DEFINITIONS; CONSTRUCTION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1.01. </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 Whenever used herein, unless the context otherwise requires, the following words and phrases shall have the following meanings:</w:t>
      </w:r>
    </w:p>
    <w:p>
      <w:pPr>
        <w:pStyle w:val="TextBody"/>
        <w:bidi w:val="0"/>
        <w:spacing w:before="0" w:after="240"/>
        <w:jc w:val="both"/>
        <w:rPr/>
      </w:pPr>
      <w:r>
        <w:rPr>
          <w:color w:val="000000"/>
        </w:rPr>
        <w:t>“</w:t>
      </w:r>
      <w:r>
        <w:rPr>
          <w:rFonts w:ascii="Times New Roman" w:hAnsi="Times New Roman"/>
          <w:color w:val="000000"/>
          <w:sz w:val="24"/>
          <w:u w:val="single"/>
        </w:rPr>
        <w:t>2025 Q3 Receivable</w:t>
      </w:r>
      <w:r>
        <w:rPr>
          <w:rFonts w:ascii="Times New Roman" w:hAnsi="Times New Roman"/>
          <w:color w:val="000000"/>
          <w:sz w:val="20"/>
        </w:rPr>
        <w:t xml:space="preserve">” </w:t>
      </w:r>
      <w:r>
        <w:rPr>
          <w:rFonts w:ascii="Times New Roman" w:hAnsi="Times New Roman"/>
          <w:color w:val="000000"/>
          <w:sz w:val="24"/>
        </w:rPr>
        <w:t xml:space="preserve">means any Receivable which was originated during or prior to the third quarter in the year 2025, </w:t>
      </w:r>
      <w:r>
        <w:rPr>
          <w:rFonts w:ascii="Times New Roman" w:hAnsi="Times New Roman"/>
          <w:i/>
          <w:color w:val="000000"/>
          <w:sz w:val="24"/>
        </w:rPr>
        <w:t>provided, however</w:t>
      </w:r>
      <w:r>
        <w:rPr>
          <w:rFonts w:ascii="Times New Roman" w:hAnsi="Times New Roman"/>
          <w:color w:val="000000"/>
          <w:sz w:val="24"/>
        </w:rPr>
        <w:t>, that any such Receivable which was included in the Schedule of Receivables in connection with a Funding Request delivered prior to the date of the Twenty-Ninth Amendment Effective Date shall not be a 2025 Q3 Receivable.</w:t>
      </w:r>
    </w:p>
    <w:p>
      <w:pPr>
        <w:pStyle w:val="TextBody"/>
        <w:bidi w:val="0"/>
        <w:spacing w:before="0" w:after="240"/>
        <w:jc w:val="both"/>
        <w:rPr/>
      </w:pPr>
      <w:r>
        <w:rPr>
          <w:color w:val="000000"/>
        </w:rPr>
        <w:t>“</w:t>
      </w:r>
      <w:r>
        <w:rPr>
          <w:rFonts w:ascii="Times New Roman" w:hAnsi="Times New Roman"/>
          <w:color w:val="000000"/>
          <w:sz w:val="24"/>
          <w:u w:val="single"/>
        </w:rPr>
        <w:t>3 Month Rolling Average Net Loss-to-Liquidation Ratio</w:t>
      </w:r>
      <w:r>
        <w:rPr>
          <w:rFonts w:ascii="Times New Roman" w:hAnsi="Times New Roman"/>
          <w:color w:val="000000"/>
          <w:sz w:val="20"/>
        </w:rPr>
        <w:t xml:space="preserve">” </w:t>
      </w:r>
      <w:r>
        <w:rPr>
          <w:rFonts w:ascii="Times New Roman" w:hAnsi="Times New Roman"/>
          <w:color w:val="000000"/>
          <w:sz w:val="24"/>
        </w:rPr>
        <w:t>means, as of any date of determination, the greater of (i) the average Serviced Portfolio Net Loss-to Liquidation Ratio for the prior three Collection Periods, and (ii) the average Net Loss-to-Liquidation Ratio for the prior three Collection Periods.</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ABS Rate</w:t>
      </w:r>
      <w:r>
        <w:rPr>
          <w:rFonts w:ascii="Times New Roman" w:hAnsi="Times New Roman"/>
          <w:color w:val="000000"/>
          <w:sz w:val="20"/>
        </w:rPr>
        <w:t xml:space="preserve">” </w:t>
      </w:r>
      <w:r>
        <w:rPr>
          <w:rFonts w:ascii="Times New Roman" w:hAnsi="Times New Roman"/>
          <w:color w:val="000000"/>
          <w:sz w:val="24"/>
        </w:rPr>
        <w:t>shall mean, as of any date, the assumed rate of prepayment on the Receivables for each Collection Period based upon the “Absolute Prepayment Model”, applied in accordance with then-current market standards.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Account</w:t>
      </w:r>
      <w:r>
        <w:rPr>
          <w:rFonts w:ascii="Times New Roman" w:hAnsi="Times New Roman"/>
          <w:color w:val="000000"/>
          <w:sz w:val="20"/>
        </w:rPr>
        <w:t xml:space="preserve">” </w:t>
      </w:r>
      <w:r>
        <w:rPr>
          <w:rFonts w:ascii="Times New Roman" w:hAnsi="Times New Roman"/>
          <w:color w:val="000000"/>
          <w:sz w:val="24"/>
        </w:rPr>
        <w:t>means each of the Collection Account, the Hedge Reserve Account and the Local Bank Account.</w:t>
      </w:r>
    </w:p>
    <w:p>
      <w:pPr>
        <w:pStyle w:val="TextBody"/>
        <w:bidi w:val="0"/>
        <w:spacing w:before="0" w:after="240"/>
        <w:jc w:val="both"/>
        <w:rPr/>
      </w:pPr>
      <w:r>
        <w:rPr>
          <w:color w:val="000000"/>
        </w:rPr>
        <w:t>“</w:t>
      </w:r>
      <w:r>
        <w:rPr>
          <w:rFonts w:ascii="Times New Roman" w:hAnsi="Times New Roman"/>
          <w:color w:val="000000"/>
          <w:sz w:val="24"/>
          <w:u w:val="single"/>
        </w:rPr>
        <w:t>Account Bank</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Account Bank Fee</w:t>
      </w:r>
      <w:r>
        <w:rPr>
          <w:rFonts w:ascii="Times New Roman" w:hAnsi="Times New Roman"/>
          <w:color w:val="000000"/>
          <w:sz w:val="20"/>
        </w:rPr>
        <w:t xml:space="preserve">” </w:t>
      </w:r>
      <w:r>
        <w:rPr>
          <w:rFonts w:ascii="Times New Roman" w:hAnsi="Times New Roman"/>
          <w:color w:val="000000"/>
          <w:sz w:val="24"/>
        </w:rPr>
        <w:t>means $[***] per month.</w:t>
      </w:r>
    </w:p>
    <w:p>
      <w:pPr>
        <w:pStyle w:val="TextBody"/>
        <w:bidi w:val="0"/>
        <w:spacing w:before="0" w:after="240"/>
        <w:jc w:val="both"/>
        <w:rPr/>
      </w:pPr>
      <w:r>
        <w:rPr>
          <w:color w:val="000000"/>
        </w:rPr>
        <w:t>“</w:t>
      </w:r>
      <w:r>
        <w:rPr>
          <w:rFonts w:ascii="Times New Roman" w:hAnsi="Times New Roman"/>
          <w:color w:val="000000"/>
          <w:sz w:val="24"/>
          <w:u w:val="single"/>
        </w:rPr>
        <w:t>Account Collateral</w:t>
      </w:r>
      <w:r>
        <w:rPr>
          <w:rFonts w:ascii="Times New Roman" w:hAnsi="Times New Roman"/>
          <w:color w:val="000000"/>
          <w:sz w:val="20"/>
        </w:rPr>
        <w:t xml:space="preserve">” </w:t>
      </w:r>
      <w:r>
        <w:rPr>
          <w:rFonts w:ascii="Times New Roman" w:hAnsi="Times New Roman"/>
          <w:color w:val="000000"/>
          <w:sz w:val="24"/>
        </w:rPr>
        <w:t>means, with respect to each Account, such Account, together with all cash, securities, financial assets (as defined in Section 8-102(a)(9) of the UCC) and investments and other property from time to time deposited or credited to such Account and all proceeds thereof.</w:t>
      </w:r>
    </w:p>
    <w:p>
      <w:pPr>
        <w:pStyle w:val="TextBody"/>
        <w:bidi w:val="0"/>
        <w:spacing w:before="0" w:after="240"/>
        <w:jc w:val="both"/>
        <w:rPr/>
      </w:pPr>
      <w:r>
        <w:rPr>
          <w:color w:val="000000"/>
        </w:rPr>
        <w:t>“</w:t>
      </w:r>
      <w:r>
        <w:rPr>
          <w:rFonts w:ascii="Times New Roman" w:hAnsi="Times New Roman"/>
          <w:color w:val="000000"/>
          <w:sz w:val="24"/>
          <w:u w:val="single"/>
        </w:rPr>
        <w:t>Account Control Agreement</w:t>
      </w:r>
      <w:r>
        <w:rPr>
          <w:rFonts w:ascii="Times New Roman" w:hAnsi="Times New Roman"/>
          <w:color w:val="000000"/>
          <w:sz w:val="20"/>
        </w:rPr>
        <w:t xml:space="preserve">” </w:t>
      </w:r>
      <w:r>
        <w:rPr>
          <w:rFonts w:ascii="Times New Roman" w:hAnsi="Times New Roman"/>
          <w:color w:val="000000"/>
          <w:sz w:val="24"/>
        </w:rPr>
        <w:t>means the Controlled Accounts Control Agreement relating to the Collection Account and the Hedge Reserve Account, dated as of the Closing Date, among the Borrower, the Servicer, the Administrative Agent and the Account Bank.</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Additional Amount</w:t>
      </w:r>
      <w:r>
        <w:rPr>
          <w:rFonts w:ascii="Times New Roman" w:hAnsi="Times New Roman"/>
          <w:color w:val="000000"/>
          <w:sz w:val="20"/>
        </w:rPr>
        <w:t xml:space="preserve">” </w:t>
      </w:r>
      <w:r>
        <w:rPr>
          <w:rFonts w:ascii="Times New Roman" w:hAnsi="Times New Roman"/>
          <w:color w:val="000000"/>
          <w:sz w:val="24"/>
        </w:rPr>
        <w:t>has the meaning given to such term in Section 2.14(a).</w:t>
      </w:r>
    </w:p>
    <w:p>
      <w:pPr>
        <w:pStyle w:val="TextBody"/>
        <w:bidi w:val="0"/>
        <w:spacing w:before="0" w:after="240"/>
        <w:jc w:val="both"/>
        <w:rPr/>
      </w:pPr>
      <w:r>
        <w:rPr>
          <w:color w:val="000000"/>
        </w:rPr>
        <w:t>“</w:t>
      </w:r>
      <w:r>
        <w:rPr>
          <w:rFonts w:ascii="Times New Roman" w:hAnsi="Times New Roman"/>
          <w:color w:val="000000"/>
          <w:sz w:val="24"/>
          <w:u w:val="single"/>
        </w:rPr>
        <w:t>Adjusted Daily Simple SOFR</w:t>
      </w:r>
      <w:r>
        <w:rPr>
          <w:rFonts w:ascii="Times New Roman" w:hAnsi="Times New Roman"/>
          <w:color w:val="000000"/>
          <w:sz w:val="20"/>
        </w:rPr>
        <w:t xml:space="preserve">” </w:t>
      </w:r>
      <w:r>
        <w:rPr>
          <w:rFonts w:ascii="Times New Roman" w:hAnsi="Times New Roman"/>
          <w:color w:val="000000"/>
          <w:sz w:val="24"/>
        </w:rPr>
        <w:t xml:space="preserve">means an interest rate per annum equal to (a) the Daily Simple SOFR,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(b) [***]%;</w:t>
      </w:r>
      <w:r>
        <w:rPr>
          <w:rFonts w:ascii="Times New Roman" w:hAnsi="Times New Roman"/>
          <w:color w:val="000000"/>
          <w:sz w:val="20"/>
        </w:rPr>
        <w:t xml:space="preserve"> </w:t>
      </w:r>
      <w:r>
        <w:rPr>
          <w:rFonts w:ascii="Times New Roman" w:hAnsi="Times New Roman"/>
          <w:i/>
          <w:color w:val="000000"/>
          <w:sz w:val="24"/>
        </w:rPr>
        <w:t>provided that</w:t>
      </w:r>
      <w:r>
        <w:rPr>
          <w:rFonts w:ascii="Times New Roman" w:hAnsi="Times New Roman"/>
          <w:color w:val="000000"/>
          <w:sz w:val="20"/>
        </w:rPr>
        <w:t xml:space="preserve"> </w:t>
      </w:r>
      <w:r>
        <w:rPr>
          <w:rFonts w:ascii="Times New Roman" w:hAnsi="Times New Roman"/>
          <w:color w:val="000000"/>
          <w:sz w:val="24"/>
        </w:rPr>
        <w:t>if Adjusted Daily Simple SOFR as so determined would be less than 0%, such rate shall be deemed to be 0% for the purposes of this Agreement.</w:t>
      </w:r>
    </w:p>
    <w:p>
      <w:pPr>
        <w:pStyle w:val="TextBody"/>
        <w:bidi w:val="0"/>
        <w:spacing w:before="0" w:after="240"/>
        <w:jc w:val="both"/>
        <w:rPr/>
      </w:pPr>
      <w:r>
        <w:rPr>
          <w:color w:val="000000"/>
        </w:rPr>
        <w:t>“</w:t>
      </w:r>
      <w:r>
        <w:rPr>
          <w:rFonts w:ascii="Times New Roman" w:hAnsi="Times New Roman"/>
          <w:color w:val="000000"/>
          <w:sz w:val="24"/>
          <w:u w:val="single"/>
        </w:rPr>
        <w:t>Administrative Agent</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Advance Rate Reduction Percentage</w:t>
      </w:r>
      <w:r>
        <w:rPr>
          <w:rFonts w:ascii="Times New Roman" w:hAnsi="Times New Roman"/>
          <w:color w:val="000000"/>
          <w:sz w:val="20"/>
        </w:rPr>
        <w:t xml:space="preserve">” </w:t>
      </w:r>
      <w:r>
        <w:rPr>
          <w:rFonts w:ascii="Times New Roman" w:hAnsi="Times New Roman"/>
          <w:color w:val="000000"/>
          <w:sz w:val="24"/>
        </w:rPr>
        <w:t>means, on any date of determination (a) if a Level I Overcollateralization Increase Event has occurred and is continuing on such date, [***] plus (ii) if a SOFR Step-Up Event has occurred and is continuing on such date, [***]%.</w:t>
      </w:r>
    </w:p>
    <w:p>
      <w:pPr>
        <w:pStyle w:val="TextBody"/>
        <w:bidi w:val="0"/>
        <w:spacing w:before="0" w:after="240"/>
        <w:jc w:val="both"/>
        <w:rPr/>
      </w:pPr>
      <w:r>
        <w:rPr>
          <w:color w:val="000000"/>
        </w:rPr>
        <w:t>“</w:t>
      </w:r>
      <w:r>
        <w:rPr>
          <w:rFonts w:ascii="Times New Roman" w:hAnsi="Times New Roman"/>
          <w:color w:val="000000"/>
          <w:sz w:val="24"/>
          <w:u w:val="single"/>
        </w:rPr>
        <w:t>Advisors</w:t>
      </w:r>
      <w:r>
        <w:rPr>
          <w:rFonts w:ascii="Times New Roman" w:hAnsi="Times New Roman"/>
          <w:color w:val="000000"/>
          <w:sz w:val="20"/>
        </w:rPr>
        <w:t xml:space="preserve">” </w:t>
      </w:r>
      <w:r>
        <w:rPr>
          <w:rFonts w:ascii="Times New Roman" w:hAnsi="Times New Roman"/>
          <w:color w:val="000000"/>
          <w:sz w:val="24"/>
        </w:rPr>
        <w:t>means accountants, attorneys, consultants, advisors, credit enhancers, liquidity providers and Persons similar to the foregoing and the respective directors, officers, employees and managers of each of the foregoing.</w:t>
      </w:r>
    </w:p>
    <w:p>
      <w:pPr>
        <w:pStyle w:val="TextBody"/>
        <w:bidi w:val="0"/>
        <w:spacing w:before="0" w:after="240"/>
        <w:jc w:val="both"/>
        <w:rPr/>
      </w:pPr>
      <w:r>
        <w:rPr>
          <w:color w:val="000000"/>
        </w:rPr>
        <w:t>“</w:t>
      </w:r>
      <w:r>
        <w:rPr>
          <w:rFonts w:ascii="Times New Roman" w:hAnsi="Times New Roman"/>
          <w:color w:val="000000"/>
          <w:sz w:val="24"/>
          <w:u w:val="single"/>
        </w:rPr>
        <w:t>Affected Party</w:t>
      </w:r>
      <w:r>
        <w:rPr>
          <w:rFonts w:ascii="Times New Roman" w:hAnsi="Times New Roman"/>
          <w:color w:val="000000"/>
          <w:sz w:val="20"/>
        </w:rPr>
        <w:t xml:space="preserve">” </w:t>
      </w:r>
      <w:r>
        <w:rPr>
          <w:rFonts w:ascii="Times New Roman" w:hAnsi="Times New Roman"/>
          <w:color w:val="000000"/>
          <w:sz w:val="24"/>
        </w:rPr>
        <w:t>has the meaning given to such term in Section 2.13(a).</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with respect to a Person, any other Person controlling, controlled by or under common control with such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or “controlled” have meanings correlative to the foregoing.</w:t>
      </w:r>
    </w:p>
    <w:p>
      <w:pPr>
        <w:pStyle w:val="TextBody"/>
        <w:bidi w:val="0"/>
        <w:spacing w:before="0" w:after="240"/>
        <w:jc w:val="both"/>
        <w:rPr/>
      </w:pPr>
      <w:r>
        <w:rPr>
          <w:color w:val="000000"/>
        </w:rPr>
        <w:t>“</w:t>
      </w:r>
      <w:r>
        <w:rPr>
          <w:rFonts w:ascii="Times New Roman" w:hAnsi="Times New Roman"/>
          <w:color w:val="000000"/>
          <w:sz w:val="24"/>
          <w:u w:val="single"/>
        </w:rPr>
        <w:t>Agent</w:t>
      </w:r>
      <w:r>
        <w:rPr>
          <w:rFonts w:ascii="Times New Roman" w:hAnsi="Times New Roman"/>
          <w:color w:val="000000"/>
          <w:sz w:val="20"/>
        </w:rPr>
        <w:t xml:space="preserve">” </w:t>
      </w:r>
      <w:r>
        <w:rPr>
          <w:rFonts w:ascii="Times New Roman" w:hAnsi="Times New Roman"/>
          <w:color w:val="000000"/>
          <w:sz w:val="24"/>
        </w:rPr>
        <w:t>means the agent for a particular Lender Group and “</w:t>
      </w:r>
      <w:r>
        <w:rPr>
          <w:rFonts w:ascii="Times New Roman" w:hAnsi="Times New Roman"/>
          <w:color w:val="000000"/>
          <w:sz w:val="24"/>
          <w:u w:val="single"/>
        </w:rPr>
        <w:t>Agents</w:t>
      </w:r>
      <w:r>
        <w:rPr>
          <w:rFonts w:ascii="Times New Roman" w:hAnsi="Times New Roman"/>
          <w:color w:val="000000"/>
          <w:sz w:val="20"/>
        </w:rPr>
        <w:t xml:space="preserve">” </w:t>
      </w:r>
      <w:r>
        <w:rPr>
          <w:rFonts w:ascii="Times New Roman" w:hAnsi="Times New Roman"/>
          <w:color w:val="000000"/>
          <w:sz w:val="24"/>
        </w:rPr>
        <w:t>means all agents for all Lender Groups.</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Aggregate Commitment</w:t>
      </w:r>
      <w:r>
        <w:rPr>
          <w:rFonts w:ascii="Times New Roman" w:hAnsi="Times New Roman"/>
          <w:color w:val="000000"/>
          <w:sz w:val="20"/>
        </w:rPr>
        <w:t xml:space="preserve">” </w:t>
      </w:r>
      <w:r>
        <w:rPr>
          <w:rFonts w:ascii="Times New Roman" w:hAnsi="Times New Roman"/>
          <w:color w:val="000000"/>
          <w:sz w:val="24"/>
        </w:rPr>
        <w:t>means, as of any day, the sum of the Commitments of each Lender.</w:t>
      </w:r>
    </w:p>
    <w:p>
      <w:pPr>
        <w:pStyle w:val="TextBody"/>
        <w:bidi w:val="0"/>
        <w:spacing w:before="0" w:after="240"/>
        <w:jc w:val="both"/>
        <w:rPr/>
      </w:pPr>
      <w:r>
        <w:rPr>
          <w:color w:val="000000"/>
        </w:rPr>
        <w:t>“</w:t>
      </w:r>
      <w:r>
        <w:rPr>
          <w:rFonts w:ascii="Times New Roman" w:hAnsi="Times New Roman"/>
          <w:color w:val="000000"/>
          <w:sz w:val="24"/>
          <w:u w:val="single"/>
        </w:rPr>
        <w:t>Aggregate Net Principal Balance</w:t>
      </w:r>
      <w:r>
        <w:rPr>
          <w:rFonts w:ascii="Times New Roman" w:hAnsi="Times New Roman"/>
          <w:color w:val="000000"/>
          <w:sz w:val="20"/>
        </w:rPr>
        <w:t xml:space="preserve">” </w:t>
      </w:r>
      <w:r>
        <w:rPr>
          <w:rFonts w:ascii="Times New Roman" w:hAnsi="Times New Roman"/>
          <w:color w:val="000000"/>
          <w:sz w:val="24"/>
        </w:rPr>
        <w:t>means, as of any day, (i) the aggregate Net Principal Balance of all Eligible Receivables minus (ii) the Excess Concentration Amount.</w:t>
      </w:r>
    </w:p>
    <w:p>
      <w:pPr>
        <w:pStyle w:val="TextBody"/>
        <w:bidi w:val="0"/>
        <w:spacing w:before="0" w:after="240"/>
        <w:jc w:val="both"/>
        <w:rPr/>
      </w:pPr>
      <w:r>
        <w:rPr>
          <w:color w:val="000000"/>
        </w:rPr>
        <w:t>“</w:t>
      </w:r>
      <w:r>
        <w:rPr>
          <w:rFonts w:ascii="Times New Roman" w:hAnsi="Times New Roman"/>
          <w:color w:val="000000"/>
          <w:sz w:val="24"/>
          <w:u w:val="single"/>
        </w:rPr>
        <w:t>Aggregate Unpaids</w:t>
      </w:r>
      <w:r>
        <w:rPr>
          <w:rFonts w:ascii="Times New Roman" w:hAnsi="Times New Roman"/>
          <w:color w:val="000000"/>
          <w:sz w:val="20"/>
        </w:rPr>
        <w:t xml:space="preserve">” </w:t>
      </w:r>
      <w:r>
        <w:rPr>
          <w:rFonts w:ascii="Times New Roman" w:hAnsi="Times New Roman"/>
          <w:color w:val="000000"/>
          <w:sz w:val="24"/>
        </w:rPr>
        <w:t>means, as of any day, an amount equal to the sum of (i) the Loans Outstanding, (ii) all accrued but unpaid Interest and (iii) all Unused Fees and other Obligations owed (whether due or accrued) by the Borrower to the Secured Parties, the Backup Servicer, the Account Bank and the Custodian (if other than UACC) under this Agreement and the other Basic Documents.</w:t>
      </w:r>
    </w:p>
    <w:p>
      <w:pPr>
        <w:pStyle w:val="TextBody"/>
        <w:bidi w:val="0"/>
        <w:spacing w:before="0" w:after="240"/>
        <w:jc w:val="both"/>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bookmarkStart w:id="34" w:name="docxtextref10"/>
      <w:bookmarkEnd w:id="34"/>
      <w:r>
        <w:rPr>
          <w:color w:val="000000"/>
        </w:rPr>
        <w:t>“</w:t>
      </w:r>
      <w:r>
        <w:rPr>
          <w:rFonts w:ascii="Times New Roman" w:hAnsi="Times New Roman"/>
          <w:color w:val="000000"/>
          <w:sz w:val="24"/>
          <w:u w:val="single"/>
        </w:rPr>
        <w:t>Alternate Base Rate</w:t>
      </w:r>
      <w:r>
        <w:rPr>
          <w:rFonts w:ascii="Times New Roman" w:hAnsi="Times New Roman"/>
          <w:color w:val="000000"/>
          <w:sz w:val="20"/>
        </w:rPr>
        <w:t xml:space="preserve">” </w:t>
      </w:r>
      <w:r>
        <w:rPr>
          <w:rFonts w:ascii="Times New Roman" w:hAnsi="Times New Roman"/>
          <w:color w:val="000000"/>
          <w:sz w:val="24"/>
        </w:rPr>
        <w:t>means, for any day, a rate per annum equal to the greatest of (a)</w:t>
      </w:r>
      <w:r>
        <w:rPr>
          <w:rFonts w:ascii="Times New Roman" w:hAnsi="Times New Roman"/>
          <w:color w:val="000000"/>
          <w:sz w:val="20"/>
        </w:rPr>
        <w:t xml:space="preserve"> </w:t>
      </w:r>
      <w:r>
        <w:rPr>
          <w:rFonts w:ascii="Times New Roman" w:hAnsi="Times New Roman"/>
          <w:color w:val="000000"/>
          <w:sz w:val="24"/>
        </w:rPr>
        <w:t xml:space="preserve">the Prime Rate in effect on such day, </w:t>
      </w:r>
      <w:bookmarkStart w:id="35" w:name="docxtextref11"/>
      <w:bookmarkEnd w:id="35"/>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the Federal Funds Effective Rate in effect on such day plus [***] and </w:t>
      </w:r>
      <w:bookmarkStart w:id="36" w:name="docxtextref12"/>
      <w:bookmarkEnd w:id="36"/>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 xml:space="preserve">Adjusted Daily Simple SOFR plus [***] Any change in the Alternate Base Rate due to a change in the Prime Rate, the Federal Funds Effective Rate or Adjusted Daily Simple SOFR shall be effective from and including the effective date of such change in the Prime Rate, the Federal Funds Effective Rate or Adjusted Daily Simple SOFR, respectively. If the Alternate Base Rate is being used as an alternate rate of interest pursuant to Error: Reference source not found (for the avoidance of doubt, only until the Benchmark Replacement has been determined pursuant to Error: Reference source not found), then the Alternate Base Rate shall be the greater of clauses (a) and </w:t>
      </w:r>
      <w:bookmarkStart w:id="37" w:name="docxtextref13"/>
      <w:bookmarkEnd w:id="37"/>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above and shall be determined without reference to </w:t>
      </w:r>
      <w:bookmarkStart w:id="38" w:name="docxtextref16"/>
      <w:bookmarkEnd w:id="38"/>
      <w:r>
        <w:rPr>
          <w:rFonts w:ascii="Times New Roman" w:hAnsi="Times New Roman"/>
          <w:color w:val="000000"/>
          <w:sz w:val="24"/>
        </w:rPr>
        <w:t>clause (c)</w:t>
      </w:r>
      <w:r>
        <w:rPr>
          <w:rFonts w:ascii="Times New Roman" w:hAnsi="Times New Roman"/>
          <w:color w:val="000000"/>
          <w:sz w:val="20"/>
        </w:rPr>
        <w:t xml:space="preserve"> </w:t>
      </w:r>
      <w:r>
        <w:rPr>
          <w:rFonts w:ascii="Times New Roman" w:hAnsi="Times New Roman"/>
          <w:color w:val="000000"/>
          <w:sz w:val="24"/>
        </w:rPr>
        <w:t>above. For the avoidance of doubt, if the Alternate Base Rate as determined pursuant to the foregoing would be less than 0%, such rate shall be deemed to be 0% for purposes of this Agreement.</w:t>
      </w:r>
    </w:p>
    <w:p>
      <w:pPr>
        <w:pStyle w:val="TextBody"/>
        <w:bidi w:val="0"/>
        <w:spacing w:before="0" w:after="240"/>
        <w:jc w:val="both"/>
        <w:rPr/>
      </w:pPr>
      <w:r>
        <w:rPr>
          <w:color w:val="000000"/>
        </w:rPr>
        <w:t>“</w:t>
      </w:r>
      <w:r>
        <w:rPr>
          <w:rFonts w:ascii="Times New Roman" w:hAnsi="Times New Roman"/>
          <w:color w:val="000000"/>
          <w:sz w:val="24"/>
          <w:u w:val="single"/>
        </w:rPr>
        <w:t>Amortization Period</w:t>
      </w:r>
      <w:r>
        <w:rPr>
          <w:rFonts w:ascii="Times New Roman" w:hAnsi="Times New Roman"/>
          <w:color w:val="000000"/>
          <w:sz w:val="20"/>
        </w:rPr>
        <w:t xml:space="preserve">” </w:t>
      </w:r>
      <w:r>
        <w:rPr>
          <w:rFonts w:ascii="Times New Roman" w:hAnsi="Times New Roman"/>
          <w:color w:val="000000"/>
          <w:sz w:val="24"/>
        </w:rPr>
        <w:t>means the period commencing on the earlier to occur of (i) the Commitment Termination Date and (ii) the Termination Date, and ending on the date on which the Loans Outstanding have been reduced to zero and all other Aggregate Unpaids have been paid in full.</w:t>
      </w:r>
    </w:p>
    <w:p>
      <w:pPr>
        <w:pStyle w:val="TextBody"/>
        <w:bidi w:val="0"/>
        <w:spacing w:before="0" w:after="240"/>
        <w:jc w:val="both"/>
        <w:rPr/>
      </w:pPr>
      <w:r>
        <w:rPr>
          <w:color w:val="000000"/>
        </w:rPr>
        <w:t>“</w:t>
      </w:r>
      <w:r>
        <w:rPr>
          <w:rFonts w:ascii="Times New Roman" w:hAnsi="Times New Roman"/>
          <w:color w:val="000000"/>
          <w:sz w:val="24"/>
          <w:u w:val="single"/>
        </w:rPr>
        <w:t>Amount Financed</w:t>
      </w:r>
      <w:r>
        <w:rPr>
          <w:rFonts w:ascii="Times New Roman" w:hAnsi="Times New Roman"/>
          <w:color w:val="000000"/>
          <w:sz w:val="20"/>
        </w:rPr>
        <w:t xml:space="preserve">” </w:t>
      </w:r>
      <w:r>
        <w:rPr>
          <w:rFonts w:ascii="Times New Roman" w:hAnsi="Times New Roman"/>
          <w:color w:val="000000"/>
          <w:sz w:val="24"/>
        </w:rPr>
        <w:t>means, with respect to a Receivable, the aggregate amount advanced under such Receivable toward the purchase price of the related Financed Vehicle and any related costs, including amounts advanced in respect of accessories, insurance premiums, service and warranty contracts, other items customarily financed as part of a Contract and related costs.</w:t>
      </w:r>
    </w:p>
    <w:p>
      <w:pPr>
        <w:pStyle w:val="TextBody"/>
        <w:bidi w:val="0"/>
        <w:spacing w:before="0" w:after="240"/>
        <w:jc w:val="both"/>
        <w:rPr/>
      </w:pPr>
      <w:r>
        <w:rPr>
          <w:color w:val="000000"/>
        </w:rPr>
        <w:t>“</w:t>
      </w:r>
      <w:r>
        <w:rPr>
          <w:rFonts w:ascii="Times New Roman" w:hAnsi="Times New Roman"/>
          <w:color w:val="000000"/>
          <w:sz w:val="24"/>
          <w:u w:val="single"/>
        </w:rPr>
        <w:t>Annual Percentage Rate</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APR</w:t>
      </w:r>
      <w:r>
        <w:rPr>
          <w:rFonts w:ascii="Times New Roman" w:hAnsi="Times New Roman"/>
          <w:color w:val="000000"/>
          <w:sz w:val="20"/>
        </w:rPr>
        <w:t xml:space="preserve">” </w:t>
      </w:r>
      <w:r>
        <w:rPr>
          <w:rFonts w:ascii="Times New Roman" w:hAnsi="Times New Roman"/>
          <w:color w:val="000000"/>
          <w:sz w:val="24"/>
        </w:rPr>
        <w:t>means, with respect to a Receivable, the rate per annum of finance charges stated in such Receivable as the “annual percentage rate” (within the meaning of the Federal Truth-in-Lending Act). If, after the applicable Funding Date, the rate per annum with respect to a Receivable as of such Funding Date is reduced (i) as a result of an Insolvency Proceeding involving the related Obligor or (ii) pursuant to the Servicemembers Civil Relief Act or similar State law, “Annual Percentage Rate” or “APR” shall refer to such reduced rate.</w:t>
      </w:r>
    </w:p>
    <w:p>
      <w:pPr>
        <w:pStyle w:val="TextBody"/>
        <w:bidi w:val="0"/>
        <w:spacing w:before="0" w:after="240"/>
        <w:jc w:val="both"/>
        <w:rPr/>
      </w:pPr>
      <w:r>
        <w:rPr>
          <w:color w:val="000000"/>
        </w:rPr>
        <w:t>“</w:t>
      </w:r>
      <w:r>
        <w:rPr>
          <w:rFonts w:ascii="Times New Roman" w:hAnsi="Times New Roman"/>
          <w:color w:val="000000"/>
          <w:sz w:val="24"/>
          <w:u w:val="single"/>
        </w:rPr>
        <w:t>Applicable Law</w:t>
      </w:r>
      <w:r>
        <w:rPr>
          <w:rFonts w:ascii="Times New Roman" w:hAnsi="Times New Roman"/>
          <w:color w:val="000000"/>
          <w:sz w:val="20"/>
        </w:rPr>
        <w:t xml:space="preserve">” </w:t>
      </w:r>
      <w:r>
        <w:rPr>
          <w:rFonts w:ascii="Times New Roman" w:hAnsi="Times New Roman"/>
          <w:color w:val="000000"/>
          <w:sz w:val="24"/>
        </w:rPr>
        <w:t>means, with respect to any Person, all existing and future applicable laws, rules, regulations (including proposed, temporary and final income tax regulations), statutes, treaties, codes, ordinances, permits, certificates, orders and licenses of and interpretations by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Governmental Authority (including usury laws, the Federal Truth in Lending Act, Regulation Z and Regulation B of the Consumer Financial Protection Bureau, the Securities Act and the Exchange Act), and applicable judgments, decrees, injunctions, writs, orders or line actions of any court, arbitrator or other administrative, judicial or quasi-judicial tribunal or agency of competent jurisdiction.</w:t>
      </w:r>
    </w:p>
    <w:p>
      <w:pPr>
        <w:pStyle w:val="TextBody"/>
        <w:bidi w:val="0"/>
        <w:spacing w:before="0" w:after="240"/>
        <w:jc w:val="both"/>
        <w:rPr/>
      </w:pPr>
      <w:r>
        <w:rPr>
          <w:color w:val="000000"/>
        </w:rPr>
        <w:t>“</w:t>
      </w:r>
      <w:r>
        <w:rPr>
          <w:rFonts w:ascii="Times New Roman" w:hAnsi="Times New Roman"/>
          <w:color w:val="000000"/>
          <w:sz w:val="24"/>
          <w:u w:val="single"/>
        </w:rPr>
        <w:t>Assignment and Acceptance</w:t>
      </w:r>
      <w:r>
        <w:rPr>
          <w:rFonts w:ascii="Times New Roman" w:hAnsi="Times New Roman"/>
          <w:color w:val="000000"/>
          <w:sz w:val="20"/>
        </w:rPr>
        <w:t xml:space="preserve">” </w:t>
      </w:r>
      <w:r>
        <w:rPr>
          <w:rFonts w:ascii="Times New Roman" w:hAnsi="Times New Roman"/>
          <w:color w:val="000000"/>
          <w:sz w:val="24"/>
        </w:rPr>
        <w:t>means an assignment and acceptance agreement between a Lender and an Eligible Assignee, in substantially the form of Exhibit C hereto.</w:t>
      </w:r>
    </w:p>
    <w:p>
      <w:pPr>
        <w:pStyle w:val="TextBody"/>
        <w:bidi w:val="0"/>
        <w:spacing w:before="0" w:after="240"/>
        <w:jc w:val="both"/>
        <w:rPr/>
      </w:pPr>
      <w:r>
        <w:rPr>
          <w:color w:val="000000"/>
        </w:rPr>
        <w:t>“</w:t>
      </w:r>
      <w:r>
        <w:rPr>
          <w:rFonts w:ascii="Times New Roman" w:hAnsi="Times New Roman"/>
          <w:color w:val="000000"/>
          <w:sz w:val="24"/>
          <w:u w:val="single"/>
        </w:rPr>
        <w:t>Authorized Officer</w:t>
      </w:r>
      <w:r>
        <w:rPr>
          <w:rFonts w:ascii="Times New Roman" w:hAnsi="Times New Roman"/>
          <w:color w:val="000000"/>
          <w:sz w:val="20"/>
        </w:rPr>
        <w:t xml:space="preserve">” </w:t>
      </w:r>
      <w:r>
        <w:rPr>
          <w:rFonts w:ascii="Times New Roman" w:hAnsi="Times New Roman"/>
          <w:color w:val="000000"/>
          <w:sz w:val="24"/>
        </w:rPr>
        <w:t>means, with respect to any Person other than a natural person, any officer of such Person, including any president, vice president, executive vice president, assistant vice president, treasurer, assistant treasurer, secretary or assistant secretary or any other officer performing functions similar to those performed by such officers.</w:t>
      </w:r>
    </w:p>
    <w:p>
      <w:pPr>
        <w:pStyle w:val="TextBody"/>
        <w:bidi w:val="0"/>
        <w:spacing w:before="0" w:after="240"/>
        <w:jc w:val="both"/>
        <w:rPr/>
      </w:pPr>
      <w:r>
        <w:rPr>
          <w:color w:val="000000"/>
        </w:rPr>
        <w:t>“</w:t>
      </w:r>
      <w:r>
        <w:rPr>
          <w:rFonts w:ascii="Times New Roman" w:hAnsi="Times New Roman"/>
          <w:color w:val="000000"/>
          <w:sz w:val="24"/>
          <w:u w:val="single"/>
        </w:rPr>
        <w:t>Authorized Representative</w:t>
      </w:r>
      <w:r>
        <w:rPr>
          <w:rFonts w:ascii="Times New Roman" w:hAnsi="Times New Roman"/>
          <w:color w:val="000000"/>
          <w:sz w:val="20"/>
        </w:rPr>
        <w:t xml:space="preserve">” </w:t>
      </w:r>
      <w:r>
        <w:rPr>
          <w:rFonts w:ascii="Times New Roman" w:hAnsi="Times New Roman"/>
          <w:color w:val="000000"/>
          <w:sz w:val="24"/>
        </w:rPr>
        <w:t>means, with respect to the Borrower, (i) any president or any executive vice president of UACC and (ii) any officer, employee or director of UACC listed as an Authorized Representative in Exhibit I hereto (which shall remain in effect until UACC or the Borrower notifies the Administrative Agent of any change by delivery of an updated form), in each case, as attorney-in-fact for the Borrower.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Available Amount</w:t>
      </w:r>
      <w:r>
        <w:rPr>
          <w:rFonts w:ascii="Times New Roman" w:hAnsi="Times New Roman"/>
          <w:color w:val="000000"/>
          <w:sz w:val="20"/>
        </w:rPr>
        <w:t xml:space="preserve">” </w:t>
      </w:r>
      <w:r>
        <w:rPr>
          <w:rFonts w:ascii="Times New Roman" w:hAnsi="Times New Roman"/>
          <w:color w:val="000000"/>
          <w:sz w:val="24"/>
        </w:rPr>
        <w:t>means, as of any day, the positive amount, if any, by which the Facility Amount exceeds the sum of (i) the Loans Outstanding on such day and (ii) the outstanding principal amount of all Indebtedness owed by any Special Purpose Affiliate to [***] or its Affiliates pursuant to any amortizing conduit warehouse facility provided by [***] or its Affiliates secured by receivables similar to the Receivables.</w:t>
      </w:r>
    </w:p>
    <w:p>
      <w:pPr>
        <w:pStyle w:val="TextBody"/>
        <w:bidi w:val="0"/>
        <w:spacing w:before="0" w:after="240"/>
        <w:jc w:val="both"/>
        <w:rPr/>
      </w:pPr>
      <w:r>
        <w:rPr>
          <w:color w:val="000000"/>
        </w:rPr>
        <w:t>“</w:t>
      </w:r>
      <w:r>
        <w:rPr>
          <w:rFonts w:ascii="Times New Roman" w:hAnsi="Times New Roman"/>
          <w:color w:val="000000"/>
          <w:sz w:val="24"/>
          <w:u w:val="single"/>
        </w:rPr>
        <w:t>Available Funds</w:t>
      </w:r>
      <w:r>
        <w:rPr>
          <w:rFonts w:ascii="Times New Roman" w:hAnsi="Times New Roman"/>
          <w:color w:val="000000"/>
          <w:sz w:val="20"/>
        </w:rPr>
        <w:t xml:space="preserve">” </w:t>
      </w:r>
      <w:r>
        <w:rPr>
          <w:rFonts w:ascii="Times New Roman" w:hAnsi="Times New Roman"/>
          <w:color w:val="000000"/>
          <w:sz w:val="24"/>
        </w:rPr>
        <w:t>means, for any Payment Date and the related Collection Period, the sum of (i) Collections on deposit in the Collection Account, to the extent received during or in respect of the related Collection Period, (ii) any Monthly Accrued Interest Payment Amount made by UACC pursuant to Section 6.04(o) and (iii) all interest and other investment earnings (net of losses and investment expenses) on funds on deposit in the Hedge Reserve Account received prior to such Payment Date.</w:t>
      </w:r>
    </w:p>
    <w:p>
      <w:pPr>
        <w:pStyle w:val="TextBody"/>
        <w:bidi w:val="0"/>
        <w:spacing w:before="0" w:after="240"/>
        <w:jc w:val="both"/>
        <w:rPr/>
      </w:pPr>
      <w:r>
        <w:rPr>
          <w:color w:val="000000"/>
        </w:rPr>
        <w:t>“</w:t>
      </w:r>
      <w:r>
        <w:rPr>
          <w:rFonts w:ascii="Times New Roman" w:hAnsi="Times New Roman"/>
          <w:color w:val="000000"/>
          <w:sz w:val="24"/>
          <w:u w:val="single"/>
        </w:rPr>
        <w:t>Available Funds Shortfall</w:t>
      </w:r>
      <w:r>
        <w:rPr>
          <w:rFonts w:ascii="Times New Roman" w:hAnsi="Times New Roman"/>
          <w:color w:val="000000"/>
          <w:sz w:val="20"/>
        </w:rPr>
        <w:t xml:space="preserve">” </w:t>
      </w:r>
      <w:r>
        <w:rPr>
          <w:rFonts w:ascii="Times New Roman" w:hAnsi="Times New Roman"/>
          <w:color w:val="000000"/>
          <w:sz w:val="24"/>
        </w:rPr>
        <w:t>means, for any Payment Date and the related Collection Period, the positive excess, if any, of (i) the amount necessary to make all distributions required to be made pursuant to clauses (i) through (v) of Section 2.08 over (ii) Available Funds.</w:t>
      </w:r>
    </w:p>
    <w:p>
      <w:pPr>
        <w:pStyle w:val="TextBody"/>
        <w:bidi w:val="0"/>
        <w:spacing w:before="0" w:after="240"/>
        <w:jc w:val="both"/>
        <w:rPr/>
      </w:pPr>
      <w:bookmarkStart w:id="39" w:name="docxtextref31"/>
      <w:bookmarkEnd w:id="39"/>
      <w:r>
        <w:rPr>
          <w:color w:val="000000"/>
        </w:rPr>
        <w:t>“</w:t>
      </w:r>
      <w:r>
        <w:rPr>
          <w:rFonts w:ascii="Times New Roman" w:hAnsi="Times New Roman"/>
          <w:color w:val="000000"/>
          <w:sz w:val="24"/>
          <w:u w:val="single"/>
        </w:rPr>
        <w:t>Available Tenor</w:t>
      </w:r>
      <w:r>
        <w:rPr>
          <w:rFonts w:ascii="Times New Roman" w:hAnsi="Times New Roman"/>
          <w:color w:val="000000"/>
          <w:sz w:val="20"/>
        </w:rPr>
        <w:t xml:space="preserve">” </w:t>
      </w:r>
      <w:r>
        <w:rPr>
          <w:rFonts w:ascii="Times New Roman" w:hAnsi="Times New Roman"/>
          <w:color w:val="000000"/>
          <w:sz w:val="24"/>
        </w:rPr>
        <w:t>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Error: Reference source not found.</w:t>
      </w:r>
    </w:p>
    <w:p>
      <w:pPr>
        <w:pStyle w:val="TextBody"/>
        <w:bidi w:val="0"/>
        <w:spacing w:before="0" w:after="240"/>
        <w:jc w:val="both"/>
        <w:rPr/>
      </w:pPr>
      <w:r>
        <w:rPr>
          <w:color w:val="000000"/>
        </w:rPr>
        <w:t>“</w:t>
      </w:r>
      <w:r>
        <w:rPr>
          <w:rFonts w:ascii="Times New Roman" w:hAnsi="Times New Roman"/>
          <w:color w:val="000000"/>
          <w:sz w:val="24"/>
          <w:u w:val="single"/>
        </w:rPr>
        <w:t>Back End Loan-to-Value Ratio</w:t>
      </w:r>
      <w:r>
        <w:rPr>
          <w:rFonts w:ascii="Times New Roman" w:hAnsi="Times New Roman"/>
          <w:color w:val="000000"/>
          <w:sz w:val="20"/>
        </w:rPr>
        <w:t xml:space="preserve">” </w:t>
      </w:r>
      <w:r>
        <w:rPr>
          <w:rFonts w:ascii="Times New Roman" w:hAnsi="Times New Roman"/>
          <w:color w:val="000000"/>
          <w:sz w:val="24"/>
        </w:rPr>
        <w:t>means, with respect to any Receivable, the percentage equivalent of a fraction, (i) the numerator of which is the original Principal Balance of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Receivable and (ii) the denominator of which is the wholesale trade-in book value of the related Financed Vehicle (as reflected in the N.A.D.A. or Kelley Blue Book appraisal guides and taking into account specific features and mileage of such Financed Vehicle) at the date of origination of such Receivable.</w:t>
      </w:r>
    </w:p>
    <w:p>
      <w:pPr>
        <w:pStyle w:val="TextBody"/>
        <w:bidi w:val="0"/>
        <w:spacing w:before="0" w:after="240"/>
        <w:jc w:val="both"/>
        <w:rPr/>
      </w:pPr>
      <w:r>
        <w:rPr>
          <w:color w:val="000000"/>
        </w:rPr>
        <w:t>“</w:t>
      </w:r>
      <w:r>
        <w:rPr>
          <w:rFonts w:ascii="Times New Roman" w:hAnsi="Times New Roman"/>
          <w:color w:val="000000"/>
          <w:sz w:val="24"/>
          <w:u w:val="single"/>
        </w:rPr>
        <w:t>Backup Servicer</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Backup Servicer Termination Notice</w:t>
      </w:r>
      <w:r>
        <w:rPr>
          <w:rFonts w:ascii="Times New Roman" w:hAnsi="Times New Roman"/>
          <w:color w:val="000000"/>
          <w:sz w:val="20"/>
        </w:rPr>
        <w:t xml:space="preserve">” </w:t>
      </w:r>
      <w:r>
        <w:rPr>
          <w:rFonts w:ascii="Times New Roman" w:hAnsi="Times New Roman"/>
          <w:color w:val="000000"/>
          <w:sz w:val="24"/>
        </w:rPr>
        <w:t>has the meaning given to such term in Section 8.04.</w:t>
      </w:r>
    </w:p>
    <w:p>
      <w:pPr>
        <w:pStyle w:val="TextBody"/>
        <w:bidi w:val="0"/>
        <w:spacing w:before="0" w:after="240"/>
        <w:jc w:val="both"/>
        <w:rPr/>
      </w:pPr>
      <w:r>
        <w:rPr>
          <w:color w:val="000000"/>
        </w:rPr>
        <w:t>“</w:t>
      </w:r>
      <w:r>
        <w:rPr>
          <w:rFonts w:ascii="Times New Roman" w:hAnsi="Times New Roman"/>
          <w:color w:val="000000"/>
          <w:sz w:val="24"/>
          <w:u w:val="single"/>
        </w:rPr>
        <w:t>Backup Servicing Fee</w:t>
      </w:r>
      <w:r>
        <w:rPr>
          <w:rFonts w:ascii="Times New Roman" w:hAnsi="Times New Roman"/>
          <w:color w:val="000000"/>
          <w:sz w:val="20"/>
        </w:rPr>
        <w:t xml:space="preserve">” </w:t>
      </w:r>
      <w:r>
        <w:rPr>
          <w:rFonts w:ascii="Times New Roman" w:hAnsi="Times New Roman"/>
          <w:color w:val="000000"/>
          <w:sz w:val="24"/>
        </w:rPr>
        <w:t>means the fee payable to the Backup Servicer on each Payment Date in accordance with Section 2.12(b) in an amount equal to [***] per month.</w:t>
      </w:r>
    </w:p>
    <w:p>
      <w:pPr>
        <w:pStyle w:val="TextBody"/>
        <w:bidi w:val="0"/>
        <w:spacing w:before="0" w:after="240"/>
        <w:jc w:val="both"/>
        <w:rPr/>
      </w:pPr>
      <w:r>
        <w:rPr>
          <w:color w:val="000000"/>
        </w:rPr>
        <w:t>“</w:t>
      </w:r>
      <w:r>
        <w:rPr>
          <w:rFonts w:ascii="Times New Roman" w:hAnsi="Times New Roman"/>
          <w:color w:val="000000"/>
          <w:sz w:val="24"/>
          <w:u w:val="single"/>
        </w:rPr>
        <w:t>Band 1 Receivable</w:t>
      </w:r>
      <w:r>
        <w:rPr>
          <w:rFonts w:ascii="Times New Roman" w:hAnsi="Times New Roman"/>
          <w:color w:val="000000"/>
          <w:sz w:val="20"/>
        </w:rPr>
        <w:t xml:space="preserve">” </w:t>
      </w:r>
      <w:r>
        <w:rPr>
          <w:rFonts w:ascii="Times New Roman" w:hAnsi="Times New Roman"/>
          <w:color w:val="000000"/>
          <w:sz w:val="24"/>
        </w:rPr>
        <w:t>means a Receivable or Serviced Portfolio Receivable with a [***] greater than or equal to [***].</w:t>
      </w:r>
    </w:p>
    <w:p>
      <w:pPr>
        <w:pStyle w:val="TextBody"/>
        <w:bidi w:val="0"/>
        <w:spacing w:before="0" w:after="240"/>
        <w:jc w:val="both"/>
        <w:rPr/>
      </w:pPr>
      <w:r>
        <w:rPr>
          <w:color w:val="000000"/>
        </w:rPr>
        <w:t>“</w:t>
      </w:r>
      <w:r>
        <w:rPr>
          <w:rFonts w:ascii="Times New Roman" w:hAnsi="Times New Roman"/>
          <w:color w:val="000000"/>
          <w:sz w:val="24"/>
          <w:u w:val="single"/>
        </w:rPr>
        <w:t>Band 2 Receivable</w:t>
      </w:r>
      <w:r>
        <w:rPr>
          <w:rFonts w:ascii="Times New Roman" w:hAnsi="Times New Roman"/>
          <w:color w:val="000000"/>
          <w:sz w:val="20"/>
        </w:rPr>
        <w:t xml:space="preserve">” </w:t>
      </w:r>
      <w:r>
        <w:rPr>
          <w:rFonts w:ascii="Times New Roman" w:hAnsi="Times New Roman"/>
          <w:color w:val="000000"/>
          <w:sz w:val="24"/>
        </w:rPr>
        <w:t>means a Receivable or Serviced Portfolio Receivable with a [***] greater than or equal to [***] but less than [***].</w:t>
      </w:r>
    </w:p>
    <w:p>
      <w:pPr>
        <w:pStyle w:val="TextBody"/>
        <w:bidi w:val="0"/>
        <w:spacing w:before="0" w:after="240"/>
        <w:jc w:val="both"/>
        <w:rPr/>
      </w:pPr>
      <w:r>
        <w:rPr>
          <w:color w:val="000000"/>
        </w:rPr>
        <w:t>“</w:t>
      </w:r>
      <w:r>
        <w:rPr>
          <w:rFonts w:ascii="Times New Roman" w:hAnsi="Times New Roman"/>
          <w:color w:val="000000"/>
          <w:sz w:val="24"/>
          <w:u w:val="single"/>
        </w:rPr>
        <w:t>Band 3 Receivable</w:t>
      </w:r>
      <w:r>
        <w:rPr>
          <w:rFonts w:ascii="Times New Roman" w:hAnsi="Times New Roman"/>
          <w:color w:val="000000"/>
          <w:sz w:val="20"/>
        </w:rPr>
        <w:t xml:space="preserve">” </w:t>
      </w:r>
      <w:r>
        <w:rPr>
          <w:rFonts w:ascii="Times New Roman" w:hAnsi="Times New Roman"/>
          <w:color w:val="000000"/>
          <w:sz w:val="24"/>
        </w:rPr>
        <w:t>means a Receivable or Serviced Portfolio Receivable with a [***] greater than or equal to [***] but less than [***].</w:t>
      </w:r>
    </w:p>
    <w:p>
      <w:pPr>
        <w:pStyle w:val="TextBody"/>
        <w:bidi w:val="0"/>
        <w:spacing w:before="0" w:after="240"/>
        <w:jc w:val="both"/>
        <w:rPr/>
      </w:pPr>
      <w:r>
        <w:rPr>
          <w:color w:val="000000"/>
        </w:rPr>
        <w:t>“</w:t>
      </w:r>
      <w:r>
        <w:rPr>
          <w:rFonts w:ascii="Times New Roman" w:hAnsi="Times New Roman"/>
          <w:color w:val="000000"/>
          <w:sz w:val="24"/>
          <w:u w:val="single"/>
        </w:rPr>
        <w:t>Band 4 Receivable</w:t>
      </w:r>
      <w:r>
        <w:rPr>
          <w:rFonts w:ascii="Times New Roman" w:hAnsi="Times New Roman"/>
          <w:color w:val="000000"/>
          <w:sz w:val="20"/>
        </w:rPr>
        <w:t xml:space="preserve">” </w:t>
      </w:r>
      <w:r>
        <w:rPr>
          <w:rFonts w:ascii="Times New Roman" w:hAnsi="Times New Roman"/>
          <w:color w:val="000000"/>
          <w:sz w:val="24"/>
        </w:rPr>
        <w:t>means a Receivable or Serviced Portfolio Receivable with a [***] less than [***].</w:t>
      </w:r>
    </w:p>
    <w:p>
      <w:pPr>
        <w:pStyle w:val="TextBody"/>
        <w:bidi w:val="0"/>
        <w:spacing w:before="0" w:after="240"/>
        <w:jc w:val="both"/>
        <w:rPr/>
      </w:pPr>
      <w:r>
        <w:rPr>
          <w:color w:val="000000"/>
        </w:rPr>
        <w:t>“</w:t>
      </w:r>
      <w:r>
        <w:rPr>
          <w:rFonts w:ascii="Times New Roman" w:hAnsi="Times New Roman"/>
          <w:color w:val="000000"/>
          <w:sz w:val="24"/>
          <w:u w:val="single"/>
        </w:rPr>
        <w:t>Bankruptcy Code</w:t>
      </w:r>
      <w:r>
        <w:rPr>
          <w:rFonts w:ascii="Times New Roman" w:hAnsi="Times New Roman"/>
          <w:color w:val="000000"/>
          <w:sz w:val="20"/>
        </w:rPr>
        <w:t xml:space="preserve">” </w:t>
      </w:r>
      <w:r>
        <w:rPr>
          <w:rFonts w:ascii="Times New Roman" w:hAnsi="Times New Roman"/>
          <w:color w:val="000000"/>
          <w:sz w:val="24"/>
        </w:rPr>
        <w:t>means the United States Bankruptcy Code (Title 11 of the United States Code).</w:t>
      </w:r>
    </w:p>
    <w:p>
      <w:pPr>
        <w:pStyle w:val="TextBody"/>
        <w:bidi w:val="0"/>
        <w:spacing w:before="0" w:after="240"/>
        <w:jc w:val="both"/>
        <w:rPr/>
      </w:pPr>
      <w:r>
        <w:rPr>
          <w:color w:val="000000"/>
        </w:rPr>
        <w:t>“</w:t>
      </w:r>
      <w:r>
        <w:rPr>
          <w:rFonts w:ascii="Times New Roman" w:hAnsi="Times New Roman"/>
          <w:color w:val="000000"/>
          <w:sz w:val="24"/>
          <w:u w:val="single"/>
        </w:rPr>
        <w:t>Basel II</w:t>
      </w:r>
      <w:r>
        <w:rPr>
          <w:rFonts w:ascii="Times New Roman" w:hAnsi="Times New Roman"/>
          <w:color w:val="000000"/>
          <w:sz w:val="20"/>
        </w:rPr>
        <w:t xml:space="preserve">” </w:t>
      </w:r>
      <w:r>
        <w:rPr>
          <w:rFonts w:ascii="Times New Roman" w:hAnsi="Times New Roman"/>
          <w:color w:val="000000"/>
          <w:sz w:val="24"/>
        </w:rPr>
        <w:t>means the second Basel Accord issued by the Basel Committee on Banking Supervision.</w:t>
      </w:r>
    </w:p>
    <w:p>
      <w:pPr>
        <w:pStyle w:val="TextBody"/>
        <w:bidi w:val="0"/>
        <w:spacing w:before="0" w:after="240"/>
        <w:jc w:val="both"/>
        <w:rPr/>
      </w:pPr>
      <w:r>
        <w:rPr>
          <w:color w:val="000000"/>
        </w:rPr>
        <w:t>“</w:t>
      </w:r>
      <w:r>
        <w:rPr>
          <w:rFonts w:ascii="Times New Roman" w:hAnsi="Times New Roman"/>
          <w:color w:val="000000"/>
          <w:sz w:val="24"/>
          <w:u w:val="single"/>
        </w:rPr>
        <w:t>Basel III</w:t>
      </w:r>
      <w:r>
        <w:rPr>
          <w:rFonts w:ascii="Times New Roman" w:hAnsi="Times New Roman"/>
          <w:color w:val="000000"/>
          <w:sz w:val="20"/>
        </w:rPr>
        <w:t xml:space="preserve">” </w:t>
      </w:r>
      <w:r>
        <w:rPr>
          <w:rFonts w:ascii="Times New Roman" w:hAnsi="Times New Roman"/>
          <w:color w:val="000000"/>
          <w:sz w:val="24"/>
        </w:rPr>
        <w:t>means the third Basel Accord issued by the Basel Committee on Banking Supervision.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Basic Documents</w:t>
      </w:r>
      <w:r>
        <w:rPr>
          <w:rFonts w:ascii="Times New Roman" w:hAnsi="Times New Roman"/>
          <w:color w:val="000000"/>
          <w:sz w:val="20"/>
        </w:rPr>
        <w:t xml:space="preserve">” </w:t>
      </w:r>
      <w:r>
        <w:rPr>
          <w:rFonts w:ascii="Times New Roman" w:hAnsi="Times New Roman"/>
          <w:color w:val="000000"/>
          <w:sz w:val="24"/>
        </w:rPr>
        <w:t>means this Agreement, each Note, the Purchase Agreement, each Transfer Agreement, the Fee Letter, the Intercreditor Agreement, the Intercreditor Party Supplement, the Trust Agreement, the Account Control Agreement, the ICA Account Control Agreement, all Hedging Agreements, the Performance Guaranty and any other document, certificate, opinion, agreement or writing the execution of which is necessary or incidental to carrying out the transactions contemplated by this Agreement or any of the other foregoing documents.</w:t>
      </w:r>
    </w:p>
    <w:p>
      <w:pPr>
        <w:pStyle w:val="TextBody"/>
        <w:bidi w:val="0"/>
        <w:spacing w:before="0" w:after="240"/>
        <w:jc w:val="both"/>
        <w:rPr/>
      </w:pPr>
      <w:bookmarkStart w:id="40" w:name="docxtextref38"/>
      <w:bookmarkEnd w:id="40"/>
      <w:r>
        <w:rPr>
          <w:color w:val="000000"/>
        </w:rPr>
        <w:t>“</w:t>
      </w:r>
      <w:r>
        <w:rPr>
          <w:rFonts w:ascii="Times New Roman" w:hAnsi="Times New Roman"/>
          <w:color w:val="000000"/>
          <w:sz w:val="24"/>
          <w:u w:val="single"/>
        </w:rPr>
        <w:t>Benchmark</w:t>
      </w:r>
      <w:r>
        <w:rPr>
          <w:rFonts w:ascii="Times New Roman" w:hAnsi="Times New Roman"/>
          <w:color w:val="000000"/>
          <w:sz w:val="20"/>
        </w:rPr>
        <w:t xml:space="preserve">” </w:t>
      </w:r>
      <w:r>
        <w:rPr>
          <w:rFonts w:ascii="Times New Roman" w:hAnsi="Times New Roman"/>
          <w:color w:val="000000"/>
          <w:sz w:val="24"/>
        </w:rPr>
        <w:t xml:space="preserve">means, initially, with respect to any Loan, Daily Simple SOFR;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a Benchmark Transition Event, and the related Benchmark Replacement Date have occurred with respect to Daily Simple SOFR or the then-current Benchmark, then “Benchmark” means the applicable Benchmark Replacement to the extent that such Benchmark Replacement has replaced such prior benchmark rate pursuant to clause (b) of Error: Reference source not found.</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Benchmark Replacement</w:t>
      </w:r>
      <w:r>
        <w:rPr>
          <w:rFonts w:ascii="Times New Roman" w:hAnsi="Times New Roman"/>
          <w:color w:val="000000"/>
          <w:sz w:val="20"/>
        </w:rPr>
        <w:t xml:space="preserve">” </w:t>
      </w:r>
      <w:r>
        <w:rPr>
          <w:rFonts w:ascii="Times New Roman" w:hAnsi="Times New Roman"/>
          <w:color w:val="000000"/>
          <w:sz w:val="24"/>
        </w:rPr>
        <w:t>means, for any Loan, the sum of (a) the alternate benchmark rate that has been selected by the Administrative Agent and the Borrower as the replacement for the then-current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 If the Benchmark Replacement as determined pursuant to the above would be less than the Floor, the Benchmark Replacement will be deemed to be the Floor for the purposes of this Agreement and the other Basic Documents. The Owner Trustee shall be under no obligation (i) to monitor, determine or verify the unavailability or cessation of the applicable Benchmark, or whether or when there has occurred, or to give notice to any other transaction party of the occurrence of, any Benchmark Transition Event or Benchmark Replacement Date, (ii) to select, determine or designate any Benchmark Replacement, or other successor or replacement benchmark index, or whether any conditions to the designation of such a rate have been satisfied, or (iii) to select, determine or designate any Benchmark Replacement Adjustment, or other modifier to any replacement or successor index, or (iv) to determine whether or what Benchmark Replacement Conforming Changes are necessary or advisable, if any, in connection with any of the foregoing, even if the Administrative Agent, the Borrower or other responsible party does not take these actions.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Benchmark Replacement Adjustment</w:t>
      </w:r>
      <w:r>
        <w:rPr>
          <w:rFonts w:ascii="Times New Roman" w:hAnsi="Times New Roman"/>
          <w:color w:val="000000"/>
          <w:sz w:val="20"/>
        </w:rPr>
        <w:t xml:space="preserve">” </w:t>
      </w:r>
      <w:r>
        <w:rPr>
          <w:rFonts w:ascii="Times New Roman" w:hAnsi="Times New Roman"/>
          <w:color w:val="000000"/>
          <w:sz w:val="24"/>
        </w:rPr>
        <w:t>means, with respect to any replacement of the then-current Benchmark with an Unadjusted Benchmark Replacement for any setting of such Unadjusted Benchmark Replacement,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240"/>
        <w:jc w:val="both"/>
        <w:rPr/>
      </w:pPr>
      <w:r>
        <w:rPr>
          <w:color w:val="000000"/>
        </w:rPr>
        <w:t>“</w:t>
      </w:r>
      <w:r>
        <w:rPr>
          <w:rFonts w:ascii="Times New Roman" w:hAnsi="Times New Roman"/>
          <w:color w:val="000000"/>
          <w:sz w:val="24"/>
          <w:u w:val="single"/>
        </w:rPr>
        <w:t>Benchmark Replacement Conforming Changes</w:t>
      </w:r>
      <w:r>
        <w:rPr>
          <w:rFonts w:ascii="Times New Roman" w:hAnsi="Times New Roman"/>
          <w:color w:val="000000"/>
          <w:sz w:val="20"/>
        </w:rPr>
        <w:t xml:space="preserve">” </w:t>
      </w:r>
      <w:r>
        <w:rPr>
          <w:rFonts w:ascii="Times New Roman" w:hAnsi="Times New Roman"/>
          <w:color w:val="000000"/>
          <w:sz w:val="24"/>
        </w:rPr>
        <w:t>means, with respect to any Benchmark Replacement,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necessary in connection with the administration of this Agreement and the other Basic Documents).</w:t>
      </w:r>
    </w:p>
    <w:p>
      <w:pPr>
        <w:pStyle w:val="TextBody"/>
        <w:bidi w:val="0"/>
        <w:jc w:val="both"/>
        <w:rPr/>
      </w:pPr>
      <w:r>
        <w:rPr>
          <w:color w:val="000000"/>
        </w:rPr>
        <w:t>“</w:t>
      </w:r>
      <w:r>
        <w:rPr>
          <w:rFonts w:ascii="Times New Roman" w:hAnsi="Times New Roman"/>
          <w:color w:val="000000"/>
          <w:sz w:val="24"/>
          <w:u w:val="single"/>
        </w:rPr>
        <w:t>Benchmark Replacement Date</w:t>
      </w:r>
      <w:r>
        <w:rPr>
          <w:rFonts w:ascii="Times New Roman" w:hAnsi="Times New Roman"/>
          <w:color w:val="000000"/>
          <w:sz w:val="20"/>
        </w:rPr>
        <w:t xml:space="preserve">” </w:t>
      </w:r>
      <w:r>
        <w:rPr>
          <w:rFonts w:ascii="Times New Roman" w:hAnsi="Times New Roman"/>
          <w:color w:val="000000"/>
          <w:sz w:val="24"/>
        </w:rPr>
        <w:t>means, with respect to any Benchmark, the earliest to occur of the following events with respect to such then-current Benchmark:</w:t>
      </w:r>
    </w:p>
    <w:p>
      <w:pPr>
        <w:pStyle w:val="TextBody"/>
        <w:bidi w:val="0"/>
        <w:jc w:val="both"/>
        <w:rPr/>
      </w:pPr>
      <w:r>
        <w:rPr/>
        <w:t> </w:t>
      </w:r>
    </w:p>
    <w:p>
      <w:pPr>
        <w:pStyle w:val="TextBody"/>
        <w:bidi w:val="0"/>
        <w:spacing w:before="0" w:after="240"/>
        <w:jc w:val="both"/>
        <w:rPr>
          <w:rFonts w:ascii="Times New Roman" w:hAnsi="Times New Roman"/>
          <w:sz w:val="20"/>
        </w:rPr>
      </w:pPr>
      <w:bookmarkStart w:id="41" w:name="docxtextref58"/>
      <w:bookmarkEnd w:id="41"/>
      <w:r>
        <w:rPr>
          <w:rFonts w:ascii="Times New Roman" w:hAnsi="Times New Roman"/>
          <w:color w:val="000000"/>
          <w:sz w:val="24"/>
        </w:rPr>
        <w:t>(1) in the case of clause (1)</w:t>
      </w:r>
      <w:r>
        <w:rPr>
          <w:rFonts w:ascii="Times New Roman" w:hAnsi="Times New Roman"/>
          <w:color w:val="000000"/>
          <w:sz w:val="20"/>
        </w:rPr>
        <w:t xml:space="preserve"> </w:t>
      </w:r>
      <w:r>
        <w:rPr>
          <w:rFonts w:ascii="Times New Roman" w:hAnsi="Times New Roman"/>
          <w:color w:val="000000"/>
          <w:sz w:val="24"/>
        </w:rPr>
        <w:t xml:space="preserve">or (2) of the definition of “Benchmark Transition Event,” the later of </w:t>
      </w:r>
      <w:bookmarkStart w:id="42" w:name="docxtextref56"/>
      <w:bookmarkEnd w:id="42"/>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the date of the public statement or publication of information referenced therein and </w:t>
      </w:r>
      <w:bookmarkStart w:id="43" w:name="docxtextref57"/>
      <w:bookmarkEnd w:id="43"/>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jc w:val="both"/>
        <w:rPr>
          <w:rFonts w:ascii="Times New Roman" w:hAnsi="Times New Roman"/>
          <w:sz w:val="20"/>
        </w:rPr>
      </w:pPr>
      <w:bookmarkStart w:id="44" w:name="docxtextref59"/>
      <w:bookmarkEnd w:id="44"/>
      <w:r>
        <w:rPr>
          <w:rFonts w:ascii="Times New Roman" w:hAnsi="Times New Roman"/>
          <w:color w:val="000000"/>
          <w:sz w:val="24"/>
        </w:rPr>
        <w:t>(2) in the case of clause (3)</w:t>
      </w:r>
      <w:r>
        <w:rPr>
          <w:rFonts w:ascii="Times New Roman" w:hAnsi="Times New Roman"/>
          <w:color w:val="000000"/>
          <w:sz w:val="20"/>
        </w:rPr>
        <w:t xml:space="preserve"> </w:t>
      </w:r>
      <w:r>
        <w:rPr>
          <w:rFonts w:ascii="Times New Roman" w:hAnsi="Times New Roman"/>
          <w:color w:val="000000"/>
          <w:sz w:val="24"/>
        </w:rPr>
        <w:t>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240"/>
        <w:jc w:val="both"/>
        <w:rPr>
          <w:rFonts w:ascii="Times New Roman" w:hAnsi="Times New Roman"/>
          <w:sz w:val="20"/>
        </w:rPr>
      </w:pPr>
      <w:bookmarkStart w:id="45" w:name="docxtextref61"/>
      <w:bookmarkEnd w:id="45"/>
      <w:r>
        <w:rPr>
          <w:rFonts w:ascii="Times New Roman" w:hAnsi="Times New Roman"/>
          <w:color w:val="000000"/>
          <w:sz w:val="24"/>
        </w:rPr>
        <w:t>For the avoidance of doubt, (i)</w:t>
      </w:r>
      <w:r>
        <w:rPr>
          <w:rFonts w:ascii="Times New Roman" w:hAnsi="Times New Roman"/>
          <w:color w:val="000000"/>
          <w:sz w:val="20"/>
        </w:rPr>
        <w:t xml:space="preserve"> </w:t>
      </w:r>
      <w:r>
        <w:rPr>
          <w:rFonts w:ascii="Times New Roman" w:hAnsi="Times New Roman"/>
          <w:color w:val="000000"/>
          <w:sz w:val="24"/>
        </w:rPr>
        <w:t xml:space="preserve">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bookmarkStart w:id="46" w:name="docxtextref62"/>
      <w:bookmarkEnd w:id="46"/>
      <w:r>
        <w:rPr>
          <w:rFonts w:ascii="Times New Roman" w:hAnsi="Times New Roman"/>
          <w:color w:val="000000"/>
          <w:sz w:val="24"/>
        </w:rPr>
        <w:t>clause (1)</w:t>
      </w:r>
      <w:r>
        <w:rPr>
          <w:rFonts w:ascii="Times New Roman" w:hAnsi="Times New Roman"/>
          <w:color w:val="000000"/>
          <w:sz w:val="20"/>
        </w:rPr>
        <w:t xml:space="preserve"> </w:t>
      </w:r>
      <w:r>
        <w:rPr>
          <w:rFonts w:ascii="Times New Roman" w:hAnsi="Times New Roman"/>
          <w:color w:val="000000"/>
          <w:sz w:val="24"/>
        </w:rPr>
        <w:t>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jc w:val="both"/>
        <w:rPr/>
      </w:pPr>
      <w:r>
        <w:rPr>
          <w:color w:val="000000"/>
        </w:rPr>
        <w:t>“</w:t>
      </w:r>
      <w:r>
        <w:rPr>
          <w:rFonts w:ascii="Times New Roman" w:hAnsi="Times New Roman"/>
          <w:color w:val="000000"/>
          <w:sz w:val="24"/>
          <w:u w:val="single"/>
        </w:rPr>
        <w:t>Benchmark Transition Event</w:t>
      </w:r>
      <w:r>
        <w:rPr>
          <w:rFonts w:ascii="Times New Roman" w:hAnsi="Times New Roman"/>
          <w:color w:val="000000"/>
          <w:sz w:val="20"/>
        </w:rPr>
        <w:t xml:space="preserve">” </w:t>
      </w:r>
      <w:r>
        <w:rPr>
          <w:rFonts w:ascii="Times New Roman" w:hAnsi="Times New Roman"/>
          <w:color w:val="000000"/>
          <w:sz w:val="24"/>
        </w:rPr>
        <w:t>means, with respect to any Benchmark, the occurrence of one or more of the following events with respect to such then-current Benchmark:</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(2) 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of such Benchmark (or such component thereof) permanently or indefinitely;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bookmarkStart w:id="47" w:name="docxtextref63"/>
      <w:bookmarkEnd w:id="47"/>
      <w:r>
        <w:rPr>
          <w:color w:val="000000"/>
        </w:rPr>
        <w:t>“</w:t>
      </w:r>
      <w:r>
        <w:rPr>
          <w:rFonts w:ascii="Times New Roman" w:hAnsi="Times New Roman"/>
          <w:color w:val="000000"/>
          <w:sz w:val="24"/>
          <w:u w:val="single"/>
        </w:rPr>
        <w:t>Benchmark Unavailability Period</w:t>
      </w:r>
      <w:r>
        <w:rPr>
          <w:rFonts w:ascii="Times New Roman" w:hAnsi="Times New Roman"/>
          <w:color w:val="000000"/>
          <w:sz w:val="20"/>
        </w:rPr>
        <w:t xml:space="preserve">” </w:t>
      </w:r>
      <w:r>
        <w:rPr>
          <w:rFonts w:ascii="Times New Roman" w:hAnsi="Times New Roman"/>
          <w:color w:val="000000"/>
          <w:sz w:val="24"/>
        </w:rPr>
        <w:t>means, with respect to any Benchmark, the period (if any) (x)</w:t>
      </w:r>
      <w:r>
        <w:rPr>
          <w:rFonts w:ascii="Times New Roman" w:hAnsi="Times New Roman"/>
          <w:color w:val="000000"/>
          <w:sz w:val="20"/>
        </w:rPr>
        <w:t xml:space="preserve"> </w:t>
      </w:r>
      <w:r>
        <w:rPr>
          <w:rFonts w:ascii="Times New Roman" w:hAnsi="Times New Roman"/>
          <w:color w:val="000000"/>
          <w:sz w:val="24"/>
        </w:rPr>
        <w:t xml:space="preserve">beginning at the time that a Benchmark Replacement Date pursuant to </w:t>
      </w:r>
      <w:bookmarkStart w:id="48" w:name="docxtextref67"/>
      <w:bookmarkEnd w:id="48"/>
      <w:r>
        <w:rPr>
          <w:rFonts w:ascii="Times New Roman" w:hAnsi="Times New Roman"/>
          <w:color w:val="000000"/>
          <w:sz w:val="24"/>
        </w:rPr>
        <w:t>clauses (1)</w:t>
      </w:r>
      <w:r>
        <w:rPr>
          <w:rFonts w:ascii="Times New Roman" w:hAnsi="Times New Roman"/>
          <w:color w:val="000000"/>
          <w:sz w:val="20"/>
        </w:rPr>
        <w:t xml:space="preserve"> </w:t>
      </w:r>
      <w:r>
        <w:rPr>
          <w:rFonts w:ascii="Times New Roman" w:hAnsi="Times New Roman"/>
          <w:color w:val="000000"/>
          <w:sz w:val="24"/>
        </w:rPr>
        <w:t xml:space="preserve">or (2) of that definition has occurred if, at such time, no Benchmark Replacement has replaced such then-current Benchmark for all purposes hereunder and under any Basic Document in accordance with Error: Reference source not found and </w:t>
      </w:r>
      <w:bookmarkStart w:id="49" w:name="docxtextref64"/>
      <w:bookmarkEnd w:id="49"/>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color w:val="000000"/>
          <w:sz w:val="24"/>
        </w:rPr>
        <w:t>ending at the time that a Benchmark Replacement has replaced such then-current Benchmark for all purposes hereunder and under any Basic Document in accordance with Error: Reference source not found.</w:t>
      </w:r>
    </w:p>
    <w:p>
      <w:pPr>
        <w:pStyle w:val="TextBody"/>
        <w:bidi w:val="0"/>
        <w:spacing w:before="0" w:after="240"/>
        <w:jc w:val="both"/>
        <w:rPr/>
      </w:pPr>
      <w:r>
        <w:rPr>
          <w:color w:val="000000"/>
        </w:rPr>
        <w:t>“</w:t>
      </w:r>
      <w:r>
        <w:rPr>
          <w:rFonts w:ascii="Times New Roman" w:hAnsi="Times New Roman"/>
          <w:color w:val="000000"/>
          <w:sz w:val="24"/>
          <w:u w:val="single"/>
        </w:rPr>
        <w:t>Beneficial Ownership Certification</w:t>
      </w:r>
      <w:r>
        <w:rPr>
          <w:rFonts w:ascii="Times New Roman" w:hAnsi="Times New Roman"/>
          <w:color w:val="000000"/>
          <w:sz w:val="20"/>
        </w:rPr>
        <w:t xml:space="preserve">” </w:t>
      </w:r>
      <w:r>
        <w:rPr>
          <w:rFonts w:ascii="Times New Roman" w:hAnsi="Times New Roman"/>
          <w:color w:val="000000"/>
          <w:sz w:val="24"/>
        </w:rPr>
        <w:t>means a certification regarding beneficial ownership as required by the Beneficial Ownership Regulation.</w:t>
      </w:r>
    </w:p>
    <w:p>
      <w:pPr>
        <w:pStyle w:val="TextBody"/>
        <w:bidi w:val="0"/>
        <w:spacing w:before="0" w:after="240"/>
        <w:jc w:val="both"/>
        <w:rPr/>
      </w:pPr>
      <w:r>
        <w:rPr>
          <w:color w:val="000000"/>
        </w:rPr>
        <w:t>“</w:t>
      </w:r>
      <w:r>
        <w:rPr>
          <w:rFonts w:ascii="Times New Roman" w:hAnsi="Times New Roman"/>
          <w:color w:val="000000"/>
          <w:sz w:val="24"/>
          <w:u w:val="single"/>
        </w:rPr>
        <w:t>Beneficial Ownership Regulation</w:t>
      </w:r>
      <w:r>
        <w:rPr>
          <w:rFonts w:ascii="Times New Roman" w:hAnsi="Times New Roman"/>
          <w:color w:val="000000"/>
          <w:sz w:val="20"/>
        </w:rPr>
        <w:t xml:space="preserve">” </w:t>
      </w:r>
      <w:r>
        <w:rPr>
          <w:rFonts w:ascii="Times New Roman" w:hAnsi="Times New Roman"/>
          <w:color w:val="000000"/>
          <w:sz w:val="24"/>
        </w:rPr>
        <w:t>means 31 C.F.R. § 1010.230.</w:t>
      </w:r>
    </w:p>
    <w:p>
      <w:pPr>
        <w:pStyle w:val="TextBody"/>
        <w:bidi w:val="0"/>
        <w:spacing w:before="0" w:after="240"/>
        <w:jc w:val="both"/>
        <w:rPr/>
      </w:pPr>
      <w:r>
        <w:rPr>
          <w:color w:val="000000"/>
        </w:rPr>
        <w:t>“</w:t>
      </w:r>
      <w:r>
        <w:rPr>
          <w:rFonts w:ascii="Times New Roman" w:hAnsi="Times New Roman"/>
          <w:color w:val="000000"/>
          <w:sz w:val="24"/>
          <w:u w:val="single"/>
        </w:rPr>
        <w:t>Benefit Plan</w:t>
      </w:r>
      <w:r>
        <w:rPr>
          <w:rFonts w:ascii="Times New Roman" w:hAnsi="Times New Roman"/>
          <w:color w:val="000000"/>
          <w:sz w:val="20"/>
        </w:rPr>
        <w:t xml:space="preserve">” </w:t>
      </w:r>
      <w:r>
        <w:rPr>
          <w:rFonts w:ascii="Times New Roman" w:hAnsi="Times New Roman"/>
          <w:color w:val="000000"/>
          <w:sz w:val="24"/>
        </w:rPr>
        <w:t>means (i) employee benefit plans (as defined in Section 3(3) of ERISA) that are subject to Title I of ERISA, (ii) plans described in Section 4975(e)(1) of the Code, including individual retirement accounts or Keogh Plans that are not exempt under Section 4975(g) of the Code and (iii) any entities whose underlying assets include plan assets by reason of a plan’s investment in such entities.</w:t>
      </w:r>
    </w:p>
    <w:p>
      <w:pPr>
        <w:pStyle w:val="TextBody"/>
        <w:bidi w:val="0"/>
        <w:spacing w:before="0" w:after="240"/>
        <w:jc w:val="both"/>
        <w:rPr/>
      </w:pPr>
      <w:r>
        <w:rPr>
          <w:color w:val="000000"/>
        </w:rPr>
        <w:t>“</w:t>
      </w:r>
      <w:r>
        <w:rPr>
          <w:rFonts w:ascii="Times New Roman" w:hAnsi="Times New Roman"/>
          <w:color w:val="000000"/>
          <w:sz w:val="24"/>
          <w:u w:val="single"/>
        </w:rPr>
        <w:t>Borrower</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Borrower Basic Documents</w:t>
      </w:r>
      <w:r>
        <w:rPr>
          <w:rFonts w:ascii="Times New Roman" w:hAnsi="Times New Roman"/>
          <w:color w:val="000000"/>
          <w:sz w:val="20"/>
        </w:rPr>
        <w:t xml:space="preserve">” </w:t>
      </w:r>
      <w:r>
        <w:rPr>
          <w:rFonts w:ascii="Times New Roman" w:hAnsi="Times New Roman"/>
          <w:color w:val="000000"/>
          <w:sz w:val="24"/>
        </w:rPr>
        <w:t>means all Basic Documents to which the Borrower is a party or by which it is bound.</w:t>
      </w:r>
    </w:p>
    <w:p>
      <w:pPr>
        <w:pStyle w:val="TextBody"/>
        <w:bidi w:val="0"/>
        <w:spacing w:before="0" w:after="240"/>
        <w:jc w:val="both"/>
        <w:rPr/>
      </w:pPr>
      <w:r>
        <w:rPr>
          <w:color w:val="000000"/>
        </w:rPr>
        <w:t>“</w:t>
      </w:r>
      <w:r>
        <w:rPr>
          <w:rFonts w:ascii="Times New Roman" w:hAnsi="Times New Roman"/>
          <w:color w:val="000000"/>
          <w:sz w:val="24"/>
          <w:u w:val="single"/>
        </w:rPr>
        <w:t>Borrower Indemnified Amounts</w:t>
      </w:r>
      <w:r>
        <w:rPr>
          <w:rFonts w:ascii="Times New Roman" w:hAnsi="Times New Roman"/>
          <w:color w:val="000000"/>
          <w:sz w:val="20"/>
        </w:rPr>
        <w:t xml:space="preserve">” </w:t>
      </w:r>
      <w:r>
        <w:rPr>
          <w:rFonts w:ascii="Times New Roman" w:hAnsi="Times New Roman"/>
          <w:color w:val="000000"/>
          <w:sz w:val="24"/>
        </w:rPr>
        <w:t>has the meaning given to such term in Section 10.01(a).</w:t>
      </w:r>
    </w:p>
    <w:p>
      <w:pPr>
        <w:pStyle w:val="TextBody"/>
        <w:bidi w:val="0"/>
        <w:spacing w:before="0" w:after="240"/>
        <w:jc w:val="both"/>
        <w:rPr/>
      </w:pPr>
      <w:r>
        <w:rPr>
          <w:color w:val="000000"/>
        </w:rPr>
        <w:t>“</w:t>
      </w:r>
      <w:r>
        <w:rPr>
          <w:rFonts w:ascii="Times New Roman" w:hAnsi="Times New Roman"/>
          <w:color w:val="000000"/>
          <w:sz w:val="24"/>
          <w:u w:val="single"/>
        </w:rPr>
        <w:t>Borrower Indemnified Party</w:t>
      </w:r>
      <w:r>
        <w:rPr>
          <w:rFonts w:ascii="Times New Roman" w:hAnsi="Times New Roman"/>
          <w:color w:val="000000"/>
          <w:sz w:val="20"/>
        </w:rPr>
        <w:t xml:space="preserve">” </w:t>
      </w:r>
      <w:r>
        <w:rPr>
          <w:rFonts w:ascii="Times New Roman" w:hAnsi="Times New Roman"/>
          <w:color w:val="000000"/>
          <w:sz w:val="24"/>
        </w:rPr>
        <w:t>has the meaning given to such term in Section 10.01(a).</w:t>
      </w:r>
    </w:p>
    <w:p>
      <w:pPr>
        <w:pStyle w:val="TextBody"/>
        <w:bidi w:val="0"/>
        <w:spacing w:before="0" w:after="240"/>
        <w:jc w:val="both"/>
        <w:rPr/>
      </w:pPr>
      <w:r>
        <w:rPr>
          <w:color w:val="000000"/>
        </w:rPr>
        <w:t>“</w:t>
      </w:r>
      <w:r>
        <w:rPr>
          <w:rFonts w:ascii="Times New Roman" w:hAnsi="Times New Roman"/>
          <w:color w:val="000000"/>
          <w:sz w:val="24"/>
          <w:u w:val="single"/>
        </w:rPr>
        <w:t>Borrower’s Account</w:t>
      </w:r>
      <w:r>
        <w:rPr>
          <w:rFonts w:ascii="Times New Roman" w:hAnsi="Times New Roman"/>
          <w:color w:val="000000"/>
          <w:sz w:val="20"/>
        </w:rPr>
        <w:t xml:space="preserve">” </w:t>
      </w:r>
      <w:r>
        <w:rPr>
          <w:rFonts w:ascii="Times New Roman" w:hAnsi="Times New Roman"/>
          <w:color w:val="000000"/>
          <w:sz w:val="24"/>
        </w:rPr>
        <w:t>means the bank account of the Borrower, as notified to the Administrative Agent from time to time in writing by the Borrower, into which all Principal Amounts shall be deposited, which account, as of the Closing Date, is in the name UACC Auto Financing Trust IV, at the Local Bank.</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Borrowing Base</w:t>
      </w:r>
      <w:r>
        <w:rPr>
          <w:rFonts w:ascii="Times New Roman" w:hAnsi="Times New Roman"/>
          <w:color w:val="000000"/>
          <w:sz w:val="20"/>
        </w:rPr>
        <w:t xml:space="preserve">” </w:t>
      </w:r>
      <w:r>
        <w:rPr>
          <w:rFonts w:ascii="Times New Roman" w:hAnsi="Times New Roman"/>
          <w:color w:val="000000"/>
          <w:sz w:val="24"/>
        </w:rPr>
        <w:t>means, as of any date of determination, an amount equal to the lesser of (i) the product of the Weighted Average Advance Rate on such date and the Aggregate Net Principal Balance on such date and (ii) the Aggregate Commitment.</w:t>
      </w:r>
    </w:p>
    <w:p>
      <w:pPr>
        <w:pStyle w:val="TextBody"/>
        <w:bidi w:val="0"/>
        <w:spacing w:before="0" w:after="240"/>
        <w:jc w:val="both"/>
        <w:rPr/>
      </w:pPr>
      <w:r>
        <w:rPr>
          <w:color w:val="000000"/>
        </w:rPr>
        <w:t>“</w:t>
      </w:r>
      <w:r>
        <w:rPr>
          <w:rFonts w:ascii="Times New Roman" w:hAnsi="Times New Roman"/>
          <w:color w:val="000000"/>
          <w:sz w:val="24"/>
          <w:u w:val="single"/>
        </w:rPr>
        <w:t>Breakage Costs</w:t>
      </w:r>
      <w:r>
        <w:rPr>
          <w:rFonts w:ascii="Times New Roman" w:hAnsi="Times New Roman"/>
          <w:color w:val="000000"/>
          <w:sz w:val="20"/>
        </w:rPr>
        <w:t xml:space="preserve">” </w:t>
      </w:r>
      <w:r>
        <w:rPr>
          <w:rFonts w:ascii="Times New Roman" w:hAnsi="Times New Roman"/>
          <w:color w:val="000000"/>
          <w:sz w:val="24"/>
        </w:rPr>
        <w:t>means such amount or amounts as shall compensate any Lender for any loss, cost or expense (but excluding lost profits) incurred by such Lender (as reasonably determined by such Lender) as a result of any prepayment of a Loan (and interest thereon).</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any day (other than a Saturday or a Sunday) on which banks are open for business in New York, New York, Minneapolis, Minnesota or Chicago, Illinois; provided that, in relation to any Loan bearing interest by reference to Daily Simple SOFR (a “SOFR Loan”), and any interest rate settings, fundings, disbursements, settlements or payments of any such SOFR Loan, or any other dealings of such SOFR Loan, any such day that is only an U.S. Government Securities Business Day.</w:t>
      </w:r>
    </w:p>
    <w:p>
      <w:pPr>
        <w:pStyle w:val="TextBody"/>
        <w:bidi w:val="0"/>
        <w:spacing w:before="0" w:after="240"/>
        <w:jc w:val="both"/>
        <w:rPr/>
      </w:pPr>
      <w:r>
        <w:rPr>
          <w:color w:val="000000"/>
        </w:rPr>
        <w:t>“</w:t>
      </w:r>
      <w:r>
        <w:rPr>
          <w:rFonts w:ascii="Times New Roman" w:hAnsi="Times New Roman"/>
          <w:color w:val="000000"/>
          <w:sz w:val="24"/>
          <w:u w:val="single"/>
        </w:rPr>
        <w:t>C-Score</w:t>
      </w:r>
      <w:r>
        <w:rPr>
          <w:rFonts w:ascii="Times New Roman" w:hAnsi="Times New Roman"/>
          <w:color w:val="000000"/>
          <w:sz w:val="20"/>
        </w:rPr>
        <w:t xml:space="preserve">” </w:t>
      </w:r>
      <w:r>
        <w:rPr>
          <w:rFonts w:ascii="Times New Roman" w:hAnsi="Times New Roman"/>
          <w:color w:val="000000"/>
          <w:sz w:val="24"/>
        </w:rPr>
        <w:t>means, with respect to a Receivable or a Serviced Portfolio Receivable, a numeric internal credit score for such Receivable calculated by UACC in accordance with the Credit and Collection Policy.</w:t>
      </w:r>
    </w:p>
    <w:p>
      <w:pPr>
        <w:pStyle w:val="TextBody"/>
        <w:bidi w:val="0"/>
        <w:spacing w:before="0" w:after="240"/>
        <w:jc w:val="both"/>
        <w:rPr/>
      </w:pPr>
      <w:r>
        <w:rPr>
          <w:color w:val="000000"/>
        </w:rPr>
        <w:t>“</w:t>
      </w:r>
      <w:r>
        <w:rPr>
          <w:rFonts w:ascii="Times New Roman" w:hAnsi="Times New Roman"/>
          <w:color w:val="000000"/>
          <w:sz w:val="24"/>
          <w:u w:val="single"/>
        </w:rPr>
        <w:t>Cap</w:t>
      </w:r>
      <w:r>
        <w:rPr>
          <w:rFonts w:ascii="Times New Roman" w:hAnsi="Times New Roman"/>
          <w:color w:val="000000"/>
          <w:sz w:val="20"/>
        </w:rPr>
        <w:t xml:space="preserve">” </w:t>
      </w:r>
      <w:r>
        <w:rPr>
          <w:rFonts w:ascii="Times New Roman" w:hAnsi="Times New Roman"/>
          <w:color w:val="000000"/>
          <w:sz w:val="24"/>
        </w:rPr>
        <w:t>means a Hedging Transaction in the form of an interest rate cap.</w:t>
      </w:r>
    </w:p>
    <w:p>
      <w:pPr>
        <w:pStyle w:val="TextBody"/>
        <w:bidi w:val="0"/>
        <w:spacing w:before="0" w:after="240"/>
        <w:jc w:val="left"/>
        <w:rPr/>
      </w:pPr>
      <w:r>
        <w:rPr>
          <w:color w:val="000000"/>
        </w:rPr>
        <w:t>“</w:t>
      </w:r>
      <w:r>
        <w:rPr>
          <w:rFonts w:ascii="Times New Roman" w:hAnsi="Times New Roman"/>
          <w:color w:val="000000"/>
          <w:sz w:val="24"/>
          <w:u w:val="single"/>
        </w:rPr>
        <w:t>Cash</w:t>
      </w:r>
      <w:r>
        <w:rPr>
          <w:rFonts w:ascii="Times New Roman" w:hAnsi="Times New Roman"/>
          <w:color w:val="000000"/>
          <w:sz w:val="20"/>
        </w:rPr>
        <w:t xml:space="preserve">” </w:t>
      </w:r>
      <w:r>
        <w:rPr>
          <w:rFonts w:ascii="Times New Roman" w:hAnsi="Times New Roman"/>
          <w:color w:val="000000"/>
          <w:sz w:val="24"/>
        </w:rPr>
        <w:t>means, on any date of determination, Dollars immediately available on such date.</w:t>
      </w:r>
    </w:p>
    <w:p>
      <w:pPr>
        <w:pStyle w:val="TextBody"/>
        <w:bidi w:val="0"/>
        <w:spacing w:before="0" w:after="240"/>
        <w:jc w:val="left"/>
        <w:rPr/>
      </w:pPr>
      <w:r>
        <w:rPr>
          <w:color w:val="000000"/>
        </w:rPr>
        <w:t>“</w:t>
      </w:r>
      <w:r>
        <w:rPr>
          <w:rFonts w:ascii="Times New Roman" w:hAnsi="Times New Roman"/>
          <w:color w:val="000000"/>
          <w:sz w:val="24"/>
          <w:u w:val="single"/>
        </w:rPr>
        <w:t>Cash Equivalents</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any instrument in marketable debt obligations issued or fully guaranteed or insured by the government of the United States or by an instrumentality or agency of the United States having an equivalent credit rating, maturing within ninety (90) days of the date of acquisition and not convertible or exchangeable to any other security;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certificates of deposit maturing within ninety (90) days of the date of acquisition;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commercial paper not convertible or exchangeable to any other security (i) for which a recognized trading market exists, (ii) issued by an issuer incorporated in the United States, and (iii) which matures within ninety (90) days of the date of acquisition;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shares of money market mutual or similar funds which invest exclusively in assets satisfying the requirements of clauses (a) through (c) of this definition which can be turned into cash on not more than 60 days’ notice;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any other debt security approved by the Administrative Agent and each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each case, (i) which are denominated in Dollars, (ii) which have a credit rating of either A-1 or higher by S&amp;P or F1 or higher by Fitch or P-1 or higher by Moody’s or R-1 (middle) or higher by DBRS, and (iii) to which VFH or any of its consolidated Subsidiaries is beneficially entitled at that time and which is not issued or guaranteed by VFH or any Affiliate or Subsidiary thereof.</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Certificate of Title</w:t>
      </w:r>
      <w:r>
        <w:rPr>
          <w:rFonts w:ascii="Times New Roman" w:hAnsi="Times New Roman"/>
          <w:color w:val="000000"/>
          <w:sz w:val="20"/>
        </w:rPr>
        <w:t xml:space="preserve">” </w:t>
      </w:r>
      <w:r>
        <w:rPr>
          <w:rFonts w:ascii="Times New Roman" w:hAnsi="Times New Roman"/>
          <w:color w:val="000000"/>
          <w:sz w:val="24"/>
        </w:rPr>
        <w:t>means, with respect to a Financed Vehicle, (i) the original certificate of title relating thereto, or copies of correspondence to the applicable Registrar of Titles, and all enclosures thereto, for issuance of the original certificate of title or (ii) if the applicable Registrar of Titles issues a letter or other form of evidence of lien in lieu of a certificate of title (including electronic titling), the original lien entry letter or form or copies of correspondence to such applicable Registrar of Titles, and all enclosures thereto, for issuance of the original lien entry letter or form, which, in either case, shall name the related Obligor as the owner of such Financed Vehicle and the Originator, the Borrower or the Administrative Agent, as secured party.</w:t>
      </w:r>
    </w:p>
    <w:p>
      <w:pPr>
        <w:pStyle w:val="TextBody"/>
        <w:bidi w:val="0"/>
        <w:spacing w:before="0" w:after="240"/>
        <w:jc w:val="both"/>
        <w:rPr/>
      </w:pPr>
      <w:r>
        <w:rPr>
          <w:color w:val="000000"/>
        </w:rPr>
        <w:t>“</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means [***]</w:t>
      </w:r>
    </w:p>
    <w:p>
      <w:pPr>
        <w:pStyle w:val="TextBody"/>
        <w:bidi w:val="0"/>
        <w:spacing w:before="0" w:after="240"/>
        <w:jc w:val="both"/>
        <w:rPr/>
      </w:pPr>
      <w:r>
        <w:rPr>
          <w:color w:val="000000"/>
        </w:rPr>
        <w:t>“</w:t>
      </w:r>
      <w:r>
        <w:rPr>
          <w:rFonts w:ascii="Times New Roman" w:hAnsi="Times New Roman"/>
          <w:color w:val="000000"/>
          <w:sz w:val="24"/>
          <w:u w:val="single"/>
        </w:rPr>
        <w:t>Charged-off Receivable</w:t>
      </w:r>
      <w:r>
        <w:rPr>
          <w:rFonts w:ascii="Times New Roman" w:hAnsi="Times New Roman"/>
          <w:color w:val="000000"/>
          <w:sz w:val="20"/>
        </w:rPr>
        <w:t xml:space="preserve">” </w:t>
      </w:r>
      <w:r>
        <w:rPr>
          <w:rFonts w:ascii="Times New Roman" w:hAnsi="Times New Roman"/>
          <w:color w:val="000000"/>
          <w:sz w:val="24"/>
        </w:rPr>
        <w:t>means any Receivable or Serviced Portfolio Receivable required to be charged off in accordance with the Credit and Collection Policy.</w:t>
      </w:r>
    </w:p>
    <w:p>
      <w:pPr>
        <w:pStyle w:val="TextBody"/>
        <w:bidi w:val="0"/>
        <w:spacing w:before="0" w:after="240"/>
        <w:jc w:val="both"/>
        <w:rPr/>
      </w:pPr>
      <w:r>
        <w:rPr>
          <w:color w:val="000000"/>
        </w:rPr>
        <w:t>“</w:t>
      </w:r>
      <w:r>
        <w:rPr>
          <w:rFonts w:ascii="Times New Roman" w:hAnsi="Times New Roman"/>
          <w:color w:val="000000"/>
          <w:sz w:val="24"/>
          <w:u w:val="single"/>
        </w:rPr>
        <w:t>Closing Date</w:t>
      </w:r>
      <w:r>
        <w:rPr>
          <w:rFonts w:ascii="Times New Roman" w:hAnsi="Times New Roman"/>
          <w:color w:val="000000"/>
          <w:sz w:val="20"/>
        </w:rPr>
        <w:t xml:space="preserve">” </w:t>
      </w:r>
      <w:r>
        <w:rPr>
          <w:rFonts w:ascii="Times New Roman" w:hAnsi="Times New Roman"/>
          <w:color w:val="000000"/>
          <w:sz w:val="24"/>
        </w:rPr>
        <w:t>means November 19, 2013.</w:t>
      </w:r>
    </w:p>
    <w:p>
      <w:pPr>
        <w:pStyle w:val="TextBody"/>
        <w:bidi w:val="0"/>
        <w:spacing w:before="0" w:after="240"/>
        <w:jc w:val="both"/>
        <w:rPr/>
      </w:pPr>
      <w:r>
        <w:rPr>
          <w:color w:val="000000"/>
        </w:rPr>
        <w:t>“</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means the Internal Revenue Code of 1986.</w:t>
      </w:r>
    </w:p>
    <w:p>
      <w:pPr>
        <w:pStyle w:val="TextBody"/>
        <w:bidi w:val="0"/>
        <w:spacing w:before="0" w:after="240"/>
        <w:jc w:val="both"/>
        <w:rPr/>
      </w:pPr>
      <w:r>
        <w:rPr>
          <w:color w:val="000000"/>
        </w:rPr>
        <w:t>“</w:t>
      </w:r>
      <w:r>
        <w:rPr>
          <w:rFonts w:ascii="Times New Roman" w:hAnsi="Times New Roman"/>
          <w:color w:val="000000"/>
          <w:sz w:val="24"/>
          <w:u w:val="single"/>
        </w:rPr>
        <w:t>Collateral</w:t>
      </w:r>
      <w:r>
        <w:rPr>
          <w:rFonts w:ascii="Times New Roman" w:hAnsi="Times New Roman"/>
          <w:color w:val="000000"/>
          <w:sz w:val="20"/>
        </w:rPr>
        <w:t xml:space="preserve">” </w:t>
      </w:r>
      <w:r>
        <w:rPr>
          <w:rFonts w:ascii="Times New Roman" w:hAnsi="Times New Roman"/>
          <w:color w:val="000000"/>
          <w:sz w:val="24"/>
        </w:rPr>
        <w:t>has the meaning given to such term in Section 3.01(a).</w:t>
      </w:r>
    </w:p>
    <w:p>
      <w:pPr>
        <w:pStyle w:val="TextBody"/>
        <w:bidi w:val="0"/>
        <w:spacing w:before="0" w:after="240"/>
        <w:jc w:val="both"/>
        <w:rPr/>
      </w:pPr>
      <w:r>
        <w:rPr>
          <w:color w:val="000000"/>
        </w:rPr>
        <w:t>“</w:t>
      </w:r>
      <w:r>
        <w:rPr>
          <w:rFonts w:ascii="Times New Roman" w:hAnsi="Times New Roman"/>
          <w:color w:val="000000"/>
          <w:sz w:val="24"/>
          <w:u w:val="single"/>
        </w:rPr>
        <w:t>Collateral Coverage Ratio</w:t>
      </w:r>
      <w:r>
        <w:rPr>
          <w:rFonts w:ascii="Times New Roman" w:hAnsi="Times New Roman"/>
          <w:color w:val="000000"/>
          <w:sz w:val="20"/>
        </w:rPr>
        <w:t xml:space="preserve">” </w:t>
      </w:r>
      <w:r>
        <w:rPr>
          <w:rFonts w:ascii="Times New Roman" w:hAnsi="Times New Roman"/>
          <w:color w:val="000000"/>
          <w:sz w:val="24"/>
        </w:rPr>
        <w:t>means, as of any day, with respect to all or a specified portion of the Receivables, as indicated by the context, a percentage equivalent of a fraction, (i) the numerator of which equals all Loans Outstanding as of such day and (ii) the denominator of which equals the Aggregate Net Principal Balance as of the most recent Determination Date (or as of the related Cutoff Date in the case of Receivables added to the Collateral following such Determination Date) immediately preceding the Collection Period during which such day occurs.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Collateral Coverage Ratio Failure</w:t>
      </w:r>
      <w:r>
        <w:rPr>
          <w:rFonts w:ascii="Times New Roman" w:hAnsi="Times New Roman"/>
          <w:color w:val="000000"/>
          <w:sz w:val="20"/>
        </w:rPr>
        <w:t xml:space="preserve">” </w:t>
      </w:r>
      <w:r>
        <w:rPr>
          <w:rFonts w:ascii="Times New Roman" w:hAnsi="Times New Roman"/>
          <w:color w:val="000000"/>
          <w:sz w:val="24"/>
        </w:rPr>
        <w:t>means, as of any date of determination, that the Collateral Coverage Ratio as of such date exceeds the Weighted Average Advance Rate as of such date.</w:t>
      </w:r>
    </w:p>
    <w:p>
      <w:pPr>
        <w:pStyle w:val="TextBody"/>
        <w:bidi w:val="0"/>
        <w:spacing w:before="0" w:after="240"/>
        <w:jc w:val="both"/>
        <w:rPr/>
      </w:pPr>
      <w:r>
        <w:rPr>
          <w:color w:val="000000"/>
        </w:rPr>
        <w:t>“</w:t>
      </w:r>
      <w:r>
        <w:rPr>
          <w:rFonts w:ascii="Times New Roman" w:hAnsi="Times New Roman"/>
          <w:color w:val="000000"/>
          <w:sz w:val="24"/>
          <w:u w:val="single"/>
        </w:rPr>
        <w:t>Collection Account</w:t>
      </w:r>
      <w:r>
        <w:rPr>
          <w:rFonts w:ascii="Times New Roman" w:hAnsi="Times New Roman"/>
          <w:color w:val="000000"/>
          <w:sz w:val="20"/>
        </w:rPr>
        <w:t xml:space="preserve">” </w:t>
      </w:r>
      <w:r>
        <w:rPr>
          <w:rFonts w:ascii="Times New Roman" w:hAnsi="Times New Roman"/>
          <w:color w:val="000000"/>
          <w:sz w:val="24"/>
        </w:rPr>
        <w:t>means a segregated trust account established by the Servicer with the Account Bank, in the name of the Borrower, for the benefit of the Secured Parties, into which all Collections shall be deposited.</w:t>
      </w:r>
    </w:p>
    <w:p>
      <w:pPr>
        <w:pStyle w:val="TextBody"/>
        <w:bidi w:val="0"/>
        <w:spacing w:before="0" w:after="240"/>
        <w:jc w:val="both"/>
        <w:rPr/>
      </w:pPr>
      <w:r>
        <w:rPr>
          <w:color w:val="000000"/>
        </w:rPr>
        <w:t>“</w:t>
      </w:r>
      <w:r>
        <w:rPr>
          <w:rFonts w:ascii="Times New Roman" w:hAnsi="Times New Roman"/>
          <w:color w:val="000000"/>
          <w:sz w:val="24"/>
          <w:u w:val="single"/>
        </w:rPr>
        <w:t>Collection Period</w:t>
      </w:r>
      <w:r>
        <w:rPr>
          <w:rFonts w:ascii="Times New Roman" w:hAnsi="Times New Roman"/>
          <w:color w:val="000000"/>
          <w:sz w:val="20"/>
        </w:rPr>
        <w:t xml:space="preserve">” </w:t>
      </w:r>
      <w:r>
        <w:rPr>
          <w:rFonts w:ascii="Times New Roman" w:hAnsi="Times New Roman"/>
          <w:color w:val="000000"/>
          <w:sz w:val="24"/>
        </w:rPr>
        <w:t>means, with respect to any Payment Date, the immediately preceding calendar month, except for the first Payment Date, in which case such term means the period beginning on the date of this Agreement to and including the last day of November 2013.</w:t>
      </w:r>
    </w:p>
    <w:p>
      <w:pPr>
        <w:pStyle w:val="TextBody"/>
        <w:bidi w:val="0"/>
        <w:spacing w:before="0" w:after="240"/>
        <w:jc w:val="both"/>
        <w:rPr/>
      </w:pPr>
      <w:r>
        <w:rPr>
          <w:color w:val="000000"/>
        </w:rPr>
        <w:t>“</w:t>
      </w:r>
      <w:r>
        <w:rPr>
          <w:rFonts w:ascii="Times New Roman" w:hAnsi="Times New Roman"/>
          <w:color w:val="000000"/>
          <w:sz w:val="24"/>
          <w:u w:val="single"/>
        </w:rPr>
        <w:t>Collections</w:t>
      </w:r>
      <w:r>
        <w:rPr>
          <w:rFonts w:ascii="Times New Roman" w:hAnsi="Times New Roman"/>
          <w:color w:val="000000"/>
          <w:sz w:val="20"/>
        </w:rPr>
        <w:t xml:space="preserve">” </w:t>
      </w:r>
      <w:r>
        <w:rPr>
          <w:rFonts w:ascii="Times New Roman" w:hAnsi="Times New Roman"/>
          <w:color w:val="000000"/>
          <w:sz w:val="24"/>
        </w:rPr>
        <w:t>means, with respect to any Collection Period and the related Payment Date, (i) all cash collections or other cash proceeds of any Receivable received by the Borrower, the Servicer and the Backup Servicer in its capacity as Successor Servicer (including from the Originator) from or on behalf of any Obligor in payment of any amounts owed in respect of such Receivable, including all Release Amounts or Release Price amounts deposited in the Collection Account pursuant to Section 5.04, Insurance Proceeds, interest earnings in the Accounts and all Recoveries, (ii) any other funds received by the Servicer (including from the Originator or the Borrower) with respect to any Receivable (exclusive of ancillary fees and extension fees, which may be retained by the Servicer), Financed Vehicle or any other Collateral and (iii) all payments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received by or on behalf of the Borrower pursuant to any Hedging Agreement or Hedge Transaction.</w:t>
      </w:r>
    </w:p>
    <w:p>
      <w:pPr>
        <w:pStyle w:val="TextBody"/>
        <w:bidi w:val="0"/>
        <w:spacing w:before="0" w:after="240"/>
        <w:jc w:val="both"/>
        <w:rPr/>
      </w:pPr>
      <w:r>
        <w:rPr>
          <w:color w:val="000000"/>
        </w:rPr>
        <w:t>“</w:t>
      </w:r>
      <w:r>
        <w:rPr>
          <w:rFonts w:ascii="Times New Roman" w:hAnsi="Times New Roman"/>
          <w:color w:val="000000"/>
          <w:sz w:val="24"/>
          <w:u w:val="single"/>
        </w:rPr>
        <w:t>Commercial Paper Notes</w:t>
      </w:r>
      <w:r>
        <w:rPr>
          <w:rFonts w:ascii="Times New Roman" w:hAnsi="Times New Roman"/>
          <w:color w:val="000000"/>
          <w:sz w:val="20"/>
        </w:rPr>
        <w:t xml:space="preserve">” </w:t>
      </w:r>
      <w:r>
        <w:rPr>
          <w:rFonts w:ascii="Times New Roman" w:hAnsi="Times New Roman"/>
          <w:color w:val="000000"/>
          <w:sz w:val="24"/>
        </w:rPr>
        <w:t>means any short-term promissory notes issued by a Conduit Lender with respect to financing any Loan hereunder.</w:t>
      </w:r>
    </w:p>
    <w:p>
      <w:pPr>
        <w:pStyle w:val="TextBody"/>
        <w:bidi w:val="0"/>
        <w:spacing w:before="0" w:after="240"/>
        <w:jc w:val="both"/>
        <w:rPr/>
      </w:pPr>
      <w:r>
        <w:rPr>
          <w:color w:val="000000"/>
        </w:rPr>
        <w:t>“</w:t>
      </w:r>
      <w:r>
        <w:rPr>
          <w:rFonts w:ascii="Times New Roman" w:hAnsi="Times New Roman"/>
          <w:color w:val="000000"/>
          <w:sz w:val="24"/>
          <w:u w:val="single"/>
        </w:rPr>
        <w:t>Commitmen</w:t>
      </w:r>
      <w:r>
        <w:rPr>
          <w:rFonts w:ascii="Times New Roman" w:hAnsi="Times New Roman"/>
          <w:color w:val="000000"/>
          <w:sz w:val="24"/>
        </w:rPr>
        <w:t>t” means, with respect to any Lender, the commitment of such Lender to fund Loans in an aggregate amount not to exceed the amount set forth below such Lender’s name on the signature pages of this Agreement, as such amount may be modified in accordance with the terms hereof.</w:t>
      </w:r>
    </w:p>
    <w:p>
      <w:pPr>
        <w:pStyle w:val="TextBody"/>
        <w:bidi w:val="0"/>
        <w:spacing w:before="0" w:after="240"/>
        <w:jc w:val="both"/>
        <w:rPr/>
      </w:pPr>
      <w:r>
        <w:rPr>
          <w:color w:val="000000"/>
        </w:rPr>
        <w:t>“</w:t>
      </w:r>
      <w:r>
        <w:rPr>
          <w:rFonts w:ascii="Times New Roman" w:hAnsi="Times New Roman"/>
          <w:color w:val="000000"/>
          <w:sz w:val="24"/>
          <w:u w:val="single"/>
        </w:rPr>
        <w:t>Commitment Termination Date</w:t>
      </w:r>
      <w:r>
        <w:rPr>
          <w:rFonts w:ascii="Times New Roman" w:hAnsi="Times New Roman"/>
          <w:color w:val="000000"/>
          <w:sz w:val="20"/>
        </w:rPr>
        <w:t xml:space="preserve">” </w:t>
      </w:r>
      <w:r>
        <w:rPr>
          <w:rFonts w:ascii="Times New Roman" w:hAnsi="Times New Roman"/>
          <w:color w:val="000000"/>
          <w:sz w:val="24"/>
        </w:rPr>
        <w:t>means June 30, 2027, or such later date to which the Commitment Termination Date may be extended in accordance with Section 2.04(a).</w:t>
      </w:r>
    </w:p>
    <w:p>
      <w:pPr>
        <w:pStyle w:val="TextBody"/>
        <w:bidi w:val="0"/>
        <w:spacing w:before="0" w:after="240"/>
        <w:jc w:val="both"/>
        <w:rPr/>
      </w:pPr>
      <w:r>
        <w:rPr>
          <w:color w:val="000000"/>
        </w:rPr>
        <w:t>“</w:t>
      </w:r>
      <w:r>
        <w:rPr>
          <w:rFonts w:ascii="Times New Roman" w:hAnsi="Times New Roman"/>
          <w:color w:val="000000"/>
          <w:sz w:val="24"/>
          <w:u w:val="single"/>
        </w:rPr>
        <w:t>Committed Lender</w:t>
      </w:r>
      <w:r>
        <w:rPr>
          <w:rFonts w:ascii="Times New Roman" w:hAnsi="Times New Roman"/>
          <w:color w:val="000000"/>
          <w:sz w:val="20"/>
        </w:rPr>
        <w:t xml:space="preserve">” </w:t>
      </w:r>
      <w:r>
        <w:rPr>
          <w:rFonts w:ascii="Times New Roman" w:hAnsi="Times New Roman"/>
          <w:color w:val="000000"/>
          <w:sz w:val="24"/>
        </w:rPr>
        <w:t>means any Lender that is designated as a Committed Lender in the Conduit Supplement or in the Assignment and Acceptance pursuant to which it became a party to this Agreement, and any assignee of such Lender to the extent of the portion of such Commitment assumed by such assignee pursuant to its respective Assignment and Acceptance.</w:t>
      </w:r>
    </w:p>
    <w:p>
      <w:pPr>
        <w:pStyle w:val="TextBody"/>
        <w:bidi w:val="0"/>
        <w:spacing w:before="0" w:after="240"/>
        <w:jc w:val="both"/>
        <w:rPr/>
      </w:pPr>
      <w:r>
        <w:rPr>
          <w:color w:val="000000"/>
        </w:rPr>
        <w:t>“</w:t>
      </w:r>
      <w:r>
        <w:rPr>
          <w:rFonts w:ascii="Times New Roman" w:hAnsi="Times New Roman"/>
          <w:color w:val="000000"/>
          <w:sz w:val="24"/>
          <w:u w:val="single"/>
        </w:rPr>
        <w:t>Conduit Lender</w:t>
      </w:r>
      <w:r>
        <w:rPr>
          <w:rFonts w:ascii="Times New Roman" w:hAnsi="Times New Roman"/>
          <w:color w:val="000000"/>
          <w:sz w:val="20"/>
        </w:rPr>
        <w:t xml:space="preserve">” </w:t>
      </w:r>
      <w:r>
        <w:rPr>
          <w:rFonts w:ascii="Times New Roman" w:hAnsi="Times New Roman"/>
          <w:color w:val="000000"/>
          <w:sz w:val="24"/>
        </w:rPr>
        <w:t>means any Lender that is designated as a Conduit Lender in the Conduit Supplement or in the Assignment and Acceptance pursuant to which it became a party to this Agreement, and any assignee of such Lender to the extent of the portion of such Commitment assumed by such assignee pursuant to its respective Assignment and Acceptance.</w:t>
      </w:r>
    </w:p>
    <w:p>
      <w:pPr>
        <w:pStyle w:val="TextBody"/>
        <w:bidi w:val="0"/>
        <w:spacing w:before="0" w:after="240"/>
        <w:jc w:val="both"/>
        <w:rPr/>
      </w:pPr>
      <w:r>
        <w:rPr>
          <w:color w:val="000000"/>
        </w:rPr>
        <w:t>“</w:t>
      </w:r>
      <w:r>
        <w:rPr>
          <w:rFonts w:ascii="Times New Roman" w:hAnsi="Times New Roman"/>
          <w:color w:val="000000"/>
          <w:sz w:val="24"/>
          <w:u w:val="single"/>
        </w:rPr>
        <w:t>Conduit Supplement</w:t>
      </w:r>
      <w:r>
        <w:rPr>
          <w:rFonts w:ascii="Times New Roman" w:hAnsi="Times New Roman"/>
          <w:color w:val="000000"/>
          <w:sz w:val="20"/>
        </w:rPr>
        <w:t xml:space="preserve">” </w:t>
      </w:r>
      <w:r>
        <w:rPr>
          <w:rFonts w:ascii="Times New Roman" w:hAnsi="Times New Roman"/>
          <w:color w:val="000000"/>
          <w:sz w:val="24"/>
        </w:rPr>
        <w:t xml:space="preserve">means, for each Lender Group, the information set forth in </w:t>
      </w:r>
      <w:r>
        <w:rPr>
          <w:rFonts w:ascii="Times New Roman" w:hAnsi="Times New Roman"/>
          <w:color w:val="000000"/>
          <w:sz w:val="24"/>
          <w:u w:val="single"/>
        </w:rPr>
        <w:t>Schedule A</w:t>
      </w:r>
      <w:r>
        <w:rPr>
          <w:rFonts w:ascii="Times New Roman" w:hAnsi="Times New Roman"/>
          <w:color w:val="000000"/>
          <w:sz w:val="20"/>
        </w:rPr>
        <w:t xml:space="preserve"> </w:t>
      </w:r>
      <w:r>
        <w:rPr>
          <w:rFonts w:ascii="Times New Roman" w:hAnsi="Times New Roman"/>
          <w:color w:val="000000"/>
          <w:sz w:val="24"/>
        </w:rPr>
        <w:t>to this Agreement for such Lender Group, as it may be amended or otherwise modified from time to time by such Lender Group, with, in the case of changes to the Facility Amount, Commitment and the definition of Cost of Funds Rate, the consent of the Borrower.</w:t>
      </w:r>
    </w:p>
    <w:p>
      <w:pPr>
        <w:pStyle w:val="TextBody"/>
        <w:bidi w:val="0"/>
        <w:spacing w:before="0" w:after="240"/>
        <w:jc w:val="both"/>
        <w:rPr/>
      </w:pPr>
      <w:r>
        <w:rPr>
          <w:color w:val="000000"/>
        </w:rPr>
        <w:t>“</w:t>
      </w:r>
      <w:r>
        <w:rPr>
          <w:rFonts w:ascii="Times New Roman" w:hAnsi="Times New Roman"/>
          <w:color w:val="000000"/>
          <w:sz w:val="24"/>
          <w:u w:val="single"/>
        </w:rPr>
        <w:t>Confidential Information</w:t>
      </w:r>
      <w:r>
        <w:rPr>
          <w:rFonts w:ascii="Times New Roman" w:hAnsi="Times New Roman"/>
          <w:color w:val="000000"/>
          <w:sz w:val="20"/>
        </w:rPr>
        <w:t xml:space="preserve">” </w:t>
      </w:r>
      <w:r>
        <w:rPr>
          <w:rFonts w:ascii="Times New Roman" w:hAnsi="Times New Roman"/>
          <w:color w:val="000000"/>
          <w:sz w:val="24"/>
        </w:rPr>
        <w:t>means any information with respect to the Borrower or UACC, their respective businesses or financial condition, the Receivables or Serviced Portfolio Receivables and includes (i) information transmitted in written, oral, magnetic or any other medium, (ii) all copies and reproductions, in whole or in part, of such information and (iii) all summaries, analyses, compilations, studies, notes or other records which contain, reflect or are generated from such information; provided, that Confidential Information does not include, with respect to a Person, information that (a) was already known to such Person and such knowledge was not obtained from any other entity who was known by such Person to be subject to an obligation of confidentiality or otherwise prohibited from transmitting such information to such Person, (b) is or has become part of the public domain through no act or omission of such Person, (c) is or was developed independently by such Person or (d) is or was lawfully and independently provided to such Person from a third party who is not known by such Person to be subject to an obligation of confidentiality or otherwise prohibited from transmitting such information.</w:t>
      </w:r>
    </w:p>
    <w:p>
      <w:pPr>
        <w:pStyle w:val="TextBody"/>
        <w:bidi w:val="0"/>
        <w:spacing w:before="0" w:after="240"/>
        <w:jc w:val="both"/>
        <w:rPr/>
      </w:pPr>
      <w:r>
        <w:rPr>
          <w:color w:val="000000"/>
        </w:rPr>
        <w:t>“</w:t>
      </w:r>
      <w:r>
        <w:rPr>
          <w:rFonts w:ascii="Times New Roman" w:hAnsi="Times New Roman"/>
          <w:color w:val="000000"/>
          <w:sz w:val="24"/>
          <w:u w:val="single"/>
        </w:rPr>
        <w:t>Continued Errors</w:t>
      </w:r>
      <w:r>
        <w:rPr>
          <w:rFonts w:ascii="Times New Roman" w:hAnsi="Times New Roman"/>
          <w:color w:val="000000"/>
          <w:sz w:val="20"/>
        </w:rPr>
        <w:t xml:space="preserve">” </w:t>
      </w:r>
      <w:r>
        <w:rPr>
          <w:rFonts w:ascii="Times New Roman" w:hAnsi="Times New Roman"/>
          <w:color w:val="000000"/>
          <w:sz w:val="24"/>
        </w:rPr>
        <w:t>has the meaning given to such term in Section 7.10(e).</w:t>
      </w:r>
    </w:p>
    <w:p>
      <w:pPr>
        <w:pStyle w:val="TextBody"/>
        <w:bidi w:val="0"/>
        <w:spacing w:before="0" w:after="240"/>
        <w:jc w:val="both"/>
        <w:rPr/>
      </w:pPr>
      <w:r>
        <w:rPr>
          <w:color w:val="000000"/>
        </w:rPr>
        <w:t>“</w:t>
      </w:r>
      <w:r>
        <w:rPr>
          <w:rFonts w:ascii="Times New Roman" w:hAnsi="Times New Roman"/>
          <w:color w:val="000000"/>
          <w:sz w:val="24"/>
          <w:u w:val="single"/>
        </w:rPr>
        <w:t>Contract</w:t>
      </w:r>
      <w:r>
        <w:rPr>
          <w:rFonts w:ascii="Times New Roman" w:hAnsi="Times New Roman"/>
          <w:color w:val="000000"/>
          <w:sz w:val="20"/>
        </w:rPr>
        <w:t xml:space="preserve">” </w:t>
      </w:r>
      <w:r>
        <w:rPr>
          <w:rFonts w:ascii="Times New Roman" w:hAnsi="Times New Roman"/>
          <w:color w:val="000000"/>
          <w:sz w:val="24"/>
        </w:rPr>
        <w:t>means any retail installment sale contract executed by an Obligor for a Financed Vehicle under which an extension of credit by the Originator is made in the ordinary course of business to such Obligor and which is secured by the related Financed Vehicle which the Borrower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acquires all right, title or interest to from UACC pursuant to the Purchase Agreement or a related Transfer Agreement.</w:t>
      </w:r>
    </w:p>
    <w:p>
      <w:pPr>
        <w:pStyle w:val="TextBody"/>
        <w:bidi w:val="0"/>
        <w:spacing w:before="0" w:after="240"/>
        <w:jc w:val="both"/>
        <w:rPr/>
      </w:pPr>
      <w:r>
        <w:rPr>
          <w:color w:val="000000"/>
        </w:rPr>
        <w:t>“</w:t>
      </w:r>
      <w:r>
        <w:rPr>
          <w:rFonts w:ascii="Times New Roman" w:hAnsi="Times New Roman"/>
          <w:color w:val="000000"/>
          <w:sz w:val="24"/>
          <w:u w:val="single"/>
        </w:rPr>
        <w:t>Contractual Obligation</w:t>
      </w:r>
      <w:r>
        <w:rPr>
          <w:rFonts w:ascii="Times New Roman" w:hAnsi="Times New Roman"/>
          <w:color w:val="000000"/>
          <w:sz w:val="20"/>
        </w:rPr>
        <w:t xml:space="preserve">” </w:t>
      </w:r>
      <w:r>
        <w:rPr>
          <w:rFonts w:ascii="Times New Roman" w:hAnsi="Times New Roman"/>
          <w:color w:val="000000"/>
          <w:sz w:val="24"/>
        </w:rPr>
        <w:t>means, with respect to any Person, any provision of any securities issued by such Person or any indenture, mortgage, deed of trust, contract, undertaking, agreement, instrument or other document to which such Person is a party or by which it or any of its property is bound or is subject.</w:t>
      </w:r>
    </w:p>
    <w:p>
      <w:pPr>
        <w:pStyle w:val="TextBody"/>
        <w:bidi w:val="0"/>
        <w:spacing w:before="0" w:after="240"/>
        <w:jc w:val="both"/>
        <w:rPr/>
      </w:pPr>
      <w:r>
        <w:rPr>
          <w:color w:val="000000"/>
        </w:rPr>
        <w:t>“</w:t>
      </w:r>
      <w:r>
        <w:rPr>
          <w:rFonts w:ascii="Times New Roman" w:hAnsi="Times New Roman"/>
          <w:color w:val="000000"/>
          <w:sz w:val="24"/>
          <w:u w:val="single"/>
        </w:rPr>
        <w:t>Cost of Funds Rate</w:t>
      </w:r>
      <w:r>
        <w:rPr>
          <w:rFonts w:ascii="Times New Roman" w:hAnsi="Times New Roman"/>
          <w:color w:val="000000"/>
          <w:sz w:val="20"/>
        </w:rPr>
        <w:t xml:space="preserve">” </w:t>
      </w:r>
      <w:r>
        <w:rPr>
          <w:rFonts w:ascii="Times New Roman" w:hAnsi="Times New Roman"/>
          <w:color w:val="000000"/>
          <w:sz w:val="24"/>
        </w:rPr>
        <w:t>means, with respect to a Conduit Lender, the rate identified as its “Cost of Funds Rate” in the Conduit Supplement for the related Lender Group.</w:t>
      </w:r>
    </w:p>
    <w:p>
      <w:pPr>
        <w:pStyle w:val="TextBody"/>
        <w:bidi w:val="0"/>
        <w:spacing w:before="0" w:after="240"/>
        <w:jc w:val="both"/>
        <w:rPr/>
      </w:pPr>
      <w:r>
        <w:rPr>
          <w:color w:val="000000"/>
        </w:rPr>
        <w:t>“</w:t>
      </w:r>
      <w:r>
        <w:rPr>
          <w:rFonts w:ascii="Times New Roman" w:hAnsi="Times New Roman"/>
          <w:color w:val="000000"/>
          <w:sz w:val="24"/>
          <w:u w:val="single"/>
        </w:rPr>
        <w:t>Covered Modification</w:t>
      </w:r>
      <w:r>
        <w:rPr>
          <w:rFonts w:ascii="Times New Roman" w:hAnsi="Times New Roman"/>
          <w:color w:val="000000"/>
          <w:sz w:val="20"/>
        </w:rPr>
        <w:t xml:space="preserve">” </w:t>
      </w:r>
      <w:r>
        <w:rPr>
          <w:rFonts w:ascii="Times New Roman" w:hAnsi="Times New Roman"/>
          <w:color w:val="000000"/>
          <w:sz w:val="24"/>
        </w:rPr>
        <w:t>means, for any contract, a modification of the APR or the number or amount of Scheduled Payments or an extension of more than two Scheduled Payments (unless required by Applicable Law or court order issued pursuant to Insolvency Proceedings involving the related Obligor).</w:t>
      </w:r>
    </w:p>
    <w:p>
      <w:pPr>
        <w:pStyle w:val="TextBody"/>
        <w:bidi w:val="0"/>
        <w:spacing w:before="0" w:after="240"/>
        <w:jc w:val="both"/>
        <w:rPr/>
      </w:pPr>
      <w:r>
        <w:rPr>
          <w:color w:val="000000"/>
        </w:rPr>
        <w:t>“</w:t>
      </w:r>
      <w:r>
        <w:rPr>
          <w:rFonts w:ascii="Times New Roman" w:hAnsi="Times New Roman"/>
          <w:color w:val="000000"/>
          <w:sz w:val="24"/>
          <w:u w:val="single"/>
        </w:rPr>
        <w:t>Cram Down Loss</w:t>
      </w:r>
      <w:r>
        <w:rPr>
          <w:rFonts w:ascii="Times New Roman" w:hAnsi="Times New Roman"/>
          <w:color w:val="000000"/>
          <w:sz w:val="20"/>
        </w:rPr>
        <w:t xml:space="preserve">” </w:t>
      </w:r>
      <w:r>
        <w:rPr>
          <w:rFonts w:ascii="Times New Roman" w:hAnsi="Times New Roman"/>
          <w:color w:val="000000"/>
          <w:sz w:val="24"/>
        </w:rPr>
        <w:t>means, with respect to a Receivable, if a court of appropriate jurisdiction in an Insolvency Proceeding shall have issued an order reducing the amount owed on a Receivable or otherwise modifying or restructuring Scheduled Payments to be made on a Receivable, an amount equal to such reduction in the Principal Balance of such Receivable or the reduction in the net present value (using as the discount rate the lower of the contract rate or the rate of interest specified by the court in such order) of the Scheduled Payments as so modified or restructured. A “Cram Down Loss” shall be deemed to have occurred on the date such order is entered.</w:t>
      </w:r>
    </w:p>
    <w:p>
      <w:pPr>
        <w:pStyle w:val="TextBody"/>
        <w:bidi w:val="0"/>
        <w:spacing w:before="0" w:after="240"/>
        <w:jc w:val="both"/>
        <w:rPr/>
      </w:pPr>
      <w:r>
        <w:rPr>
          <w:color w:val="000000"/>
        </w:rPr>
        <w:t>“</w:t>
      </w:r>
      <w:r>
        <w:rPr>
          <w:rFonts w:ascii="Times New Roman" w:hAnsi="Times New Roman"/>
          <w:color w:val="000000"/>
          <w:sz w:val="24"/>
          <w:u w:val="single"/>
        </w:rPr>
        <w:t>Credit and Collection Policy</w:t>
      </w:r>
      <w:r>
        <w:rPr>
          <w:rFonts w:ascii="Times New Roman" w:hAnsi="Times New Roman"/>
          <w:color w:val="000000"/>
          <w:sz w:val="20"/>
        </w:rPr>
        <w:t xml:space="preserve">” </w:t>
      </w:r>
      <w:r>
        <w:rPr>
          <w:rFonts w:ascii="Times New Roman" w:hAnsi="Times New Roman"/>
          <w:color w:val="000000"/>
          <w:sz w:val="24"/>
        </w:rPr>
        <w:t>means, with respect to the initial Servicer, the credit and collection policies of the Servicer or, with respect to any Successor Servicer, the customary credit and collection policies of such Successor Servicer. The Credit and Collection Policy, as in effect on the Closing Date, [***].</w:t>
      </w:r>
    </w:p>
    <w:p>
      <w:pPr>
        <w:pStyle w:val="TextBody"/>
        <w:bidi w:val="0"/>
        <w:spacing w:before="0" w:after="240"/>
        <w:jc w:val="both"/>
        <w:rPr/>
      </w:pPr>
      <w:r>
        <w:rPr>
          <w:color w:val="000000"/>
        </w:rPr>
        <w:t>“</w:t>
      </w:r>
      <w:r>
        <w:rPr>
          <w:rFonts w:ascii="Times New Roman" w:hAnsi="Times New Roman"/>
          <w:color w:val="000000"/>
          <w:sz w:val="24"/>
          <w:u w:val="single"/>
        </w:rPr>
        <w:t>Credit Enhancement Percentage</w:t>
      </w:r>
      <w:r>
        <w:rPr>
          <w:rFonts w:ascii="Times New Roman" w:hAnsi="Times New Roman"/>
          <w:color w:val="000000"/>
          <w:sz w:val="20"/>
        </w:rPr>
        <w:t xml:space="preserve">” </w:t>
      </w:r>
      <w:r>
        <w:rPr>
          <w:rFonts w:ascii="Times New Roman" w:hAnsi="Times New Roman"/>
          <w:color w:val="000000"/>
          <w:sz w:val="24"/>
        </w:rPr>
        <w:t>means, with respect to a Collection Period, a fraction (expressed as a percentage) the numerator of which is an amount equal to the Aggregate Net Principal Balance minus the Loans Outstanding, in each case, as of the close of business on the last day of such Collection Period and the denominator of which is an amount equal to the Aggregate Net Principal Balance as of the close of business on the last day of such Collection Period.</w:t>
      </w:r>
    </w:p>
    <w:p>
      <w:pPr>
        <w:pStyle w:val="TextBody"/>
        <w:bidi w:val="0"/>
        <w:spacing w:before="0" w:after="240"/>
        <w:jc w:val="both"/>
        <w:rPr/>
      </w:pPr>
      <w:r>
        <w:rPr>
          <w:color w:val="000000"/>
        </w:rPr>
        <w:t>“</w:t>
      </w:r>
      <w:r>
        <w:rPr>
          <w:rFonts w:ascii="Times New Roman" w:hAnsi="Times New Roman"/>
          <w:color w:val="000000"/>
          <w:sz w:val="24"/>
          <w:u w:val="single"/>
        </w:rPr>
        <w:t>Credit Facility</w:t>
      </w:r>
      <w:r>
        <w:rPr>
          <w:rFonts w:ascii="Times New Roman" w:hAnsi="Times New Roman"/>
          <w:color w:val="000000"/>
          <w:sz w:val="20"/>
        </w:rPr>
        <w:t xml:space="preserve">” </w:t>
      </w:r>
      <w:r>
        <w:rPr>
          <w:rFonts w:ascii="Times New Roman" w:hAnsi="Times New Roman"/>
          <w:color w:val="000000"/>
          <w:sz w:val="24"/>
        </w:rPr>
        <w:t>means any of the committed loan facilities, lines of credit, letters of credit and other forms of credit enhancement available to the Conduit Lenders that are not Liquidity Facilities.</w:t>
      </w:r>
    </w:p>
    <w:p>
      <w:pPr>
        <w:pStyle w:val="TextBody"/>
        <w:bidi w:val="0"/>
        <w:spacing w:before="0" w:after="240"/>
        <w:jc w:val="both"/>
        <w:rPr/>
      </w:pPr>
      <w:r>
        <w:rPr>
          <w:color w:val="000000"/>
        </w:rPr>
        <w:t>“</w:t>
      </w:r>
      <w:r>
        <w:rPr>
          <w:rFonts w:ascii="Times New Roman" w:hAnsi="Times New Roman"/>
          <w:color w:val="000000"/>
          <w:sz w:val="24"/>
          <w:u w:val="single"/>
        </w:rPr>
        <w:t>Credit Provider</w:t>
      </w:r>
      <w:r>
        <w:rPr>
          <w:rFonts w:ascii="Times New Roman" w:hAnsi="Times New Roman"/>
          <w:color w:val="000000"/>
          <w:sz w:val="20"/>
        </w:rPr>
        <w:t xml:space="preserve">” </w:t>
      </w:r>
      <w:r>
        <w:rPr>
          <w:rFonts w:ascii="Times New Roman" w:hAnsi="Times New Roman"/>
          <w:color w:val="000000"/>
          <w:sz w:val="24"/>
        </w:rPr>
        <w:t>means any provider of a Credit Facility or a Liquidity Facility.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Custodian</w:t>
      </w:r>
      <w:r>
        <w:rPr>
          <w:rFonts w:ascii="Times New Roman" w:hAnsi="Times New Roman"/>
          <w:color w:val="000000"/>
          <w:sz w:val="20"/>
        </w:rPr>
        <w:t xml:space="preserve">” </w:t>
      </w:r>
      <w:r>
        <w:rPr>
          <w:rFonts w:ascii="Times New Roman" w:hAnsi="Times New Roman"/>
          <w:color w:val="000000"/>
          <w:sz w:val="24"/>
        </w:rPr>
        <w:t>means, (i) so long as no Custodian Termination Event has occurred, UACC, acting directly as Custodian and/or [***] as an agent of UACC, and (ii) following the occurrence of a Custodian Termination Event, [***] or a different successor custodian appointed pursuant to Section 7.19(g).</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Custodian Fee</w:t>
      </w:r>
      <w:r>
        <w:rPr>
          <w:rFonts w:ascii="Times New Roman" w:hAnsi="Times New Roman"/>
          <w:color w:val="000000"/>
          <w:sz w:val="20"/>
        </w:rPr>
        <w:t xml:space="preserve">” </w:t>
      </w:r>
      <w:r>
        <w:rPr>
          <w:rFonts w:ascii="Times New Roman" w:hAnsi="Times New Roman"/>
          <w:color w:val="000000"/>
          <w:sz w:val="24"/>
        </w:rPr>
        <w:t>means the fee payable to the Custodian on each Payment Date in accordance with Section 2.12(b), in an amount equal to, if the Custodian is (i) UACC, $0 (as the Servicing Fee covers the compensation of UACC as Custodian), and (ii) any entity other than UACC, the amount agreed upon by such Custodian, the Borrower and the Administrative Agent.</w:t>
      </w:r>
    </w:p>
    <w:p>
      <w:pPr>
        <w:pStyle w:val="TextBody"/>
        <w:bidi w:val="0"/>
        <w:spacing w:before="0" w:after="240"/>
        <w:jc w:val="both"/>
        <w:rPr/>
      </w:pPr>
      <w:r>
        <w:rPr>
          <w:color w:val="000000"/>
        </w:rPr>
        <w:t>“</w:t>
      </w:r>
      <w:r>
        <w:rPr>
          <w:rFonts w:ascii="Times New Roman" w:hAnsi="Times New Roman"/>
          <w:color w:val="000000"/>
          <w:sz w:val="24"/>
          <w:u w:val="single"/>
        </w:rPr>
        <w:t>Custodian Termination Event</w:t>
      </w:r>
      <w:r>
        <w:rPr>
          <w:rFonts w:ascii="Times New Roman" w:hAnsi="Times New Roman"/>
          <w:color w:val="000000"/>
          <w:sz w:val="20"/>
        </w:rPr>
        <w:t xml:space="preserve">” </w:t>
      </w:r>
      <w:r>
        <w:rPr>
          <w:rFonts w:ascii="Times New Roman" w:hAnsi="Times New Roman"/>
          <w:color w:val="000000"/>
          <w:sz w:val="24"/>
        </w:rPr>
        <w:t>means [***]</w:t>
      </w:r>
    </w:p>
    <w:p>
      <w:pPr>
        <w:pStyle w:val="TextBody"/>
        <w:bidi w:val="0"/>
        <w:spacing w:before="0" w:after="240"/>
        <w:jc w:val="both"/>
        <w:rPr/>
      </w:pPr>
      <w:r>
        <w:rPr>
          <w:color w:val="000000"/>
        </w:rPr>
        <w:t>“</w:t>
      </w:r>
      <w:r>
        <w:rPr>
          <w:rFonts w:ascii="Times New Roman" w:hAnsi="Times New Roman"/>
          <w:color w:val="000000"/>
          <w:sz w:val="24"/>
          <w:u w:val="single"/>
        </w:rPr>
        <w:t>Cutoff Date</w:t>
      </w:r>
      <w:r>
        <w:rPr>
          <w:rFonts w:ascii="Times New Roman" w:hAnsi="Times New Roman"/>
          <w:color w:val="000000"/>
          <w:sz w:val="20"/>
        </w:rPr>
        <w:t xml:space="preserve">” </w:t>
      </w:r>
      <w:r>
        <w:rPr>
          <w:rFonts w:ascii="Times New Roman" w:hAnsi="Times New Roman"/>
          <w:color w:val="000000"/>
          <w:sz w:val="24"/>
        </w:rPr>
        <w:t>means, with respect to Receivables transferred to the Borrower on each Funding Date, the last day of the most recently ended Collection Period.</w:t>
      </w:r>
    </w:p>
    <w:p>
      <w:pPr>
        <w:pStyle w:val="TextBody"/>
        <w:bidi w:val="0"/>
        <w:spacing w:before="0" w:after="240"/>
        <w:jc w:val="both"/>
        <w:rPr/>
      </w:pPr>
      <w:r>
        <w:rPr>
          <w:color w:val="000000"/>
        </w:rPr>
        <w:t>“</w:t>
      </w:r>
      <w:r>
        <w:rPr>
          <w:rFonts w:ascii="Times New Roman" w:hAnsi="Times New Roman"/>
          <w:color w:val="000000"/>
          <w:sz w:val="24"/>
          <w:u w:val="single"/>
        </w:rPr>
        <w:t>Daily Simple SOFR</w:t>
      </w:r>
      <w:r>
        <w:rPr>
          <w:rFonts w:ascii="Times New Roman" w:hAnsi="Times New Roman"/>
          <w:color w:val="000000"/>
          <w:sz w:val="20"/>
        </w:rPr>
        <w:t xml:space="preserve">” </w:t>
      </w:r>
      <w:r>
        <w:rPr>
          <w:rFonts w:ascii="Times New Roman" w:hAnsi="Times New Roman"/>
          <w:color w:val="000000"/>
          <w:sz w:val="24"/>
        </w:rPr>
        <w:t>means, for any day (a “</w:t>
      </w:r>
      <w:r>
        <w:rPr>
          <w:rFonts w:ascii="Times New Roman" w:hAnsi="Times New Roman"/>
          <w:color w:val="000000"/>
          <w:sz w:val="24"/>
          <w:u w:val="single"/>
        </w:rPr>
        <w:t>SOFR Rate Day</w:t>
      </w:r>
      <w:r>
        <w:rPr>
          <w:rFonts w:ascii="Times New Roman" w:hAnsi="Times New Roman"/>
          <w:color w:val="000000"/>
          <w:sz w:val="20"/>
        </w:rPr>
        <w:t>”</w:t>
      </w:r>
      <w:r>
        <w:rPr>
          <w:rFonts w:ascii="Times New Roman" w:hAnsi="Times New Roman"/>
          <w:color w:val="000000"/>
          <w:sz w:val="24"/>
        </w:rPr>
        <w:t>), a rate per annum equal to SOFR for the day (such day “</w:t>
      </w:r>
      <w:r>
        <w:rPr>
          <w:rFonts w:ascii="Times New Roman" w:hAnsi="Times New Roman"/>
          <w:color w:val="000000"/>
          <w:sz w:val="24"/>
          <w:u w:val="single"/>
        </w:rPr>
        <w:t>SOFR Determination Date</w:t>
      </w:r>
      <w:r>
        <w:rPr>
          <w:rFonts w:ascii="Times New Roman" w:hAnsi="Times New Roman"/>
          <w:color w:val="000000"/>
          <w:sz w:val="20"/>
        </w:rPr>
        <w:t>”</w:t>
      </w:r>
      <w:r>
        <w:rPr>
          <w:rFonts w:ascii="Times New Roman" w:hAnsi="Times New Roman"/>
          <w:color w:val="000000"/>
          <w:sz w:val="24"/>
        </w:rPr>
        <w:t>)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pStyle w:val="TextBody"/>
        <w:bidi w:val="0"/>
        <w:spacing w:before="0" w:after="240"/>
        <w:jc w:val="both"/>
        <w:rPr/>
      </w:pPr>
      <w:r>
        <w:rPr>
          <w:color w:val="000000"/>
        </w:rPr>
        <w:t>“</w:t>
      </w:r>
      <w:r>
        <w:rPr>
          <w:rFonts w:ascii="Times New Roman" w:hAnsi="Times New Roman"/>
          <w:color w:val="000000"/>
          <w:sz w:val="24"/>
          <w:u w:val="single"/>
        </w:rPr>
        <w:t>Dealer</w:t>
      </w:r>
      <w:r>
        <w:rPr>
          <w:rFonts w:ascii="Times New Roman" w:hAnsi="Times New Roman"/>
          <w:color w:val="000000"/>
          <w:sz w:val="20"/>
        </w:rPr>
        <w:t xml:space="preserve">” </w:t>
      </w:r>
      <w:r>
        <w:rPr>
          <w:rFonts w:ascii="Times New Roman" w:hAnsi="Times New Roman"/>
          <w:color w:val="000000"/>
          <w:sz w:val="24"/>
        </w:rPr>
        <w:t>means a franchised or independently owned automobile dealer that sold a Financed Vehicle to an Obligor and through which the Contract and related Receivable were originated by the Dealer, which Contract and Receivable were assigned by such Dealer to the Originator pursuant to the related Dealer Agreement, were assigned by the Originator to the Borrower pursuant to the Purchase Agreement and are collaterally assigned to the Administrative Agent hereunder.</w:t>
      </w:r>
    </w:p>
    <w:p>
      <w:pPr>
        <w:pStyle w:val="TextBody"/>
        <w:bidi w:val="0"/>
        <w:spacing w:before="0" w:after="240"/>
        <w:jc w:val="both"/>
        <w:rPr/>
      </w:pPr>
      <w:r>
        <w:rPr>
          <w:color w:val="000000"/>
        </w:rPr>
        <w:t>“</w:t>
      </w:r>
      <w:r>
        <w:rPr>
          <w:rFonts w:ascii="Times New Roman" w:hAnsi="Times New Roman"/>
          <w:color w:val="000000"/>
          <w:sz w:val="24"/>
          <w:u w:val="single"/>
        </w:rPr>
        <w:t>Dealer Agreement</w:t>
      </w:r>
      <w:r>
        <w:rPr>
          <w:rFonts w:ascii="Times New Roman" w:hAnsi="Times New Roman"/>
          <w:color w:val="000000"/>
          <w:sz w:val="20"/>
        </w:rPr>
        <w:t xml:space="preserve">” </w:t>
      </w:r>
      <w:r>
        <w:rPr>
          <w:rFonts w:ascii="Times New Roman" w:hAnsi="Times New Roman"/>
          <w:color w:val="000000"/>
          <w:sz w:val="24"/>
        </w:rPr>
        <w:t>means an existing agreement between a Dealer and the Originator regarding the terms and conditions of the acquisition by the Originator from such Dealer of Contracts and the related Receivables, which agreement includes (i) certain representations, warranties and covenants of such Dealer with respect to the Contracts and related Receivables sold by such Dealer, including that such Dealer has all applicable licenses and approvals to originate Receivables that are Eligible Receivables, and (ii) the agreement of such Dealer to repurchase Contracts and any related Receivable with respect to which one or more of such representations and warranties has been breached.</w:t>
      </w:r>
    </w:p>
    <w:p>
      <w:pPr>
        <w:pStyle w:val="TextBody"/>
        <w:bidi w:val="0"/>
        <w:spacing w:before="0" w:after="240"/>
        <w:jc w:val="both"/>
        <w:rPr/>
      </w:pPr>
      <w:r>
        <w:rPr>
          <w:color w:val="000000"/>
        </w:rPr>
        <w:t>“</w:t>
      </w:r>
      <w:r>
        <w:rPr>
          <w:rFonts w:ascii="Times New Roman" w:hAnsi="Times New Roman"/>
          <w:color w:val="000000"/>
          <w:sz w:val="24"/>
          <w:u w:val="single"/>
        </w:rPr>
        <w:t>Default Rate</w:t>
      </w:r>
      <w:r>
        <w:rPr>
          <w:rFonts w:ascii="Times New Roman" w:hAnsi="Times New Roman"/>
          <w:color w:val="000000"/>
          <w:sz w:val="20"/>
        </w:rPr>
        <w:t xml:space="preserve">” </w:t>
      </w:r>
      <w:r>
        <w:rPr>
          <w:rFonts w:ascii="Times New Roman" w:hAnsi="Times New Roman"/>
          <w:color w:val="000000"/>
          <w:sz w:val="24"/>
        </w:rPr>
        <w:t>means, on any day, the Alternate Base Rate on such day plus [***]</w:t>
      </w:r>
    </w:p>
    <w:p>
      <w:pPr>
        <w:pStyle w:val="TextBody"/>
        <w:bidi w:val="0"/>
        <w:spacing w:before="0" w:after="240"/>
        <w:jc w:val="both"/>
        <w:rPr/>
      </w:pPr>
      <w:r>
        <w:rPr>
          <w:color w:val="000000"/>
        </w:rPr>
        <w:t>“</w:t>
      </w:r>
      <w:r>
        <w:rPr>
          <w:rFonts w:ascii="Times New Roman" w:hAnsi="Times New Roman"/>
          <w:color w:val="000000"/>
          <w:sz w:val="24"/>
          <w:u w:val="single"/>
        </w:rPr>
        <w:t>Defaulted Receivable</w:t>
      </w:r>
      <w:r>
        <w:rPr>
          <w:rFonts w:ascii="Times New Roman" w:hAnsi="Times New Roman"/>
          <w:color w:val="000000"/>
          <w:sz w:val="20"/>
        </w:rPr>
        <w:t xml:space="preserve">” </w:t>
      </w:r>
      <w:r>
        <w:rPr>
          <w:rFonts w:ascii="Times New Roman" w:hAnsi="Times New Roman"/>
          <w:color w:val="000000"/>
          <w:sz w:val="24"/>
        </w:rPr>
        <w:t>means, as of any Determination Date, any Receivable (i) with respect to which more than [***] of any Scheduled Payment remains unpaid for more than [***] days after the related due date and for which the related Financed Vehicle has not been repossessed, (ii) with respect to which [***] days have elapsed since the related Financed Vehicle was repossessed and any applicable redemption period has expired or (iii) that is a Charged-off Receivable.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Delinquency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percentage equivalent of a fraction, (i) the numerator of which equals the aggregate Principal Balance of all Delinquent Receivables as of the related Determination Date and (ii)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denominator of which equals the aggregate Principal Balance of all Eligible Receivables as of such Determination Date.</w:t>
      </w:r>
    </w:p>
    <w:p>
      <w:pPr>
        <w:pStyle w:val="TextBody"/>
        <w:bidi w:val="0"/>
        <w:spacing w:before="0" w:after="240"/>
        <w:jc w:val="both"/>
        <w:rPr/>
      </w:pPr>
      <w:r>
        <w:rPr>
          <w:color w:val="000000"/>
        </w:rPr>
        <w:t>“</w:t>
      </w:r>
      <w:r>
        <w:rPr>
          <w:rFonts w:ascii="Times New Roman" w:hAnsi="Times New Roman"/>
          <w:color w:val="000000"/>
          <w:sz w:val="24"/>
          <w:u w:val="single"/>
        </w:rPr>
        <w:t>Delinquent Receivable</w:t>
      </w:r>
      <w:r>
        <w:rPr>
          <w:rFonts w:ascii="Times New Roman" w:hAnsi="Times New Roman"/>
          <w:color w:val="000000"/>
          <w:sz w:val="20"/>
        </w:rPr>
        <w:t xml:space="preserve">” </w:t>
      </w:r>
      <w:r>
        <w:rPr>
          <w:rFonts w:ascii="Times New Roman" w:hAnsi="Times New Roman"/>
          <w:color w:val="000000"/>
          <w:sz w:val="24"/>
        </w:rPr>
        <w:t>means any Receivable, other than a Defaulted Receivable, with respect to which more than [***] of any Scheduled Payment remains unpaid for more than [***] days after the related due date as of any Determination Date and for which the related Financed Vehicle has not been repossessed.</w:t>
      </w:r>
    </w:p>
    <w:p>
      <w:pPr>
        <w:pStyle w:val="TextBody"/>
        <w:bidi w:val="0"/>
        <w:spacing w:before="0" w:after="240"/>
        <w:jc w:val="both"/>
        <w:rPr/>
      </w:pPr>
      <w:r>
        <w:rPr>
          <w:color w:val="000000"/>
        </w:rPr>
        <w:t>“</w:t>
      </w:r>
      <w:r>
        <w:rPr>
          <w:rFonts w:ascii="Times New Roman" w:hAnsi="Times New Roman"/>
          <w:color w:val="000000"/>
          <w:sz w:val="24"/>
          <w:u w:val="single"/>
        </w:rPr>
        <w:t>Designated Persons</w:t>
      </w:r>
      <w:r>
        <w:rPr>
          <w:rFonts w:ascii="Times New Roman" w:hAnsi="Times New Roman"/>
          <w:color w:val="000000"/>
          <w:sz w:val="20"/>
        </w:rPr>
        <w:t xml:space="preserve">” </w:t>
      </w:r>
      <w:r>
        <w:rPr>
          <w:rFonts w:ascii="Times New Roman" w:hAnsi="Times New Roman"/>
          <w:color w:val="000000"/>
          <w:sz w:val="24"/>
        </w:rPr>
        <w:t>means a person or entity: (i) listed in the annex to, or otherwise the subject of the provisions of, any Executive Order; (ii) named as a “Specially Designated National and Blocked Person” (“</w:t>
      </w:r>
      <w:r>
        <w:rPr>
          <w:rFonts w:ascii="Times New Roman" w:hAnsi="Times New Roman"/>
          <w:color w:val="000000"/>
          <w:sz w:val="24"/>
          <w:u w:val="single"/>
        </w:rPr>
        <w:t>SDN</w:t>
      </w:r>
      <w:r>
        <w:rPr>
          <w:rFonts w:ascii="Times New Roman" w:hAnsi="Times New Roman"/>
          <w:color w:val="000000"/>
          <w:sz w:val="20"/>
        </w:rPr>
        <w:t>”</w:t>
      </w:r>
      <w:r>
        <w:rPr>
          <w:rFonts w:ascii="Times New Roman" w:hAnsi="Times New Roman"/>
          <w:color w:val="000000"/>
          <w:sz w:val="24"/>
        </w:rPr>
        <w:t>) on the most current list published by OFAC at its official website or any replacement website or other replacement official publication of such list (“</w:t>
      </w:r>
      <w:r>
        <w:rPr>
          <w:rFonts w:ascii="Times New Roman" w:hAnsi="Times New Roman"/>
          <w:color w:val="000000"/>
          <w:sz w:val="24"/>
          <w:u w:val="single"/>
        </w:rPr>
        <w:t>SDN List</w:t>
      </w:r>
      <w:r>
        <w:rPr>
          <w:rFonts w:ascii="Times New Roman" w:hAnsi="Times New Roman"/>
          <w:color w:val="000000"/>
          <w:sz w:val="20"/>
        </w:rPr>
        <w:t>”</w:t>
      </w:r>
      <w:r>
        <w:rPr>
          <w:rFonts w:ascii="Times New Roman" w:hAnsi="Times New Roman"/>
          <w:color w:val="000000"/>
          <w:sz w:val="24"/>
        </w:rPr>
        <w:t>) or is otherwise the subject of any Sanctions Laws and Regulations; or (iii) in which an entity or person on the SDN List has 50% or greater ownership interest or that is otherwise controlled by an SDN.</w:t>
      </w:r>
    </w:p>
    <w:p>
      <w:pPr>
        <w:pStyle w:val="TextBody"/>
        <w:bidi w:val="0"/>
        <w:spacing w:before="0" w:after="240"/>
        <w:jc w:val="both"/>
        <w:rPr/>
      </w:pPr>
      <w:r>
        <w:rPr>
          <w:color w:val="000000"/>
        </w:rPr>
        <w:t>“</w:t>
      </w:r>
      <w:r>
        <w:rPr>
          <w:rFonts w:ascii="Times New Roman" w:hAnsi="Times New Roman"/>
          <w:color w:val="000000"/>
          <w:sz w:val="24"/>
          <w:u w:val="single"/>
        </w:rPr>
        <w:t>Determination Date</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last day of such Collection Period.</w:t>
      </w:r>
    </w:p>
    <w:p>
      <w:pPr>
        <w:pStyle w:val="TextBody"/>
        <w:bidi w:val="0"/>
        <w:spacing w:before="0" w:after="240"/>
        <w:jc w:val="both"/>
        <w:rPr/>
      </w:pPr>
      <w:r>
        <w:rPr>
          <w:color w:val="000000"/>
        </w:rPr>
        <w:t>“</w:t>
      </w:r>
      <w:r>
        <w:rPr>
          <w:rFonts w:ascii="Times New Roman" w:hAnsi="Times New Roman"/>
          <w:color w:val="000000"/>
          <w:sz w:val="24"/>
          <w:u w:val="single"/>
        </w:rPr>
        <w:t>Dissenting Lender</w:t>
      </w:r>
      <w:r>
        <w:rPr>
          <w:rFonts w:ascii="Times New Roman" w:hAnsi="Times New Roman"/>
          <w:color w:val="000000"/>
          <w:sz w:val="20"/>
        </w:rPr>
        <w:t xml:space="preserve">” </w:t>
      </w:r>
      <w:r>
        <w:rPr>
          <w:rFonts w:ascii="Times New Roman" w:hAnsi="Times New Roman"/>
          <w:color w:val="000000"/>
          <w:sz w:val="24"/>
        </w:rPr>
        <w:t>means a Non-Extending Lender from the date of its refusal notice or the end of the Election Period.</w:t>
      </w:r>
    </w:p>
    <w:p>
      <w:pPr>
        <w:pStyle w:val="TextBody"/>
        <w:bidi w:val="0"/>
        <w:spacing w:before="0" w:after="240"/>
        <w:jc w:val="both"/>
        <w:rPr/>
      </w:pPr>
      <w:r>
        <w:rPr>
          <w:color w:val="000000"/>
        </w:rPr>
        <w:t>“</w:t>
      </w:r>
      <w:r>
        <w:rPr>
          <w:rFonts w:ascii="Times New Roman" w:hAnsi="Times New Roman"/>
          <w:color w:val="000000"/>
          <w:sz w:val="24"/>
          <w:u w:val="single"/>
        </w:rPr>
        <w:t>Dollars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w:t>
      </w:r>
      <w:r>
        <w:rPr>
          <w:rFonts w:ascii="Times New Roman" w:hAnsi="Times New Roman"/>
          <w:color w:val="000000"/>
          <w:sz w:val="20"/>
        </w:rPr>
        <w:t xml:space="preserve">” </w:t>
      </w:r>
      <w:r>
        <w:rPr>
          <w:rFonts w:ascii="Times New Roman" w:hAnsi="Times New Roman"/>
          <w:color w:val="000000"/>
          <w:sz w:val="24"/>
        </w:rPr>
        <w:t>means the lawful currency of the United States.</w:t>
      </w:r>
    </w:p>
    <w:p>
      <w:pPr>
        <w:pStyle w:val="TextBody"/>
        <w:bidi w:val="0"/>
        <w:spacing w:before="0" w:after="240"/>
        <w:jc w:val="both"/>
        <w:rPr/>
      </w:pPr>
      <w:r>
        <w:rPr>
          <w:color w:val="000000"/>
        </w:rPr>
        <w:t>“</w:t>
      </w:r>
      <w:r>
        <w:rPr>
          <w:rFonts w:ascii="Times New Roman" w:hAnsi="Times New Roman"/>
          <w:color w:val="000000"/>
          <w:sz w:val="24"/>
          <w:u w:val="single"/>
        </w:rPr>
        <w:t>Drawn Liquidity Rate</w:t>
      </w:r>
      <w:r>
        <w:rPr>
          <w:rFonts w:ascii="Times New Roman" w:hAnsi="Times New Roman"/>
          <w:color w:val="000000"/>
          <w:sz w:val="20"/>
        </w:rPr>
        <w:t xml:space="preserve">” </w:t>
      </w:r>
      <w:r>
        <w:rPr>
          <w:rFonts w:ascii="Times New Roman" w:hAnsi="Times New Roman"/>
          <w:color w:val="000000"/>
          <w:sz w:val="24"/>
        </w:rPr>
        <w:t>means, on any day, the sum of the Adjusted Daily Simple SOFR for such day and [***]</w:t>
      </w:r>
    </w:p>
    <w:p>
      <w:pPr>
        <w:pStyle w:val="TextBody"/>
        <w:bidi w:val="0"/>
        <w:spacing w:before="0" w:after="24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Early Amortization Event</w:t>
      </w:r>
      <w:r>
        <w:rPr>
          <w:rFonts w:ascii="Times New Roman" w:hAnsi="Times New Roman"/>
          <w:color w:val="000000"/>
          <w:sz w:val="2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Election Period</w:t>
      </w:r>
      <w:r>
        <w:rPr>
          <w:rFonts w:ascii="Times New Roman" w:hAnsi="Times New Roman"/>
          <w:color w:val="000000"/>
          <w:sz w:val="20"/>
        </w:rPr>
        <w:t xml:space="preserve">” </w:t>
      </w:r>
      <w:r>
        <w:rPr>
          <w:rFonts w:ascii="Times New Roman" w:hAnsi="Times New Roman"/>
          <w:color w:val="000000"/>
          <w:sz w:val="24"/>
        </w:rPr>
        <w:t>means the 60</w:t>
        <w:noBreakHyphen/>
        <w:t>day period following the date of a request for an extension pursuant to Section 2.04(a).</w:t>
      </w:r>
    </w:p>
    <w:p>
      <w:pPr>
        <w:pStyle w:val="TextBody"/>
        <w:bidi w:val="0"/>
        <w:spacing w:before="0" w:after="240"/>
        <w:jc w:val="both"/>
        <w:rPr/>
      </w:pPr>
      <w:r>
        <w:rPr>
          <w:color w:val="000000"/>
        </w:rPr>
        <w:t>“</w:t>
      </w:r>
      <w:r>
        <w:rPr>
          <w:rFonts w:ascii="Times New Roman" w:hAnsi="Times New Roman"/>
          <w:color w:val="000000"/>
          <w:sz w:val="24"/>
          <w:u w:val="single"/>
        </w:rPr>
        <w:t>Eligible Assignee</w:t>
      </w:r>
      <w:r>
        <w:rPr>
          <w:rFonts w:ascii="Times New Roman" w:hAnsi="Times New Roman"/>
          <w:color w:val="000000"/>
          <w:sz w:val="20"/>
        </w:rPr>
        <w:t xml:space="preserve">” </w:t>
      </w:r>
      <w:r>
        <w:rPr>
          <w:rFonts w:ascii="Times New Roman" w:hAnsi="Times New Roman"/>
          <w:color w:val="000000"/>
          <w:sz w:val="24"/>
        </w:rPr>
        <w:t>means a Person (i) whose short-term rating is at least A</w:t>
        <w:noBreakHyphen/>
        <w:t>1 from Standard &amp; Poor’s and Prime</w:t>
        <w:noBreakHyphen/>
        <w:t>1 from Moody’s, or whose obligations under this Agreement are guaranteed by a Person whose short-term rating is at least A</w:t>
        <w:noBreakHyphen/>
        <w:t>1 from Standard &amp; Poor’s and Prime</w:t>
        <w:noBreakHyphen/>
        <w:t>1 from Moody’s, (ii) who is either a multi-seller commercial paper conduit or an Affiliate of a Lender, an Agent or the Administrative Agent or (iii) who is acceptable to the Administrative Agent; provided that, so long as no Early Amortization Event, Termination Event or Servicer Termination Event has occurred and is continuing, such Person, if not an Affiliate of the Lender, an Agent or the Administrative Agent, shall be acceptable to the Borrower.</w:t>
      </w:r>
    </w:p>
    <w:p>
      <w:pPr>
        <w:pStyle w:val="TextBody"/>
        <w:bidi w:val="0"/>
        <w:spacing w:before="0" w:after="240"/>
        <w:jc w:val="both"/>
        <w:rPr/>
      </w:pPr>
      <w:r>
        <w:rPr>
          <w:color w:val="000000"/>
        </w:rPr>
        <w:t>“</w:t>
      </w:r>
      <w:r>
        <w:rPr>
          <w:rFonts w:ascii="Times New Roman" w:hAnsi="Times New Roman"/>
          <w:color w:val="000000"/>
          <w:sz w:val="24"/>
          <w:u w:val="single"/>
        </w:rPr>
        <w:t>Eligible Commercial Vehicle</w:t>
      </w:r>
      <w:r>
        <w:rPr>
          <w:rFonts w:ascii="Times New Roman" w:hAnsi="Times New Roman"/>
          <w:color w:val="000000"/>
          <w:sz w:val="20"/>
        </w:rPr>
        <w:t xml:space="preserve">” </w:t>
      </w:r>
      <w:r>
        <w:rPr>
          <w:rFonts w:ascii="Times New Roman" w:hAnsi="Times New Roman"/>
          <w:color w:val="000000"/>
          <w:sz w:val="24"/>
        </w:rPr>
        <w:t>means a truck that satisfies the criteria specified on Schedule F hereto.</w:t>
      </w:r>
    </w:p>
    <w:p>
      <w:pPr>
        <w:pStyle w:val="TextBody"/>
        <w:bidi w:val="0"/>
        <w:spacing w:before="0" w:after="240"/>
        <w:jc w:val="both"/>
        <w:rPr/>
      </w:pPr>
      <w:r>
        <w:rPr>
          <w:color w:val="000000"/>
        </w:rPr>
        <w:t>“</w:t>
      </w:r>
      <w:r>
        <w:rPr>
          <w:rFonts w:ascii="Times New Roman" w:hAnsi="Times New Roman"/>
          <w:color w:val="000000"/>
          <w:sz w:val="24"/>
          <w:u w:val="single"/>
        </w:rPr>
        <w:t>Eligible Counterparty</w:t>
      </w:r>
      <w:r>
        <w:rPr>
          <w:rFonts w:ascii="Times New Roman" w:hAnsi="Times New Roman"/>
          <w:color w:val="000000"/>
          <w:sz w:val="20"/>
        </w:rPr>
        <w:t xml:space="preserve">” </w:t>
      </w:r>
      <w:r>
        <w:rPr>
          <w:rFonts w:ascii="Times New Roman" w:hAnsi="Times New Roman"/>
          <w:color w:val="000000"/>
          <w:sz w:val="24"/>
        </w:rPr>
        <w:t>means (a) [***] or (b) any entity that, on the date of entering into any Hedge Transaction (i) is an interest rate swap dealer that has been approved in writing by the Administrative Agent (which approval shall not be unreasonably withheld) and (ii) has each of the Long-Term Rating Requirement and the Short-Term Rating Requirement on such date.</w:t>
      </w:r>
    </w:p>
    <w:p>
      <w:pPr>
        <w:pStyle w:val="TextBody"/>
        <w:bidi w:val="0"/>
        <w:spacing w:before="0" w:after="240"/>
        <w:jc w:val="both"/>
        <w:rPr/>
      </w:pPr>
      <w:r>
        <w:rPr>
          <w:color w:val="000000"/>
        </w:rPr>
        <w:t>“</w:t>
      </w:r>
      <w:r>
        <w:rPr>
          <w:rFonts w:ascii="Times New Roman" w:hAnsi="Times New Roman"/>
          <w:color w:val="000000"/>
          <w:sz w:val="24"/>
          <w:u w:val="single"/>
        </w:rPr>
        <w:t>Eligible Receivable</w:t>
      </w:r>
      <w:r>
        <w:rPr>
          <w:rFonts w:ascii="Times New Roman" w:hAnsi="Times New Roman"/>
          <w:color w:val="000000"/>
          <w:sz w:val="20"/>
        </w:rPr>
        <w:t xml:space="preserve">” </w:t>
      </w:r>
      <w:r>
        <w:rPr>
          <w:rFonts w:ascii="Times New Roman" w:hAnsi="Times New Roman"/>
          <w:color w:val="000000"/>
          <w:sz w:val="24"/>
        </w:rPr>
        <w:t>means, on any day, any Receivable (i) for which the related Receivable File is in the possession of the Servicer or the Custodian, (ii) which is identified on the Schedule of Receivables delivered by the Borrower to the Administrative Agent as part of a Funding Request, (iii) which is not a 2025 Q3 Receivable and (iv) which satisfies each of the eligibility requirements set forth on Schedule B hereto.</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color w:val="000000"/>
          <w:sz w:val="24"/>
        </w:rPr>
        <w:t>means the Employee Retirement Income Security Act of 1974, and the regulations promulgated and rulings issued thereunder.</w:t>
      </w:r>
    </w:p>
    <w:p>
      <w:pPr>
        <w:pStyle w:val="TextBody"/>
        <w:bidi w:val="0"/>
        <w:spacing w:before="0" w:after="240"/>
        <w:jc w:val="both"/>
        <w:rPr/>
      </w:pPr>
      <w:r>
        <w:rPr>
          <w:color w:val="000000"/>
        </w:rPr>
        <w:t>“</w:t>
      </w:r>
      <w:r>
        <w:rPr>
          <w:rFonts w:ascii="Times New Roman" w:hAnsi="Times New Roman"/>
          <w:color w:val="000000"/>
          <w:sz w:val="24"/>
          <w:u w:val="single"/>
        </w:rPr>
        <w:t>ERISA Affiliate</w:t>
      </w:r>
      <w:r>
        <w:rPr>
          <w:rFonts w:ascii="Times New Roman" w:hAnsi="Times New Roman"/>
          <w:color w:val="000000"/>
          <w:sz w:val="20"/>
        </w:rPr>
        <w:t xml:space="preserve">” </w:t>
      </w:r>
      <w:r>
        <w:rPr>
          <w:rFonts w:ascii="Times New Roman" w:hAnsi="Times New Roman"/>
          <w:color w:val="000000"/>
          <w:sz w:val="24"/>
        </w:rPr>
        <w:t>means (i) any corporation which is a member of the same controlled group of corporations (within the meaning of Section 414(b) of the Code) as the Borrower, (ii) a trade or business (whether or not incorporated) under common control (within the meaning of Section 414(c) of the Code) with the Borrower or (iii) a member of the same affiliated service group (within the meaning of Section 414(m) of the Code) as the Borrower, any corporation described in clause (i) above or any trade or business described in clause (ii) above.</w:t>
      </w:r>
    </w:p>
    <w:p>
      <w:pPr>
        <w:pStyle w:val="TextBody"/>
        <w:bidi w:val="0"/>
        <w:spacing w:before="0" w:after="240"/>
        <w:jc w:val="both"/>
        <w:rPr/>
      </w:pPr>
      <w:r>
        <w:rPr>
          <w:color w:val="000000"/>
        </w:rPr>
        <w:t>“</w:t>
      </w:r>
      <w:r>
        <w:rPr>
          <w:rFonts w:ascii="Times New Roman" w:hAnsi="Times New Roman"/>
          <w:color w:val="000000"/>
          <w:sz w:val="24"/>
          <w:u w:val="single"/>
        </w:rPr>
        <w:t>Errors</w:t>
      </w:r>
      <w:r>
        <w:rPr>
          <w:rFonts w:ascii="Times New Roman" w:hAnsi="Times New Roman"/>
          <w:color w:val="000000"/>
          <w:sz w:val="20"/>
        </w:rPr>
        <w:t xml:space="preserve">” </w:t>
      </w:r>
      <w:r>
        <w:rPr>
          <w:rFonts w:ascii="Times New Roman" w:hAnsi="Times New Roman"/>
          <w:color w:val="000000"/>
          <w:sz w:val="24"/>
        </w:rPr>
        <w:t>has the meaning given to such term in Section 7.10(e).</w:t>
      </w:r>
    </w:p>
    <w:p>
      <w:pPr>
        <w:pStyle w:val="TextBody"/>
        <w:bidi w:val="0"/>
        <w:spacing w:before="0" w:after="240"/>
        <w:jc w:val="both"/>
        <w:rPr/>
      </w:pPr>
      <w:r>
        <w:rPr>
          <w:color w:val="000000"/>
        </w:rPr>
        <w:t>“</w:t>
      </w:r>
      <w:r>
        <w:rPr>
          <w:rFonts w:ascii="Times New Roman" w:hAnsi="Times New Roman"/>
          <w:color w:val="000000"/>
          <w:sz w:val="24"/>
          <w:u w:val="single"/>
        </w:rPr>
        <w:t>Eurodollars</w:t>
      </w:r>
      <w:r>
        <w:rPr>
          <w:rFonts w:ascii="Times New Roman" w:hAnsi="Times New Roman"/>
          <w:color w:val="000000"/>
          <w:sz w:val="20"/>
        </w:rPr>
        <w:t xml:space="preserve">” </w:t>
      </w:r>
      <w:r>
        <w:rPr>
          <w:rFonts w:ascii="Times New Roman" w:hAnsi="Times New Roman"/>
          <w:color w:val="000000"/>
          <w:sz w:val="24"/>
        </w:rPr>
        <w:t>means deposits in Dollars held in financial institutions outside of the United States.</w:t>
      </w:r>
    </w:p>
    <w:p>
      <w:pPr>
        <w:pStyle w:val="TextBody"/>
        <w:bidi w:val="0"/>
        <w:spacing w:before="0" w:after="240"/>
        <w:jc w:val="both"/>
        <w:rPr/>
      </w:pPr>
      <w:r>
        <w:rPr>
          <w:color w:val="000000"/>
        </w:rPr>
        <w:t>“</w:t>
      </w:r>
      <w:r>
        <w:rPr>
          <w:rFonts w:ascii="Times New Roman" w:hAnsi="Times New Roman"/>
          <w:color w:val="000000"/>
          <w:sz w:val="24"/>
          <w:u w:val="single"/>
        </w:rPr>
        <w:t>Excess Concentration Amount</w:t>
      </w:r>
      <w:r>
        <w:rPr>
          <w:rFonts w:ascii="Times New Roman" w:hAnsi="Times New Roman"/>
          <w:color w:val="000000"/>
          <w:sz w:val="20"/>
        </w:rPr>
        <w:t xml:space="preserve">” </w:t>
      </w:r>
      <w:r>
        <w:rPr>
          <w:rFonts w:ascii="Times New Roman" w:hAnsi="Times New Roman"/>
          <w:color w:val="000000"/>
          <w:sz w:val="24"/>
        </w:rPr>
        <w:t>means, with respect to any day, without duplication, the sum of the following amounts: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aggregate amount, with respect to each State, by which the aggregate Net Principal Balance of the Receivables (excluding any Receivables that are Portfolio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Purchase Receivables) owing from Obligors with billing addresses at origination in such State (other than any High Concentration State) exceeds [***] of the aggregate Net Principal Balance on such day;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amount by which the aggregate Net Principal Balance of the Receivables (excluding any Receivables that are Portfolio Purchase Receivables) owing from Obligors with billing addresses at origination in any individual High Concentration State exceeds [***] of the aggregate Net Principal Balance on such day;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amount by which the aggregate Net Principal Balance of the Receivables (excluding any Receivables that are Portfolio Purchase Receivables) owing from Obligors that had no credit bureau score at origination or a credit bureau score at origination equal to zero exceeds [***] of the aggregate Net Principal Balance on such day;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Net Principal Balance of the Eligible Receivables (excluding any Receivables that are Portfolio Purchase Receivables) on such day with original terms to maturity at origination greater than [***] months that would need to be excluded from the aggregate Net Principal Balance of all Eligible Receivables in order to cause the weighted average original term to maturity at origination of all remaining Eligible Receivables to be equal to or less th[***] 62 months;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amount by which the aggregate Net Principal Balance of the Receivables (excluding any Receivables that are Portfolio Purchase Receivables) related to Financed Vehicles with mileages at origination greater than [***] miles exceeds 17[***]f the aggregate Net Principal Balance on such day;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Net Principal Balance of the Eligible Receivables (excluding any Receivables that are Portfolio Purchase Receivables) on such day with discount percentages at origination greater than [***] that would need to be excluded from the aggregate Net Principal Balance of all Eligible Receivables in order to cause the weighted average discount percentage at origination of all remaining Eligible Receivables to be equal to or less than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amount by which the aggregate Net Principal Balance of the Receivables (excluding any Receivables that are Portfolio Purchase Receivables) that are secured by Eligible Commercial Vehicles exceeds [***] of the aggregate Net Principal Balance on such day;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Net Principal Balance of the Eligible Receivables (excluding any Receivables that are Portfolio Purchase Receivables) that are secured by Eligible Commercial Vehicles that would need to be excluded from the aggregate Net Principal Balance of all Eligible Receivables in order to cause the weighted average PTI Ratio of the Eligible Receivables that are secured by Eligible Commercial Vehicles to be [***] or lower;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aggregate Net Principal Balance of the Eligible Receivables (excluding any Receivables that are Portfolio Purchase Receivables) that are secured by Eligible Commercial Vehicles that would need to be excluded from the aggregate Net Principal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Balance of all Eligible Receivables in order to cause the weighted average combined monthly gross income from all sources of the Obligors with respect to the Eligible Receivables that are secured by Eligible Commercial Vehicles to be greater than or equal to [***]</w:t>
      </w:r>
      <w:r>
        <w:rPr>
          <w:color w:val="000000"/>
        </w:rPr>
        <w:t xml:space="preserve">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amount by which the aggregate Net Principal Balance of the Receivables (excluding any Receivables that are Portfolio Purchase Receivables) with Back End Loan-to-Value Ratios greater than [***] exceeds 5[***]of the aggregate Net Principal Balance on such day;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amount by which the aggregate Net Principal Balance of the Permitted Modifications (excluding any Permitted Modifications with respect to Portfolio Purchase Receivables) exceeds [***] of the aggregate Net Principal Balance on such day;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amount by which the aggregate Net Principal Balance of the Eligible Receivables that are Band 4 Receivables (excluding any Band 4 Receivables that are Portfolio Purchase Receivables) exceeds [***] of the aggregate Net Principal Balance on such day;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amount by which the aggregate Net Principal Balance of the Eligible Receivables (excluding any Receivables that are Portfolio Purchase Receivables) with C-Scores less than 800 exceeds 6.00% of the aggregate Net Principal Balance on such day;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aggregate Net Principal Balance of the Eligible Receivables (excluding any Receivables that are Portfolio Purchase Receivables) with C-Scores less than 849 that would need to be excluded from the aggregate Net Principal Balance of all Eligible Receivables in order to cause the aggregate Principal Balance of all remaining Receivables that are Eligible Receivables to be at least [***] of the aggregate Net Principal Balance on such date;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Net Principal Balance of the Eligible Receivables (excluding any Receivables that are Portfolio Purchase Receivables) that have C-Scores less than 899 that would need to be excluded from the aggregate Net Principal Balance of all Eligible Receivables in order to cause the aggregate Principal Balance of all remaining Receivables that are Eligible Receivables to be at least [***] of the aggregate Net Principal Balance on such date;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Net Principal Balance of the Eligible Receivables (excluding any Receivables that are Portfolio Purchase Receivables) that have C-Scores less than 949 that would need to be excluded from the aggregate Net Principal Balance of all Eligible Receivables in order to cause the aggregate Principal Balance of all remaining Receivables that are Eligible Receivables to be at least 7.50% of the aggregate Net Principal Balance on such date;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aggregate Net Principal Balance on such day of the Receivables that are Eligible Receivables (excluding any Receivables that are Portfolio Purchase Receivables) as to which the combined monthly gross income of the related Obligors at origination was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less than [***] that would need to be excluded from the aggregate Net Principal Balance of all Receivables that are Eligible Receivables in order to cause the weighted average combined monthly gross income of the related Obligors at origination of all remaining Receivables that are Eligible Receivables to be equal to or greater than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(xviii)</w:t>
      </w:r>
    </w:p>
    <w:p>
      <w:pPr>
        <w:pStyle w:val="TextBody"/>
        <w:bidi w:val="0"/>
        <w:spacing w:before="0" w:after="240"/>
        <w:jc w:val="both"/>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w:t>
      </w:r>
    </w:p>
    <w:p>
      <w:pPr>
        <w:pStyle w:val="TextBody"/>
        <w:bidi w:val="0"/>
        <w:spacing w:before="0" w:after="240"/>
        <w:jc w:val="both"/>
        <w:rPr/>
      </w:pPr>
      <w:r>
        <w:rPr>
          <w:color w:val="000000"/>
        </w:rPr>
        <w:t>“</w:t>
      </w:r>
      <w:r>
        <w:rPr>
          <w:rFonts w:ascii="Times New Roman" w:hAnsi="Times New Roman"/>
          <w:color w:val="000000"/>
          <w:sz w:val="24"/>
          <w:u w:val="single"/>
        </w:rPr>
        <w:t>Excluded Taxes</w:t>
      </w:r>
      <w:r>
        <w:rPr>
          <w:rFonts w:ascii="Times New Roman" w:hAnsi="Times New Roman"/>
          <w:color w:val="000000"/>
          <w:sz w:val="20"/>
        </w:rPr>
        <w:t xml:space="preserve">” </w:t>
      </w:r>
      <w:r>
        <w:rPr>
          <w:rFonts w:ascii="Times New Roman" w:hAnsi="Times New Roman"/>
          <w:color w:val="000000"/>
          <w:sz w:val="24"/>
        </w:rPr>
        <w:t>means (i) net income Taxes, franchise Taxes (imposed in lieu of net income Taxes) and branch profits Taxes, in each case imposed on any Lender or the Administrative Agent as a result of a present or former connection between such Lender (including any applicable lending office) or the Administrative Agent and the jurisdiction of the Governmental Authority imposing such Tax or any political subdivision or taxing authority thereof or therein (other than any such connection arising solely from such Lender’s or the Administrative Agent’s having executed, delivered, or performed its obligations or received a payment under, or enforced, this Agreement), (ii) any Taxes that result from a Lender’s failure to comply with the requirements of Section 2.14(d), (iii) in the case of any Non-U.S. Lender, any withholding Taxes that are imposed on amounts payable to such Non-U.S. Lender at the time such Non-U.S. Lender becomes a party to this Agreement or changes the applicable lending office with respect to this Agreement and (iv) any Taxes under FATCA.</w:t>
      </w:r>
    </w:p>
    <w:p>
      <w:pPr>
        <w:pStyle w:val="TextBody"/>
        <w:bidi w:val="0"/>
        <w:spacing w:before="0" w:after="240"/>
        <w:jc w:val="both"/>
        <w:rPr/>
      </w:pPr>
      <w:r>
        <w:rPr>
          <w:color w:val="000000"/>
        </w:rPr>
        <w:t>“</w:t>
      </w:r>
      <w:r>
        <w:rPr>
          <w:rFonts w:ascii="Times New Roman" w:hAnsi="Times New Roman"/>
          <w:color w:val="000000"/>
          <w:sz w:val="24"/>
          <w:u w:val="single"/>
        </w:rPr>
        <w:t>Existing Receivables</w:t>
      </w:r>
      <w:r>
        <w:rPr>
          <w:rFonts w:ascii="Times New Roman" w:hAnsi="Times New Roman"/>
          <w:color w:val="000000"/>
          <w:sz w:val="20"/>
        </w:rPr>
        <w:t xml:space="preserve">” </w:t>
      </w:r>
      <w:r>
        <w:rPr>
          <w:rFonts w:ascii="Times New Roman" w:hAnsi="Times New Roman"/>
          <w:color w:val="000000"/>
          <w:sz w:val="24"/>
        </w:rPr>
        <w:t>means the Receivables that become a part of the Collateral in connection with the Initial Loan.</w:t>
      </w:r>
    </w:p>
    <w:p>
      <w:pPr>
        <w:pStyle w:val="TextBody"/>
        <w:bidi w:val="0"/>
        <w:spacing w:before="0" w:after="240"/>
        <w:jc w:val="both"/>
        <w:rPr/>
      </w:pPr>
      <w:r>
        <w:rPr>
          <w:color w:val="000000"/>
        </w:rPr>
        <w:t>“</w:t>
      </w:r>
      <w:r>
        <w:rPr>
          <w:rFonts w:ascii="Times New Roman" w:hAnsi="Times New Roman"/>
          <w:color w:val="000000"/>
          <w:sz w:val="24"/>
          <w:u w:val="single"/>
        </w:rPr>
        <w:t>Facility Amount</w:t>
      </w:r>
      <w:r>
        <w:rPr>
          <w:rFonts w:ascii="Times New Roman" w:hAnsi="Times New Roman"/>
          <w:color w:val="000000"/>
          <w:sz w:val="20"/>
        </w:rPr>
        <w:t xml:space="preserve">” </w:t>
      </w:r>
      <w:r>
        <w:rPr>
          <w:rFonts w:ascii="Times New Roman" w:hAnsi="Times New Roman"/>
          <w:color w:val="000000"/>
          <w:sz w:val="24"/>
        </w:rPr>
        <w:t>means (i) prior to the Termination Date, the lesser of the Aggregate Commitment on such day and [***] and (ii) on and after the Termination Date, the Loans Outstanding.</w:t>
      </w:r>
    </w:p>
    <w:p>
      <w:pPr>
        <w:pStyle w:val="TextBody"/>
        <w:bidi w:val="0"/>
        <w:spacing w:before="0" w:after="240"/>
        <w:jc w:val="both"/>
        <w:rPr/>
      </w:pPr>
      <w:r>
        <w:rPr>
          <w:color w:val="000000"/>
        </w:rPr>
        <w:t>“</w:t>
      </w:r>
      <w:r>
        <w:rPr>
          <w:rFonts w:ascii="Times New Roman" w:hAnsi="Times New Roman"/>
          <w:color w:val="000000"/>
          <w:sz w:val="24"/>
          <w:u w:val="single"/>
        </w:rPr>
        <w:t>Facility Termination Date</w:t>
      </w:r>
      <w:r>
        <w:rPr>
          <w:rFonts w:ascii="Times New Roman" w:hAnsi="Times New Roman"/>
          <w:color w:val="000000"/>
          <w:sz w:val="20"/>
        </w:rPr>
        <w:t xml:space="preserve">” </w:t>
      </w:r>
      <w:r>
        <w:rPr>
          <w:rFonts w:ascii="Times New Roman" w:hAnsi="Times New Roman"/>
          <w:color w:val="000000"/>
          <w:sz w:val="24"/>
        </w:rPr>
        <w:t>means the date following the Termination Date on which the Aggregate Unpaids have been indefeasibly paid in full.</w:t>
      </w:r>
    </w:p>
    <w:p>
      <w:pPr>
        <w:pStyle w:val="TextBody"/>
        <w:bidi w:val="0"/>
        <w:spacing w:before="0" w:after="240"/>
        <w:jc w:val="both"/>
        <w:rPr/>
      </w:pPr>
      <w:r>
        <w:rPr>
          <w:color w:val="000000"/>
        </w:rPr>
        <w:t>“</w:t>
      </w:r>
      <w:r>
        <w:rPr>
          <w:rFonts w:ascii="Times New Roman" w:hAnsi="Times New Roman"/>
          <w:color w:val="000000"/>
          <w:sz w:val="24"/>
          <w:u w:val="single"/>
        </w:rPr>
        <w:t>FATCA</w:t>
      </w:r>
      <w:r>
        <w:rPr>
          <w:rFonts w:ascii="Times New Roman" w:hAnsi="Times New Roman"/>
          <w:color w:val="000000"/>
          <w:sz w:val="20"/>
        </w:rPr>
        <w:t xml:space="preserve">” </w:t>
      </w:r>
      <w:r>
        <w:rPr>
          <w:rFonts w:ascii="Times New Roman" w:hAnsi="Times New Roman"/>
          <w:color w:val="000000"/>
          <w:sz w:val="24"/>
        </w:rPr>
        <w:t>means Sections 1471 through 1474 of the Code, as in effect on the date of this Agreement (or any amended or successor version that is substantively comparable and not materially more onerous to comply with) and any regulations or official interpretations thereof (including any revenue ruling, revenue procedure, notice or similar guidance issued by the IRS thereunder as a precondition to relief or exemption from Taxes under such provisions).</w:t>
      </w:r>
    </w:p>
    <w:p>
      <w:pPr>
        <w:pStyle w:val="TextBody"/>
        <w:bidi w:val="0"/>
        <w:spacing w:before="0" w:after="240"/>
        <w:jc w:val="both"/>
        <w:rPr/>
      </w:pPr>
      <w:r>
        <w:rPr>
          <w:color w:val="000000"/>
        </w:rPr>
        <w:t>“</w:t>
      </w:r>
      <w:r>
        <w:rPr>
          <w:rFonts w:ascii="Times New Roman" w:hAnsi="Times New Roman"/>
          <w:color w:val="000000"/>
          <w:sz w:val="24"/>
          <w:u w:val="single"/>
        </w:rPr>
        <w:t>FCA</w:t>
      </w:r>
      <w:r>
        <w:rPr>
          <w:rFonts w:ascii="Times New Roman" w:hAnsi="Times New Roman"/>
          <w:color w:val="000000"/>
          <w:sz w:val="20"/>
        </w:rPr>
        <w:t xml:space="preserve">” </w:t>
      </w:r>
      <w:r>
        <w:rPr>
          <w:rFonts w:ascii="Times New Roman" w:hAnsi="Times New Roman"/>
          <w:color w:val="000000"/>
          <w:sz w:val="24"/>
        </w:rPr>
        <w:t>has the meaning assigned to such term in Section 1.05.</w:t>
      </w:r>
    </w:p>
    <w:p>
      <w:pPr>
        <w:pStyle w:val="TextBody"/>
        <w:bidi w:val="0"/>
        <w:spacing w:before="0" w:after="240"/>
        <w:jc w:val="both"/>
        <w:rPr/>
      </w:pPr>
      <w:r>
        <w:rPr>
          <w:color w:val="000000"/>
        </w:rPr>
        <w:t>“</w:t>
      </w:r>
      <w:r>
        <w:rPr>
          <w:rFonts w:ascii="Times New Roman" w:hAnsi="Times New Roman"/>
          <w:color w:val="000000"/>
          <w:sz w:val="24"/>
          <w:u w:val="single"/>
        </w:rPr>
        <w:t>Federal Funds Effective Rate</w:t>
      </w:r>
      <w:r>
        <w:rPr>
          <w:rFonts w:ascii="Times New Roman" w:hAnsi="Times New Roman"/>
          <w:color w:val="000000"/>
          <w:sz w:val="20"/>
        </w:rPr>
        <w:t xml:space="preserve">” </w:t>
      </w:r>
      <w:r>
        <w:rPr>
          <w:rFonts w:ascii="Times New Roman" w:hAnsi="Times New Roman"/>
          <w:color w:val="000000"/>
          <w:sz w:val="24"/>
        </w:rPr>
        <w:t xml:space="preserve">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none of such rates are published for any day that is a Business Day, the term “Federal Funds Effective Rate” means the rate for a federal funds transaction quoted at 11:00 a.m. on such day received by the Administrative Agent from a federal funds broker of recognized standing selected by it;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further that if the Federal Funds Effective Rate as so determined would be less than 0%, such rate shall be deemed to be 0% for the purposes of this Agreement.</w:t>
      </w:r>
    </w:p>
    <w:p>
      <w:pPr>
        <w:pStyle w:val="TextBody"/>
        <w:bidi w:val="0"/>
        <w:spacing w:before="0" w:after="240"/>
        <w:jc w:val="both"/>
        <w:rPr/>
      </w:pPr>
      <w:r>
        <w:rPr>
          <w:color w:val="000000"/>
        </w:rPr>
        <w:t>“</w:t>
      </w:r>
      <w:r>
        <w:rPr>
          <w:rFonts w:ascii="Times New Roman" w:hAnsi="Times New Roman"/>
          <w:color w:val="000000"/>
          <w:sz w:val="24"/>
          <w:u w:val="single"/>
        </w:rPr>
        <w:t>Federal Reserve Board</w:t>
      </w:r>
      <w:r>
        <w:rPr>
          <w:rFonts w:ascii="Times New Roman" w:hAnsi="Times New Roman"/>
          <w:color w:val="000000"/>
          <w:sz w:val="20"/>
        </w:rPr>
        <w:t xml:space="preserve">” </w:t>
      </w:r>
      <w:r>
        <w:rPr>
          <w:rFonts w:ascii="Times New Roman" w:hAnsi="Times New Roman"/>
          <w:color w:val="000000"/>
          <w:sz w:val="24"/>
        </w:rPr>
        <w:t>means the Board of Governors of the Federal Reserve System.</w:t>
      </w:r>
    </w:p>
    <w:p>
      <w:pPr>
        <w:pStyle w:val="TextBody"/>
        <w:bidi w:val="0"/>
        <w:spacing w:before="0" w:after="240"/>
        <w:jc w:val="both"/>
        <w:rPr/>
      </w:pPr>
      <w:r>
        <w:rPr>
          <w:color w:val="000000"/>
        </w:rPr>
        <w:t>“</w:t>
      </w:r>
      <w:r>
        <w:rPr>
          <w:rFonts w:ascii="Times New Roman" w:hAnsi="Times New Roman"/>
          <w:color w:val="000000"/>
          <w:sz w:val="24"/>
          <w:u w:val="single"/>
        </w:rPr>
        <w:t>Fee Letter</w:t>
      </w:r>
      <w:r>
        <w:rPr>
          <w:rFonts w:ascii="Times New Roman" w:hAnsi="Times New Roman"/>
          <w:color w:val="000000"/>
          <w:sz w:val="20"/>
        </w:rPr>
        <w:t xml:space="preserve">” </w:t>
      </w:r>
      <w:r>
        <w:rPr>
          <w:rFonts w:ascii="Times New Roman" w:hAnsi="Times New Roman"/>
          <w:color w:val="000000"/>
          <w:sz w:val="24"/>
        </w:rPr>
        <w:t>means the letter, dated as of the Closing Date, among the Borrower, the Servicer and the Administrative Agent.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Financed Vehicle</w:t>
      </w:r>
      <w:r>
        <w:rPr>
          <w:rFonts w:ascii="Times New Roman" w:hAnsi="Times New Roman"/>
          <w:color w:val="000000"/>
          <w:sz w:val="20"/>
        </w:rPr>
        <w:t xml:space="preserve">” </w:t>
      </w:r>
      <w:r>
        <w:rPr>
          <w:rFonts w:ascii="Times New Roman" w:hAnsi="Times New Roman"/>
          <w:color w:val="000000"/>
          <w:sz w:val="24"/>
        </w:rPr>
        <w:t>means, with respect to a Receivable or a Serviced Portfolio Receivable, any new or used automobile, light-duty or medium-duty truck, minivan, sport utility vehicle or other passenger vehicle or Eligible Commercial Vehicle, together with all accessions thereto, securing the related Obligor’s Indebtedness thereunder.</w:t>
      </w:r>
    </w:p>
    <w:p>
      <w:pPr>
        <w:pStyle w:val="TextBody"/>
        <w:bidi w:val="0"/>
        <w:spacing w:before="0" w:after="240"/>
        <w:jc w:val="both"/>
        <w:rPr/>
      </w:pPr>
      <w:r>
        <w:rPr>
          <w:color w:val="000000"/>
        </w:rPr>
        <w:t>“</w:t>
      </w:r>
      <w:r>
        <w:rPr>
          <w:rFonts w:ascii="Times New Roman" w:hAnsi="Times New Roman"/>
          <w:color w:val="000000"/>
          <w:sz w:val="24"/>
          <w:u w:val="single"/>
        </w:rPr>
        <w:t>Floor</w:t>
      </w:r>
      <w:r>
        <w:rPr>
          <w:rFonts w:ascii="Times New Roman" w:hAnsi="Times New Roman"/>
          <w:color w:val="000000"/>
          <w:sz w:val="20"/>
        </w:rPr>
        <w:t xml:space="preserve">” </w:t>
      </w:r>
      <w:r>
        <w:rPr>
          <w:rFonts w:ascii="Times New Roman" w:hAnsi="Times New Roman"/>
          <w:color w:val="000000"/>
          <w:sz w:val="24"/>
        </w:rPr>
        <w:t>means [***].</w:t>
      </w:r>
    </w:p>
    <w:p>
      <w:pPr>
        <w:pStyle w:val="TextBody"/>
        <w:bidi w:val="0"/>
        <w:spacing w:before="0" w:after="240"/>
        <w:jc w:val="both"/>
        <w:rPr/>
      </w:pPr>
      <w:r>
        <w:rPr>
          <w:color w:val="000000"/>
        </w:rPr>
        <w:t>“</w:t>
      </w:r>
      <w:r>
        <w:rPr>
          <w:rFonts w:ascii="Times New Roman" w:hAnsi="Times New Roman"/>
          <w:color w:val="000000"/>
          <w:sz w:val="24"/>
          <w:u w:val="single"/>
        </w:rPr>
        <w:t>Foreclosure Event</w:t>
      </w:r>
      <w:r>
        <w:rPr>
          <w:rFonts w:ascii="Times New Roman" w:hAnsi="Times New Roman"/>
          <w:color w:val="000000"/>
          <w:sz w:val="20"/>
        </w:rPr>
        <w:t xml:space="preserve">” </w:t>
      </w:r>
      <w:r>
        <w:rPr>
          <w:rFonts w:ascii="Times New Roman" w:hAnsi="Times New Roman"/>
          <w:color w:val="000000"/>
          <w:sz w:val="24"/>
        </w:rPr>
        <w:t>means [***]</w:t>
      </w:r>
    </w:p>
    <w:p>
      <w:pPr>
        <w:pStyle w:val="TextBody"/>
        <w:bidi w:val="0"/>
        <w:spacing w:before="0" w:after="240"/>
        <w:jc w:val="both"/>
        <w:rPr/>
      </w:pPr>
      <w:r>
        <w:rPr>
          <w:color w:val="000000"/>
        </w:rPr>
        <w:t>“</w:t>
      </w:r>
      <w:r>
        <w:rPr>
          <w:rFonts w:ascii="Times New Roman" w:hAnsi="Times New Roman"/>
          <w:color w:val="000000"/>
          <w:sz w:val="24"/>
          <w:u w:val="single"/>
        </w:rPr>
        <w:t>Formation Documents</w:t>
      </w:r>
      <w:r>
        <w:rPr>
          <w:rFonts w:ascii="Times New Roman" w:hAnsi="Times New Roman"/>
          <w:color w:val="000000"/>
          <w:sz w:val="20"/>
        </w:rPr>
        <w:t xml:space="preserve">” </w:t>
      </w:r>
      <w:r>
        <w:rPr>
          <w:rFonts w:ascii="Times New Roman" w:hAnsi="Times New Roman"/>
          <w:color w:val="000000"/>
          <w:sz w:val="24"/>
        </w:rPr>
        <w:t>means, with respect to (i) the Borrower, the Trust Agreement and certificate of trust and (ii) UACC, its articles of incorporation and bylaws.</w:t>
      </w:r>
    </w:p>
    <w:p>
      <w:pPr>
        <w:pStyle w:val="TextBody"/>
        <w:bidi w:val="0"/>
        <w:spacing w:before="0" w:after="240"/>
        <w:jc w:val="both"/>
        <w:rPr/>
      </w:pPr>
      <w:r>
        <w:rPr>
          <w:color w:val="000000"/>
        </w:rPr>
        <w:t>“</w:t>
      </w:r>
      <w:r>
        <w:rPr>
          <w:rFonts w:ascii="Times New Roman" w:hAnsi="Times New Roman"/>
          <w:color w:val="000000"/>
          <w:sz w:val="24"/>
          <w:u w:val="single"/>
        </w:rPr>
        <w:t>Front End Loan-to-Value Ratio</w:t>
      </w:r>
      <w:r>
        <w:rPr>
          <w:rFonts w:ascii="Times New Roman" w:hAnsi="Times New Roman"/>
          <w:color w:val="000000"/>
          <w:sz w:val="20"/>
        </w:rPr>
        <w:t xml:space="preserve">” </w:t>
      </w:r>
      <w:r>
        <w:rPr>
          <w:rFonts w:ascii="Times New Roman" w:hAnsi="Times New Roman"/>
          <w:color w:val="000000"/>
          <w:sz w:val="24"/>
        </w:rPr>
        <w:t>means, with respect to any Receivable, the percentage equivalent of a fraction, (i) the numerator of which is (A) the original Principal Balance of such Receivable, minus (B) the cost of any ancillary products included in the original Principal Balance of such Receivable and (ii) the denominator of which is the wholesale trade-in book value of the related Financed Vehicle (as reflected in the N.A.D.A. or Kelley Blue Book appraisal guides and taking into account specific features and mileage of such Financed Vehicle) at the date of origination of such Receivable.</w:t>
      </w:r>
    </w:p>
    <w:p>
      <w:pPr>
        <w:pStyle w:val="TextBody"/>
        <w:bidi w:val="0"/>
        <w:spacing w:before="0" w:after="240"/>
        <w:jc w:val="both"/>
        <w:rPr/>
      </w:pPr>
      <w:r>
        <w:rPr>
          <w:color w:val="000000"/>
        </w:rPr>
        <w:t>“</w:t>
      </w:r>
      <w:r>
        <w:rPr>
          <w:rFonts w:ascii="Times New Roman" w:hAnsi="Times New Roman"/>
          <w:color w:val="000000"/>
          <w:sz w:val="24"/>
          <w:u w:val="single"/>
        </w:rPr>
        <w:t>Fully Hedged</w:t>
      </w:r>
      <w:r>
        <w:rPr>
          <w:rFonts w:ascii="Times New Roman" w:hAnsi="Times New Roman"/>
          <w:color w:val="000000"/>
          <w:sz w:val="20"/>
        </w:rPr>
        <w:t xml:space="preserve">” </w:t>
      </w:r>
      <w:r>
        <w:rPr>
          <w:rFonts w:ascii="Times New Roman" w:hAnsi="Times New Roman"/>
          <w:color w:val="000000"/>
          <w:sz w:val="24"/>
        </w:rPr>
        <w:t>means, as of any date of determination, that the Borrower is party to one or more effective Hedge Transactions with one or more Eligible Hedge Counterparties on such date that satisfy the following conditions: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effective strike rate for each such Hedge Transaction is not greater than [***] based on USD-SOFR-Compound (as defined in the ISDA Definitions) for each Collection Period and provides for the payment on each Payment Date to the Borrower of an amount equal to the positive difference (if any) between USD-SOFR-Compound for each Collection Period and the strike rate set out in the applicable Hedging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notional amount of which, when aggregated with the notional amount of all other Hedge Transactions then in effect, is not less than the Loans Outstanding as of such date and amortizes monthly in accordance with a set schedule therefore based on an ABS Rate of less than or equal to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final maturity date for such Hedge Transactions shall be a date reasonably acceptable to the Administrative Agent; and</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related Hedge Agreements are in form and substance reasonably acceptable to the Required Agents and copies of which have been delivered to the Required Agents (which delivery may be made by electronic mail).</w:t>
      </w:r>
    </w:p>
    <w:p>
      <w:pPr>
        <w:pStyle w:val="TextBody"/>
        <w:bidi w:val="0"/>
        <w:spacing w:before="0" w:after="240"/>
        <w:jc w:val="both"/>
        <w:rPr/>
      </w:pPr>
      <w:r>
        <w:rPr>
          <w:color w:val="000000"/>
        </w:rPr>
        <w:t>“</w:t>
      </w:r>
      <w:r>
        <w:rPr>
          <w:rFonts w:ascii="Times New Roman" w:hAnsi="Times New Roman"/>
          <w:color w:val="000000"/>
          <w:sz w:val="24"/>
          <w:u w:val="single"/>
        </w:rPr>
        <w:t>Funding Date</w:t>
      </w:r>
      <w:r>
        <w:rPr>
          <w:rFonts w:ascii="Times New Roman" w:hAnsi="Times New Roman"/>
          <w:color w:val="000000"/>
          <w:sz w:val="20"/>
        </w:rPr>
        <w:t xml:space="preserve">” </w:t>
      </w:r>
      <w:r>
        <w:rPr>
          <w:rFonts w:ascii="Times New Roman" w:hAnsi="Times New Roman"/>
          <w:color w:val="000000"/>
          <w:sz w:val="24"/>
        </w:rPr>
        <w:t>means each Business Day on which a Loan is made in accordance with this Agreement.</w:t>
      </w:r>
    </w:p>
    <w:p>
      <w:pPr>
        <w:pStyle w:val="TextBody"/>
        <w:bidi w:val="0"/>
        <w:spacing w:before="0" w:after="240"/>
        <w:jc w:val="both"/>
        <w:rPr/>
      </w:pPr>
      <w:r>
        <w:rPr>
          <w:color w:val="000000"/>
        </w:rPr>
        <w:t>“</w:t>
      </w:r>
      <w:r>
        <w:rPr>
          <w:rFonts w:ascii="Times New Roman" w:hAnsi="Times New Roman"/>
          <w:color w:val="000000"/>
          <w:sz w:val="24"/>
          <w:u w:val="single"/>
        </w:rPr>
        <w:t>Funding Request</w:t>
      </w:r>
      <w:r>
        <w:rPr>
          <w:rFonts w:ascii="Times New Roman" w:hAnsi="Times New Roman"/>
          <w:color w:val="000000"/>
          <w:sz w:val="20"/>
        </w:rPr>
        <w:t xml:space="preserve">” </w:t>
      </w:r>
      <w:r>
        <w:rPr>
          <w:rFonts w:ascii="Times New Roman" w:hAnsi="Times New Roman"/>
          <w:color w:val="000000"/>
          <w:sz w:val="24"/>
        </w:rPr>
        <w:t>means a written notice from the Borrower requesting a Loan and including the items required by Section 2.01(b), substantially in the form of Exhibit A hereto.</w:t>
      </w:r>
    </w:p>
    <w:p>
      <w:pPr>
        <w:pStyle w:val="TextBody"/>
        <w:bidi w:val="0"/>
        <w:spacing w:before="0" w:after="240"/>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means generally accepted accounting principles as in effect from time to time in the United States.</w:t>
      </w:r>
    </w:p>
    <w:p>
      <w:pPr>
        <w:pStyle w:val="TextBody"/>
        <w:bidi w:val="0"/>
        <w:spacing w:before="0" w:after="240"/>
        <w:jc w:val="both"/>
        <w:rPr/>
      </w:pPr>
      <w:r>
        <w:rPr>
          <w:color w:val="000000"/>
        </w:rPr>
        <w:t>“</w:t>
      </w:r>
      <w:r>
        <w:rPr>
          <w:rFonts w:ascii="Times New Roman" w:hAnsi="Times New Roman"/>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means, with respect to any Person, any nation or government, any State or other political subdivision thereof, any entity exercising executive, legislative, judicial, regulatory or administrative functions of or pertaining to government and any court or arbitrator having jurisdiction over such Person.</w:t>
      </w:r>
    </w:p>
    <w:p>
      <w:pPr>
        <w:pStyle w:val="TextBody"/>
        <w:bidi w:val="0"/>
        <w:spacing w:before="0" w:after="240"/>
        <w:jc w:val="both"/>
        <w:rPr/>
      </w:pPr>
      <w:r>
        <w:rPr>
          <w:color w:val="000000"/>
        </w:rPr>
        <w:t>“</w:t>
      </w:r>
      <w:r>
        <w:rPr>
          <w:rFonts w:ascii="Times New Roman" w:hAnsi="Times New Roman"/>
          <w:color w:val="000000"/>
          <w:sz w:val="24"/>
          <w:u w:val="single"/>
        </w:rPr>
        <w:t>Hedge Collateral</w:t>
      </w:r>
      <w:r>
        <w:rPr>
          <w:rFonts w:ascii="Times New Roman" w:hAnsi="Times New Roman"/>
          <w:color w:val="000000"/>
          <w:sz w:val="20"/>
        </w:rPr>
        <w:t xml:space="preserve">” </w:t>
      </w:r>
      <w:r>
        <w:rPr>
          <w:rFonts w:ascii="Times New Roman" w:hAnsi="Times New Roman"/>
          <w:color w:val="000000"/>
          <w:sz w:val="24"/>
        </w:rPr>
        <w:t>means all of the rights of the Borrower, whether now existing or hereafter acquired, in and to all Hedging Agreements, all Hedge Transactions, all Hedge Collateral Account Property, the Hedge Reserve Account and all present and future amounts payable by all Hedge Counterparties to the Borrower under or in connection with such Hedging Agreements and Hedge Transactions with such Hedge Counterparties.</w:t>
      </w:r>
    </w:p>
    <w:p>
      <w:pPr>
        <w:pStyle w:val="TextBody"/>
        <w:bidi w:val="0"/>
        <w:spacing w:before="0" w:after="240"/>
        <w:jc w:val="both"/>
        <w:rPr/>
      </w:pPr>
      <w:r>
        <w:rPr>
          <w:color w:val="000000"/>
        </w:rPr>
        <w:t>“</w:t>
      </w:r>
      <w:r>
        <w:rPr>
          <w:rFonts w:ascii="Times New Roman" w:hAnsi="Times New Roman"/>
          <w:color w:val="000000"/>
          <w:sz w:val="24"/>
          <w:u w:val="single"/>
        </w:rPr>
        <w:t>Hedge Collateral Account</w:t>
      </w:r>
      <w:r>
        <w:rPr>
          <w:rFonts w:ascii="Times New Roman" w:hAnsi="Times New Roman"/>
          <w:color w:val="000000"/>
          <w:sz w:val="20"/>
        </w:rPr>
        <w:t xml:space="preserve">” </w:t>
      </w:r>
      <w:r>
        <w:rPr>
          <w:rFonts w:ascii="Times New Roman" w:hAnsi="Times New Roman"/>
          <w:color w:val="000000"/>
          <w:sz w:val="24"/>
        </w:rPr>
        <w:t>means each hedge collateral account established and maintained pursuant to Section 6.03(c).</w:t>
      </w:r>
    </w:p>
    <w:p>
      <w:pPr>
        <w:pStyle w:val="TextBody"/>
        <w:bidi w:val="0"/>
        <w:spacing w:before="0" w:after="240"/>
        <w:jc w:val="both"/>
        <w:rPr/>
      </w:pPr>
      <w:r>
        <w:rPr>
          <w:color w:val="000000"/>
        </w:rPr>
        <w:t>“</w:t>
      </w:r>
      <w:r>
        <w:rPr>
          <w:rFonts w:ascii="Times New Roman" w:hAnsi="Times New Roman"/>
          <w:color w:val="000000"/>
          <w:sz w:val="24"/>
          <w:u w:val="single"/>
        </w:rPr>
        <w:t>Hedge Collateral Account Property</w:t>
      </w:r>
      <w:r>
        <w:rPr>
          <w:rFonts w:ascii="Times New Roman" w:hAnsi="Times New Roman"/>
          <w:color w:val="000000"/>
          <w:sz w:val="20"/>
        </w:rPr>
        <w:t xml:space="preserve">” </w:t>
      </w:r>
      <w:r>
        <w:rPr>
          <w:rFonts w:ascii="Times New Roman" w:hAnsi="Times New Roman"/>
          <w:color w:val="000000"/>
          <w:sz w:val="24"/>
        </w:rPr>
        <w:t>means (a) each Hedge Collateral Account, (b) all property (including all cash, financial assets, investment property and security entitlements) from time to time deposited in, carried in or credited to, or required to be deposited in, carried in or credit to, a Hedge Collateral Account, (c) all funds from time to time deposited in or credited to, or required to be deposited in or credited to, a Hedge Collateral Account, (d) all credit balances related to a Hedge Collateral Account, (e) all rights, claims and causes of action of the Borrower with respect to a Hedge Collateral Account, and (f) all proceeds of the foregoing.</w:t>
      </w:r>
    </w:p>
    <w:p>
      <w:pPr>
        <w:pStyle w:val="TextBody"/>
        <w:bidi w:val="0"/>
        <w:spacing w:before="0" w:after="240"/>
        <w:jc w:val="both"/>
        <w:rPr/>
      </w:pPr>
      <w:r>
        <w:rPr>
          <w:color w:val="000000"/>
        </w:rPr>
        <w:t>“</w:t>
      </w:r>
      <w:r>
        <w:rPr>
          <w:rFonts w:ascii="Times New Roman" w:hAnsi="Times New Roman"/>
          <w:color w:val="000000"/>
          <w:sz w:val="24"/>
          <w:u w:val="single"/>
        </w:rPr>
        <w:t>Hedge Counterparty</w:t>
      </w:r>
      <w:r>
        <w:rPr>
          <w:rFonts w:ascii="Times New Roman" w:hAnsi="Times New Roman"/>
          <w:color w:val="000000"/>
          <w:sz w:val="20"/>
        </w:rPr>
        <w:t xml:space="preserve">” </w:t>
      </w:r>
      <w:r>
        <w:rPr>
          <w:rFonts w:ascii="Times New Roman" w:hAnsi="Times New Roman"/>
          <w:color w:val="000000"/>
          <w:sz w:val="24"/>
        </w:rPr>
        <w:t>means, with respect to any Hedging Agreement, the counterparty to such Hedging Agreement.</w:t>
      </w:r>
    </w:p>
    <w:p>
      <w:pPr>
        <w:pStyle w:val="TextBody"/>
        <w:bidi w:val="0"/>
        <w:spacing w:before="0" w:after="240"/>
        <w:jc w:val="both"/>
        <w:rPr/>
      </w:pPr>
      <w:r>
        <w:rPr>
          <w:color w:val="000000"/>
        </w:rPr>
        <w:t>“</w:t>
      </w:r>
      <w:r>
        <w:rPr>
          <w:rFonts w:ascii="Times New Roman" w:hAnsi="Times New Roman"/>
          <w:color w:val="000000"/>
          <w:sz w:val="24"/>
          <w:u w:val="single"/>
        </w:rPr>
        <w:t>Hedge Reserve Account</w:t>
      </w:r>
      <w:r>
        <w:rPr>
          <w:rFonts w:ascii="Times New Roman" w:hAnsi="Times New Roman"/>
          <w:color w:val="000000"/>
          <w:sz w:val="20"/>
        </w:rPr>
        <w:t xml:space="preserve">” </w:t>
      </w:r>
      <w:r>
        <w:rPr>
          <w:rFonts w:ascii="Times New Roman" w:hAnsi="Times New Roman"/>
          <w:color w:val="000000"/>
          <w:sz w:val="24"/>
        </w:rPr>
        <w:t xml:space="preserve">has the meaning given to such term in </w:t>
      </w:r>
      <w:r>
        <w:rPr>
          <w:rFonts w:ascii="Times New Roman" w:hAnsi="Times New Roman"/>
          <w:color w:val="000000"/>
          <w:sz w:val="24"/>
          <w:u w:val="single"/>
        </w:rPr>
        <w:t>Section 6.03(e)</w:t>
      </w:r>
      <w:r>
        <w:rPr>
          <w:rFonts w:ascii="Times New Roman" w:hAnsi="Times New Roman"/>
          <w:color w:val="000000"/>
          <w:sz w:val="20"/>
        </w:rPr>
        <w:t xml:space="preserve"> </w:t>
      </w:r>
      <w:r>
        <w:rPr>
          <w:rFonts w:ascii="Times New Roman" w:hAnsi="Times New Roman"/>
          <w:color w:val="000000"/>
          <w:sz w:val="24"/>
        </w:rPr>
        <w:t>of this Agreement.</w:t>
      </w:r>
    </w:p>
    <w:p>
      <w:pPr>
        <w:pStyle w:val="TextBody"/>
        <w:bidi w:val="0"/>
        <w:spacing w:before="0" w:after="240"/>
        <w:jc w:val="both"/>
        <w:rPr/>
      </w:pPr>
      <w:r>
        <w:rPr>
          <w:color w:val="000000"/>
        </w:rPr>
        <w:t>“</w:t>
      </w:r>
      <w:r>
        <w:rPr>
          <w:rFonts w:ascii="Times New Roman" w:hAnsi="Times New Roman"/>
          <w:color w:val="000000"/>
          <w:sz w:val="24"/>
          <w:u w:val="single"/>
        </w:rPr>
        <w:t>Hedge Reserve Account Amount</w:t>
      </w:r>
      <w:r>
        <w:rPr>
          <w:rFonts w:ascii="Times New Roman" w:hAnsi="Times New Roman"/>
          <w:color w:val="000000"/>
          <w:sz w:val="20"/>
        </w:rPr>
        <w:t xml:space="preserve">” </w:t>
      </w:r>
      <w:r>
        <w:rPr>
          <w:rFonts w:ascii="Times New Roman" w:hAnsi="Times New Roman"/>
          <w:color w:val="000000"/>
          <w:sz w:val="24"/>
        </w:rPr>
        <w:t>means, as of any date of determination, the amount of funds then on deposit in the Hedge Reserve Account.</w:t>
      </w:r>
    </w:p>
    <w:p>
      <w:pPr>
        <w:pStyle w:val="TextBody"/>
        <w:bidi w:val="0"/>
        <w:spacing w:before="0" w:after="240"/>
        <w:jc w:val="both"/>
        <w:rPr/>
      </w:pPr>
      <w:r>
        <w:rPr>
          <w:color w:val="000000"/>
        </w:rPr>
        <w:t>“</w:t>
      </w:r>
      <w:r>
        <w:rPr>
          <w:rFonts w:ascii="Times New Roman" w:hAnsi="Times New Roman"/>
          <w:color w:val="000000"/>
          <w:sz w:val="24"/>
          <w:u w:val="single"/>
        </w:rPr>
        <w:t>Hedge Reserve Account Required Amount</w:t>
      </w:r>
      <w:r>
        <w:rPr>
          <w:rFonts w:ascii="Times New Roman" w:hAnsi="Times New Roman"/>
          <w:color w:val="000000"/>
          <w:sz w:val="20"/>
        </w:rPr>
        <w:t xml:space="preserve">” </w:t>
      </w:r>
      <w:r>
        <w:rPr>
          <w:rFonts w:ascii="Times New Roman" w:hAnsi="Times New Roman"/>
          <w:color w:val="000000"/>
          <w:sz w:val="24"/>
        </w:rPr>
        <w:t>means, as of any date of determination on which (a) the Loans Outstanding are zero or the Borrower is Fully Hedged, zero or (b) the Loans Outstanding are greater than zero or the Borrower is not Fully Hedged, the greater of (i) $[***] and (ii) the product of (A) 1.1 and (B) the quoted purchase price from any Lender or Agent (or 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Affiliate thereof) most recently received by the Borrower (or the Servicer on behalf of the Borrower) pursuant to Section 6.03(b) hereof (which quote shall, for purpose of this definition, continue in effect until the next succeeding date on which such a quote is received pursuant to Section 6.03(b) hereof), for an interest rate cap with a strike rate of [***]% and a notional amount equal to the excess of (x) the Loans Outstanding on such date (after giving effect to any Loan or reduction of the Loans Outstanding on such date) over (y) the aggregate notional amount of all other Hedge Transactions to which the Borrower is then a party, that amortizes using an ABS Rate of not greater than [***]%.</w:t>
      </w:r>
    </w:p>
    <w:p>
      <w:pPr>
        <w:pStyle w:val="TextBody"/>
        <w:bidi w:val="0"/>
        <w:spacing w:before="0" w:after="240"/>
        <w:jc w:val="both"/>
        <w:rPr/>
      </w:pPr>
      <w:r>
        <w:rPr>
          <w:color w:val="000000"/>
        </w:rPr>
        <w:t>“</w:t>
      </w:r>
      <w:r>
        <w:rPr>
          <w:rFonts w:ascii="Times New Roman" w:hAnsi="Times New Roman"/>
          <w:color w:val="000000"/>
          <w:sz w:val="24"/>
          <w:u w:val="single"/>
        </w:rPr>
        <w:t>Hedge Transaction</w:t>
      </w:r>
      <w:r>
        <w:rPr>
          <w:rFonts w:ascii="Times New Roman" w:hAnsi="Times New Roman"/>
          <w:color w:val="000000"/>
          <w:sz w:val="20"/>
        </w:rPr>
        <w:t xml:space="preserve">” </w:t>
      </w:r>
      <w:r>
        <w:rPr>
          <w:rFonts w:ascii="Times New Roman" w:hAnsi="Times New Roman"/>
          <w:color w:val="000000"/>
          <w:sz w:val="24"/>
        </w:rPr>
        <w:t>means any Cap between the Borrower and a Hedge Counterparty entered into pursuant to Section 6.03(a) and governed by a Hedging Agreement.</w:t>
      </w:r>
    </w:p>
    <w:p>
      <w:pPr>
        <w:pStyle w:val="TextBody"/>
        <w:bidi w:val="0"/>
        <w:spacing w:before="0" w:after="240"/>
        <w:jc w:val="both"/>
        <w:rPr/>
      </w:pPr>
      <w:r>
        <w:rPr>
          <w:color w:val="000000"/>
        </w:rPr>
        <w:t>“</w:t>
      </w:r>
      <w:r>
        <w:rPr>
          <w:rFonts w:ascii="Times New Roman" w:hAnsi="Times New Roman"/>
          <w:color w:val="000000"/>
          <w:sz w:val="24"/>
          <w:u w:val="single"/>
        </w:rPr>
        <w:t>Hedging Agreement</w:t>
      </w:r>
      <w:r>
        <w:rPr>
          <w:rFonts w:ascii="Times New Roman" w:hAnsi="Times New Roman"/>
          <w:color w:val="000000"/>
          <w:sz w:val="20"/>
        </w:rPr>
        <w:t xml:space="preserve">” </w:t>
      </w:r>
      <w:r>
        <w:rPr>
          <w:rFonts w:ascii="Times New Roman" w:hAnsi="Times New Roman"/>
          <w:color w:val="000000"/>
          <w:sz w:val="24"/>
        </w:rPr>
        <w:t xml:space="preserve">means, collectively, a “Master Agreement” in a form published by the International Swaps and Derivatives Association, Inc., together with a “Schedule” and a Credit Support Annex thereto, each of which shall be in form and substance satisfactory to the Administrative Agent and shall govern each Hedge Transaction; </w:t>
      </w:r>
      <w:r>
        <w:rPr>
          <w:rFonts w:ascii="Times New Roman" w:hAnsi="Times New Roman"/>
          <w:color w:val="000000"/>
          <w:sz w:val="24"/>
          <w:u w:val="single"/>
        </w:rPr>
        <w:t>provided</w:t>
      </w:r>
      <w:r>
        <w:rPr>
          <w:rFonts w:ascii="Times New Roman" w:hAnsi="Times New Roman"/>
          <w:color w:val="000000"/>
          <w:sz w:val="24"/>
        </w:rPr>
        <w:t>, however, any Hedging Agreement with [***] shall not require a Credit Support Annex.</w:t>
      </w:r>
    </w:p>
    <w:p>
      <w:pPr>
        <w:pStyle w:val="TextBody"/>
        <w:bidi w:val="0"/>
        <w:spacing w:before="0" w:after="240"/>
        <w:jc w:val="both"/>
        <w:rPr/>
      </w:pPr>
      <w:r>
        <w:rPr>
          <w:color w:val="000000"/>
        </w:rPr>
        <w:t>“</w:t>
      </w:r>
      <w:r>
        <w:rPr>
          <w:rFonts w:ascii="Times New Roman" w:hAnsi="Times New Roman"/>
          <w:color w:val="000000"/>
          <w:sz w:val="24"/>
          <w:u w:val="single"/>
        </w:rPr>
        <w:t>High Concentration State</w:t>
      </w:r>
      <w:r>
        <w:rPr>
          <w:rFonts w:ascii="Times New Roman" w:hAnsi="Times New Roman"/>
          <w:color w:val="000000"/>
          <w:sz w:val="20"/>
        </w:rPr>
        <w:t xml:space="preserve">” </w:t>
      </w:r>
      <w:r>
        <w:rPr>
          <w:rFonts w:ascii="Times New Roman" w:hAnsi="Times New Roman"/>
          <w:color w:val="000000"/>
          <w:sz w:val="24"/>
        </w:rPr>
        <w:t>means each of the State of Texas and the State of Florida.</w:t>
      </w:r>
    </w:p>
    <w:p>
      <w:pPr>
        <w:pStyle w:val="TextBody"/>
        <w:bidi w:val="0"/>
        <w:spacing w:before="0" w:after="240"/>
        <w:jc w:val="both"/>
        <w:rPr/>
      </w:pPr>
      <w:r>
        <w:rPr>
          <w:color w:val="000000"/>
        </w:rPr>
        <w:t>“</w:t>
      </w:r>
      <w:r>
        <w:rPr>
          <w:rFonts w:ascii="Times New Roman" w:hAnsi="Times New Roman"/>
          <w:color w:val="000000"/>
          <w:sz w:val="24"/>
          <w:u w:val="single"/>
        </w:rPr>
        <w:t>ICA Account Control Agreement</w:t>
      </w:r>
      <w:r>
        <w:rPr>
          <w:rFonts w:ascii="Times New Roman" w:hAnsi="Times New Roman"/>
          <w:color w:val="000000"/>
          <w:sz w:val="20"/>
        </w:rPr>
        <w:t xml:space="preserve">” </w:t>
      </w:r>
      <w:r>
        <w:rPr>
          <w:rFonts w:ascii="Times New Roman" w:hAnsi="Times New Roman"/>
          <w:color w:val="000000"/>
          <w:sz w:val="24"/>
        </w:rPr>
        <w:t>means the Deposit Account Control Agreement relating to the Collateral Account (as defined therein, and subject to the Intercreditor Agreement), dated as of February 2, 2011, among UACC Auto Financing Trust, UACC and [***].</w:t>
      </w:r>
    </w:p>
    <w:p>
      <w:pPr>
        <w:pStyle w:val="TextBody"/>
        <w:bidi w:val="0"/>
        <w:spacing w:before="0" w:after="240"/>
        <w:jc w:val="both"/>
        <w:rPr/>
      </w:pPr>
      <w:r>
        <w:rPr>
          <w:color w:val="000000"/>
        </w:rPr>
        <w:t>“</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 xml:space="preserve">means, on any day (i) with respect to VFH and its consolidated Subsidiaries, all indebtedness for borrowed money for which VFH and its consolidated Subsidiaries is primarily liable or liable as a guarantor or co-signor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all preferred equity on VFH’s consolidated balance sheet as of such date of determination and (ii) with respect to any other Person, all indebtedness for borrowed money for which such Person is primarily liable or liable as a guarantor or co-signor.</w:t>
      </w:r>
    </w:p>
    <w:p>
      <w:pPr>
        <w:pStyle w:val="TextBody"/>
        <w:bidi w:val="0"/>
        <w:spacing w:before="0" w:after="240"/>
        <w:jc w:val="both"/>
        <w:rPr/>
      </w:pPr>
      <w:r>
        <w:rPr>
          <w:color w:val="000000"/>
        </w:rPr>
        <w:t>“</w:t>
      </w:r>
      <w:r>
        <w:rPr>
          <w:rFonts w:ascii="Times New Roman" w:hAnsi="Times New Roman"/>
          <w:color w:val="000000"/>
          <w:sz w:val="24"/>
          <w:u w:val="single"/>
        </w:rPr>
        <w:t>Indemnified Amounts</w:t>
      </w:r>
      <w:r>
        <w:rPr>
          <w:rFonts w:ascii="Times New Roman" w:hAnsi="Times New Roman"/>
          <w:color w:val="000000"/>
          <w:sz w:val="20"/>
        </w:rPr>
        <w:t xml:space="preserve">” </w:t>
      </w:r>
      <w:r>
        <w:rPr>
          <w:rFonts w:ascii="Times New Roman" w:hAnsi="Times New Roman"/>
          <w:color w:val="000000"/>
          <w:sz w:val="24"/>
        </w:rPr>
        <w:t>means all Borrower Indemnified Amounts, UACC Indemnified Amounts and Seller Indemnified Amounts.</w:t>
      </w:r>
    </w:p>
    <w:p>
      <w:pPr>
        <w:pStyle w:val="TextBody"/>
        <w:bidi w:val="0"/>
        <w:spacing w:before="0" w:after="240"/>
        <w:jc w:val="both"/>
        <w:rPr/>
      </w:pPr>
      <w:r>
        <w:rPr>
          <w:color w:val="000000"/>
        </w:rPr>
        <w:t>“</w:t>
      </w:r>
      <w:r>
        <w:rPr>
          <w:rFonts w:ascii="Times New Roman" w:hAnsi="Times New Roman"/>
          <w:color w:val="000000"/>
          <w:sz w:val="24"/>
          <w:u w:val="single"/>
        </w:rPr>
        <w:t>Indemnified Party</w:t>
      </w:r>
      <w:r>
        <w:rPr>
          <w:rFonts w:ascii="Times New Roman" w:hAnsi="Times New Roman"/>
          <w:color w:val="000000"/>
          <w:sz w:val="20"/>
        </w:rPr>
        <w:t xml:space="preserve">” </w:t>
      </w:r>
      <w:r>
        <w:rPr>
          <w:rFonts w:ascii="Times New Roman" w:hAnsi="Times New Roman"/>
          <w:color w:val="000000"/>
          <w:sz w:val="24"/>
        </w:rPr>
        <w:t>means the Borrower Indemnified Parties, UACC Indemnified Parties and the Seller Indemnified Parties.</w:t>
      </w:r>
    </w:p>
    <w:p>
      <w:pPr>
        <w:pStyle w:val="TextBody"/>
        <w:bidi w:val="0"/>
        <w:spacing w:before="0" w:after="240"/>
        <w:jc w:val="both"/>
        <w:rPr/>
      </w:pPr>
      <w:r>
        <w:rPr>
          <w:color w:val="000000"/>
        </w:rPr>
        <w:t>“</w:t>
      </w:r>
      <w:r>
        <w:rPr>
          <w:rFonts w:ascii="Times New Roman" w:hAnsi="Times New Roman"/>
          <w:color w:val="000000"/>
          <w:sz w:val="24"/>
          <w:u w:val="single"/>
        </w:rPr>
        <w:t>Ineligible Receivable</w:t>
      </w:r>
      <w:r>
        <w:rPr>
          <w:rFonts w:ascii="Times New Roman" w:hAnsi="Times New Roman"/>
          <w:color w:val="000000"/>
          <w:sz w:val="20"/>
        </w:rPr>
        <w:t xml:space="preserve">” </w:t>
      </w:r>
      <w:r>
        <w:rPr>
          <w:rFonts w:ascii="Times New Roman" w:hAnsi="Times New Roman"/>
          <w:color w:val="000000"/>
          <w:sz w:val="24"/>
        </w:rPr>
        <w:t>means a Receivable that is not an Eligible Receivable.</w:t>
      </w:r>
    </w:p>
    <w:p>
      <w:pPr>
        <w:pStyle w:val="TextBody"/>
        <w:bidi w:val="0"/>
        <w:spacing w:before="0" w:after="240"/>
        <w:jc w:val="both"/>
        <w:rPr/>
      </w:pPr>
      <w:r>
        <w:rPr>
          <w:color w:val="000000"/>
        </w:rPr>
        <w:t>“</w:t>
      </w:r>
      <w:r>
        <w:rPr>
          <w:rFonts w:ascii="Times New Roman" w:hAnsi="Times New Roman"/>
          <w:color w:val="000000"/>
          <w:sz w:val="24"/>
          <w:u w:val="single"/>
        </w:rPr>
        <w:t>Initial Loan</w:t>
      </w:r>
      <w:r>
        <w:rPr>
          <w:rFonts w:ascii="Times New Roman" w:hAnsi="Times New Roman"/>
          <w:color w:val="000000"/>
          <w:sz w:val="20"/>
        </w:rPr>
        <w:t xml:space="preserve">” </w:t>
      </w:r>
      <w:r>
        <w:rPr>
          <w:rFonts w:ascii="Times New Roman" w:hAnsi="Times New Roman"/>
          <w:color w:val="000000"/>
          <w:sz w:val="24"/>
        </w:rPr>
        <w:t>means the first Loan made on or after the Closing Date.</w:t>
      </w:r>
    </w:p>
    <w:p>
      <w:pPr>
        <w:pStyle w:val="TextBody"/>
        <w:bidi w:val="0"/>
        <w:spacing w:before="0" w:after="240"/>
        <w:jc w:val="both"/>
        <w:rPr/>
      </w:pPr>
      <w:r>
        <w:rPr>
          <w:color w:val="000000"/>
        </w:rPr>
        <w:t>“</w:t>
      </w:r>
      <w:r>
        <w:rPr>
          <w:rFonts w:ascii="Times New Roman" w:hAnsi="Times New Roman"/>
          <w:color w:val="000000"/>
          <w:sz w:val="24"/>
          <w:u w:val="single"/>
        </w:rPr>
        <w:t>Insolvency Event</w:t>
      </w:r>
      <w:r>
        <w:rPr>
          <w:rFonts w:ascii="Times New Roman" w:hAnsi="Times New Roman"/>
          <w:color w:val="000000"/>
          <w:sz w:val="20"/>
        </w:rPr>
        <w:t xml:space="preserve">” </w:t>
      </w:r>
      <w:r>
        <w:rPr>
          <w:rFonts w:ascii="Times New Roman" w:hAnsi="Times New Roman"/>
          <w:color w:val="000000"/>
          <w:sz w:val="24"/>
        </w:rPr>
        <w:t>means, with respect to any Person, (i) 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the like for such Person or all or substantially all of its assets, or any similar action with respect to such Person under the Bankruptcy Code or any other law relating to bankruptcy, insolvency, reorganization, winding up or composition or adjustment of debts,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such case or proceeding shall continue undismissed, or unstayed and in effect, for a period of sixty (60) consecutive days or (B) an order for relief in respect of such Person shall be entered in such case or proceeding or a decree or order granting such other requested relief shall be entered or (ii) the commencement by such Person of a voluntary case under any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pStyle w:val="TextBody"/>
        <w:bidi w:val="0"/>
        <w:spacing w:before="0" w:after="240"/>
        <w:jc w:val="both"/>
        <w:rPr/>
      </w:pPr>
      <w:r>
        <w:rPr>
          <w:color w:val="000000"/>
        </w:rPr>
        <w:t>“</w:t>
      </w:r>
      <w:r>
        <w:rPr>
          <w:rFonts w:ascii="Times New Roman" w:hAnsi="Times New Roman"/>
          <w:color w:val="000000"/>
          <w:sz w:val="24"/>
          <w:u w:val="single"/>
        </w:rPr>
        <w:t>Insolvency Laws</w:t>
      </w:r>
      <w:r>
        <w:rPr>
          <w:rFonts w:ascii="Times New Roman" w:hAnsi="Times New Roman"/>
          <w:color w:val="000000"/>
          <w:sz w:val="20"/>
        </w:rPr>
        <w:t xml:space="preserve">” </w:t>
      </w:r>
      <w:r>
        <w:rPr>
          <w:rFonts w:ascii="Times New Roman" w:hAnsi="Times New Roman"/>
          <w:color w:val="000000"/>
          <w:sz w:val="24"/>
        </w:rPr>
        <w:t>means the Bankruptcy Code and all other applicable liquidation, conservatorship, bankruptcy, moratorium, arrangement, rearrangement, receivership, insolvency, reorganization, suspension of payments, marshaling of assets and liabilities or similar debtor relief laws from time to time in effect affecting the rights of creditors generally.</w:t>
      </w:r>
    </w:p>
    <w:p>
      <w:pPr>
        <w:pStyle w:val="TextBody"/>
        <w:bidi w:val="0"/>
        <w:spacing w:before="0" w:after="240"/>
        <w:jc w:val="both"/>
        <w:rPr/>
      </w:pPr>
      <w:r>
        <w:rPr>
          <w:color w:val="000000"/>
        </w:rPr>
        <w:t>“</w:t>
      </w:r>
      <w:r>
        <w:rPr>
          <w:rFonts w:ascii="Times New Roman" w:hAnsi="Times New Roman"/>
          <w:color w:val="000000"/>
          <w:sz w:val="24"/>
          <w:u w:val="single"/>
        </w:rPr>
        <w:t>Insolvency Proceeding</w:t>
      </w:r>
      <w:r>
        <w:rPr>
          <w:rFonts w:ascii="Times New Roman" w:hAnsi="Times New Roman"/>
          <w:color w:val="000000"/>
          <w:sz w:val="20"/>
        </w:rPr>
        <w:t xml:space="preserve">” </w:t>
      </w:r>
      <w:r>
        <w:rPr>
          <w:rFonts w:ascii="Times New Roman" w:hAnsi="Times New Roman"/>
          <w:color w:val="000000"/>
          <w:sz w:val="24"/>
        </w:rPr>
        <w:t>means, with respect to any Person, any bankruptcy, insolvency, arrangement, rearrangement, conservatorship, moratorium, suspension of payments, readjustment of debt, reorganization, receivership, liquidation, marshaling of assets and liabilities or similar proceeding of or relating to such Person under any Insolvency Laws.</w:t>
      </w:r>
    </w:p>
    <w:p>
      <w:pPr>
        <w:pStyle w:val="TextBody"/>
        <w:bidi w:val="0"/>
        <w:spacing w:before="0" w:after="240"/>
        <w:jc w:val="both"/>
        <w:rPr/>
      </w:pPr>
      <w:r>
        <w:rPr>
          <w:color w:val="000000"/>
        </w:rPr>
        <w:t>“</w:t>
      </w:r>
      <w:r>
        <w:rPr>
          <w:rFonts w:ascii="Times New Roman" w:hAnsi="Times New Roman"/>
          <w:color w:val="000000"/>
          <w:sz w:val="24"/>
          <w:u w:val="single"/>
        </w:rPr>
        <w:t>Instrument</w:t>
      </w:r>
      <w:r>
        <w:rPr>
          <w:rFonts w:ascii="Times New Roman" w:hAnsi="Times New Roman"/>
          <w:color w:val="000000"/>
          <w:sz w:val="20"/>
        </w:rPr>
        <w:t xml:space="preserve">” </w:t>
      </w:r>
      <w:r>
        <w:rPr>
          <w:rFonts w:ascii="Times New Roman" w:hAnsi="Times New Roman"/>
          <w:color w:val="000000"/>
          <w:sz w:val="24"/>
        </w:rPr>
        <w:t>means any “instrument” (as defined in Article 9 of the UCC), other than an instrument that constitutes part of chattel paper.</w:t>
      </w:r>
    </w:p>
    <w:p>
      <w:pPr>
        <w:pStyle w:val="TextBody"/>
        <w:bidi w:val="0"/>
        <w:spacing w:before="0" w:after="240"/>
        <w:jc w:val="both"/>
        <w:rPr/>
      </w:pPr>
      <w:r>
        <w:rPr>
          <w:color w:val="000000"/>
        </w:rPr>
        <w:t>“</w:t>
      </w:r>
      <w:r>
        <w:rPr>
          <w:rFonts w:ascii="Times New Roman" w:hAnsi="Times New Roman"/>
          <w:color w:val="000000"/>
          <w:sz w:val="24"/>
          <w:u w:val="single"/>
        </w:rPr>
        <w:t>Insurance Policy</w:t>
      </w:r>
      <w:r>
        <w:rPr>
          <w:rFonts w:ascii="Times New Roman" w:hAnsi="Times New Roman"/>
          <w:color w:val="000000"/>
          <w:sz w:val="20"/>
        </w:rPr>
        <w:t xml:space="preserve">” </w:t>
      </w:r>
      <w:r>
        <w:rPr>
          <w:rFonts w:ascii="Times New Roman" w:hAnsi="Times New Roman"/>
          <w:color w:val="000000"/>
          <w:sz w:val="24"/>
        </w:rPr>
        <w:t>means, with respect to any Receivable, (i) an insurance policy covering physical damage to or loss of the related Financed Vehicle or (ii) any lender’s single interest, credit life, disability, hospitalization or similar insurance policy with respect to the related Obligor.</w:t>
      </w:r>
    </w:p>
    <w:p>
      <w:pPr>
        <w:pStyle w:val="TextBody"/>
        <w:bidi w:val="0"/>
        <w:spacing w:before="0" w:after="240"/>
        <w:jc w:val="both"/>
        <w:rPr/>
      </w:pPr>
      <w:r>
        <w:rPr>
          <w:color w:val="000000"/>
        </w:rPr>
        <w:t>“</w:t>
      </w:r>
      <w:r>
        <w:rPr>
          <w:rFonts w:ascii="Times New Roman" w:hAnsi="Times New Roman"/>
          <w:color w:val="000000"/>
          <w:sz w:val="24"/>
          <w:u w:val="single"/>
        </w:rPr>
        <w:t>Insurance Proceeds</w:t>
      </w:r>
      <w:r>
        <w:rPr>
          <w:rFonts w:ascii="Times New Roman" w:hAnsi="Times New Roman"/>
          <w:color w:val="000000"/>
          <w:sz w:val="20"/>
        </w:rPr>
        <w:t xml:space="preserve">” </w:t>
      </w:r>
      <w:r>
        <w:rPr>
          <w:rFonts w:ascii="Times New Roman" w:hAnsi="Times New Roman"/>
          <w:color w:val="000000"/>
          <w:sz w:val="24"/>
        </w:rPr>
        <w:t>means any amounts payable or any payments made under any Insurance Policy.</w:t>
      </w:r>
    </w:p>
    <w:p>
      <w:pPr>
        <w:pStyle w:val="TextBody"/>
        <w:bidi w:val="0"/>
        <w:spacing w:before="0" w:after="240"/>
        <w:jc w:val="both"/>
        <w:rPr/>
      </w:pPr>
      <w:r>
        <w:rPr>
          <w:color w:val="000000"/>
        </w:rPr>
        <w:t>“</w:t>
      </w:r>
      <w:r>
        <w:rPr>
          <w:rFonts w:ascii="Times New Roman" w:hAnsi="Times New Roman"/>
          <w:color w:val="000000"/>
          <w:sz w:val="24"/>
          <w:u w:val="single"/>
        </w:rPr>
        <w:t>Intercreditor Agreement</w:t>
      </w:r>
      <w:r>
        <w:rPr>
          <w:rFonts w:ascii="Times New Roman" w:hAnsi="Times New Roman"/>
          <w:color w:val="000000"/>
          <w:sz w:val="20"/>
        </w:rPr>
        <w:t xml:space="preserve">” </w:t>
      </w:r>
      <w:r>
        <w:rPr>
          <w:rFonts w:ascii="Times New Roman" w:hAnsi="Times New Roman"/>
          <w:color w:val="000000"/>
          <w:sz w:val="24"/>
        </w:rPr>
        <w:t>means that certain Intercreditor Agreement, dated as of February 2, 2011, among [***], UACC, UACC Auto Financing Trust and each of the intercreditor parties thereto.</w:t>
      </w:r>
    </w:p>
    <w:p>
      <w:pPr>
        <w:pStyle w:val="TextBody"/>
        <w:bidi w:val="0"/>
        <w:spacing w:before="0" w:after="240"/>
        <w:jc w:val="both"/>
        <w:rPr/>
      </w:pPr>
      <w:r>
        <w:rPr>
          <w:color w:val="000000"/>
        </w:rPr>
        <w:t>“</w:t>
      </w:r>
      <w:r>
        <w:rPr>
          <w:rFonts w:ascii="Times New Roman" w:hAnsi="Times New Roman"/>
          <w:color w:val="000000"/>
          <w:sz w:val="24"/>
          <w:u w:val="single"/>
        </w:rPr>
        <w:t>Intercreditor Party Supplement</w:t>
      </w:r>
      <w:r>
        <w:rPr>
          <w:rFonts w:ascii="Times New Roman" w:hAnsi="Times New Roman"/>
          <w:color w:val="000000"/>
          <w:sz w:val="20"/>
        </w:rPr>
        <w:t xml:space="preserve">” </w:t>
      </w:r>
      <w:r>
        <w:rPr>
          <w:rFonts w:ascii="Times New Roman" w:hAnsi="Times New Roman"/>
          <w:color w:val="000000"/>
          <w:sz w:val="24"/>
        </w:rPr>
        <w:t>means the Intercreditor Party Supplement, dated as of the Closing Date, among the Borrower, the Administrative Agent and the parties to the Intercreditor Agreement.</w:t>
      </w:r>
    </w:p>
    <w:p>
      <w:pPr>
        <w:pStyle w:val="TextBody"/>
        <w:bidi w:val="0"/>
        <w:spacing w:before="0" w:after="240"/>
        <w:jc w:val="both"/>
        <w:rPr/>
      </w:pPr>
      <w:r>
        <w:rPr>
          <w:color w:val="000000"/>
        </w:rPr>
        <w:t>“</w:t>
      </w:r>
      <w:r>
        <w:rPr>
          <w:rFonts w:ascii="Times New Roman" w:hAnsi="Times New Roman"/>
          <w:color w:val="000000"/>
          <w:sz w:val="24"/>
          <w:u w:val="single"/>
        </w:rPr>
        <w:t>Interest</w:t>
      </w:r>
      <w:r>
        <w:rPr>
          <w:rFonts w:ascii="Times New Roman" w:hAnsi="Times New Roman"/>
          <w:color w:val="000000"/>
          <w:sz w:val="20"/>
        </w:rPr>
        <w:t xml:space="preserve">” </w:t>
      </w:r>
      <w:r>
        <w:rPr>
          <w:rFonts w:ascii="Times New Roman" w:hAnsi="Times New Roman"/>
          <w:color w:val="000000"/>
          <w:sz w:val="24"/>
        </w:rPr>
        <w:t xml:space="preserve">means, for any Interest Period and each Loan outstanding during such Interest Period, interest on the outstanding Principal Amount of such Loan computed pursuant to Section 2.07; </w:t>
      </w:r>
      <w:r>
        <w:rPr>
          <w:rFonts w:ascii="Times New Roman" w:hAnsi="Times New Roman"/>
          <w:i/>
          <w:color w:val="000000"/>
          <w:sz w:val="24"/>
        </w:rPr>
        <w:t>provided, however</w:t>
      </w:r>
      <w:r>
        <w:rPr>
          <w:rFonts w:ascii="Times New Roman" w:hAnsi="Times New Roman"/>
          <w:color w:val="000000"/>
          <w:sz w:val="24"/>
        </w:rPr>
        <w:t>, that (i) no provision of this Agreement shall require or permit the collection of Interest in excess of the Maximum Lawful Rate and (ii) Interest shall not be considered paid by any distribution if at any time such distribution is rescinded or must otherwise be returned for any reason.</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Interest Period</w:t>
      </w:r>
      <w:r>
        <w:rPr>
          <w:rFonts w:ascii="Times New Roman" w:hAnsi="Times New Roman"/>
          <w:color w:val="000000"/>
          <w:sz w:val="20"/>
        </w:rPr>
        <w:t xml:space="preserve">” </w:t>
      </w:r>
      <w:r>
        <w:rPr>
          <w:rFonts w:ascii="Times New Roman" w:hAnsi="Times New Roman"/>
          <w:color w:val="000000"/>
          <w:sz w:val="24"/>
        </w:rPr>
        <w:t>means a Collection Period; provided, however, that any Interest Period that commences before the Facility Termination Date that would otherwise end after the Facility Termination Date shall end on the Facility Termination Date.</w:t>
      </w:r>
    </w:p>
    <w:p>
      <w:pPr>
        <w:pStyle w:val="TextBody"/>
        <w:bidi w:val="0"/>
        <w:spacing w:before="0" w:after="240"/>
        <w:jc w:val="both"/>
        <w:rPr/>
      </w:pPr>
      <w:r>
        <w:rPr>
          <w:color w:val="000000"/>
        </w:rPr>
        <w:t>“</w:t>
      </w:r>
      <w:r>
        <w:rPr>
          <w:rFonts w:ascii="Times New Roman" w:hAnsi="Times New Roman"/>
          <w:color w:val="000000"/>
          <w:sz w:val="24"/>
          <w:u w:val="single"/>
        </w:rPr>
        <w:t>Interpayments</w:t>
      </w:r>
      <w:r>
        <w:rPr>
          <w:rFonts w:ascii="Times New Roman" w:hAnsi="Times New Roman"/>
          <w:color w:val="000000"/>
          <w:sz w:val="20"/>
        </w:rPr>
        <w:t xml:space="preserve">” </w:t>
      </w:r>
      <w:r>
        <w:rPr>
          <w:rFonts w:ascii="Times New Roman" w:hAnsi="Times New Roman"/>
          <w:color w:val="000000"/>
          <w:sz w:val="24"/>
        </w:rPr>
        <w:t>means Collections on deposit in the Collection Account that are used to repay at least $[***] in principal amount of Loans Outstanding pursuant to Section 2.06(d).</w:t>
      </w:r>
    </w:p>
    <w:p>
      <w:pPr>
        <w:pStyle w:val="TextBody"/>
        <w:bidi w:val="0"/>
        <w:spacing w:before="0" w:after="240"/>
        <w:jc w:val="both"/>
        <w:rPr/>
      </w:pPr>
      <w:r>
        <w:rPr>
          <w:color w:val="000000"/>
        </w:rPr>
        <w:t>“</w:t>
      </w:r>
      <w:r>
        <w:rPr>
          <w:rFonts w:ascii="Times New Roman" w:hAnsi="Times New Roman"/>
          <w:color w:val="000000"/>
          <w:sz w:val="24"/>
          <w:u w:val="single"/>
        </w:rPr>
        <w:t>Invested Percentage</w:t>
      </w:r>
      <w:r>
        <w:rPr>
          <w:rFonts w:ascii="Times New Roman" w:hAnsi="Times New Roman"/>
          <w:color w:val="000000"/>
          <w:sz w:val="20"/>
        </w:rPr>
        <w:t xml:space="preserve">” </w:t>
      </w:r>
      <w:r>
        <w:rPr>
          <w:rFonts w:ascii="Times New Roman" w:hAnsi="Times New Roman"/>
          <w:color w:val="000000"/>
          <w:sz w:val="24"/>
        </w:rPr>
        <w:t>means, for a Lender on any day, the percentage equivalent of (i) the sum of (a) the portion of the Loans Outstanding (if any) funded by such Lender on or prior to such day, plus (b) any portion of the Loans Outstanding acquired by such Lender on or prior to such day as an assignee from another Lender pursuant to an Assignment and Acceptance, minus (c) any portion of the Loans Outstanding assigned by such Lender to an assignee on or prior to such day pursuant to an Assignment and Acceptance, divided by (ii) the Loans Outstanding on such day.</w:t>
      </w:r>
    </w:p>
    <w:p>
      <w:pPr>
        <w:pStyle w:val="TextBody"/>
        <w:bidi w:val="0"/>
        <w:spacing w:before="0" w:after="240"/>
        <w:jc w:val="both"/>
        <w:rPr/>
      </w:pPr>
      <w:r>
        <w:rPr>
          <w:color w:val="000000"/>
        </w:rPr>
        <w:t>“</w:t>
      </w:r>
      <w:r>
        <w:rPr>
          <w:rFonts w:ascii="Times New Roman" w:hAnsi="Times New Roman"/>
          <w:color w:val="000000"/>
          <w:sz w:val="24"/>
          <w:u w:val="single"/>
        </w:rPr>
        <w:t>Investment</w:t>
      </w:r>
      <w:r>
        <w:rPr>
          <w:rFonts w:ascii="Times New Roman" w:hAnsi="Times New Roman"/>
          <w:color w:val="000000"/>
          <w:sz w:val="20"/>
        </w:rPr>
        <w:t xml:space="preserve">” </w:t>
      </w:r>
      <w:r>
        <w:rPr>
          <w:rFonts w:ascii="Times New Roman" w:hAnsi="Times New Roman"/>
          <w:color w:val="000000"/>
          <w:sz w:val="24"/>
        </w:rPr>
        <w:t>means, with respect to any Person, any direct or indirect loan, advance or investment by such Person in any other Person, whether by means of share purchase, capital contribution, loan or otherwise, and excluding commission, travel and similar advances to officers, employees and directors made in the ordinary course of business.</w:t>
      </w:r>
    </w:p>
    <w:p>
      <w:pPr>
        <w:pStyle w:val="TextBody"/>
        <w:bidi w:val="0"/>
        <w:spacing w:before="0" w:after="240"/>
        <w:jc w:val="both"/>
        <w:rPr/>
      </w:pPr>
      <w:r>
        <w:rPr>
          <w:color w:val="000000"/>
        </w:rPr>
        <w:t>“</w:t>
      </w:r>
      <w:r>
        <w:rPr>
          <w:rFonts w:ascii="Times New Roman" w:hAnsi="Times New Roman"/>
          <w:color w:val="000000"/>
          <w:sz w:val="24"/>
          <w:u w:val="single"/>
        </w:rPr>
        <w:t>Investment Company Act</w:t>
      </w:r>
      <w:r>
        <w:rPr>
          <w:rFonts w:ascii="Times New Roman" w:hAnsi="Times New Roman"/>
          <w:color w:val="000000"/>
          <w:sz w:val="20"/>
        </w:rPr>
        <w:t xml:space="preserve">” </w:t>
      </w:r>
      <w:r>
        <w:rPr>
          <w:rFonts w:ascii="Times New Roman" w:hAnsi="Times New Roman"/>
          <w:color w:val="000000"/>
          <w:sz w:val="24"/>
        </w:rPr>
        <w:t>means the Investment Company Act of 1940.</w:t>
      </w:r>
    </w:p>
    <w:p>
      <w:pPr>
        <w:pStyle w:val="TextBody"/>
        <w:bidi w:val="0"/>
        <w:spacing w:before="0" w:after="240"/>
        <w:jc w:val="both"/>
        <w:rPr/>
      </w:pPr>
      <w:r>
        <w:rPr>
          <w:color w:val="000000"/>
        </w:rPr>
        <w:t>“</w:t>
      </w:r>
      <w:r>
        <w:rPr>
          <w:rFonts w:ascii="Times New Roman" w:hAnsi="Times New Roman"/>
          <w:color w:val="000000"/>
          <w:sz w:val="24"/>
          <w:u w:val="single"/>
        </w:rPr>
        <w:t>IRS</w:t>
      </w:r>
      <w:r>
        <w:rPr>
          <w:rFonts w:ascii="Times New Roman" w:hAnsi="Times New Roman"/>
          <w:color w:val="000000"/>
          <w:sz w:val="20"/>
        </w:rPr>
        <w:t xml:space="preserve">” </w:t>
      </w:r>
      <w:r>
        <w:rPr>
          <w:rFonts w:ascii="Times New Roman" w:hAnsi="Times New Roman"/>
          <w:color w:val="000000"/>
          <w:sz w:val="24"/>
        </w:rPr>
        <w:t>means the U.S. Internal Revenue Service.</w:t>
      </w:r>
    </w:p>
    <w:p>
      <w:pPr>
        <w:pStyle w:val="TextBody"/>
        <w:bidi w:val="0"/>
        <w:spacing w:before="0" w:after="240"/>
        <w:jc w:val="both"/>
        <w:rPr/>
      </w:pPr>
      <w:r>
        <w:rPr>
          <w:color w:val="000000"/>
        </w:rPr>
        <w:t>“</w:t>
      </w:r>
      <w:r>
        <w:rPr>
          <w:rFonts w:ascii="Times New Roman" w:hAnsi="Times New Roman"/>
          <w:color w:val="000000"/>
          <w:sz w:val="24"/>
          <w:u w:val="single"/>
        </w:rPr>
        <w:t>ISDA Definitions</w:t>
      </w:r>
      <w:r>
        <w:rPr>
          <w:rFonts w:ascii="Times New Roman" w:hAnsi="Times New Roman"/>
          <w:color w:val="000000"/>
          <w:sz w:val="20"/>
        </w:rPr>
        <w:t xml:space="preserve">” </w:t>
      </w:r>
      <w:r>
        <w:rPr>
          <w:rFonts w:ascii="Times New Roman" w:hAnsi="Times New Roman"/>
          <w:color w:val="000000"/>
          <w:sz w:val="24"/>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before="0" w:after="240"/>
        <w:jc w:val="both"/>
        <w:rPr/>
      </w:pPr>
      <w:r>
        <w:rPr>
          <w:color w:val="000000"/>
        </w:rPr>
        <w:t>“</w:t>
      </w:r>
      <w:r>
        <w:rPr>
          <w:rFonts w:ascii="Times New Roman" w:hAnsi="Times New Roman"/>
          <w:color w:val="000000"/>
          <w:sz w:val="24"/>
          <w:u w:val="single"/>
        </w:rPr>
        <w:t>[***]</w:t>
      </w:r>
      <w:r>
        <w:rPr>
          <w:rFonts w:ascii="Times New Roman" w:hAnsi="Times New Roman"/>
          <w:color w:val="000000"/>
          <w:sz w:val="20"/>
        </w:rPr>
        <w:t xml:space="preserve">” </w:t>
      </w:r>
      <w:r>
        <w:rPr>
          <w:rFonts w:ascii="Times New Roman" w:hAnsi="Times New Roman"/>
          <w:color w:val="000000"/>
          <w:sz w:val="24"/>
        </w:rPr>
        <w:t>means [***], a national banking association, in its individual capacity, and its permitted successors and assigns.</w:t>
      </w:r>
    </w:p>
    <w:p>
      <w:pPr>
        <w:pStyle w:val="TextBody"/>
        <w:bidi w:val="0"/>
        <w:spacing w:before="0" w:after="240"/>
        <w:jc w:val="both"/>
        <w:rPr/>
      </w:pPr>
      <w:r>
        <w:rPr>
          <w:color w:val="000000"/>
        </w:rPr>
        <w:t>“</w:t>
      </w:r>
      <w:r>
        <w:rPr>
          <w:rFonts w:ascii="Times New Roman" w:hAnsi="Times New Roman"/>
          <w:color w:val="000000"/>
          <w:sz w:val="24"/>
          <w:u w:val="single"/>
        </w:rPr>
        <w:t>Lender</w:t>
      </w:r>
      <w:r>
        <w:rPr>
          <w:rFonts w:ascii="Times New Roman" w:hAnsi="Times New Roman"/>
          <w:color w:val="000000"/>
          <w:sz w:val="20"/>
        </w:rPr>
        <w:t xml:space="preserve">” </w:t>
      </w:r>
      <w:r>
        <w:rPr>
          <w:rFonts w:ascii="Times New Roman" w:hAnsi="Times New Roman"/>
          <w:color w:val="000000"/>
          <w:sz w:val="24"/>
        </w:rPr>
        <w:t>means, as applicable, a Conduit Lender or a Committed Lender, and “</w:t>
      </w:r>
      <w:r>
        <w:rPr>
          <w:rFonts w:ascii="Times New Roman" w:hAnsi="Times New Roman"/>
          <w:color w:val="000000"/>
          <w:sz w:val="24"/>
          <w:u w:val="single"/>
        </w:rPr>
        <w:t>Lenders</w:t>
      </w:r>
      <w:r>
        <w:rPr>
          <w:rFonts w:ascii="Times New Roman" w:hAnsi="Times New Roman"/>
          <w:color w:val="000000"/>
          <w:sz w:val="20"/>
        </w:rPr>
        <w:t xml:space="preserve">” </w:t>
      </w:r>
      <w:r>
        <w:rPr>
          <w:rFonts w:ascii="Times New Roman" w:hAnsi="Times New Roman"/>
          <w:color w:val="000000"/>
          <w:sz w:val="24"/>
        </w:rPr>
        <w:t>means, collectively, all of the foregoing Persons.</w:t>
      </w:r>
    </w:p>
    <w:p>
      <w:pPr>
        <w:pStyle w:val="TextBody"/>
        <w:bidi w:val="0"/>
        <w:spacing w:before="0" w:after="240"/>
        <w:jc w:val="both"/>
        <w:rPr/>
      </w:pPr>
      <w:r>
        <w:rPr>
          <w:color w:val="000000"/>
        </w:rPr>
        <w:t>“</w:t>
      </w:r>
      <w:r>
        <w:rPr>
          <w:rFonts w:ascii="Times New Roman" w:hAnsi="Times New Roman"/>
          <w:color w:val="000000"/>
          <w:sz w:val="24"/>
          <w:u w:val="single"/>
        </w:rPr>
        <w:t>Lender Advance</w:t>
      </w:r>
      <w:r>
        <w:rPr>
          <w:rFonts w:ascii="Times New Roman" w:hAnsi="Times New Roman"/>
          <w:color w:val="000000"/>
          <w:sz w:val="20"/>
        </w:rPr>
        <w:t xml:space="preserve">” </w:t>
      </w:r>
      <w:r>
        <w:rPr>
          <w:rFonts w:ascii="Times New Roman" w:hAnsi="Times New Roman"/>
          <w:color w:val="000000"/>
          <w:sz w:val="24"/>
        </w:rPr>
        <w:t>means, with respect to a Conduit Lender or Committed Lender, such Lender’s Lender Percentage of the Principal Amount of a particular Loan to be made to the Borrower on a Funding Date.</w:t>
      </w:r>
    </w:p>
    <w:p>
      <w:pPr>
        <w:pStyle w:val="TextBody"/>
        <w:bidi w:val="0"/>
        <w:spacing w:before="0" w:after="240"/>
        <w:jc w:val="both"/>
        <w:rPr/>
      </w:pPr>
      <w:r>
        <w:rPr>
          <w:color w:val="000000"/>
        </w:rPr>
        <w:t>“</w:t>
      </w:r>
      <w:r>
        <w:rPr>
          <w:rFonts w:ascii="Times New Roman" w:hAnsi="Times New Roman"/>
          <w:color w:val="000000"/>
          <w:sz w:val="24"/>
          <w:u w:val="single"/>
        </w:rPr>
        <w:t>Lender Group</w:t>
      </w:r>
      <w:r>
        <w:rPr>
          <w:rFonts w:ascii="Times New Roman" w:hAnsi="Times New Roman"/>
          <w:color w:val="000000"/>
          <w:sz w:val="20"/>
        </w:rPr>
        <w:t xml:space="preserve">” </w:t>
      </w:r>
      <w:r>
        <w:rPr>
          <w:rFonts w:ascii="Times New Roman" w:hAnsi="Times New Roman"/>
          <w:color w:val="000000"/>
          <w:sz w:val="24"/>
        </w:rPr>
        <w:t>means each group of Lenders consisting of (i) a Conduit Lender, (ii) an Agent, (iii) the Liquidity Providers, if applicable, with respect to such Conduit Lender, and/or (iv) if applicable, any Committed Lenders, whether directly or as assignees of such Conduit Lender or any such Liquidity Providers.</w:t>
      </w:r>
    </w:p>
    <w:p>
      <w:pPr>
        <w:pStyle w:val="TextBody"/>
        <w:bidi w:val="0"/>
        <w:spacing w:before="0" w:after="240"/>
        <w:jc w:val="both"/>
        <w:rPr/>
      </w:pPr>
      <w:r>
        <w:rPr>
          <w:color w:val="000000"/>
        </w:rPr>
        <w:t>“</w:t>
      </w:r>
      <w:r>
        <w:rPr>
          <w:rFonts w:ascii="Times New Roman" w:hAnsi="Times New Roman"/>
          <w:color w:val="000000"/>
          <w:sz w:val="24"/>
          <w:u w:val="single"/>
        </w:rPr>
        <w:t>Lender Percentage</w:t>
      </w:r>
      <w:r>
        <w:rPr>
          <w:rFonts w:ascii="Times New Roman" w:hAnsi="Times New Roman"/>
          <w:color w:val="000000"/>
          <w:sz w:val="20"/>
        </w:rPr>
        <w:t xml:space="preserve">” </w:t>
      </w:r>
      <w:r>
        <w:rPr>
          <w:rFonts w:ascii="Times New Roman" w:hAnsi="Times New Roman"/>
          <w:color w:val="000000"/>
          <w:sz w:val="24"/>
        </w:rPr>
        <w:t>means, with respect to a Committed Lender or Conduit Lender, its Commitment or Maximum Loan Amount, as the case may be, as a percentage of the Aggregate Commitment.</w:t>
      </w:r>
    </w:p>
    <w:p>
      <w:pPr>
        <w:pStyle w:val="TextBody"/>
        <w:bidi w:val="0"/>
        <w:spacing w:before="0" w:after="240"/>
        <w:jc w:val="both"/>
        <w:rPr/>
      </w:pPr>
      <w:r>
        <w:rPr>
          <w:color w:val="000000"/>
        </w:rPr>
        <w:t>“</w:t>
      </w:r>
      <w:r>
        <w:rPr>
          <w:rFonts w:ascii="Times New Roman" w:hAnsi="Times New Roman"/>
          <w:color w:val="000000"/>
          <w:sz w:val="24"/>
          <w:u w:val="single"/>
        </w:rPr>
        <w:t>Lender Register</w:t>
      </w:r>
      <w:r>
        <w:rPr>
          <w:rFonts w:ascii="Times New Roman" w:hAnsi="Times New Roman"/>
          <w:color w:val="000000"/>
          <w:sz w:val="20"/>
        </w:rPr>
        <w:t xml:space="preserve">” </w:t>
      </w:r>
      <w:r>
        <w:rPr>
          <w:rFonts w:ascii="Times New Roman" w:hAnsi="Times New Roman"/>
          <w:color w:val="000000"/>
          <w:sz w:val="24"/>
        </w:rPr>
        <w:t>has the meaning given to such term in Section 12.01(d).</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Lender Termination Date</w:t>
      </w:r>
      <w:r>
        <w:rPr>
          <w:rFonts w:ascii="Times New Roman" w:hAnsi="Times New Roman"/>
          <w:color w:val="000000"/>
          <w:sz w:val="20"/>
        </w:rPr>
        <w:t xml:space="preserve">” </w:t>
      </w:r>
      <w:r>
        <w:rPr>
          <w:rFonts w:ascii="Times New Roman" w:hAnsi="Times New Roman"/>
          <w:color w:val="000000"/>
          <w:sz w:val="24"/>
        </w:rPr>
        <w:t>means, for a Lender who is (i) a Committed Lender or a Liquidity Provider, the Commitment Termination Date for such Lender, or (ii) a Conduit Lender that is not a Committed Lender, the latest Commitment Termination Date for any of its Liquidity Providers.</w:t>
      </w:r>
    </w:p>
    <w:p>
      <w:pPr>
        <w:pStyle w:val="TextBody"/>
        <w:bidi w:val="0"/>
        <w:spacing w:before="0" w:after="240"/>
        <w:jc w:val="both"/>
        <w:rPr/>
      </w:pPr>
      <w:r>
        <w:rPr>
          <w:color w:val="000000"/>
        </w:rPr>
        <w:t>“</w:t>
      </w:r>
      <w:r>
        <w:rPr>
          <w:rFonts w:ascii="Times New Roman" w:hAnsi="Times New Roman"/>
          <w:color w:val="000000"/>
          <w:sz w:val="24"/>
          <w:u w:val="single"/>
        </w:rPr>
        <w:t>Level I Overcollateralization Increase Event</w:t>
      </w:r>
      <w:r>
        <w:rPr>
          <w:rFonts w:ascii="Times New Roman" w:hAnsi="Times New Roman"/>
          <w:color w:val="000000"/>
          <w:sz w:val="20"/>
        </w:rPr>
        <w:t xml:space="preserve">” </w:t>
      </w:r>
      <w:r>
        <w:rPr>
          <w:rFonts w:ascii="Times New Roman" w:hAnsi="Times New Roman"/>
          <w:color w:val="000000"/>
          <w:sz w:val="24"/>
        </w:rPr>
        <w:t>means that, as of any Payment Date, the arithmetic mean of the Serviced Portfolio Extension Ratio for the related Collection Period and the two previous Collection Periods exceeds [***]%. Notwithstanding the foregoing, a Level I Overcollateralization Increase Event may be cured and deemed not to exist and be continuing if for three consecutive Payment Dates following a Payment Date on which such Level I Overcollateralization Increase Event occurred, such Overcollateralization Increase Event did not exist.</w:t>
      </w:r>
    </w:p>
    <w:p>
      <w:pPr>
        <w:pStyle w:val="TextBody"/>
        <w:bidi w:val="0"/>
        <w:spacing w:before="0" w:after="240"/>
        <w:jc w:val="both"/>
        <w:rPr/>
      </w:pPr>
      <w:r>
        <w:rPr>
          <w:color w:val="000000"/>
        </w:rPr>
        <w:t>“</w:t>
      </w:r>
      <w:r>
        <w:rPr>
          <w:rFonts w:ascii="Times New Roman" w:hAnsi="Times New Roman"/>
          <w:color w:val="000000"/>
          <w:sz w:val="24"/>
          <w:u w:val="single"/>
        </w:rPr>
        <w:t>Level II Overcollateralization Increase Event</w:t>
      </w:r>
      <w:r>
        <w:rPr>
          <w:rFonts w:ascii="Times New Roman" w:hAnsi="Times New Roman"/>
          <w:color w:val="000000"/>
          <w:sz w:val="20"/>
        </w:rPr>
        <w:t xml:space="preserve">” </w:t>
      </w:r>
      <w:r>
        <w:rPr>
          <w:rFonts w:ascii="Times New Roman" w:hAnsi="Times New Roman"/>
          <w:color w:val="000000"/>
          <w:sz w:val="24"/>
        </w:rPr>
        <w:t>means that, as of any Payment Date, the arithmetic mean of the Serviced Portfolio Delinquency Ratio for the related Collection Period and the two previous Collection Periods exceeds 5.0%. Notwithstanding the foregoing, any Level II Overcollateralization Increase Event may be cured and deemed not to exist and be continuing if for three consecutive Payment Dates following a Payment Date on which such Level II Overcollateralization Increase Event occurred, (i) such Level II Overcollateralization Increase Event did not exist and (ii) no other Level II Overcollateralization Increase Event shall have occurred.</w:t>
      </w:r>
    </w:p>
    <w:p>
      <w:pPr>
        <w:pStyle w:val="TextBody"/>
        <w:bidi w:val="0"/>
        <w:spacing w:before="0" w:after="240"/>
        <w:jc w:val="both"/>
        <w:rPr/>
      </w:pPr>
      <w:r>
        <w:rPr>
          <w:color w:val="000000"/>
        </w:rPr>
        <w:t>“</w:t>
      </w:r>
      <w:r>
        <w:rPr>
          <w:rFonts w:ascii="Times New Roman" w:hAnsi="Times New Roman"/>
          <w:color w:val="000000"/>
          <w:sz w:val="24"/>
          <w:u w:val="single"/>
        </w:rPr>
        <w:t>Level III Overcollateralization Increase Event</w:t>
      </w:r>
      <w:r>
        <w:rPr>
          <w:rFonts w:ascii="Times New Roman" w:hAnsi="Times New Roman"/>
          <w:color w:val="000000"/>
          <w:sz w:val="20"/>
        </w:rPr>
        <w:t xml:space="preserve">” </w:t>
      </w:r>
      <w:r>
        <w:rPr>
          <w:rFonts w:ascii="Times New Roman" w:hAnsi="Times New Roman"/>
          <w:color w:val="000000"/>
          <w:sz w:val="24"/>
        </w:rPr>
        <w:t>means that, as of any Payment Date, the arithmetic mean of the Serviced Portfolio Delinquency Ratio for the related Collection Period and the two previous Collection Periods exceeds 6.50%. Notwithstanding the foregoing, any Level III Overcollateralization Increase Event may be cured and deemed not to exist and be continuing if for three consecutive Payment Dates following a Payment Date on which such Level III Overcollateralization Increase Event occurred, (i) such Level III Overcollateralization Increase Event did not exist and (ii) no other Level III Overcollateralization Increase Event shall have occurred.</w:t>
      </w:r>
    </w:p>
    <w:p>
      <w:pPr>
        <w:pStyle w:val="TextBody"/>
        <w:bidi w:val="0"/>
        <w:spacing w:before="0" w:after="240"/>
        <w:jc w:val="both"/>
        <w:rPr/>
      </w:pPr>
      <w:r>
        <w:rPr>
          <w:color w:val="000000"/>
        </w:rPr>
        <w:t>“</w:t>
      </w:r>
      <w:r>
        <w:rPr>
          <w:rFonts w:ascii="Times New Roman" w:hAnsi="Times New Roman"/>
          <w:color w:val="000000"/>
          <w:sz w:val="24"/>
          <w:u w:val="single"/>
        </w:rPr>
        <w:t>Leverage Ratio</w:t>
      </w:r>
      <w:r>
        <w:rPr>
          <w:rFonts w:ascii="Times New Roman" w:hAnsi="Times New Roman"/>
          <w:color w:val="000000"/>
          <w:sz w:val="20"/>
        </w:rPr>
        <w:t xml:space="preserve">” </w:t>
      </w:r>
      <w:r>
        <w:rPr>
          <w:rFonts w:ascii="Times New Roman" w:hAnsi="Times New Roman"/>
          <w:color w:val="000000"/>
          <w:sz w:val="24"/>
        </w:rPr>
        <w:t>means, with respect to any Person and its consolidated Subsidiaries as of any date of determination, the ratio of such Person’s and its consolidated Subsidiaries’ total Indebtedness (less the sum of such Person’s (i) Unrestricted Cash on hand in excess of $[***], if any, (ii) restricted Cash used for any prefunding of Securitizations and (iii) the aggregate amount of Cash then on deposit in the Collection Account, any collection account subject to a Securitization and any collection account subject to any Other Warehouse Agreement as to which any collateral financed thereunder was sold or contributed to a Securitization) to its Tangible Net Worth (less the amount of any deferred tax asset included therein), in each case, as of the last day of the immediately preceding calendar quarter.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Lien</w:t>
      </w:r>
      <w:r>
        <w:rPr>
          <w:rFonts w:ascii="Times New Roman" w:hAnsi="Times New Roman"/>
          <w:color w:val="000000"/>
          <w:sz w:val="20"/>
        </w:rPr>
        <w:t xml:space="preserve">” </w:t>
      </w:r>
      <w:r>
        <w:rPr>
          <w:rFonts w:ascii="Times New Roman" w:hAnsi="Times New Roman"/>
          <w:color w:val="000000"/>
          <w:sz w:val="24"/>
        </w:rPr>
        <w:t>means any mortgage, lien, pledge, charge, claim, security interest or encumbrance of any kind.</w:t>
      </w:r>
    </w:p>
    <w:p>
      <w:pPr>
        <w:pStyle w:val="TextBody"/>
        <w:bidi w:val="0"/>
        <w:spacing w:before="0" w:after="240"/>
        <w:jc w:val="both"/>
        <w:rPr/>
      </w:pPr>
      <w:r>
        <w:rPr>
          <w:color w:val="000000"/>
        </w:rPr>
        <w:t>“</w:t>
      </w:r>
      <w:r>
        <w:rPr>
          <w:rFonts w:ascii="Times New Roman" w:hAnsi="Times New Roman"/>
          <w:color w:val="000000"/>
          <w:sz w:val="24"/>
          <w:u w:val="single"/>
        </w:rPr>
        <w:t>Liquidity</w:t>
      </w:r>
      <w:r>
        <w:rPr>
          <w:rFonts w:ascii="Times New Roman" w:hAnsi="Times New Roman"/>
          <w:color w:val="000000"/>
          <w:sz w:val="20"/>
        </w:rPr>
        <w:t xml:space="preserve">” </w:t>
      </w:r>
      <w:r>
        <w:rPr>
          <w:rFonts w:ascii="Times New Roman" w:hAnsi="Times New Roman"/>
          <w:color w:val="000000"/>
          <w:sz w:val="24"/>
        </w:rPr>
        <w:t>means, with respect to a Person and its consolidated Subsidiaries as of any date of determination, the sum of (i) the aggregate amount available to be drawn on such date under the committed credit facilities of such Person and its consolidated Subsidiaries [***] so long as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Person or such Subsidiary, as applicable, can satisfy all conditions precedent to borrowing such amounts (including availability of sufficient unencumbered collateral) and (ii) the amount of all Unrestricted Cash and Cash Equivalents of such Person and its consolidated Subsidiaries on such date.</w:t>
      </w:r>
    </w:p>
    <w:p>
      <w:pPr>
        <w:pStyle w:val="TextBody"/>
        <w:bidi w:val="0"/>
        <w:spacing w:before="0" w:after="240"/>
        <w:jc w:val="both"/>
        <w:rPr/>
      </w:pPr>
      <w:r>
        <w:rPr>
          <w:color w:val="000000"/>
        </w:rPr>
        <w:t>“</w:t>
      </w:r>
      <w:r>
        <w:rPr>
          <w:rFonts w:ascii="Times New Roman" w:hAnsi="Times New Roman"/>
          <w:color w:val="000000"/>
          <w:sz w:val="24"/>
          <w:u w:val="single"/>
        </w:rPr>
        <w:t>Liquidity Facilities</w:t>
      </w:r>
      <w:r>
        <w:rPr>
          <w:rFonts w:ascii="Times New Roman" w:hAnsi="Times New Roman"/>
          <w:color w:val="000000"/>
          <w:sz w:val="20"/>
        </w:rPr>
        <w:t xml:space="preserve">” </w:t>
      </w:r>
      <w:r>
        <w:rPr>
          <w:rFonts w:ascii="Times New Roman" w:hAnsi="Times New Roman"/>
          <w:color w:val="000000"/>
          <w:sz w:val="24"/>
        </w:rPr>
        <w:t>means each of the committed loan facilities, lines of credit and other financial accommodations available to a Conduit Lender to support the liquidity of such Conduit Lender’s Commercial Paper Notes.</w:t>
      </w:r>
    </w:p>
    <w:p>
      <w:pPr>
        <w:pStyle w:val="TextBody"/>
        <w:bidi w:val="0"/>
        <w:spacing w:before="0" w:after="240"/>
        <w:jc w:val="both"/>
        <w:rPr/>
      </w:pPr>
      <w:r>
        <w:rPr>
          <w:color w:val="000000"/>
        </w:rPr>
        <w:t>“</w:t>
      </w:r>
      <w:r>
        <w:rPr>
          <w:rFonts w:ascii="Times New Roman" w:hAnsi="Times New Roman"/>
          <w:color w:val="000000"/>
          <w:sz w:val="24"/>
          <w:u w:val="single"/>
        </w:rPr>
        <w:t>Liquidity Provider</w:t>
      </w:r>
      <w:r>
        <w:rPr>
          <w:rFonts w:ascii="Times New Roman" w:hAnsi="Times New Roman"/>
          <w:color w:val="000000"/>
          <w:sz w:val="20"/>
        </w:rPr>
        <w:t xml:space="preserve">” </w:t>
      </w:r>
      <w:r>
        <w:rPr>
          <w:rFonts w:ascii="Times New Roman" w:hAnsi="Times New Roman"/>
          <w:color w:val="000000"/>
          <w:sz w:val="24"/>
        </w:rPr>
        <w:t>means each Lender identified as a Liquidity Provider for a Conduit Lender in the Conduit Supplement or in the Assignment and Acceptance pursuant to which such Conduit Lender became a party hereto.</w:t>
      </w:r>
    </w:p>
    <w:p>
      <w:pPr>
        <w:pStyle w:val="TextBody"/>
        <w:bidi w:val="0"/>
        <w:spacing w:before="0" w:after="240"/>
        <w:jc w:val="both"/>
        <w:rPr/>
      </w:pPr>
      <w:r>
        <w:rPr>
          <w:color w:val="000000"/>
        </w:rPr>
        <w:t>“</w:t>
      </w:r>
      <w:r>
        <w:rPr>
          <w:rFonts w:ascii="Times New Roman" w:hAnsi="Times New Roman"/>
          <w:color w:val="000000"/>
          <w:sz w:val="24"/>
          <w:u w:val="single"/>
        </w:rPr>
        <w:t>Loan</w:t>
      </w:r>
      <w:r>
        <w:rPr>
          <w:rFonts w:ascii="Times New Roman" w:hAnsi="Times New Roman"/>
          <w:color w:val="000000"/>
          <w:sz w:val="20"/>
        </w:rPr>
        <w:t xml:space="preserve">” </w:t>
      </w:r>
      <w:r>
        <w:rPr>
          <w:rFonts w:ascii="Times New Roman" w:hAnsi="Times New Roman"/>
          <w:color w:val="000000"/>
          <w:sz w:val="24"/>
        </w:rPr>
        <w:t>has the meaning given to such term in Section 2.01(a).</w:t>
      </w:r>
    </w:p>
    <w:p>
      <w:pPr>
        <w:pStyle w:val="TextBody"/>
        <w:bidi w:val="0"/>
        <w:spacing w:before="0" w:after="240"/>
        <w:jc w:val="both"/>
        <w:rPr/>
      </w:pPr>
      <w:r>
        <w:rPr>
          <w:color w:val="000000"/>
        </w:rPr>
        <w:t>“</w:t>
      </w:r>
      <w:r>
        <w:rPr>
          <w:rFonts w:ascii="Times New Roman" w:hAnsi="Times New Roman"/>
          <w:color w:val="000000"/>
          <w:sz w:val="24"/>
          <w:u w:val="single"/>
        </w:rPr>
        <w:t>Loans Outstanding</w:t>
      </w:r>
      <w:r>
        <w:rPr>
          <w:rFonts w:ascii="Times New Roman" w:hAnsi="Times New Roman"/>
          <w:color w:val="000000"/>
          <w:sz w:val="20"/>
        </w:rPr>
        <w:t xml:space="preserve">” </w:t>
      </w:r>
      <w:r>
        <w:rPr>
          <w:rFonts w:ascii="Times New Roman" w:hAnsi="Times New Roman"/>
          <w:color w:val="000000"/>
          <w:sz w:val="24"/>
        </w:rPr>
        <w:t>means, on any day, the aggregate Principal Amount of Loans made on or prior to such day, reduced from time to time by payments and distributions in respect of principal of such Loans in accordance with the terms hereof.</w:t>
      </w:r>
    </w:p>
    <w:p>
      <w:pPr>
        <w:pStyle w:val="TextBody"/>
        <w:bidi w:val="0"/>
        <w:spacing w:before="0" w:after="240"/>
        <w:jc w:val="both"/>
        <w:rPr/>
      </w:pPr>
      <w:r>
        <w:rPr>
          <w:color w:val="000000"/>
        </w:rPr>
        <w:t>“</w:t>
      </w:r>
      <w:r>
        <w:rPr>
          <w:rFonts w:ascii="Times New Roman" w:hAnsi="Times New Roman"/>
          <w:color w:val="000000"/>
          <w:sz w:val="24"/>
          <w:u w:val="single"/>
        </w:rPr>
        <w:t>Local Bank</w:t>
      </w:r>
      <w:r>
        <w:rPr>
          <w:rFonts w:ascii="Times New Roman" w:hAnsi="Times New Roman"/>
          <w:color w:val="000000"/>
          <w:sz w:val="20"/>
        </w:rPr>
        <w:t xml:space="preserve">” </w:t>
      </w:r>
      <w:r>
        <w:rPr>
          <w:rFonts w:ascii="Times New Roman" w:hAnsi="Times New Roman"/>
          <w:color w:val="000000"/>
          <w:sz w:val="24"/>
        </w:rPr>
        <w:t>means [***] or, so long as no Termination Event or Servicer Termination Event shall have occurred and is continuing, any other bank selected by the Servicer (and consented to by the Administrative Agent, such consent not to be unreasonably withheld, conditioned or delayed) that is a Qualified Institution.</w:t>
      </w:r>
    </w:p>
    <w:p>
      <w:pPr>
        <w:pStyle w:val="TextBody"/>
        <w:bidi w:val="0"/>
        <w:spacing w:before="0" w:after="240"/>
        <w:jc w:val="both"/>
        <w:rPr/>
      </w:pPr>
      <w:r>
        <w:rPr>
          <w:color w:val="000000"/>
        </w:rPr>
        <w:t>“</w:t>
      </w:r>
      <w:r>
        <w:rPr>
          <w:rFonts w:ascii="Times New Roman" w:hAnsi="Times New Roman"/>
          <w:color w:val="000000"/>
          <w:sz w:val="24"/>
          <w:u w:val="single"/>
        </w:rPr>
        <w:t>Local Bank Account</w:t>
      </w:r>
      <w:r>
        <w:rPr>
          <w:rFonts w:ascii="Times New Roman" w:hAnsi="Times New Roman"/>
          <w:color w:val="000000"/>
          <w:sz w:val="20"/>
        </w:rPr>
        <w:t xml:space="preserve">” </w:t>
      </w:r>
      <w:r>
        <w:rPr>
          <w:rFonts w:ascii="Times New Roman" w:hAnsi="Times New Roman"/>
          <w:color w:val="000000"/>
          <w:sz w:val="24"/>
        </w:rPr>
        <w:t>means a bank account established and maintained by the Servicer at the Local Bank for the benefit of the Secured Parties pursuant to the Intercreditor Agreement and the Intercreditor Party Supplement.</w:t>
      </w:r>
    </w:p>
    <w:p>
      <w:pPr>
        <w:pStyle w:val="TextBody"/>
        <w:bidi w:val="0"/>
        <w:spacing w:before="0" w:after="240"/>
        <w:jc w:val="both"/>
        <w:rPr/>
      </w:pPr>
      <w:r>
        <w:rPr>
          <w:color w:val="000000"/>
        </w:rPr>
        <w:t>“</w:t>
      </w:r>
      <w:r>
        <w:rPr>
          <w:rFonts w:ascii="Times New Roman" w:hAnsi="Times New Roman"/>
          <w:color w:val="000000"/>
          <w:sz w:val="24"/>
          <w:u w:val="single"/>
        </w:rPr>
        <w:t>Long-Term Rating Requirement</w:t>
      </w:r>
      <w:r>
        <w:rPr>
          <w:rFonts w:ascii="Times New Roman" w:hAnsi="Times New Roman"/>
          <w:color w:val="000000"/>
          <w:sz w:val="20"/>
        </w:rPr>
        <w:t xml:space="preserve">” </w:t>
      </w:r>
      <w:r>
        <w:rPr>
          <w:rFonts w:ascii="Times New Roman" w:hAnsi="Times New Roman"/>
          <w:color w:val="000000"/>
          <w:sz w:val="24"/>
        </w:rPr>
        <w:t>means, with respect to any Person, that such Person has a long-term unsecured debt rating of not less than A by Standard &amp; Poor’s and not less than A2 by Moody’s.</w:t>
      </w:r>
    </w:p>
    <w:p>
      <w:pPr>
        <w:pStyle w:val="TextBody"/>
        <w:bidi w:val="0"/>
        <w:spacing w:before="0" w:after="240"/>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means, with respect to any Person and to any event or circumstance, a material adverse effect on (i) the business, condition (financial or otherwise), operations, performance or properties of such Person, taken as a whole, (ii) the validity, enforceability or collectability of this Agreement or any other Basic Document or the validity, enforceability or collectability of a material portion of (a) the Contracts, (b) the Receivables or (c) any other Collateral, in each of clauses (a), (b) and (c), taken as a whole, (iii) the rights and remedies of the Secured Parties under this Agreement or any other Basic Document, (iv) the ability of such Person to perform its obligations under this Agreement or any other Basic Document to which it is a party or (v) the status, existence, perfection, priority or enforceability of the interest of the Administrative Agent or the Lenders in the Collateral.</w:t>
      </w:r>
    </w:p>
    <w:p>
      <w:pPr>
        <w:pStyle w:val="TextBody"/>
        <w:bidi w:val="0"/>
        <w:spacing w:before="0" w:after="240"/>
        <w:jc w:val="both"/>
        <w:rPr/>
      </w:pPr>
      <w:r>
        <w:rPr>
          <w:color w:val="000000"/>
        </w:rPr>
        <w:t>“</w:t>
      </w:r>
      <w:r>
        <w:rPr>
          <w:rFonts w:ascii="Times New Roman" w:hAnsi="Times New Roman"/>
          <w:color w:val="000000"/>
          <w:sz w:val="24"/>
          <w:u w:val="single"/>
        </w:rPr>
        <w:t>Maturity Date</w:t>
      </w:r>
      <w:r>
        <w:rPr>
          <w:rFonts w:ascii="Times New Roman" w:hAnsi="Times New Roman"/>
          <w:color w:val="000000"/>
          <w:sz w:val="20"/>
        </w:rPr>
        <w:t xml:space="preserve">” </w:t>
      </w:r>
      <w:r>
        <w:rPr>
          <w:rFonts w:ascii="Times New Roman" w:hAnsi="Times New Roman"/>
          <w:color w:val="000000"/>
          <w:sz w:val="24"/>
        </w:rPr>
        <w:t>means the Payment Date occurring in the sixty-sixth (66</w:t>
      </w:r>
      <w:r>
        <w:rPr>
          <w:rFonts w:ascii="Times New Roman" w:hAnsi="Times New Roman"/>
          <w:color w:val="000000"/>
          <w:sz w:val="16"/>
        </w:rPr>
        <w:t>th</w:t>
      </w:r>
      <w:r>
        <w:rPr>
          <w:rFonts w:ascii="Times New Roman" w:hAnsi="Times New Roman"/>
          <w:color w:val="000000"/>
          <w:sz w:val="24"/>
        </w:rPr>
        <w:t>) month after the end of the Revolving Period.</w:t>
      </w:r>
    </w:p>
    <w:p>
      <w:pPr>
        <w:pStyle w:val="TextBody"/>
        <w:bidi w:val="0"/>
        <w:spacing w:before="0" w:after="240"/>
        <w:jc w:val="both"/>
        <w:rPr/>
      </w:pPr>
      <w:r>
        <w:rPr>
          <w:color w:val="000000"/>
        </w:rPr>
        <w:t>“</w:t>
      </w:r>
      <w:r>
        <w:rPr>
          <w:rFonts w:ascii="Times New Roman" w:hAnsi="Times New Roman"/>
          <w:color w:val="000000"/>
          <w:sz w:val="24"/>
          <w:u w:val="single"/>
        </w:rPr>
        <w:t>Maximum Borrowing Base</w:t>
      </w:r>
      <w:r>
        <w:rPr>
          <w:rFonts w:ascii="Times New Roman" w:hAnsi="Times New Roman"/>
          <w:color w:val="000000"/>
          <w:sz w:val="20"/>
        </w:rPr>
        <w:t xml:space="preserve">” </w:t>
      </w:r>
      <w:r>
        <w:rPr>
          <w:rFonts w:ascii="Times New Roman" w:hAnsi="Times New Roman"/>
          <w:color w:val="000000"/>
          <w:sz w:val="24"/>
        </w:rPr>
        <w:t>means, as of any day, (i) if no Overcollateralization Increase Event or SOFR Step-Up Event has occurred and is continuing, the Borrowing Base and (ii) on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an Overcollateralization Increase Event or SOFR Step-Up Event, the greater of (a) the Borrowing Base and (b) the lesser of (A) the Loans Outstanding as of the immediately preceding Determination Date minus the amount distributed pursuant to Section 2.08(v) on the most recent Payment Date (or on such day if such date is a Payment Date), and (B) the Aggregate Commitment.</w:t>
      </w:r>
    </w:p>
    <w:p>
      <w:pPr>
        <w:pStyle w:val="TextBody"/>
        <w:bidi w:val="0"/>
        <w:spacing w:before="0" w:after="240"/>
        <w:jc w:val="both"/>
        <w:rPr/>
      </w:pPr>
      <w:r>
        <w:rPr>
          <w:color w:val="000000"/>
        </w:rPr>
        <w:t>“</w:t>
      </w:r>
      <w:r>
        <w:rPr>
          <w:rFonts w:ascii="Times New Roman" w:hAnsi="Times New Roman"/>
          <w:color w:val="000000"/>
          <w:sz w:val="24"/>
          <w:u w:val="single"/>
        </w:rPr>
        <w:t>Maximum Lawful Rate</w:t>
      </w:r>
      <w:r>
        <w:rPr>
          <w:rFonts w:ascii="Times New Roman" w:hAnsi="Times New Roman"/>
          <w:color w:val="000000"/>
          <w:sz w:val="20"/>
        </w:rPr>
        <w:t xml:space="preserve">” </w:t>
      </w:r>
      <w:r>
        <w:rPr>
          <w:rFonts w:ascii="Times New Roman" w:hAnsi="Times New Roman"/>
          <w:color w:val="000000"/>
          <w:sz w:val="24"/>
        </w:rPr>
        <w:t>means the highest rate of interest permissible under Applicable Law.</w:t>
      </w:r>
    </w:p>
    <w:p>
      <w:pPr>
        <w:pStyle w:val="TextBody"/>
        <w:bidi w:val="0"/>
        <w:spacing w:before="0" w:after="240"/>
        <w:jc w:val="both"/>
        <w:rPr/>
      </w:pPr>
      <w:r>
        <w:rPr>
          <w:color w:val="000000"/>
        </w:rPr>
        <w:t>“</w:t>
      </w:r>
      <w:r>
        <w:rPr>
          <w:rFonts w:ascii="Times New Roman" w:hAnsi="Times New Roman"/>
          <w:color w:val="000000"/>
          <w:sz w:val="24"/>
          <w:u w:val="single"/>
        </w:rPr>
        <w:t>Maximum Loan Amount</w:t>
      </w:r>
      <w:r>
        <w:rPr>
          <w:rFonts w:ascii="Times New Roman" w:hAnsi="Times New Roman"/>
          <w:color w:val="000000"/>
          <w:sz w:val="20"/>
        </w:rPr>
        <w:t xml:space="preserve">” </w:t>
      </w:r>
      <w:r>
        <w:rPr>
          <w:rFonts w:ascii="Times New Roman" w:hAnsi="Times New Roman"/>
          <w:color w:val="000000"/>
          <w:sz w:val="24"/>
        </w:rPr>
        <w:t>means, for any Conduit Lender, the aggregate Commitments of its Liquidity Providers.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Monthly Accrued Interest Payment Amount</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during which an Interpayment is made, an amount equal to the sum of, without duplication, (i) the amount, if any, by which Collections for such Collection Period are not sufficient to make the payments described in clause (iv) of Section 2.08 on such Payment Date and (ii) an amount equal to Interest on the Loans repaid by such Interpayment through the end of the related Interest Period.</w:t>
      </w:r>
    </w:p>
    <w:p>
      <w:pPr>
        <w:pStyle w:val="TextBody"/>
        <w:bidi w:val="0"/>
        <w:spacing w:before="0" w:after="240"/>
        <w:jc w:val="both"/>
        <w:rPr/>
      </w:pPr>
      <w:r>
        <w:rPr>
          <w:color w:val="000000"/>
        </w:rPr>
        <w:t>“</w:t>
      </w:r>
      <w:r>
        <w:rPr>
          <w:rFonts w:ascii="Times New Roman" w:hAnsi="Times New Roman"/>
          <w:color w:val="000000"/>
          <w:sz w:val="24"/>
          <w:u w:val="single"/>
        </w:rPr>
        <w:t>Monthly Backup Servicer Certificate</w:t>
      </w:r>
      <w:r>
        <w:rPr>
          <w:rFonts w:ascii="Times New Roman" w:hAnsi="Times New Roman"/>
          <w:color w:val="000000"/>
          <w:sz w:val="20"/>
        </w:rPr>
        <w:t xml:space="preserve">” </w:t>
      </w:r>
      <w:r>
        <w:rPr>
          <w:rFonts w:ascii="Times New Roman" w:hAnsi="Times New Roman"/>
          <w:color w:val="000000"/>
          <w:sz w:val="24"/>
        </w:rPr>
        <w:t>means a monthly report of the Backup Servicer in the form agreed upon among the Backup Servicer, the Borrower and the Administrative Agent.</w:t>
      </w:r>
    </w:p>
    <w:p>
      <w:pPr>
        <w:pStyle w:val="TextBody"/>
        <w:bidi w:val="0"/>
        <w:spacing w:before="0" w:after="240"/>
        <w:jc w:val="both"/>
        <w:rPr/>
      </w:pPr>
      <w:r>
        <w:rPr>
          <w:color w:val="000000"/>
        </w:rPr>
        <w:t>“</w:t>
      </w:r>
      <w:r>
        <w:rPr>
          <w:rFonts w:ascii="Times New Roman" w:hAnsi="Times New Roman"/>
          <w:color w:val="000000"/>
          <w:sz w:val="24"/>
          <w:u w:val="single"/>
        </w:rPr>
        <w:t>Monthly Principal Payment Amount</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prior to the occurrence of a Turbo Event, an amount equal to the lesser of (i) the amount of Available Funds available to be applied on such Payment Date pursuant to Section 2.08(v) and (ii) the amount, if any, necessary to reduce the Loans Outstanding, such that the Collateral Coverage Ratio is equal to the Weighted Average Advance Rate;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from and after the occurrence of a Turbo Event, an amount equal to the lesser of (i) the amount of Available Funds available to be applied on such Payment Date pursuant to Section 2.08(v) and (ii) the amount necessary to reduce the Loans Outstanding to zero.</w:t>
      </w:r>
    </w:p>
    <w:p>
      <w:pPr>
        <w:pStyle w:val="TextBody"/>
        <w:bidi w:val="0"/>
        <w:spacing w:before="0" w:after="240"/>
        <w:jc w:val="both"/>
        <w:rPr/>
      </w:pPr>
      <w:r>
        <w:rPr>
          <w:color w:val="000000"/>
        </w:rPr>
        <w:t>“</w:t>
      </w:r>
      <w:r>
        <w:rPr>
          <w:rFonts w:ascii="Times New Roman" w:hAnsi="Times New Roman"/>
          <w:color w:val="000000"/>
          <w:sz w:val="24"/>
          <w:u w:val="single"/>
        </w:rPr>
        <w:t>Monthly Report</w:t>
      </w:r>
      <w:r>
        <w:rPr>
          <w:rFonts w:ascii="Times New Roman" w:hAnsi="Times New Roman"/>
          <w:color w:val="000000"/>
          <w:sz w:val="20"/>
        </w:rPr>
        <w:t xml:space="preserve">” </w:t>
      </w:r>
      <w:r>
        <w:rPr>
          <w:rFonts w:ascii="Times New Roman" w:hAnsi="Times New Roman"/>
          <w:color w:val="000000"/>
          <w:sz w:val="24"/>
        </w:rPr>
        <w:t>means a monthly statement of the Servicer delivered on each Reporting Date with respect to the immediately preceding Collection Period, [***] which may be modified from time to time as mutually agreed by the Servicer and the Administrative Agent.</w:t>
      </w:r>
    </w:p>
    <w:p>
      <w:pPr>
        <w:pStyle w:val="TextBody"/>
        <w:bidi w:val="0"/>
        <w:spacing w:before="0" w:after="240"/>
        <w:jc w:val="both"/>
        <w:rPr/>
      </w:pPr>
      <w:r>
        <w:rPr>
          <w:color w:val="000000"/>
        </w:rPr>
        <w:t>“</w:t>
      </w:r>
      <w:r>
        <w:rPr>
          <w:rFonts w:ascii="Times New Roman" w:hAnsi="Times New Roman"/>
          <w:color w:val="000000"/>
          <w:sz w:val="24"/>
          <w:u w:val="single"/>
        </w:rPr>
        <w:t>Moody’s</w:t>
      </w:r>
      <w:r>
        <w:rPr>
          <w:rFonts w:ascii="Times New Roman" w:hAnsi="Times New Roman"/>
          <w:color w:val="000000"/>
          <w:sz w:val="20"/>
        </w:rPr>
        <w:t xml:space="preserve">” </w:t>
      </w:r>
      <w:r>
        <w:rPr>
          <w:rFonts w:ascii="Times New Roman" w:hAnsi="Times New Roman"/>
          <w:color w:val="000000"/>
          <w:sz w:val="24"/>
        </w:rPr>
        <w:t>means Moody’s Investors Service, Inc., and its permitted successors and assigns.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Multiemployer Plan</w:t>
      </w:r>
      <w:r>
        <w:rPr>
          <w:rFonts w:ascii="Times New Roman" w:hAnsi="Times New Roman"/>
          <w:color w:val="000000"/>
          <w:sz w:val="20"/>
        </w:rPr>
        <w:t xml:space="preserve">” </w:t>
      </w:r>
      <w:r>
        <w:rPr>
          <w:rFonts w:ascii="Times New Roman" w:hAnsi="Times New Roman"/>
          <w:color w:val="000000"/>
          <w:sz w:val="24"/>
        </w:rPr>
        <w:t>means a “multiemployer plan” as defined in Section 4001(a)(3) of ERISA which is or was at any time during the current year or the immediately preceding five years contributed to by the Borrower or any ERISA Affiliate on behalf of its employees.</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Net Loss</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an amount equal to (i) the aggregate Principal Balance of all Receivables that first became Defaulted Receivables during such Collection Period minus (ii) all Recoveries received by the Servicer during such Collection Period.</w:t>
      </w:r>
    </w:p>
    <w:p>
      <w:pPr>
        <w:pStyle w:val="TextBody"/>
        <w:bidi w:val="0"/>
        <w:spacing w:before="0" w:after="240"/>
        <w:jc w:val="both"/>
        <w:rPr/>
      </w:pPr>
      <w:r>
        <w:rPr>
          <w:color w:val="000000"/>
        </w:rPr>
        <w:t>“</w:t>
      </w:r>
      <w:r>
        <w:rPr>
          <w:rFonts w:ascii="Times New Roman" w:hAnsi="Times New Roman"/>
          <w:color w:val="000000"/>
          <w:sz w:val="24"/>
          <w:u w:val="single"/>
        </w:rPr>
        <w:t>Net Loss-to-Liquidation Ratio</w:t>
      </w:r>
      <w:r>
        <w:rPr>
          <w:rFonts w:ascii="Times New Roman" w:hAnsi="Times New Roman"/>
          <w:color w:val="000000"/>
          <w:sz w:val="20"/>
        </w:rPr>
        <w:t xml:space="preserve">” </w:t>
      </w:r>
      <w:r>
        <w:rPr>
          <w:rFonts w:ascii="Times New Roman" w:hAnsi="Times New Roman"/>
          <w:color w:val="000000"/>
          <w:sz w:val="24"/>
        </w:rPr>
        <w:t>means, (i) for any Collection Period prior to the August 2026 Collection Period, the Net LTL Ratio for all Receivables originated after Q2 2025, and (ii) for any Collection Period thereafter, the Net LTL Ratio for all Receivables originated after Q3 2025.</w:t>
      </w:r>
    </w:p>
    <w:p>
      <w:pPr>
        <w:pStyle w:val="TextBody"/>
        <w:bidi w:val="0"/>
        <w:spacing w:before="0" w:after="240"/>
        <w:jc w:val="both"/>
        <w:rPr/>
      </w:pPr>
      <w:r>
        <w:rPr>
          <w:color w:val="000000"/>
        </w:rPr>
        <w:t>“</w:t>
      </w:r>
      <w:r>
        <w:rPr>
          <w:rFonts w:ascii="Times New Roman" w:hAnsi="Times New Roman"/>
          <w:color w:val="000000"/>
          <w:sz w:val="24"/>
          <w:u w:val="single"/>
        </w:rPr>
        <w:t>Net LTL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percentage equivalent of a fraction, (a) the numerator of which equals the aggregate Net Loss for such Collection Period and (b) the denominator of which equals (i) the aggregate Principal Balance of all Receivables that first became Defaulted Receivables during such Collection Period plus (ii) the aggregate reduction in Principal Balance for all Receivables that were Receivables as of the first day of the related Collection Period.</w:t>
      </w:r>
    </w:p>
    <w:p>
      <w:pPr>
        <w:pStyle w:val="TextBody"/>
        <w:bidi w:val="0"/>
        <w:spacing w:before="0" w:after="240"/>
        <w:jc w:val="both"/>
        <w:rPr/>
      </w:pPr>
      <w:r>
        <w:rPr>
          <w:color w:val="000000"/>
        </w:rPr>
        <w:t>“</w:t>
      </w:r>
      <w:r>
        <w:rPr>
          <w:rFonts w:ascii="Times New Roman" w:hAnsi="Times New Roman"/>
          <w:color w:val="000000"/>
          <w:sz w:val="24"/>
          <w:u w:val="single"/>
        </w:rPr>
        <w:t>Net Principal Balance</w:t>
      </w:r>
      <w:r>
        <w:rPr>
          <w:rFonts w:ascii="Times New Roman" w:hAnsi="Times New Roman"/>
          <w:color w:val="000000"/>
          <w:sz w:val="20"/>
        </w:rPr>
        <w:t xml:space="preserve">” </w:t>
      </w:r>
      <w:r>
        <w:rPr>
          <w:rFonts w:ascii="Times New Roman" w:hAnsi="Times New Roman"/>
          <w:color w:val="000000"/>
          <w:sz w:val="24"/>
        </w:rPr>
        <w:t>means on any day with respect to all of the Receivables or a specified portion of the Receivables, as indicated by the context, the aggregate Principal Balance of all such Receivables that are Eligible Receivables.</w:t>
      </w:r>
    </w:p>
    <w:p>
      <w:pPr>
        <w:pStyle w:val="TextBody"/>
        <w:bidi w:val="0"/>
        <w:spacing w:before="0" w:after="240"/>
        <w:jc w:val="both"/>
        <w:rPr/>
      </w:pPr>
      <w:r>
        <w:rPr>
          <w:color w:val="000000"/>
        </w:rPr>
        <w:t>“</w:t>
      </w:r>
      <w:r>
        <w:rPr>
          <w:rFonts w:ascii="Times New Roman" w:hAnsi="Times New Roman"/>
          <w:color w:val="000000"/>
          <w:sz w:val="24"/>
          <w:u w:val="single"/>
        </w:rPr>
        <w:t>Non-Delay Threshold</w:t>
      </w:r>
      <w:r>
        <w:rPr>
          <w:rFonts w:ascii="Times New Roman" w:hAnsi="Times New Roman"/>
          <w:color w:val="000000"/>
          <w:sz w:val="20"/>
        </w:rPr>
        <w:t xml:space="preserve">” </w:t>
      </w:r>
      <w:r>
        <w:rPr>
          <w:rFonts w:ascii="Times New Roman" w:hAnsi="Times New Roman"/>
          <w:color w:val="000000"/>
          <w:sz w:val="24"/>
        </w:rPr>
        <w:t>means, for any Funding Request with respect to which a Committed Lender has delivered a Funding Delay Notice in accordance with Section 2.02(e), an amount equal to the excess, if any, of (a) an amount equal to [***]% of the Commitment of such Committed Lender over (b) the sum of all Non-Delayed Funding Amounts related to any other Funding Delay Notices delivered by such Committed Lender during the ninety (90) day period ending on the date of the delivery of such Funding Request.</w:t>
      </w:r>
    </w:p>
    <w:p>
      <w:pPr>
        <w:pStyle w:val="TextBody"/>
        <w:bidi w:val="0"/>
        <w:spacing w:before="0" w:after="240"/>
        <w:jc w:val="both"/>
        <w:rPr/>
      </w:pPr>
      <w:r>
        <w:rPr>
          <w:color w:val="000000"/>
        </w:rPr>
        <w:t>“</w:t>
      </w:r>
      <w:r>
        <w:rPr>
          <w:rFonts w:ascii="Times New Roman" w:hAnsi="Times New Roman"/>
          <w:color w:val="000000"/>
          <w:sz w:val="24"/>
          <w:u w:val="single"/>
        </w:rPr>
        <w:t>Non-Excluded Taxes</w:t>
      </w:r>
      <w:r>
        <w:rPr>
          <w:rFonts w:ascii="Times New Roman" w:hAnsi="Times New Roman"/>
          <w:color w:val="000000"/>
          <w:sz w:val="20"/>
        </w:rPr>
        <w:t xml:space="preserve">” </w:t>
      </w:r>
      <w:r>
        <w:rPr>
          <w:rFonts w:ascii="Times New Roman" w:hAnsi="Times New Roman"/>
          <w:color w:val="000000"/>
          <w:sz w:val="24"/>
        </w:rPr>
        <w:t>means (i) Taxes other than Excluded Taxes and (ii) Other Taxes.</w:t>
      </w:r>
    </w:p>
    <w:p>
      <w:pPr>
        <w:pStyle w:val="TextBody"/>
        <w:bidi w:val="0"/>
        <w:spacing w:before="0" w:after="240"/>
        <w:jc w:val="both"/>
        <w:rPr/>
      </w:pPr>
      <w:r>
        <w:rPr>
          <w:color w:val="000000"/>
        </w:rPr>
        <w:t>“</w:t>
      </w:r>
      <w:r>
        <w:rPr>
          <w:rFonts w:ascii="Times New Roman" w:hAnsi="Times New Roman"/>
          <w:color w:val="000000"/>
          <w:sz w:val="24"/>
          <w:u w:val="single"/>
        </w:rPr>
        <w:t>Non-Extending Lender</w:t>
      </w:r>
      <w:r>
        <w:rPr>
          <w:rFonts w:ascii="Times New Roman" w:hAnsi="Times New Roman"/>
          <w:color w:val="000000"/>
          <w:sz w:val="20"/>
        </w:rPr>
        <w:t xml:space="preserve">” </w:t>
      </w:r>
      <w:r>
        <w:rPr>
          <w:rFonts w:ascii="Times New Roman" w:hAnsi="Times New Roman"/>
          <w:color w:val="000000"/>
          <w:sz w:val="24"/>
        </w:rPr>
        <w:t>means, after its respective Commitment Termination Date, each Committed Lender or Liquidity Provider that has declined to extend such Commitment Termination Date in accordance with Section 2.04, to the extent not replaced pursuant to Section 2.04(b).</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Non-U.S. Lender</w:t>
      </w:r>
      <w:r>
        <w:rPr>
          <w:rFonts w:ascii="Times New Roman" w:hAnsi="Times New Roman"/>
          <w:color w:val="000000"/>
          <w:sz w:val="20"/>
        </w:rPr>
        <w:t xml:space="preserve">” </w:t>
      </w:r>
      <w:r>
        <w:rPr>
          <w:rFonts w:ascii="Times New Roman" w:hAnsi="Times New Roman"/>
          <w:color w:val="000000"/>
          <w:sz w:val="24"/>
        </w:rPr>
        <w:t>means a Lender that is not a “U.S. Person” as defined in Code Section 7701(a)(30).</w:t>
      </w:r>
    </w:p>
    <w:p>
      <w:pPr>
        <w:pStyle w:val="TextBody"/>
        <w:bidi w:val="0"/>
        <w:spacing w:before="0" w:after="240"/>
        <w:jc w:val="both"/>
        <w:rPr/>
      </w:pPr>
      <w:r>
        <w:rPr>
          <w:color w:val="000000"/>
        </w:rPr>
        <w:t>“</w:t>
      </w:r>
      <w:r>
        <w:rPr>
          <w:rFonts w:ascii="Times New Roman" w:hAnsi="Times New Roman"/>
          <w:color w:val="000000"/>
          <w:sz w:val="24"/>
          <w:u w:val="single"/>
        </w:rPr>
        <w:t>Note</w:t>
      </w:r>
      <w:r>
        <w:rPr>
          <w:rFonts w:ascii="Times New Roman" w:hAnsi="Times New Roman"/>
          <w:color w:val="000000"/>
          <w:sz w:val="20"/>
        </w:rPr>
        <w:t xml:space="preserve">” </w:t>
      </w:r>
      <w:r>
        <w:rPr>
          <w:rFonts w:ascii="Times New Roman" w:hAnsi="Times New Roman"/>
          <w:color w:val="000000"/>
          <w:sz w:val="24"/>
        </w:rPr>
        <w:t>has the meaning given to such term in Section 2.05(a).</w:t>
      </w:r>
    </w:p>
    <w:p>
      <w:pPr>
        <w:pStyle w:val="TextBody"/>
        <w:bidi w:val="0"/>
        <w:spacing w:before="0" w:after="240"/>
        <w:jc w:val="both"/>
        <w:rPr/>
      </w:pPr>
      <w:r>
        <w:rPr>
          <w:color w:val="000000"/>
        </w:rPr>
        <w:t>“</w:t>
      </w:r>
      <w:r>
        <w:rPr>
          <w:rFonts w:ascii="Times New Roman" w:hAnsi="Times New Roman"/>
          <w:color w:val="000000"/>
          <w:sz w:val="24"/>
          <w:u w:val="single"/>
        </w:rPr>
        <w:t>NYFRB</w:t>
      </w:r>
      <w:r>
        <w:rPr>
          <w:rFonts w:ascii="Times New Roman" w:hAnsi="Times New Roman"/>
          <w:color w:val="000000"/>
          <w:sz w:val="20"/>
        </w:rPr>
        <w:t xml:space="preserve">” </w:t>
      </w:r>
      <w:r>
        <w:rPr>
          <w:rFonts w:ascii="Times New Roman" w:hAnsi="Times New Roman"/>
          <w:color w:val="000000"/>
          <w:sz w:val="24"/>
        </w:rPr>
        <w:t>means the Federal Reserve Bank of New York.</w:t>
      </w:r>
    </w:p>
    <w:p>
      <w:pPr>
        <w:pStyle w:val="TextBody"/>
        <w:bidi w:val="0"/>
        <w:spacing w:before="0" w:after="240"/>
        <w:jc w:val="both"/>
        <w:rPr/>
      </w:pPr>
      <w:r>
        <w:rPr>
          <w:color w:val="000000"/>
        </w:rPr>
        <w:t>“</w:t>
      </w:r>
      <w:r>
        <w:rPr>
          <w:rFonts w:ascii="Times New Roman" w:hAnsi="Times New Roman"/>
          <w:color w:val="000000"/>
          <w:sz w:val="24"/>
          <w:u w:val="single"/>
        </w:rPr>
        <w:t>NYFRB’s Website</w:t>
      </w:r>
      <w:r>
        <w:rPr>
          <w:rFonts w:ascii="Times New Roman" w:hAnsi="Times New Roman"/>
          <w:color w:val="000000"/>
          <w:sz w:val="20"/>
        </w:rPr>
        <w:t xml:space="preserve">” </w:t>
      </w:r>
      <w:r>
        <w:rPr>
          <w:rFonts w:ascii="Times New Roman" w:hAnsi="Times New Roman"/>
          <w:color w:val="000000"/>
          <w:sz w:val="24"/>
        </w:rPr>
        <w:t>means the website of the NYFRB at http://www.newyorkfed.org, or any successor source.</w:t>
      </w:r>
    </w:p>
    <w:p>
      <w:pPr>
        <w:pStyle w:val="TextBody"/>
        <w:bidi w:val="0"/>
        <w:spacing w:before="0" w:after="240"/>
        <w:jc w:val="both"/>
        <w:rPr/>
      </w:pPr>
      <w:r>
        <w:rPr>
          <w:color w:val="000000"/>
        </w:rPr>
        <w:t>“</w:t>
      </w:r>
      <w:r>
        <w:rPr>
          <w:rFonts w:ascii="Times New Roman" w:hAnsi="Times New Roman"/>
          <w:color w:val="000000"/>
          <w:sz w:val="24"/>
          <w:u w:val="single"/>
        </w:rPr>
        <w:t>Obligations</w:t>
      </w:r>
      <w:r>
        <w:rPr>
          <w:rFonts w:ascii="Times New Roman" w:hAnsi="Times New Roman"/>
          <w:color w:val="000000"/>
          <w:sz w:val="20"/>
        </w:rPr>
        <w:t xml:space="preserve">” </w:t>
      </w:r>
      <w:r>
        <w:rPr>
          <w:rFonts w:ascii="Times New Roman" w:hAnsi="Times New Roman"/>
          <w:color w:val="000000"/>
          <w:sz w:val="24"/>
        </w:rPr>
        <w:t>means all loans, advances, debts, liabilities, indemnities and obligations for monetary amounts owing by the Borrower to the Secured Parties, the Agents, the Backup Servicer, the Account Bank, the Custodian (if other than UACC) or any of their respective assigns, as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case may be, whether due or to become due, matured or unmatured, liquidated or unliquidated, contingent or non-contingent and all covenants and duties regarding such amounts, of any kind or nature, present or future, arising under or in respect of any of the Loans, any Hedging Agreement or any other Basic Document, whether or not evidenced by any separate note, agreement or other instrument, including all principal, interest (including interest that accrues after the commencement against the Borrower of any action under the Bankruptcy Code), amounts payable pursuant to Section 2.13, Breakage Costs, Indemnified Amounts, fees, including any and all Usage Fees, Unused Fees, and any and all other fees, expenses, costs or other sums (including attorney fees and disbursements) chargeable to the Borrower under the Basic Documents.</w:t>
      </w:r>
    </w:p>
    <w:p>
      <w:pPr>
        <w:pStyle w:val="TextBody"/>
        <w:bidi w:val="0"/>
        <w:spacing w:before="0" w:after="240"/>
        <w:jc w:val="both"/>
        <w:rPr/>
      </w:pPr>
      <w:r>
        <w:rPr>
          <w:color w:val="000000"/>
        </w:rPr>
        <w:t>“</w:t>
      </w:r>
      <w:r>
        <w:rPr>
          <w:rFonts w:ascii="Times New Roman" w:hAnsi="Times New Roman"/>
          <w:color w:val="000000"/>
          <w:sz w:val="24"/>
          <w:u w:val="single"/>
        </w:rPr>
        <w:t>Obligor</w:t>
      </w:r>
      <w:r>
        <w:rPr>
          <w:rFonts w:ascii="Times New Roman" w:hAnsi="Times New Roman"/>
          <w:color w:val="000000"/>
          <w:sz w:val="20"/>
        </w:rPr>
        <w:t xml:space="preserve">” </w:t>
      </w:r>
      <w:r>
        <w:rPr>
          <w:rFonts w:ascii="Times New Roman" w:hAnsi="Times New Roman"/>
          <w:color w:val="000000"/>
          <w:sz w:val="24"/>
        </w:rPr>
        <w:t>means each Person obligated to make payments pursuant to a Receivable or Serviced Portfolio Receivable, including any guarantor thereof.</w:t>
      </w:r>
    </w:p>
    <w:p>
      <w:pPr>
        <w:pStyle w:val="TextBody"/>
        <w:bidi w:val="0"/>
        <w:spacing w:before="0" w:after="240"/>
        <w:jc w:val="both"/>
        <w:rPr/>
      </w:pPr>
      <w:r>
        <w:rPr>
          <w:color w:val="000000"/>
        </w:rPr>
        <w:t>“</w:t>
      </w:r>
      <w:r>
        <w:rPr>
          <w:rFonts w:ascii="Times New Roman" w:hAnsi="Times New Roman"/>
          <w:color w:val="000000"/>
          <w:sz w:val="24"/>
          <w:u w:val="single"/>
        </w:rPr>
        <w:t>OFAC</w:t>
      </w:r>
      <w:r>
        <w:rPr>
          <w:rFonts w:ascii="Times New Roman" w:hAnsi="Times New Roman"/>
          <w:color w:val="000000"/>
          <w:sz w:val="20"/>
        </w:rPr>
        <w:t xml:space="preserve">” </w:t>
      </w:r>
      <w:r>
        <w:rPr>
          <w:rFonts w:ascii="Times New Roman" w:hAnsi="Times New Roman"/>
          <w:color w:val="000000"/>
          <w:sz w:val="24"/>
        </w:rPr>
        <w:t>means the U.S. Department of the Treasury’s Office of Foreign Assets Control.</w:t>
      </w:r>
    </w:p>
    <w:p>
      <w:pPr>
        <w:pStyle w:val="TextBody"/>
        <w:bidi w:val="0"/>
        <w:spacing w:before="0" w:after="240"/>
        <w:jc w:val="both"/>
        <w:rPr/>
      </w:pPr>
      <w:r>
        <w:rPr>
          <w:color w:val="000000"/>
        </w:rPr>
        <w:t>“</w:t>
      </w:r>
      <w:r>
        <w:rPr>
          <w:rFonts w:ascii="Times New Roman" w:hAnsi="Times New Roman"/>
          <w:color w:val="000000"/>
          <w:sz w:val="24"/>
          <w:u w:val="single"/>
        </w:rPr>
        <w:t>Officer’s Certificate</w:t>
      </w:r>
      <w:r>
        <w:rPr>
          <w:rFonts w:ascii="Times New Roman" w:hAnsi="Times New Roman"/>
          <w:color w:val="000000"/>
          <w:sz w:val="20"/>
        </w:rPr>
        <w:t xml:space="preserve">” </w:t>
      </w:r>
      <w:r>
        <w:rPr>
          <w:rFonts w:ascii="Times New Roman" w:hAnsi="Times New Roman"/>
          <w:color w:val="000000"/>
          <w:sz w:val="24"/>
        </w:rPr>
        <w:t>means a certificate signed by any officer of the Borrower, the Servicer, the Originator, the Backup Servicer or the Custodian, as the case may be, and delivered to the Administrative Agent.</w:t>
      </w:r>
    </w:p>
    <w:p>
      <w:pPr>
        <w:pStyle w:val="TextBody"/>
        <w:bidi w:val="0"/>
        <w:spacing w:before="0" w:after="240"/>
        <w:jc w:val="both"/>
        <w:rPr/>
      </w:pPr>
      <w:r>
        <w:rPr>
          <w:color w:val="000000"/>
        </w:rPr>
        <w:t>“</w:t>
      </w:r>
      <w:r>
        <w:rPr>
          <w:rFonts w:ascii="Times New Roman" w:hAnsi="Times New Roman"/>
          <w:color w:val="000000"/>
          <w:sz w:val="24"/>
          <w:u w:val="single"/>
        </w:rPr>
        <w:t>Opinion of Counsel</w:t>
      </w:r>
      <w:r>
        <w:rPr>
          <w:rFonts w:ascii="Times New Roman" w:hAnsi="Times New Roman"/>
          <w:color w:val="000000"/>
          <w:sz w:val="20"/>
        </w:rPr>
        <w:t xml:space="preserve">” </w:t>
      </w:r>
      <w:r>
        <w:rPr>
          <w:rFonts w:ascii="Times New Roman" w:hAnsi="Times New Roman"/>
          <w:color w:val="000000"/>
          <w:sz w:val="24"/>
        </w:rPr>
        <w:t>means, with respect to any Person, a written opinion of counsel, who is reasonably acceptable to the Administrative Agent.</w:t>
      </w:r>
    </w:p>
    <w:p>
      <w:pPr>
        <w:pStyle w:val="TextBody"/>
        <w:bidi w:val="0"/>
        <w:spacing w:before="0" w:after="240"/>
        <w:jc w:val="both"/>
        <w:rPr/>
      </w:pPr>
      <w:r>
        <w:rPr>
          <w:color w:val="000000"/>
        </w:rPr>
        <w:t>“</w:t>
      </w:r>
      <w:r>
        <w:rPr>
          <w:rFonts w:ascii="Times New Roman" w:hAnsi="Times New Roman"/>
          <w:color w:val="000000"/>
          <w:sz w:val="24"/>
          <w:u w:val="single"/>
        </w:rPr>
        <w:t>Originator</w:t>
      </w:r>
      <w:r>
        <w:rPr>
          <w:rFonts w:ascii="Times New Roman" w:hAnsi="Times New Roman"/>
          <w:color w:val="000000"/>
          <w:sz w:val="20"/>
        </w:rPr>
        <w:t xml:space="preserve">” </w:t>
      </w:r>
      <w:r>
        <w:rPr>
          <w:rFonts w:ascii="Times New Roman" w:hAnsi="Times New Roman"/>
          <w:color w:val="000000"/>
          <w:sz w:val="24"/>
        </w:rPr>
        <w:t>means UACC.</w:t>
      </w:r>
    </w:p>
    <w:p>
      <w:pPr>
        <w:pStyle w:val="TextBody"/>
        <w:bidi w:val="0"/>
        <w:spacing w:before="0" w:after="240"/>
        <w:jc w:val="both"/>
        <w:rPr/>
      </w:pPr>
      <w:r>
        <w:rPr>
          <w:color w:val="000000"/>
        </w:rPr>
        <w:t>“</w:t>
      </w:r>
      <w:r>
        <w:rPr>
          <w:rFonts w:ascii="Times New Roman" w:hAnsi="Times New Roman"/>
          <w:color w:val="000000"/>
          <w:sz w:val="24"/>
          <w:u w:val="single"/>
        </w:rPr>
        <w:t>Other Taxes</w:t>
      </w:r>
      <w:r>
        <w:rPr>
          <w:rFonts w:ascii="Times New Roman" w:hAnsi="Times New Roman"/>
          <w:color w:val="000000"/>
          <w:sz w:val="20"/>
        </w:rPr>
        <w:t xml:space="preserve">” </w:t>
      </w:r>
      <w:r>
        <w:rPr>
          <w:rFonts w:ascii="Times New Roman" w:hAnsi="Times New Roman"/>
          <w:color w:val="000000"/>
          <w:sz w:val="24"/>
        </w:rPr>
        <w:t>means any and all present or future recording, stamp, documentary, excise, transfer, property or similar taxes, charges or levies arising from any payment made under this Agreement or from the execution, delivery or enforcement of, this Agreement.</w:t>
      </w:r>
    </w:p>
    <w:p>
      <w:pPr>
        <w:pStyle w:val="TextBody"/>
        <w:bidi w:val="0"/>
        <w:spacing w:before="0" w:after="240"/>
        <w:jc w:val="both"/>
        <w:rPr/>
      </w:pPr>
      <w:r>
        <w:rPr>
          <w:color w:val="000000"/>
        </w:rPr>
        <w:t>“</w:t>
      </w:r>
      <w:r>
        <w:rPr>
          <w:rFonts w:ascii="Times New Roman" w:hAnsi="Times New Roman"/>
          <w:color w:val="000000"/>
          <w:sz w:val="24"/>
          <w:u w:val="single"/>
        </w:rPr>
        <w:t>Other Warehouse Agreements</w:t>
      </w:r>
      <w:r>
        <w:rPr>
          <w:rFonts w:ascii="Times New Roman" w:hAnsi="Times New Roman"/>
          <w:color w:val="000000"/>
          <w:sz w:val="20"/>
        </w:rPr>
        <w:t xml:space="preserve">” </w:t>
      </w:r>
      <w:r>
        <w:rPr>
          <w:rFonts w:ascii="Times New Roman" w:hAnsi="Times New Roman"/>
          <w:color w:val="000000"/>
          <w:sz w:val="24"/>
        </w:rPr>
        <w:t>means all warehouse agreements, credit agreements, funding agreements or similar agreements of UACC and its Affiliates, other than this Agreement, that are secured or collateralized by motor vehicle receivables.</w:t>
      </w:r>
    </w:p>
    <w:p>
      <w:pPr>
        <w:pStyle w:val="TextBody"/>
        <w:bidi w:val="0"/>
        <w:spacing w:before="0" w:after="240"/>
        <w:jc w:val="both"/>
        <w:rPr/>
      </w:pPr>
      <w:r>
        <w:rPr>
          <w:color w:val="000000"/>
        </w:rPr>
        <w:t>“</w:t>
      </w:r>
      <w:r>
        <w:rPr>
          <w:rFonts w:ascii="Times New Roman" w:hAnsi="Times New Roman"/>
          <w:color w:val="000000"/>
          <w:sz w:val="24"/>
          <w:u w:val="single"/>
        </w:rPr>
        <w:t>Overcollateralization Increase Event</w:t>
      </w:r>
      <w:r>
        <w:rPr>
          <w:rFonts w:ascii="Times New Roman" w:hAnsi="Times New Roman"/>
          <w:color w:val="000000"/>
          <w:sz w:val="20"/>
        </w:rPr>
        <w:t xml:space="preserve">” </w:t>
      </w:r>
      <w:r>
        <w:rPr>
          <w:rFonts w:ascii="Times New Roman" w:hAnsi="Times New Roman"/>
          <w:color w:val="000000"/>
          <w:sz w:val="24"/>
        </w:rPr>
        <w:t>means that, as of any Payment Date, any Level I Overcollateralization Increase Event, Level II Overcollateralization Increase Event or Level III Overcollateralization Increase Event occurs. Notwithstanding the foregoing, any Overcollateralization Increase Event may be cured and deemed not to exist and be continuing if for three consecutive Payment Dates following a Payment Date on which such Overcollateralization Increase Event occurred, (i) such Overcollateralization Increase Event shall not exist and (ii) no other Overcollateralization Increase Event shall have occurred.</w:t>
      </w:r>
    </w:p>
    <w:p>
      <w:pPr>
        <w:pStyle w:val="TextBody"/>
        <w:bidi w:val="0"/>
        <w:spacing w:before="0" w:after="240"/>
        <w:jc w:val="both"/>
        <w:rPr/>
      </w:pPr>
      <w:r>
        <w:rPr>
          <w:color w:val="000000"/>
        </w:rPr>
        <w:t>“</w:t>
      </w:r>
      <w:r>
        <w:rPr>
          <w:rFonts w:ascii="Times New Roman" w:hAnsi="Times New Roman"/>
          <w:color w:val="000000"/>
          <w:sz w:val="24"/>
          <w:u w:val="single"/>
        </w:rPr>
        <w:t>Owner Trustee</w:t>
      </w:r>
      <w:r>
        <w:rPr>
          <w:rFonts w:ascii="Times New Roman" w:hAnsi="Times New Roman"/>
          <w:color w:val="000000"/>
          <w:sz w:val="20"/>
        </w:rPr>
        <w:t xml:space="preserve">” </w:t>
      </w:r>
      <w:r>
        <w:rPr>
          <w:rFonts w:ascii="Times New Roman" w:hAnsi="Times New Roman"/>
          <w:color w:val="000000"/>
          <w:sz w:val="24"/>
        </w:rPr>
        <w:t>means [***]</w:t>
      </w:r>
    </w:p>
    <w:p>
      <w:pPr>
        <w:pStyle w:val="TextBody"/>
        <w:bidi w:val="0"/>
        <w:spacing w:before="0" w:after="240"/>
        <w:jc w:val="both"/>
        <w:rPr/>
      </w:pPr>
      <w:r>
        <w:rPr>
          <w:color w:val="000000"/>
        </w:rPr>
        <w:t>“</w:t>
      </w:r>
      <w:r>
        <w:rPr>
          <w:rFonts w:ascii="Times New Roman" w:hAnsi="Times New Roman"/>
          <w:color w:val="000000"/>
          <w:sz w:val="24"/>
          <w:u w:val="single"/>
        </w:rPr>
        <w:t>Owners</w:t>
      </w:r>
      <w:r>
        <w:rPr>
          <w:rFonts w:ascii="Times New Roman" w:hAnsi="Times New Roman"/>
          <w:color w:val="000000"/>
          <w:sz w:val="20"/>
        </w:rPr>
        <w:t xml:space="preserve">” </w:t>
      </w:r>
      <w:r>
        <w:rPr>
          <w:rFonts w:ascii="Times New Roman" w:hAnsi="Times New Roman"/>
          <w:color w:val="000000"/>
          <w:sz w:val="24"/>
        </w:rPr>
        <w:t>means the Lenders that are owners of record of the Notes or, with respect to any Note held by an Agent hereunder as nominee on behalf of Lenders in the related Lender Group, the Lenders that are beneficial owners of such Note as reflected on the books of such Agent in accordance with this Agreement and the other Basic Documents.</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Partial Expiration Event</w:t>
      </w:r>
      <w:r>
        <w:rPr>
          <w:rFonts w:ascii="Times New Roman" w:hAnsi="Times New Roman"/>
          <w:color w:val="000000"/>
          <w:sz w:val="20"/>
        </w:rPr>
        <w:t xml:space="preserve">” </w:t>
      </w:r>
      <w:r>
        <w:rPr>
          <w:rFonts w:ascii="Times New Roman" w:hAnsi="Times New Roman"/>
          <w:color w:val="000000"/>
          <w:sz w:val="24"/>
        </w:rPr>
        <w:t>means the occurrence of the election of one or more Non-Extending Lenders after the Commitment Termination Date to not extend its Commitment, unless such Non-Extending Lender is replaced pursuant to Section 2.04(b) or unless the Termination Date shall have occurred.</w:t>
      </w:r>
    </w:p>
    <w:p>
      <w:pPr>
        <w:pStyle w:val="TextBody"/>
        <w:bidi w:val="0"/>
        <w:spacing w:before="0" w:after="240"/>
        <w:jc w:val="both"/>
        <w:rPr/>
      </w:pPr>
      <w:r>
        <w:rPr>
          <w:color w:val="000000"/>
        </w:rPr>
        <w:t>“</w:t>
      </w:r>
      <w:r>
        <w:rPr>
          <w:rFonts w:ascii="Times New Roman" w:hAnsi="Times New Roman"/>
          <w:color w:val="000000"/>
          <w:sz w:val="24"/>
          <w:u w:val="single"/>
        </w:rPr>
        <w:t>Partial Expiration Event Amount</w:t>
      </w:r>
      <w:r>
        <w:rPr>
          <w:rFonts w:ascii="Times New Roman" w:hAnsi="Times New Roman"/>
          <w:color w:val="000000"/>
          <w:sz w:val="20"/>
        </w:rPr>
        <w:t xml:space="preserve">” </w:t>
      </w:r>
      <w:r>
        <w:rPr>
          <w:rFonts w:ascii="Times New Roman" w:hAnsi="Times New Roman"/>
          <w:color w:val="000000"/>
          <w:sz w:val="24"/>
        </w:rPr>
        <w:t>means the portion of Loans Outstanding payable in connection with a Partial Expiration Event.</w:t>
      </w:r>
    </w:p>
    <w:p>
      <w:pPr>
        <w:pStyle w:val="TextBody"/>
        <w:bidi w:val="0"/>
        <w:spacing w:before="0" w:after="240"/>
        <w:jc w:val="both"/>
        <w:rPr/>
      </w:pPr>
      <w:r>
        <w:rPr>
          <w:color w:val="000000"/>
        </w:rPr>
        <w:t>“</w:t>
      </w:r>
      <w:r>
        <w:rPr>
          <w:rFonts w:ascii="Times New Roman" w:hAnsi="Times New Roman"/>
          <w:color w:val="000000"/>
          <w:sz w:val="24"/>
          <w:u w:val="single"/>
        </w:rPr>
        <w:t>Patriot Act</w:t>
      </w:r>
      <w:r>
        <w:rPr>
          <w:rFonts w:ascii="Times New Roman" w:hAnsi="Times New Roman"/>
          <w:color w:val="000000"/>
          <w:sz w:val="20"/>
        </w:rPr>
        <w:t xml:space="preserve">” </w:t>
      </w:r>
      <w:r>
        <w:rPr>
          <w:rFonts w:ascii="Times New Roman" w:hAnsi="Times New Roman"/>
          <w:color w:val="000000"/>
          <w:sz w:val="24"/>
        </w:rPr>
        <w:t>means the USA PATRIOT Act (Title III of Pub. L. 107-56 (signed into law October 26, 2001)).</w:t>
      </w:r>
    </w:p>
    <w:p>
      <w:pPr>
        <w:pStyle w:val="TextBody"/>
        <w:bidi w:val="0"/>
        <w:spacing w:before="0" w:after="240"/>
        <w:jc w:val="both"/>
        <w:rPr/>
      </w:pPr>
      <w:r>
        <w:rPr>
          <w:color w:val="000000"/>
        </w:rPr>
        <w:t>“</w:t>
      </w:r>
      <w:r>
        <w:rPr>
          <w:rFonts w:ascii="Times New Roman" w:hAnsi="Times New Roman"/>
          <w:color w:val="000000"/>
          <w:sz w:val="24"/>
          <w:u w:val="single"/>
        </w:rPr>
        <w:t>Payment Date</w:t>
      </w:r>
      <w:r>
        <w:rPr>
          <w:rFonts w:ascii="Times New Roman" w:hAnsi="Times New Roman"/>
          <w:color w:val="000000"/>
          <w:sz w:val="20"/>
        </w:rPr>
        <w:t xml:space="preserve">” </w:t>
      </w:r>
      <w:r>
        <w:rPr>
          <w:rFonts w:ascii="Times New Roman" w:hAnsi="Times New Roman"/>
          <w:color w:val="000000"/>
          <w:sz w:val="24"/>
        </w:rPr>
        <w:t>means the 10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each calendar month or, if any such day is not a Business Day, the next succeeding Business Day, commencing December 15, 2013.</w:t>
      </w:r>
    </w:p>
    <w:p>
      <w:pPr>
        <w:pStyle w:val="TextBody"/>
        <w:bidi w:val="0"/>
        <w:spacing w:before="0" w:after="240"/>
        <w:jc w:val="both"/>
        <w:rPr/>
      </w:pPr>
      <w:r>
        <w:rPr>
          <w:color w:val="000000"/>
        </w:rPr>
        <w:t>“</w:t>
      </w:r>
      <w:r>
        <w:rPr>
          <w:rFonts w:ascii="Times New Roman" w:hAnsi="Times New Roman"/>
          <w:color w:val="000000"/>
          <w:sz w:val="24"/>
          <w:u w:val="single"/>
        </w:rPr>
        <w:t>Pension Plans</w:t>
      </w:r>
      <w:r>
        <w:rPr>
          <w:rFonts w:ascii="Times New Roman" w:hAnsi="Times New Roman"/>
          <w:color w:val="000000"/>
          <w:sz w:val="20"/>
        </w:rPr>
        <w:t xml:space="preserve">” </w:t>
      </w:r>
      <w:r>
        <w:rPr>
          <w:rFonts w:ascii="Times New Roman" w:hAnsi="Times New Roman"/>
          <w:color w:val="000000"/>
          <w:sz w:val="24"/>
        </w:rPr>
        <w:t>means an “employee pension benefit plan,” as such term is defined in Section 3 of ERISA, which is subject to Title IV of ERISA or Section 412 of the Code and which is or was at any time during the current year or the immediately preceding five years contributed to by the Borrower or any ERISA Affiliate on behalf of its employees.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Performance Guarantor</w:t>
      </w:r>
      <w:r>
        <w:rPr>
          <w:rFonts w:ascii="Times New Roman" w:hAnsi="Times New Roman"/>
          <w:color w:val="000000"/>
          <w:sz w:val="20"/>
        </w:rPr>
        <w:t xml:space="preserve">” </w:t>
      </w:r>
      <w:r>
        <w:rPr>
          <w:rFonts w:ascii="Times New Roman" w:hAnsi="Times New Roman"/>
          <w:color w:val="000000"/>
          <w:sz w:val="24"/>
        </w:rPr>
        <w:t>means VFH, in its capacity as “Guarantor” pursuant to the Performance Guaranty.</w:t>
      </w:r>
    </w:p>
    <w:p>
      <w:pPr>
        <w:pStyle w:val="TextBody"/>
        <w:bidi w:val="0"/>
        <w:spacing w:before="0" w:after="240"/>
        <w:jc w:val="both"/>
        <w:rPr/>
      </w:pPr>
      <w:r>
        <w:rPr>
          <w:color w:val="000000"/>
        </w:rPr>
        <w:t>“</w:t>
      </w:r>
      <w:r>
        <w:rPr>
          <w:rFonts w:ascii="Times New Roman" w:hAnsi="Times New Roman"/>
          <w:color w:val="000000"/>
          <w:sz w:val="24"/>
          <w:u w:val="single"/>
        </w:rPr>
        <w:t>Performance Guaranty</w:t>
      </w:r>
      <w:r>
        <w:rPr>
          <w:rFonts w:ascii="Times New Roman" w:hAnsi="Times New Roman"/>
          <w:color w:val="000000"/>
          <w:sz w:val="20"/>
        </w:rPr>
        <w:t xml:space="preserve">” </w:t>
      </w:r>
      <w:r>
        <w:rPr>
          <w:rFonts w:ascii="Times New Roman" w:hAnsi="Times New Roman"/>
          <w:color w:val="000000"/>
          <w:sz w:val="24"/>
        </w:rPr>
        <w:t>means the Performance Guaranty between VFH and the Administrative Agent, dated as of the Twenty-Ninth Amendment Effective Date.</w:t>
      </w:r>
    </w:p>
    <w:p>
      <w:pPr>
        <w:pStyle w:val="TextBody"/>
        <w:bidi w:val="0"/>
        <w:spacing w:before="0" w:after="240"/>
        <w:jc w:val="both"/>
        <w:rPr/>
      </w:pPr>
      <w:r>
        <w:rPr>
          <w:color w:val="000000"/>
        </w:rPr>
        <w:t>“</w:t>
      </w:r>
      <w:r>
        <w:rPr>
          <w:rFonts w:ascii="Times New Roman" w:hAnsi="Times New Roman"/>
          <w:color w:val="000000"/>
          <w:sz w:val="24"/>
          <w:u w:val="single"/>
        </w:rPr>
        <w:t>Permitted Investments</w:t>
      </w:r>
      <w:r>
        <w:rPr>
          <w:rFonts w:ascii="Times New Roman" w:hAnsi="Times New Roman"/>
          <w:color w:val="000000"/>
          <w:sz w:val="20"/>
        </w:rPr>
        <w:t xml:space="preserve">” </w:t>
      </w:r>
      <w:r>
        <w:rPr>
          <w:rFonts w:ascii="Times New Roman" w:hAnsi="Times New Roman"/>
          <w:color w:val="000000"/>
          <w:sz w:val="24"/>
        </w:rPr>
        <w:t>means any of the following types of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marketable obligations of the United States, the full and timely payment of which are backed by the full faith and credit of the United States and which have a maturity of not more than 270 days from the date of acquisition;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bankers’ acceptances and certificates of deposit and other interest-bearing obligations (in each case having a maturity of not more than 270 days from the date of acquisition) denominated in Dollars and issued by any bank with capital, surplus and undivided profits aggregating at least $100,000,000, the short-term obligations of which meet or exceed the Short</w:t>
        <w:noBreakHyphen/>
        <w:t>Term Rating Requirement;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repurchase obligations with a term of not more than ten days for underlying securities of the types described in clauses (i) and (ii) above entered into with any bank of the type described in clause (ii)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commercial paper rated at least A</w:t>
        <w:noBreakHyphen/>
        <w:t>1 by Standard &amp; Poor’s and Prime</w:t>
        <w:noBreakHyphen/>
        <w:t>1 by Moody’s;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money market funds registered under the Investment Company Act having a rating, at the time of such investment, of not less than Aaa by Moody’s and AAAm by Standard &amp; Poor’s;</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demand deposits, time deposits or certificates of deposit (having original maturities of no more than 365 days) of depository institutions or trust companies incorporated under the laws of the United States or any State (or domestic branches of any foreign bank) and subject to supervision and examination by federal or State banking or depository institution authorities; provided, however, that at the time such investment, or the commitment to make such investment, is entered into, the short-term debt rating of such depository institution or trust company shall meet or exceed the Short</w:t>
        <w:noBreakHyphen/>
        <w:t>Term Rating Requirement;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other investments approved in writing by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that each of the Permitted Investments may be purchased by the Account Bank or through an Affiliate of the Account Bank.</w:t>
      </w:r>
    </w:p>
    <w:p>
      <w:pPr>
        <w:pStyle w:val="TextBody"/>
        <w:bidi w:val="0"/>
        <w:spacing w:before="0" w:after="240"/>
        <w:jc w:val="both"/>
        <w:rPr/>
      </w:pPr>
      <w:r>
        <w:rPr>
          <w:color w:val="000000"/>
        </w:rPr>
        <w:t>“</w:t>
      </w:r>
      <w:r>
        <w:rPr>
          <w:rFonts w:ascii="Times New Roman" w:hAnsi="Times New Roman"/>
          <w:color w:val="000000"/>
          <w:sz w:val="24"/>
          <w:u w:val="single"/>
        </w:rPr>
        <w:t>Permitted Liens</w:t>
      </w:r>
      <w:r>
        <w:rPr>
          <w:rFonts w:ascii="Times New Roman" w:hAnsi="Times New Roman"/>
          <w:color w:val="000000"/>
          <w:sz w:val="20"/>
        </w:rPr>
        <w:t xml:space="preserve">” </w:t>
      </w:r>
      <w:r>
        <w:rPr>
          <w:rFonts w:ascii="Times New Roman" w:hAnsi="Times New Roman"/>
          <w:color w:val="000000"/>
          <w:sz w:val="24"/>
        </w:rPr>
        <w:t>means (i) Liens in favor of any Agent or the Administrative Agent, as agent for the Secured Parties, created pursuant to this Agreement or any other Basic Document and (ii) Liens for taxes and assessments that are not yet due and payable or that are being contested in good faith, provided that they have been fully reserved for in accordance with GAAP.</w:t>
      </w:r>
    </w:p>
    <w:p>
      <w:pPr>
        <w:pStyle w:val="TextBody"/>
        <w:bidi w:val="0"/>
        <w:spacing w:before="0" w:after="240"/>
        <w:jc w:val="both"/>
        <w:rPr/>
      </w:pPr>
      <w:r>
        <w:rPr>
          <w:color w:val="000000"/>
        </w:rPr>
        <w:t>“</w:t>
      </w:r>
      <w:r>
        <w:rPr>
          <w:rFonts w:ascii="Times New Roman" w:hAnsi="Times New Roman"/>
          <w:color w:val="000000"/>
          <w:sz w:val="24"/>
          <w:u w:val="single"/>
        </w:rPr>
        <w:t>Permitted Modification</w:t>
      </w:r>
      <w:r>
        <w:rPr>
          <w:rFonts w:ascii="Times New Roman" w:hAnsi="Times New Roman"/>
          <w:color w:val="000000"/>
          <w:sz w:val="20"/>
        </w:rPr>
        <w:t xml:space="preserve">” </w:t>
      </w:r>
      <w:r>
        <w:rPr>
          <w:rFonts w:ascii="Times New Roman" w:hAnsi="Times New Roman"/>
          <w:color w:val="000000"/>
          <w:sz w:val="24"/>
        </w:rPr>
        <w:t>means, for any Contract, a Covered Modification that (i) is permitted by the Credit and Collection Policy, (ii) relates to a Contract for which there has not previously been a Covered Modification and (iii) does not extend the time for payment of any Scheduled Payment for longer than the period covering three successive Scheduled Payments on such Contract at the time of such extension.</w:t>
      </w:r>
    </w:p>
    <w:p>
      <w:pPr>
        <w:pStyle w:val="TextBody"/>
        <w:bidi w:val="0"/>
        <w:spacing w:before="0" w:after="240"/>
        <w:jc w:val="both"/>
        <w:rPr/>
      </w:pPr>
      <w:r>
        <w:rPr>
          <w:color w:val="000000"/>
        </w:rPr>
        <w:t>“</w:t>
      </w:r>
      <w:r>
        <w:rPr>
          <w:rFonts w:ascii="Times New Roman" w:hAnsi="Times New Roman"/>
          <w:color w:val="000000"/>
          <w:sz w:val="24"/>
          <w:u w:val="single"/>
        </w:rPr>
        <w:t>Permitted Modifications Advance Rate</w:t>
      </w:r>
      <w:r>
        <w:rPr>
          <w:rFonts w:ascii="Times New Roman" w:hAnsi="Times New Roman"/>
          <w:color w:val="000000"/>
          <w:sz w:val="20"/>
        </w:rPr>
        <w:t xml:space="preserve">” </w:t>
      </w:r>
      <w:r>
        <w:rPr>
          <w:rFonts w:ascii="Times New Roman" w:hAnsi="Times New Roman"/>
          <w:color w:val="000000"/>
          <w:sz w:val="24"/>
        </w:rPr>
        <w:t>means, on any date of determination, (i) [***]% minus (ii) the applicable Advance Rate Reduction Percentage (if any) on such date.</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individual, partnership, corporation, limited liability company, joint stock company, trust (including a business or statutory trust), unincorporated association, sole proprietorship, joint venture, government (or any agency or political subdivision thereof) or other entity.</w:t>
      </w:r>
    </w:p>
    <w:p>
      <w:pPr>
        <w:pStyle w:val="TextBody"/>
        <w:bidi w:val="0"/>
        <w:spacing w:before="0" w:after="240"/>
        <w:jc w:val="both"/>
        <w:rPr/>
      </w:pPr>
      <w:r>
        <w:rPr>
          <w:color w:val="000000"/>
        </w:rPr>
        <w:t>“</w:t>
      </w:r>
      <w:r>
        <w:rPr>
          <w:rFonts w:ascii="Times New Roman" w:hAnsi="Times New Roman"/>
          <w:color w:val="000000"/>
          <w:sz w:val="24"/>
          <w:u w:val="single"/>
        </w:rPr>
        <w:t>Portfolio Purchase Receivable</w:t>
      </w:r>
      <w:r>
        <w:rPr>
          <w:rFonts w:ascii="Times New Roman" w:hAnsi="Times New Roman"/>
          <w:color w:val="000000"/>
          <w:sz w:val="20"/>
        </w:rPr>
        <w:t xml:space="preserve">” </w:t>
      </w:r>
      <w:r>
        <w:rPr>
          <w:rFonts w:ascii="Times New Roman" w:hAnsi="Times New Roman"/>
          <w:color w:val="000000"/>
          <w:sz w:val="24"/>
        </w:rPr>
        <w:t>means any Receivable identified on Schedule G hereto which was acquired by the Borrower on or after the Twenty-First Amendment Effective Date, and with respect to which the Servicer holds the Certificate of Title or the application for a Certificate of Title for the related Financed Vehicle on such date; provided that the acquisition of any such Portfolio Purchase Receivables after the Twenty-First Amendment Effective Date shall be subject to the sole consent of the Administrative Agent.</w:t>
      </w:r>
    </w:p>
    <w:p>
      <w:pPr>
        <w:pStyle w:val="TextBody"/>
        <w:bidi w:val="0"/>
        <w:spacing w:before="0" w:after="240"/>
        <w:jc w:val="both"/>
        <w:rPr/>
      </w:pPr>
      <w:r>
        <w:rPr>
          <w:color w:val="000000"/>
        </w:rPr>
        <w:t>“</w:t>
      </w:r>
      <w:r>
        <w:rPr>
          <w:rFonts w:ascii="Times New Roman" w:hAnsi="Times New Roman"/>
          <w:color w:val="000000"/>
          <w:sz w:val="24"/>
          <w:u w:val="single"/>
        </w:rPr>
        <w:t>Portfolio Purchase Receivables Advance Rate</w:t>
      </w:r>
      <w:r>
        <w:rPr>
          <w:rFonts w:ascii="Times New Roman" w:hAnsi="Times New Roman"/>
          <w:color w:val="000000"/>
          <w:sz w:val="20"/>
        </w:rPr>
        <w:t xml:space="preserve">” </w:t>
      </w:r>
      <w:r>
        <w:rPr>
          <w:rFonts w:ascii="Times New Roman" w:hAnsi="Times New Roman"/>
          <w:color w:val="000000"/>
          <w:sz w:val="24"/>
        </w:rPr>
        <w:t xml:space="preserve">means, on any date of determination, (i) [***]% minus (ii) the applicable Advance Rate Reduction Percentage (if any) on such date, minus (iii) if such date occurs during a Portfolio Purchase Receivables Step-up Period, [***]% </w:t>
      </w:r>
      <w:r>
        <w:rPr>
          <w:rFonts w:ascii="Times New Roman" w:hAnsi="Times New Roman"/>
          <w:i/>
          <w:color w:val="000000"/>
          <w:sz w:val="24"/>
        </w:rPr>
        <w:t>provided, that</w:t>
      </w:r>
      <w:r>
        <w:rPr>
          <w:rFonts w:ascii="Times New Roman" w:hAnsi="Times New Roman"/>
          <w:color w:val="000000"/>
          <w:sz w:val="20"/>
        </w:rPr>
        <w:t xml:space="preserve"> </w:t>
      </w:r>
      <w:r>
        <w:rPr>
          <w:rFonts w:ascii="Times New Roman" w:hAnsi="Times New Roman"/>
          <w:color w:val="000000"/>
          <w:sz w:val="24"/>
        </w:rPr>
        <w:t>from and after a Portfolio Purchase Receivables Turbo Event, the Portfolio Purchase Receivables Advance Rate shall be [***]% provided further that the values referenced in clause (i) and clause (ii) of this definition applicable to any Portfolio Purchase Receivables acquired after the Twenty-First Amendment Effective Date, may be adjusted for any such Portfolio Purchase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Receivables, on the date any such Portfolio Purchase Receivables are acquired, as determined by the Administrative Agent in its sole discretion.</w:t>
      </w:r>
    </w:p>
    <w:p>
      <w:pPr>
        <w:pStyle w:val="TextBody"/>
        <w:bidi w:val="0"/>
        <w:spacing w:before="0" w:after="240"/>
        <w:jc w:val="both"/>
        <w:rPr/>
      </w:pPr>
      <w:r>
        <w:rPr>
          <w:color w:val="000000"/>
        </w:rPr>
        <w:t>“</w:t>
      </w:r>
      <w:r>
        <w:rPr>
          <w:rFonts w:ascii="Times New Roman" w:hAnsi="Times New Roman"/>
          <w:color w:val="000000"/>
          <w:sz w:val="24"/>
          <w:u w:val="single"/>
        </w:rPr>
        <w:t>Portfolio Purchase Receivables Cumulative Net Loss Ratio</w:t>
      </w:r>
      <w:r>
        <w:rPr>
          <w:rFonts w:ascii="Times New Roman" w:hAnsi="Times New Roman"/>
          <w:color w:val="000000"/>
          <w:sz w:val="20"/>
        </w:rPr>
        <w:t xml:space="preserve">” </w:t>
      </w:r>
      <w:r>
        <w:rPr>
          <w:rFonts w:ascii="Times New Roman" w:hAnsi="Times New Roman"/>
          <w:color w:val="000000"/>
          <w:sz w:val="24"/>
        </w:rPr>
        <w:t>means, with respect to any Collection Period, the fraction, expressed as a percentage, (i) the numerator of which is the aggregate Principal Balance of all Portfolio Purchase Receivables that became Defaulted Receivables during the period from the Twenty-First Amendment Effective Date through the last day of such Collection Period reduced by the amount of all Recoveries received with respect to such Portfolio Purchase Receivables during the period from the Twenty-First Amendment Effective Date through the last day of such Collection Period and (ii) the denominator of which is the aggregate Principal Balance of all Portfolio Purchase Receivables as of the Twenty-First Amendment Effective Date.</w:t>
      </w:r>
    </w:p>
    <w:p>
      <w:pPr>
        <w:pStyle w:val="TextBody"/>
        <w:bidi w:val="0"/>
        <w:spacing w:before="0" w:after="240"/>
        <w:jc w:val="both"/>
        <w:rPr/>
      </w:pPr>
      <w:r>
        <w:rPr>
          <w:color w:val="000000"/>
        </w:rPr>
        <w:t>“</w:t>
      </w:r>
      <w:r>
        <w:rPr>
          <w:rFonts w:ascii="Times New Roman" w:hAnsi="Times New Roman"/>
          <w:color w:val="000000"/>
          <w:sz w:val="24"/>
          <w:u w:val="single"/>
        </w:rPr>
        <w:t>Portfolio Purchase Receivables Step-up Period</w:t>
      </w:r>
      <w:r>
        <w:rPr>
          <w:rFonts w:ascii="Times New Roman" w:hAnsi="Times New Roman"/>
          <w:color w:val="000000"/>
          <w:sz w:val="20"/>
        </w:rPr>
        <w:t xml:space="preserve">” </w:t>
      </w:r>
      <w:r>
        <w:rPr>
          <w:rFonts w:ascii="Times New Roman" w:hAnsi="Times New Roman"/>
          <w:color w:val="000000"/>
          <w:sz w:val="24"/>
        </w:rPr>
        <w:t>means the period commencing on the date of a Securitization and ending on the first Business Day thereafter on which (i) the aggregate Principal Balance of all Portfolio Purchase Receivables, divided by (ii) the aggregate Principal Balance of all Receivables, is less than [***]%.</w:t>
      </w:r>
    </w:p>
    <w:p>
      <w:pPr>
        <w:pStyle w:val="TextBody"/>
        <w:bidi w:val="0"/>
        <w:spacing w:before="0" w:after="240"/>
        <w:jc w:val="both"/>
        <w:rPr/>
      </w:pPr>
      <w:r>
        <w:rPr>
          <w:color w:val="000000"/>
        </w:rPr>
        <w:t>“</w:t>
      </w:r>
      <w:r>
        <w:rPr>
          <w:rFonts w:ascii="Times New Roman" w:hAnsi="Times New Roman"/>
          <w:color w:val="000000"/>
          <w:sz w:val="24"/>
          <w:u w:val="single"/>
        </w:rPr>
        <w:t>Portfolio Purchase Receivables Turbo Event</w:t>
      </w:r>
      <w:r>
        <w:rPr>
          <w:rFonts w:ascii="Times New Roman" w:hAnsi="Times New Roman"/>
          <w:color w:val="000000"/>
          <w:sz w:val="20"/>
        </w:rPr>
        <w:t xml:space="preserve">” </w:t>
      </w:r>
      <w:r>
        <w:rPr>
          <w:rFonts w:ascii="Times New Roman" w:hAnsi="Times New Roman"/>
          <w:color w:val="000000"/>
          <w:sz w:val="24"/>
        </w:rPr>
        <w:t>means, with respect to any Collection Period after the Twenty-Third Amendment Effective Date, that the Portfolio Purchase Receivables Cumulative Net Loss Ratio for such Collection Period is greater than the “CNL Trigger” for such Collection Period specified in the table below, or such other levels as may be mutually agreed by the Administrative Agent and UACC following the acquisition of any Portfolio Purchase Receivables after the Twenty-Third Amendment Effective [***].</w:t>
      </w:r>
    </w:p>
    <w:tbl>
      <w:tblPr>
        <w:tblW w:w="936" w:type="dxa"/>
        <w:jc w:val="left"/>
        <w:tblInd w:w="0" w:type="dxa"/>
        <w:tblLayout w:type="fixed"/>
        <w:tblCellMar>
          <w:top w:w="28" w:type="dxa"/>
          <w:left w:w="28" w:type="dxa"/>
          <w:bottom w:w="28" w:type="dxa"/>
          <w:right w:w="28" w:type="dxa"/>
        </w:tblCellMar>
      </w:tblPr>
      <w:tblGrid>
        <w:gridCol w:w="161"/>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jc w:val="center"/>
              <w:rPr/>
            </w:pPr>
            <w:r>
              <w:rPr/>
              <w:t> </w:t>
            </w:r>
          </w:p>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pPr>
            <w:r>
              <w:rPr/>
              <w:t> </w:t>
            </w:r>
          </w:p>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pPr>
            <w:r>
              <w:rPr/>
              <w:t> </w:t>
            </w:r>
          </w:p>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pPr>
            <w:r>
              <w:rPr/>
              <w:t> </w:t>
            </w:r>
          </w:p>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pPr>
            <w:r>
              <w:rPr/>
              <w:t> </w:t>
            </w:r>
          </w:p>
          <w:p>
            <w:pPr>
              <w:pStyle w:val="TableContents"/>
              <w:bidi w:val="0"/>
              <w:spacing w:before="0" w:after="283"/>
              <w:jc w:val="center"/>
              <w:rPr/>
            </w:pPr>
            <w:r>
              <w:rPr/>
              <w:t> </w:t>
            </w:r>
          </w:p>
        </w:tc>
        <w:tc>
          <w:tcPr>
            <w:tcW w:w="19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bl>
    <w:p>
      <w:pPr>
        <w:pStyle w:val="TextBody"/>
        <w:bidi w:val="0"/>
        <w:spacing w:before="0" w:after="240"/>
        <w:jc w:val="both"/>
        <w:rPr/>
      </w:pPr>
      <w:r>
        <w:rPr>
          <w:color w:val="000000"/>
        </w:rPr>
        <w:t>“</w:t>
      </w:r>
      <w:r>
        <w:rPr>
          <w:rFonts w:ascii="Times New Roman" w:hAnsi="Times New Roman"/>
          <w:color w:val="000000"/>
          <w:sz w:val="24"/>
          <w:u w:val="single"/>
        </w:rPr>
        <w:t>Post Office Box</w:t>
      </w:r>
      <w:r>
        <w:rPr>
          <w:rFonts w:ascii="Times New Roman" w:hAnsi="Times New Roman"/>
          <w:color w:val="000000"/>
          <w:sz w:val="20"/>
        </w:rPr>
        <w:t xml:space="preserve">” </w:t>
      </w:r>
      <w:r>
        <w:rPr>
          <w:rFonts w:ascii="Times New Roman" w:hAnsi="Times New Roman"/>
          <w:color w:val="000000"/>
          <w:sz w:val="24"/>
        </w:rPr>
        <w:t>means one or more post office boxes established and maintained by the Servicer for the benefit of the Secured Parties pursuant to the Intercreditor Agreement and the Intercreditor Party Supplement.</w:t>
      </w:r>
    </w:p>
    <w:p>
      <w:pPr>
        <w:pStyle w:val="TextBody"/>
        <w:bidi w:val="0"/>
        <w:spacing w:before="0" w:after="240"/>
        <w:jc w:val="both"/>
        <w:rPr/>
      </w:pPr>
      <w:r>
        <w:rPr>
          <w:color w:val="000000"/>
        </w:rPr>
        <w:t>“</w:t>
      </w:r>
      <w:r>
        <w:rPr>
          <w:rFonts w:ascii="Times New Roman" w:hAnsi="Times New Roman"/>
          <w:color w:val="000000"/>
          <w:sz w:val="24"/>
          <w:u w:val="single"/>
        </w:rPr>
        <w:t>Post Office Box Processor</w:t>
      </w:r>
      <w:r>
        <w:rPr>
          <w:rFonts w:ascii="Times New Roman" w:hAnsi="Times New Roman"/>
          <w:color w:val="000000"/>
          <w:sz w:val="20"/>
        </w:rPr>
        <w:t xml:space="preserve">” </w:t>
      </w:r>
      <w:r>
        <w:rPr>
          <w:rFonts w:ascii="Times New Roman" w:hAnsi="Times New Roman"/>
          <w:color w:val="000000"/>
          <w:sz w:val="24"/>
        </w:rPr>
        <w:t>means [***] and any other Person that may from time to time perform lockbox services with respect to one or more Post Office Boxes.</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Prime Rate</w:t>
      </w:r>
      <w:r>
        <w:rPr>
          <w:rFonts w:ascii="Times New Roman" w:hAnsi="Times New Roman"/>
          <w:color w:val="000000"/>
          <w:sz w:val="20"/>
        </w:rPr>
        <w:t xml:space="preserve">” </w:t>
      </w:r>
      <w:r>
        <w:rPr>
          <w:rFonts w:ascii="Times New Roman" w:hAnsi="Times New Roman"/>
          <w:color w:val="000000"/>
          <w:sz w:val="24"/>
        </w:rPr>
        <w:t>means the rate of interest last quoted by [***] as the “Prime Rate” in the U.S. or, if [***]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before="0" w:after="240"/>
        <w:jc w:val="both"/>
        <w:rPr/>
      </w:pPr>
      <w:r>
        <w:rPr>
          <w:color w:val="000000"/>
        </w:rPr>
        <w:t>“</w:t>
      </w:r>
      <w:r>
        <w:rPr>
          <w:rFonts w:ascii="Times New Roman" w:hAnsi="Times New Roman"/>
          <w:color w:val="000000"/>
          <w:sz w:val="24"/>
          <w:u w:val="single"/>
        </w:rPr>
        <w:t>Principal Amount</w:t>
      </w:r>
      <w:r>
        <w:rPr>
          <w:rFonts w:ascii="Times New Roman" w:hAnsi="Times New Roman"/>
          <w:color w:val="000000"/>
          <w:sz w:val="20"/>
        </w:rPr>
        <w:t xml:space="preserve">” </w:t>
      </w:r>
      <w:r>
        <w:rPr>
          <w:rFonts w:ascii="Times New Roman" w:hAnsi="Times New Roman"/>
          <w:color w:val="000000"/>
          <w:sz w:val="24"/>
        </w:rPr>
        <w:t>means, with respect to any Loan, the aggregate amount advanced by the Lenders on the Funding Date in respect of such Loan.</w:t>
      </w:r>
    </w:p>
    <w:p>
      <w:pPr>
        <w:pStyle w:val="TextBody"/>
        <w:bidi w:val="0"/>
        <w:spacing w:before="0" w:after="240"/>
        <w:jc w:val="both"/>
        <w:rPr/>
      </w:pPr>
      <w:r>
        <w:rPr>
          <w:color w:val="000000"/>
        </w:rPr>
        <w:t>“</w:t>
      </w:r>
      <w:r>
        <w:rPr>
          <w:rFonts w:ascii="Times New Roman" w:hAnsi="Times New Roman"/>
          <w:color w:val="000000"/>
          <w:sz w:val="24"/>
          <w:u w:val="single"/>
        </w:rPr>
        <w:t>Principal Balance</w:t>
      </w:r>
      <w:r>
        <w:rPr>
          <w:rFonts w:ascii="Times New Roman" w:hAnsi="Times New Roman"/>
          <w:color w:val="000000"/>
          <w:sz w:val="20"/>
        </w:rPr>
        <w:t xml:space="preserve">” </w:t>
      </w:r>
      <w:r>
        <w:rPr>
          <w:rFonts w:ascii="Times New Roman" w:hAnsi="Times New Roman"/>
          <w:color w:val="000000"/>
          <w:sz w:val="24"/>
        </w:rPr>
        <w:t>means, with respect to a Receivable or Serviced Portfolio Receivable, as of the close of business on a Determination Date, the Amount Financed of such Receivable or Serviced Portfolio Receivable minus the sum of the following related amounts, without duplication, (i) that portion of all Scheduled Payments actually received on or prior to such day allocable to principal using the Simple Interest Method, (ii) any payment of the Release Price or Release Amount with respect to a Receivable allocable to principal, (iii) any Cram Down Loss and (iv) any prepayment in full or any partial prepayment applied in reduction of principal.</w:t>
      </w:r>
    </w:p>
    <w:p>
      <w:pPr>
        <w:pStyle w:val="TextBody"/>
        <w:bidi w:val="0"/>
        <w:spacing w:before="0" w:after="240"/>
        <w:jc w:val="both"/>
        <w:rPr/>
      </w:pPr>
      <w:r>
        <w:rPr>
          <w:color w:val="000000"/>
        </w:rPr>
        <w:t>“</w:t>
      </w:r>
      <w:r>
        <w:rPr>
          <w:rFonts w:ascii="Times New Roman" w:hAnsi="Times New Roman"/>
          <w:color w:val="000000"/>
          <w:sz w:val="24"/>
          <w:u w:val="single"/>
        </w:rPr>
        <w:t>PTI Ratio</w:t>
      </w:r>
      <w:r>
        <w:rPr>
          <w:rFonts w:ascii="Times New Roman" w:hAnsi="Times New Roman"/>
          <w:color w:val="000000"/>
          <w:sz w:val="20"/>
        </w:rPr>
        <w:t xml:space="preserve">” </w:t>
      </w:r>
      <w:r>
        <w:rPr>
          <w:rFonts w:ascii="Times New Roman" w:hAnsi="Times New Roman"/>
          <w:color w:val="000000"/>
          <w:sz w:val="24"/>
        </w:rPr>
        <w:t>means with respect to any Receivable, as of the related origination date, the ratio (expressed as a percentage) of (x) the scheduled monthly payment amount of such Receivable on the date such Receivable was originated, to (y) the combined monthly gross income from all sources of the Obligor(s) on the date such Receivable was originated.</w:t>
      </w:r>
    </w:p>
    <w:p>
      <w:pPr>
        <w:pStyle w:val="TextBody"/>
        <w:bidi w:val="0"/>
        <w:spacing w:before="0" w:after="240"/>
        <w:jc w:val="both"/>
        <w:rPr/>
      </w:pPr>
      <w:r>
        <w:rPr>
          <w:color w:val="000000"/>
        </w:rPr>
        <w:t>“</w:t>
      </w:r>
      <w:r>
        <w:rPr>
          <w:rFonts w:ascii="Times New Roman" w:hAnsi="Times New Roman"/>
          <w:color w:val="000000"/>
          <w:sz w:val="24"/>
          <w:u w:val="single"/>
        </w:rPr>
        <w:t>Purchase Agreement</w:t>
      </w:r>
      <w:r>
        <w:rPr>
          <w:rFonts w:ascii="Times New Roman" w:hAnsi="Times New Roman"/>
          <w:color w:val="000000"/>
          <w:sz w:val="20"/>
        </w:rPr>
        <w:t xml:space="preserve">” </w:t>
      </w:r>
      <w:r>
        <w:rPr>
          <w:rFonts w:ascii="Times New Roman" w:hAnsi="Times New Roman"/>
          <w:color w:val="000000"/>
          <w:sz w:val="24"/>
        </w:rPr>
        <w:t>means the Purchase and Contribution Agreement, dated as of the Closing Date, between UACC and the Borrower, and each Transfer Agreement.</w:t>
      </w:r>
    </w:p>
    <w:p>
      <w:pPr>
        <w:pStyle w:val="TextBody"/>
        <w:bidi w:val="0"/>
        <w:spacing w:before="0" w:after="240"/>
        <w:jc w:val="both"/>
        <w:rPr/>
      </w:pPr>
      <w:r>
        <w:rPr>
          <w:color w:val="000000"/>
        </w:rPr>
        <w:t>“</w:t>
      </w:r>
      <w:r>
        <w:rPr>
          <w:rFonts w:ascii="Times New Roman" w:hAnsi="Times New Roman"/>
          <w:color w:val="000000"/>
          <w:sz w:val="24"/>
          <w:u w:val="single"/>
        </w:rPr>
        <w:t>Qualified Institution</w:t>
      </w:r>
      <w:r>
        <w:rPr>
          <w:rFonts w:ascii="Times New Roman" w:hAnsi="Times New Roman"/>
          <w:color w:val="000000"/>
          <w:sz w:val="20"/>
        </w:rPr>
        <w:t xml:space="preserve">” </w:t>
      </w:r>
      <w:r>
        <w:rPr>
          <w:rFonts w:ascii="Times New Roman" w:hAnsi="Times New Roman"/>
          <w:color w:val="000000"/>
          <w:sz w:val="24"/>
        </w:rPr>
        <w:t>means any depository institution or trust company organized under the laws of the United States or any State (or any domestic branch of a foreign bank), (i) (a) that meets, or the parent of which meets, either (1) the Long-Term Rating Requirement or (2) the Short-Term Rating Requirement or (b) is otherwise acceptable to the Administrative Agent and (ii) whose deposits are insured by the Federal Deposit Insurance Corporation.</w:t>
      </w:r>
    </w:p>
    <w:p>
      <w:pPr>
        <w:pStyle w:val="TextBody"/>
        <w:bidi w:val="0"/>
        <w:spacing w:before="0" w:after="240"/>
        <w:jc w:val="both"/>
        <w:rPr/>
      </w:pPr>
      <w:r>
        <w:rPr>
          <w:color w:val="000000"/>
        </w:rPr>
        <w:t>“</w:t>
      </w:r>
      <w:r>
        <w:rPr>
          <w:rFonts w:ascii="Times New Roman" w:hAnsi="Times New Roman"/>
          <w:color w:val="000000"/>
          <w:sz w:val="24"/>
          <w:u w:val="single"/>
        </w:rPr>
        <w:t>Quarterly Report</w:t>
      </w:r>
      <w:r>
        <w:rPr>
          <w:rFonts w:ascii="Times New Roman" w:hAnsi="Times New Roman"/>
          <w:color w:val="000000"/>
          <w:sz w:val="20"/>
        </w:rPr>
        <w:t xml:space="preserve">” </w:t>
      </w:r>
      <w:r>
        <w:rPr>
          <w:rFonts w:ascii="Times New Roman" w:hAnsi="Times New Roman"/>
          <w:color w:val="000000"/>
          <w:sz w:val="24"/>
        </w:rPr>
        <w:t>means a data tape, which shall include with respect to each Receivable (i) the related Contract identification number, (ii) the history of payments delinquent 30 days, 60 days and 90 days, (iii) the current number of days such Receivable is delinquent, (iv) the Back End Loan-to-Value Ratio, (v) the Amount Financed, (vi) the amount currently outstanding, (vii) the model year of the related Financed Vehicle, (viii) the remaining term to maturity, (ix) if any, the credit bureau score at origination, (x) whether or not the related Obligor is bankrupt or insolvent and (xi) such other information as the Administrative Agent may reasonably request from time to time to satisfy or fulfill regulatory requirements applicable to the Secured Parties, including capital treatment under Basel II or Basel III.</w:t>
      </w:r>
    </w:p>
    <w:p>
      <w:pPr>
        <w:pStyle w:val="TextBody"/>
        <w:bidi w:val="0"/>
        <w:spacing w:before="0" w:after="240"/>
        <w:jc w:val="both"/>
        <w:rPr/>
      </w:pPr>
      <w:r>
        <w:rPr>
          <w:color w:val="000000"/>
        </w:rPr>
        <w:t>“</w:t>
      </w:r>
      <w:r>
        <w:rPr>
          <w:rFonts w:ascii="Times New Roman" w:hAnsi="Times New Roman"/>
          <w:color w:val="000000"/>
          <w:sz w:val="24"/>
          <w:u w:val="single"/>
        </w:rPr>
        <w:t>Rating Agency</w:t>
      </w:r>
      <w:r>
        <w:rPr>
          <w:rFonts w:ascii="Times New Roman" w:hAnsi="Times New Roman"/>
          <w:color w:val="000000"/>
          <w:sz w:val="20"/>
        </w:rPr>
        <w:t xml:space="preserve">” </w:t>
      </w:r>
      <w:r>
        <w:rPr>
          <w:rFonts w:ascii="Times New Roman" w:hAnsi="Times New Roman"/>
          <w:color w:val="000000"/>
          <w:sz w:val="24"/>
        </w:rPr>
        <w:t>means any nationally recognized statistical ratings organization acceptable to the Administrative Agent.</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Reborrowing</w:t>
      </w:r>
      <w:r>
        <w:rPr>
          <w:rFonts w:ascii="Times New Roman" w:hAnsi="Times New Roman"/>
          <w:color w:val="000000"/>
          <w:sz w:val="20"/>
        </w:rPr>
        <w:t xml:space="preserve">” </w:t>
      </w:r>
      <w:r>
        <w:rPr>
          <w:rFonts w:ascii="Times New Roman" w:hAnsi="Times New Roman"/>
          <w:color w:val="000000"/>
          <w:sz w:val="24"/>
        </w:rPr>
        <w:t>means, to the extent that any portion of the Loans has been repaid in connection with a repayment pursuant to Section 2.06, the reborrowing by the Borrower of all or a portion of such repaid amounts otherwise subject to and in accordance with the terms hereof.</w:t>
      </w:r>
    </w:p>
    <w:p>
      <w:pPr>
        <w:pStyle w:val="TextBody"/>
        <w:bidi w:val="0"/>
        <w:spacing w:before="0" w:after="240"/>
        <w:jc w:val="both"/>
        <w:rPr/>
      </w:pPr>
      <w:r>
        <w:rPr>
          <w:color w:val="000000"/>
        </w:rPr>
        <w:t>“</w:t>
      </w:r>
      <w:r>
        <w:rPr>
          <w:rFonts w:ascii="Times New Roman" w:hAnsi="Times New Roman"/>
          <w:color w:val="000000"/>
          <w:sz w:val="24"/>
          <w:u w:val="single"/>
        </w:rPr>
        <w:t>Receivable</w:t>
      </w:r>
      <w:r>
        <w:rPr>
          <w:rFonts w:ascii="Times New Roman" w:hAnsi="Times New Roman"/>
          <w:color w:val="000000"/>
          <w:sz w:val="20"/>
        </w:rPr>
        <w:t xml:space="preserve">” </w:t>
      </w:r>
      <w:r>
        <w:rPr>
          <w:rFonts w:ascii="Times New Roman" w:hAnsi="Times New Roman"/>
          <w:color w:val="000000"/>
          <w:sz w:val="24"/>
        </w:rPr>
        <w:t>means Indebtedness owed to the Originator or the Borrower by an Obligor (without giving effect to any transfer hereunder) under a Contract included as part of the Collateral, whether constituting an account, chattel paper, instrument or general intangible, arising out of or in connection with the sale, refinancing or loan made by a Dealer or the Originator with respect to a Financed Vehicle in connection therewith, and includes the right of payment of any finance charges and other obligations of the Obligor with respect thereto. Notwithstanding the foregoing, once the Administrative Agent has released its security interest in a Receivable and the related Contract in accordance with the terms of this Agreement, such Receivable shall no longer be a Receivable hereunder.</w:t>
      </w:r>
    </w:p>
    <w:p>
      <w:pPr>
        <w:pStyle w:val="TextBody"/>
        <w:bidi w:val="0"/>
        <w:spacing w:before="0" w:after="240"/>
        <w:jc w:val="both"/>
        <w:rPr/>
      </w:pPr>
      <w:r>
        <w:rPr>
          <w:color w:val="000000"/>
        </w:rPr>
        <w:t>“</w:t>
      </w:r>
      <w:r>
        <w:rPr>
          <w:rFonts w:ascii="Times New Roman" w:hAnsi="Times New Roman"/>
          <w:color w:val="000000"/>
          <w:sz w:val="24"/>
          <w:u w:val="single"/>
        </w:rPr>
        <w:t>Receivable File</w:t>
      </w:r>
      <w:r>
        <w:rPr>
          <w:rFonts w:ascii="Times New Roman" w:hAnsi="Times New Roman"/>
          <w:color w:val="000000"/>
          <w:sz w:val="20"/>
        </w:rPr>
        <w:t xml:space="preserve">” </w:t>
      </w:r>
      <w:r>
        <w:rPr>
          <w:rFonts w:ascii="Times New Roman" w:hAnsi="Times New Roman"/>
          <w:color w:val="000000"/>
          <w:sz w:val="24"/>
        </w:rPr>
        <w:t>means, with respect to each Receivable and the related Contract, the original Contract, all original copies or electronic copies of instruments modifying the terms and conditions of such Receivable or Contract and the original endorsements or assignments of such Contract.</w:t>
      </w:r>
    </w:p>
    <w:p>
      <w:pPr>
        <w:pStyle w:val="TextBody"/>
        <w:bidi w:val="0"/>
        <w:spacing w:before="0" w:after="240"/>
        <w:jc w:val="both"/>
        <w:rPr/>
      </w:pPr>
      <w:r>
        <w:rPr>
          <w:color w:val="000000"/>
        </w:rPr>
        <w:t>“</w:t>
      </w:r>
      <w:r>
        <w:rPr>
          <w:rFonts w:ascii="Times New Roman" w:hAnsi="Times New Roman"/>
          <w:color w:val="000000"/>
          <w:sz w:val="24"/>
          <w:u w:val="single"/>
        </w:rPr>
        <w:t>Receivable Receipt</w:t>
      </w:r>
      <w:r>
        <w:rPr>
          <w:rFonts w:ascii="Times New Roman" w:hAnsi="Times New Roman"/>
          <w:color w:val="000000"/>
          <w:sz w:val="20"/>
        </w:rPr>
        <w:t xml:space="preserve">” </w:t>
      </w:r>
      <w:r>
        <w:rPr>
          <w:rFonts w:ascii="Times New Roman" w:hAnsi="Times New Roman"/>
          <w:color w:val="000000"/>
          <w:sz w:val="24"/>
        </w:rPr>
        <w:t>means the receivable receipt substantially in the form attached hereto as Exhibit H executed by the Servicer on behalf of the Administrative Agent.</w:t>
      </w:r>
    </w:p>
    <w:p>
      <w:pPr>
        <w:pStyle w:val="TextBody"/>
        <w:bidi w:val="0"/>
        <w:spacing w:before="0" w:after="240"/>
        <w:jc w:val="both"/>
        <w:rPr/>
      </w:pPr>
      <w:r>
        <w:rPr>
          <w:color w:val="000000"/>
        </w:rPr>
        <w:t>“</w:t>
      </w:r>
      <w:r>
        <w:rPr>
          <w:rFonts w:ascii="Times New Roman" w:hAnsi="Times New Roman"/>
          <w:color w:val="000000"/>
          <w:sz w:val="24"/>
          <w:u w:val="single"/>
        </w:rPr>
        <w:t>Receivables Advance Rate</w:t>
      </w:r>
      <w:r>
        <w:rPr>
          <w:rFonts w:ascii="Times New Roman" w:hAnsi="Times New Roman"/>
          <w:color w:val="000000"/>
          <w:sz w:val="20"/>
        </w:rPr>
        <w:t xml:space="preserve">” </w:t>
      </w:r>
      <w:r>
        <w:rPr>
          <w:rFonts w:ascii="Times New Roman" w:hAnsi="Times New Roman"/>
          <w:color w:val="000000"/>
          <w:sz w:val="24"/>
        </w:rPr>
        <w:t>means, on any date of determination, the lesser of (i) 82.50%, and (ii) the Dynamic Advance Rate minus the applicable Advance Rate Reduction Percentage (if any) on such date.</w:t>
      </w:r>
    </w:p>
    <w:p>
      <w:pPr>
        <w:pStyle w:val="TextBody"/>
        <w:bidi w:val="0"/>
        <w:spacing w:before="0" w:after="240"/>
        <w:jc w:val="both"/>
        <w:rPr/>
      </w:pPr>
      <w:r>
        <w:rPr>
          <w:color w:val="000000"/>
        </w:rPr>
        <w:t>“</w:t>
      </w:r>
      <w:r>
        <w:rPr>
          <w:rFonts w:ascii="Times New Roman" w:hAnsi="Times New Roman"/>
          <w:color w:val="000000"/>
          <w:sz w:val="24"/>
          <w:u w:val="single"/>
        </w:rPr>
        <w:t>Records</w:t>
      </w:r>
      <w:r>
        <w:rPr>
          <w:rFonts w:ascii="Times New Roman" w:hAnsi="Times New Roman"/>
          <w:color w:val="000000"/>
          <w:sz w:val="20"/>
        </w:rPr>
        <w:t xml:space="preserve">” </w:t>
      </w:r>
      <w:r>
        <w:rPr>
          <w:rFonts w:ascii="Times New Roman" w:hAnsi="Times New Roman"/>
          <w:color w:val="000000"/>
          <w:sz w:val="24"/>
        </w:rPr>
        <w:t>means, with respect to any Contract, all documents, books, records and other information (including computer programs, tapes, disks, punch cards, data processing software and related property and rights) maintained with respect to any related item of Collateral and the related Obligor.</w:t>
      </w:r>
    </w:p>
    <w:p>
      <w:pPr>
        <w:pStyle w:val="TextBody"/>
        <w:bidi w:val="0"/>
        <w:spacing w:before="0" w:after="240"/>
        <w:jc w:val="both"/>
        <w:rPr/>
      </w:pPr>
      <w:r>
        <w:rPr>
          <w:color w:val="000000"/>
        </w:rPr>
        <w:t>“</w:t>
      </w:r>
      <w:r>
        <w:rPr>
          <w:rFonts w:ascii="Times New Roman" w:hAnsi="Times New Roman"/>
          <w:color w:val="000000"/>
          <w:sz w:val="24"/>
          <w:u w:val="single"/>
        </w:rPr>
        <w:t>Recoveries</w:t>
      </w:r>
      <w:r>
        <w:rPr>
          <w:rFonts w:ascii="Times New Roman" w:hAnsi="Times New Roman"/>
          <w:color w:val="000000"/>
          <w:sz w:val="20"/>
        </w:rPr>
        <w:t xml:space="preserve">” </w:t>
      </w:r>
      <w:r>
        <w:rPr>
          <w:rFonts w:ascii="Times New Roman" w:hAnsi="Times New Roman"/>
          <w:color w:val="000000"/>
          <w:sz w:val="24"/>
        </w:rPr>
        <w:t>means, with respect to any Defaulted Receivable and the related Collection Period, all monies collected from whatever source during such Collection Period in respect of such Defaulted Receivable, including in connection with the attempted realization of the full amount due or to become due under such Defaulted Receivable, whether from the sale or other disposition of the related Financed Vehicles, the proceeds of repossession or any collection effort, the proceeds of recourse or similar payments under the related Contract, including any Insurance Proceeds, net of any amounts required by Applicable Law to be remitted to the related Obligor and net of the Servicer’s expenses (other than overhead) incurred in connection with the liquidation of such Defaulted Receivable and the related Financed Vehicle, but excluding payment of the related Release Price or Release Amount.</w:t>
      </w:r>
    </w:p>
    <w:p>
      <w:pPr>
        <w:pStyle w:val="TextBody"/>
        <w:bidi w:val="0"/>
        <w:spacing w:before="0" w:after="240"/>
        <w:jc w:val="both"/>
        <w:rPr/>
      </w:pPr>
      <w:r>
        <w:rPr>
          <w:color w:val="000000"/>
        </w:rPr>
        <w:t>“</w:t>
      </w:r>
      <w:r>
        <w:rPr>
          <w:rFonts w:ascii="Times New Roman" w:hAnsi="Times New Roman"/>
          <w:color w:val="000000"/>
          <w:sz w:val="24"/>
          <w:u w:val="single"/>
        </w:rPr>
        <w:t>Reference Time</w:t>
      </w:r>
      <w:r>
        <w:rPr>
          <w:rFonts w:ascii="Times New Roman" w:hAnsi="Times New Roman"/>
          <w:color w:val="000000"/>
          <w:sz w:val="20"/>
        </w:rPr>
        <w:t xml:space="preserve">” </w:t>
      </w:r>
      <w:r>
        <w:rPr>
          <w:rFonts w:ascii="Times New Roman" w:hAnsi="Times New Roman"/>
          <w:color w:val="000000"/>
          <w:sz w:val="24"/>
        </w:rPr>
        <w:t>with respect to any setting of the then-current Benchmark means (1) if the Benchmark is Daily Simple SOFR, then four Business Days prior to such setting or (2) if such Benchmark is not Daily Simple SOFR, the time determined by the Administrative Agent in its reasonable discretion.</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Registrar of Titles</w:t>
      </w:r>
      <w:r>
        <w:rPr>
          <w:rFonts w:ascii="Times New Roman" w:hAnsi="Times New Roman"/>
          <w:color w:val="000000"/>
          <w:sz w:val="20"/>
        </w:rPr>
        <w:t xml:space="preserve">” </w:t>
      </w:r>
      <w:r>
        <w:rPr>
          <w:rFonts w:ascii="Times New Roman" w:hAnsi="Times New Roman"/>
          <w:color w:val="000000"/>
          <w:sz w:val="24"/>
        </w:rPr>
        <w:t>means, with respect to any State, the governmental agency or body responsible for the registration of, and the issuance of certificates of title relating to, motor vehicles and liens thereon.</w:t>
      </w:r>
    </w:p>
    <w:p>
      <w:pPr>
        <w:pStyle w:val="TextBody"/>
        <w:bidi w:val="0"/>
        <w:spacing w:before="0" w:after="240"/>
        <w:jc w:val="both"/>
        <w:rPr/>
      </w:pPr>
      <w:r>
        <w:rPr>
          <w:color w:val="000000"/>
        </w:rPr>
        <w:t>“</w:t>
      </w:r>
      <w:r>
        <w:rPr>
          <w:rFonts w:ascii="Times New Roman" w:hAnsi="Times New Roman"/>
          <w:color w:val="000000"/>
          <w:sz w:val="24"/>
          <w:u w:val="single"/>
        </w:rPr>
        <w:t>Regulation AB</w:t>
      </w:r>
      <w:r>
        <w:rPr>
          <w:rFonts w:ascii="Times New Roman" w:hAnsi="Times New Roman"/>
          <w:color w:val="000000"/>
          <w:sz w:val="20"/>
        </w:rPr>
        <w:t xml:space="preserve">” </w:t>
      </w:r>
      <w:r>
        <w:rPr>
          <w:rFonts w:ascii="Times New Roman" w:hAnsi="Times New Roman"/>
          <w:color w:val="000000"/>
          <w:sz w:val="24"/>
        </w:rPr>
        <w:t>means Regulation AB under the Securities Act.</w:t>
      </w:r>
    </w:p>
    <w:p>
      <w:pPr>
        <w:pStyle w:val="TextBody"/>
        <w:bidi w:val="0"/>
        <w:spacing w:before="0" w:after="240"/>
        <w:jc w:val="both"/>
        <w:rPr/>
      </w:pPr>
      <w:r>
        <w:rPr>
          <w:color w:val="000000"/>
        </w:rPr>
        <w:t>“</w:t>
      </w:r>
      <w:r>
        <w:rPr>
          <w:rFonts w:ascii="Times New Roman" w:hAnsi="Times New Roman"/>
          <w:color w:val="000000"/>
          <w:sz w:val="24"/>
          <w:u w:val="single"/>
        </w:rPr>
        <w:t>Release Amount</w:t>
      </w:r>
      <w:r>
        <w:rPr>
          <w:rFonts w:ascii="Times New Roman" w:hAnsi="Times New Roman"/>
          <w:color w:val="000000"/>
          <w:sz w:val="20"/>
        </w:rPr>
        <w:t xml:space="preserve">” </w:t>
      </w:r>
      <w:r>
        <w:rPr>
          <w:rFonts w:ascii="Times New Roman" w:hAnsi="Times New Roman"/>
          <w:color w:val="000000"/>
          <w:sz w:val="24"/>
        </w:rPr>
        <w:t>means, as of the related Release Date, the deposit amount for a retransfer of Receivables under Section 5.04(b), in an amount equal to (i) the related Aggregate Unpaids minus (ii) the related amount, if any, available in the Collection Account on such Payment Date.</w:t>
      </w:r>
    </w:p>
    <w:p>
      <w:pPr>
        <w:pStyle w:val="TextBody"/>
        <w:bidi w:val="0"/>
        <w:spacing w:before="0" w:after="240"/>
        <w:jc w:val="both"/>
        <w:rPr/>
      </w:pPr>
      <w:r>
        <w:rPr>
          <w:color w:val="000000"/>
        </w:rPr>
        <w:t>“</w:t>
      </w:r>
      <w:r>
        <w:rPr>
          <w:rFonts w:ascii="Times New Roman" w:hAnsi="Times New Roman"/>
          <w:color w:val="000000"/>
          <w:sz w:val="24"/>
          <w:u w:val="single"/>
        </w:rPr>
        <w:t>Release Date</w:t>
      </w:r>
      <w:r>
        <w:rPr>
          <w:rFonts w:ascii="Times New Roman" w:hAnsi="Times New Roman"/>
          <w:color w:val="000000"/>
          <w:sz w:val="20"/>
        </w:rPr>
        <w:t xml:space="preserve">” </w:t>
      </w:r>
      <w:r>
        <w:rPr>
          <w:rFonts w:ascii="Times New Roman" w:hAnsi="Times New Roman"/>
          <w:color w:val="000000"/>
          <w:sz w:val="24"/>
        </w:rPr>
        <w:t>means a Payment Date specified by the Borrower in connection with the retransfer of the Receivables under Section 5.04(b).</w:t>
      </w:r>
    </w:p>
    <w:p>
      <w:pPr>
        <w:pStyle w:val="TextBody"/>
        <w:bidi w:val="0"/>
        <w:spacing w:before="0" w:after="240"/>
        <w:jc w:val="both"/>
        <w:rPr/>
      </w:pPr>
      <w:r>
        <w:rPr>
          <w:color w:val="000000"/>
        </w:rPr>
        <w:t>“</w:t>
      </w:r>
      <w:r>
        <w:rPr>
          <w:rFonts w:ascii="Times New Roman" w:hAnsi="Times New Roman"/>
          <w:color w:val="000000"/>
          <w:sz w:val="24"/>
          <w:u w:val="single"/>
        </w:rPr>
        <w:t>Release Price</w:t>
      </w:r>
      <w:r>
        <w:rPr>
          <w:rFonts w:ascii="Times New Roman" w:hAnsi="Times New Roman"/>
          <w:color w:val="000000"/>
          <w:sz w:val="20"/>
        </w:rPr>
        <w:t xml:space="preserve">” </w:t>
      </w:r>
      <w:r>
        <w:rPr>
          <w:rFonts w:ascii="Times New Roman" w:hAnsi="Times New Roman"/>
          <w:color w:val="000000"/>
          <w:sz w:val="24"/>
        </w:rPr>
        <w:t>means an amount equal to the Principal Balance of each Receivable retransferred pursuant to Sections 5.04(a) and 5.04(c), plus accrued interest on such Receivable (at the related APR) through the date of such retransfer or repurchase, and all Breakage Costs, if any, arising out of or relating to such retransfer or repurchase.</w:t>
      </w:r>
    </w:p>
    <w:p>
      <w:pPr>
        <w:pStyle w:val="TextBody"/>
        <w:bidi w:val="0"/>
        <w:spacing w:before="0" w:after="240"/>
        <w:jc w:val="both"/>
        <w:rPr/>
      </w:pPr>
      <w:r>
        <w:rPr>
          <w:color w:val="000000"/>
        </w:rPr>
        <w:t>“</w:t>
      </w:r>
      <w:r>
        <w:rPr>
          <w:rFonts w:ascii="Times New Roman" w:hAnsi="Times New Roman"/>
          <w:color w:val="000000"/>
          <w:sz w:val="24"/>
          <w:u w:val="single"/>
        </w:rPr>
        <w:t>Relevant Governmental Body</w:t>
      </w:r>
      <w:r>
        <w:rPr>
          <w:rFonts w:ascii="Times New Roman" w:hAnsi="Times New Roman"/>
          <w:color w:val="000000"/>
          <w:sz w:val="20"/>
        </w:rPr>
        <w:t xml:space="preserve">” </w:t>
      </w:r>
      <w:r>
        <w:rPr>
          <w:rFonts w:ascii="Times New Roman" w:hAnsi="Times New Roman"/>
          <w:color w:val="000000"/>
          <w:sz w:val="24"/>
        </w:rPr>
        <w:t>means, the Federal Reserve Board and/or the NYFRB, as applicable, or a committee officially endorsed or convened by the Federal Reserve Board and/or the NYFRB or, in each case, any successor thereto.</w:t>
      </w:r>
    </w:p>
    <w:p>
      <w:pPr>
        <w:pStyle w:val="TextBody"/>
        <w:bidi w:val="0"/>
        <w:spacing w:before="0" w:after="240"/>
        <w:jc w:val="both"/>
        <w:rPr/>
      </w:pPr>
      <w:r>
        <w:rPr>
          <w:color w:val="000000"/>
        </w:rPr>
        <w:t>“</w:t>
      </w:r>
      <w:r>
        <w:rPr>
          <w:rFonts w:ascii="Times New Roman" w:hAnsi="Times New Roman"/>
          <w:color w:val="000000"/>
          <w:sz w:val="24"/>
          <w:u w:val="single"/>
        </w:rPr>
        <w:t>Reportable Event</w:t>
      </w:r>
      <w:r>
        <w:rPr>
          <w:rFonts w:ascii="Times New Roman" w:hAnsi="Times New Roman"/>
          <w:color w:val="000000"/>
          <w:sz w:val="20"/>
        </w:rPr>
        <w:t xml:space="preserve">” </w:t>
      </w:r>
      <w:r>
        <w:rPr>
          <w:rFonts w:ascii="Times New Roman" w:hAnsi="Times New Roman"/>
          <w:color w:val="000000"/>
          <w:sz w:val="24"/>
        </w:rPr>
        <w:t>means any of the events set forth in Section 4043(c) of ERISA for which the 30-day notice provision has not been waived.</w:t>
      </w:r>
    </w:p>
    <w:p>
      <w:pPr>
        <w:pStyle w:val="TextBody"/>
        <w:bidi w:val="0"/>
        <w:spacing w:before="0" w:after="240"/>
        <w:jc w:val="both"/>
        <w:rPr/>
      </w:pPr>
      <w:r>
        <w:rPr>
          <w:color w:val="000000"/>
        </w:rPr>
        <w:t>“</w:t>
      </w:r>
      <w:r>
        <w:rPr>
          <w:rFonts w:ascii="Times New Roman" w:hAnsi="Times New Roman"/>
          <w:color w:val="000000"/>
          <w:sz w:val="24"/>
          <w:u w:val="single"/>
        </w:rPr>
        <w:t>Reporting Date</w:t>
      </w:r>
      <w:r>
        <w:rPr>
          <w:rFonts w:ascii="Times New Roman" w:hAnsi="Times New Roman"/>
          <w:color w:val="000000"/>
          <w:sz w:val="20"/>
        </w:rPr>
        <w:t xml:space="preserve">” </w:t>
      </w:r>
      <w:r>
        <w:rPr>
          <w:rFonts w:ascii="Times New Roman" w:hAnsi="Times New Roman"/>
          <w:color w:val="000000"/>
          <w:sz w:val="24"/>
        </w:rPr>
        <w:t>means the date which is two Business Days prior to any Payment Date.</w:t>
      </w:r>
    </w:p>
    <w:p>
      <w:pPr>
        <w:pStyle w:val="TextBody"/>
        <w:bidi w:val="0"/>
        <w:spacing w:before="0" w:after="240"/>
        <w:jc w:val="both"/>
        <w:rPr/>
      </w:pPr>
      <w:r>
        <w:rPr>
          <w:color w:val="000000"/>
        </w:rPr>
        <w:t>“</w:t>
      </w:r>
      <w:r>
        <w:rPr>
          <w:rFonts w:ascii="Times New Roman" w:hAnsi="Times New Roman"/>
          <w:color w:val="000000"/>
          <w:sz w:val="24"/>
          <w:u w:val="single"/>
        </w:rPr>
        <w:t>Required Agents</w:t>
      </w:r>
      <w:r>
        <w:rPr>
          <w:rFonts w:ascii="Times New Roman" w:hAnsi="Times New Roman"/>
          <w:color w:val="000000"/>
          <w:sz w:val="20"/>
        </w:rPr>
        <w:t xml:space="preserve">” </w:t>
      </w:r>
      <w:r>
        <w:rPr>
          <w:rFonts w:ascii="Times New Roman" w:hAnsi="Times New Roman"/>
          <w:color w:val="000000"/>
          <w:sz w:val="24"/>
        </w:rPr>
        <w:t>means, at any time, Agents for (i) the Lenders whose Commitments together exceed seventy-five percent (75%) of the Aggregate Commitments at such time, or, (ii) if the Commitments have been terminated, the Lenders that hold Loans that exceed seventy-five (75%) of the Loans Outstanding at such time.</w:t>
      </w:r>
    </w:p>
    <w:p>
      <w:pPr>
        <w:pStyle w:val="TextBody"/>
        <w:bidi w:val="0"/>
        <w:spacing w:before="0" w:after="240"/>
        <w:jc w:val="both"/>
        <w:rPr/>
      </w:pPr>
      <w:r>
        <w:rPr>
          <w:color w:val="000000"/>
        </w:rPr>
        <w:t>“</w:t>
      </w:r>
      <w:r>
        <w:rPr>
          <w:rFonts w:ascii="Times New Roman" w:hAnsi="Times New Roman"/>
          <w:color w:val="000000"/>
          <w:sz w:val="24"/>
          <w:u w:val="single"/>
        </w:rPr>
        <w:t>Required Hedging Period</w:t>
      </w:r>
      <w:r>
        <w:rPr>
          <w:rFonts w:ascii="Times New Roman" w:hAnsi="Times New Roman"/>
          <w:color w:val="000000"/>
          <w:sz w:val="20"/>
        </w:rPr>
        <w:t xml:space="preserve">” </w:t>
      </w:r>
      <w:r>
        <w:rPr>
          <w:rFonts w:ascii="Times New Roman" w:hAnsi="Times New Roman"/>
          <w:color w:val="000000"/>
          <w:sz w:val="24"/>
        </w:rPr>
        <w:t>means any of the following periods: (a) the Amortization Period or (b) the period commencing on the date on which the Adjusted Daily Simple SOFR exceeds [***] and ending on the date on which the Adjusted Daily Simple SOFR is less than or equal to [***]%.</w:t>
      </w:r>
    </w:p>
    <w:p>
      <w:pPr>
        <w:pStyle w:val="TextBody"/>
        <w:bidi w:val="0"/>
        <w:spacing w:before="0" w:after="240"/>
        <w:jc w:val="both"/>
        <w:rPr/>
      </w:pPr>
      <w:r>
        <w:rPr>
          <w:color w:val="000000"/>
        </w:rPr>
        <w:t>“</w:t>
      </w:r>
      <w:r>
        <w:rPr>
          <w:rFonts w:ascii="Times New Roman" w:hAnsi="Times New Roman"/>
          <w:color w:val="000000"/>
          <w:sz w:val="24"/>
          <w:u w:val="single"/>
        </w:rPr>
        <w:t>Requirements of Law</w:t>
      </w:r>
      <w:r>
        <w:rPr>
          <w:rFonts w:ascii="Times New Roman" w:hAnsi="Times New Roman"/>
          <w:color w:val="000000"/>
          <w:sz w:val="20"/>
        </w:rPr>
        <w:t xml:space="preserve">” </w:t>
      </w:r>
      <w:r>
        <w:rPr>
          <w:rFonts w:ascii="Times New Roman" w:hAnsi="Times New Roman"/>
          <w:color w:val="000000"/>
          <w:sz w:val="24"/>
        </w:rPr>
        <w:t>means, for any Person, its certificate of incorporation or articles of association and by-laws or other organizational or governing documents, and any law, treaty, rule or regulation, or order or determination of an arbitrator or Governmental Authority, in each case applicable to or binding</w:t>
      </w:r>
      <w:r>
        <w:rPr>
          <w:rFonts w:ascii="Times New Roman" w:hAnsi="Times New Roman"/>
          <w:color w:val="000000"/>
          <w:sz w:val="20"/>
        </w:rPr>
        <w:t xml:space="preserve"> </w:t>
      </w:r>
      <w:r>
        <w:rPr>
          <w:rFonts w:ascii="Times New Roman" w:hAnsi="Times New Roman"/>
          <w:color w:val="000000"/>
          <w:sz w:val="24"/>
        </w:rPr>
        <w:t>upon such Person or to which such Person is subject, whether federal, State or local (including usury laws, the Federal Truth in Lending Act, Regulations U and T of the Federal Reserve Board and Regulations B, X and Z of the Consumer Financial Protection Bureau).</w:t>
      </w:r>
    </w:p>
    <w:p>
      <w:pPr>
        <w:pStyle w:val="TextBody"/>
        <w:bidi w:val="0"/>
        <w:spacing w:before="0" w:after="240"/>
        <w:jc w:val="both"/>
        <w:rPr/>
      </w:pPr>
      <w:r>
        <w:rPr>
          <w:color w:val="000000"/>
        </w:rPr>
        <w:t>“</w:t>
      </w:r>
      <w:r>
        <w:rPr>
          <w:rFonts w:ascii="Times New Roman" w:hAnsi="Times New Roman"/>
          <w:color w:val="000000"/>
          <w:sz w:val="24"/>
          <w:u w:val="single"/>
        </w:rPr>
        <w:t>Responsible Officer</w:t>
      </w:r>
      <w:r>
        <w:rPr>
          <w:rFonts w:ascii="Times New Roman" w:hAnsi="Times New Roman"/>
          <w:color w:val="000000"/>
          <w:sz w:val="20"/>
        </w:rPr>
        <w:t xml:space="preserve">” </w:t>
      </w:r>
      <w:r>
        <w:rPr>
          <w:rFonts w:ascii="Times New Roman" w:hAnsi="Times New Roman"/>
          <w:color w:val="000000"/>
          <w:sz w:val="24"/>
        </w:rPr>
        <w:t>means, when used with respect to (i) any Person other than the Borrower, any officer of such Person, including any president, vice president, executive vice president, assistant vice president, treasurer, secretary, assistant secretary or any other officer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thereof customarily performing functions similar to those performed by the individuals who at the time shall be such officers, respectively, or to whom any matter is referred because of such officer’s knowledge of or familiarity with the particular subject and having direct responsibility for the administration of this Agreement and the other Basic Documents to which such Person is a party, and (ii) the Borrower, any Authorized Representative or officer of the Owner Trustee having direct responsibility for the Owner Trustee’s duties under the Trust Agreement.</w:t>
      </w:r>
    </w:p>
    <w:p>
      <w:pPr>
        <w:pStyle w:val="TextBody"/>
        <w:bidi w:val="0"/>
        <w:spacing w:before="0" w:after="240"/>
        <w:jc w:val="both"/>
        <w:rPr/>
      </w:pPr>
      <w:r>
        <w:rPr>
          <w:color w:val="000000"/>
        </w:rPr>
        <w:t>“</w:t>
      </w:r>
      <w:r>
        <w:rPr>
          <w:rFonts w:ascii="Times New Roman" w:hAnsi="Times New Roman"/>
          <w:color w:val="000000"/>
          <w:sz w:val="24"/>
          <w:u w:val="single"/>
        </w:rPr>
        <w:t>Revolving Period</w:t>
      </w:r>
      <w:r>
        <w:rPr>
          <w:rFonts w:ascii="Times New Roman" w:hAnsi="Times New Roman"/>
          <w:color w:val="000000"/>
          <w:sz w:val="20"/>
        </w:rPr>
        <w:t xml:space="preserve">” </w:t>
      </w:r>
      <w:r>
        <w:rPr>
          <w:rFonts w:ascii="Times New Roman" w:hAnsi="Times New Roman"/>
          <w:color w:val="000000"/>
          <w:sz w:val="24"/>
        </w:rPr>
        <w:t>means the period commencing on the Closing Date and ending on the earlier to occur of (i) the Commitment Termination Date and (ii) the day immediately preceding the Termination Date.</w:t>
      </w:r>
    </w:p>
    <w:p>
      <w:pPr>
        <w:pStyle w:val="TextBody"/>
        <w:bidi w:val="0"/>
        <w:spacing w:before="0" w:after="240"/>
        <w:jc w:val="both"/>
        <w:rPr/>
      </w:pPr>
      <w:r>
        <w:rPr>
          <w:color w:val="000000"/>
        </w:rPr>
        <w:t>“</w:t>
      </w:r>
      <w:r>
        <w:rPr>
          <w:rFonts w:ascii="Times New Roman" w:hAnsi="Times New Roman"/>
          <w:color w:val="000000"/>
          <w:sz w:val="24"/>
          <w:u w:val="single"/>
        </w:rPr>
        <w:t>Sanctions Laws and Regulations</w:t>
      </w:r>
      <w:r>
        <w:rPr>
          <w:rFonts w:ascii="Times New Roman" w:hAnsi="Times New Roman"/>
          <w:color w:val="000000"/>
          <w:sz w:val="20"/>
        </w:rPr>
        <w:t xml:space="preserve">” </w:t>
      </w:r>
      <w:r>
        <w:rPr>
          <w:rFonts w:ascii="Times New Roman" w:hAnsi="Times New Roman"/>
          <w:color w:val="000000"/>
          <w:sz w:val="24"/>
        </w:rPr>
        <w:t>shall mean (i) any sanctions, prohibitions or requirements imposed by any executive order (an “</w:t>
      </w:r>
      <w:r>
        <w:rPr>
          <w:rFonts w:ascii="Times New Roman" w:hAnsi="Times New Roman"/>
          <w:color w:val="000000"/>
          <w:sz w:val="24"/>
          <w:u w:val="single"/>
        </w:rPr>
        <w:t>Executive Order</w:t>
      </w:r>
      <w:r>
        <w:rPr>
          <w:rFonts w:ascii="Times New Roman" w:hAnsi="Times New Roman"/>
          <w:color w:val="000000"/>
          <w:sz w:val="20"/>
        </w:rPr>
        <w:t>”</w:t>
      </w:r>
      <w:r>
        <w:rPr>
          <w:rFonts w:ascii="Times New Roman" w:hAnsi="Times New Roman"/>
          <w:color w:val="000000"/>
          <w:sz w:val="24"/>
        </w:rPr>
        <w:t>) or by any sanctions program administered by OFAC or the U.S. Department of State, and (ii) any sanctions measures imposed by the United Nations Security Council, European Union or the United Kingdom.</w:t>
      </w:r>
    </w:p>
    <w:p>
      <w:pPr>
        <w:pStyle w:val="TextBody"/>
        <w:bidi w:val="0"/>
        <w:spacing w:before="0" w:after="240"/>
        <w:jc w:val="both"/>
        <w:rPr/>
      </w:pPr>
      <w:r>
        <w:rPr>
          <w:color w:val="000000"/>
        </w:rPr>
        <w:t>“</w:t>
      </w:r>
      <w:r>
        <w:rPr>
          <w:rFonts w:ascii="Times New Roman" w:hAnsi="Times New Roman"/>
          <w:color w:val="000000"/>
          <w:sz w:val="24"/>
          <w:u w:val="single"/>
        </w:rPr>
        <w:t>Schedule of Documents</w:t>
      </w:r>
      <w:r>
        <w:rPr>
          <w:rFonts w:ascii="Times New Roman" w:hAnsi="Times New Roman"/>
          <w:color w:val="000000"/>
          <w:sz w:val="20"/>
        </w:rPr>
        <w:t xml:space="preserve">” </w:t>
      </w:r>
      <w:r>
        <w:rPr>
          <w:rFonts w:ascii="Times New Roman" w:hAnsi="Times New Roman"/>
          <w:color w:val="000000"/>
          <w:sz w:val="24"/>
        </w:rPr>
        <w:t>means the schedule of documents attached hereto as Schedule E.</w:t>
      </w:r>
    </w:p>
    <w:p>
      <w:pPr>
        <w:pStyle w:val="TextBody"/>
        <w:bidi w:val="0"/>
        <w:spacing w:before="0" w:after="240"/>
        <w:jc w:val="both"/>
        <w:rPr/>
      </w:pPr>
      <w:r>
        <w:rPr>
          <w:color w:val="000000"/>
        </w:rPr>
        <w:t>“</w:t>
      </w:r>
      <w:r>
        <w:rPr>
          <w:rFonts w:ascii="Times New Roman" w:hAnsi="Times New Roman"/>
          <w:color w:val="000000"/>
          <w:sz w:val="24"/>
          <w:u w:val="single"/>
        </w:rPr>
        <w:t>Schedule of Receivables</w:t>
      </w:r>
      <w:r>
        <w:rPr>
          <w:rFonts w:ascii="Times New Roman" w:hAnsi="Times New Roman"/>
          <w:color w:val="000000"/>
          <w:sz w:val="20"/>
        </w:rPr>
        <w:t xml:space="preserve">” </w:t>
      </w:r>
      <w:r>
        <w:rPr>
          <w:rFonts w:ascii="Times New Roman" w:hAnsi="Times New Roman"/>
          <w:color w:val="000000"/>
          <w:sz w:val="24"/>
        </w:rPr>
        <w:t>means the schedule of Receivables attached hereto as Schedule C, as updated from time to time in connection with each Funding Request.</w:t>
      </w:r>
    </w:p>
    <w:p>
      <w:pPr>
        <w:pStyle w:val="TextBody"/>
        <w:bidi w:val="0"/>
        <w:spacing w:before="0" w:after="240"/>
        <w:jc w:val="both"/>
        <w:rPr/>
      </w:pPr>
      <w:r>
        <w:rPr>
          <w:color w:val="000000"/>
        </w:rPr>
        <w:t>“</w:t>
      </w:r>
      <w:r>
        <w:rPr>
          <w:rFonts w:ascii="Times New Roman" w:hAnsi="Times New Roman"/>
          <w:color w:val="000000"/>
          <w:sz w:val="24"/>
          <w:u w:val="single"/>
        </w:rPr>
        <w:t>Scheduled Payments</w:t>
      </w:r>
      <w:r>
        <w:rPr>
          <w:rFonts w:ascii="Times New Roman" w:hAnsi="Times New Roman"/>
          <w:color w:val="000000"/>
          <w:sz w:val="20"/>
        </w:rPr>
        <w:t xml:space="preserve">” </w:t>
      </w:r>
      <w:r>
        <w:rPr>
          <w:rFonts w:ascii="Times New Roman" w:hAnsi="Times New Roman"/>
          <w:color w:val="000000"/>
          <w:sz w:val="24"/>
        </w:rPr>
        <w:t>means regularly scheduled payments to be made by an Obligor pursuant to the terms of the related Contract.</w:t>
      </w:r>
    </w:p>
    <w:p>
      <w:pPr>
        <w:pStyle w:val="TextBody"/>
        <w:bidi w:val="0"/>
        <w:spacing w:before="0" w:after="240"/>
        <w:jc w:val="both"/>
        <w:rPr/>
      </w:pPr>
      <w:r>
        <w:rPr>
          <w:color w:val="000000"/>
        </w:rPr>
        <w:t>“</w:t>
      </w:r>
      <w:r>
        <w:rPr>
          <w:rFonts w:ascii="Times New Roman" w:hAnsi="Times New Roman"/>
          <w:color w:val="000000"/>
          <w:sz w:val="24"/>
          <w:u w:val="single"/>
        </w:rPr>
        <w:t>Secured Party</w:t>
      </w:r>
      <w:r>
        <w:rPr>
          <w:rFonts w:ascii="Times New Roman" w:hAnsi="Times New Roman"/>
          <w:color w:val="000000"/>
          <w:sz w:val="20"/>
        </w:rPr>
        <w:t xml:space="preserve">” </w:t>
      </w:r>
      <w:r>
        <w:rPr>
          <w:rFonts w:ascii="Times New Roman" w:hAnsi="Times New Roman"/>
          <w:color w:val="000000"/>
          <w:sz w:val="24"/>
        </w:rPr>
        <w:t>means (i) the Administrative Agent and (ii) each Lender.</w:t>
      </w:r>
    </w:p>
    <w:p>
      <w:pPr>
        <w:pStyle w:val="TextBody"/>
        <w:bidi w:val="0"/>
        <w:spacing w:before="0" w:after="240"/>
        <w:jc w:val="both"/>
        <w:rPr/>
      </w:pPr>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Securities Act of 1933.</w:t>
      </w:r>
    </w:p>
    <w:p>
      <w:pPr>
        <w:pStyle w:val="TextBody"/>
        <w:bidi w:val="0"/>
        <w:spacing w:before="0" w:after="240"/>
        <w:jc w:val="both"/>
        <w:rPr/>
      </w:pPr>
      <w:r>
        <w:rPr>
          <w:color w:val="000000"/>
        </w:rPr>
        <w:t>“</w:t>
      </w:r>
      <w:r>
        <w:rPr>
          <w:rFonts w:ascii="Times New Roman" w:hAnsi="Times New Roman"/>
          <w:color w:val="000000"/>
          <w:sz w:val="24"/>
          <w:u w:val="single"/>
        </w:rPr>
        <w:t>Securitization</w:t>
      </w:r>
      <w:r>
        <w:rPr>
          <w:rFonts w:ascii="Times New Roman" w:hAnsi="Times New Roman"/>
          <w:color w:val="000000"/>
          <w:sz w:val="20"/>
        </w:rPr>
        <w:t xml:space="preserve">” </w:t>
      </w:r>
      <w:r>
        <w:rPr>
          <w:rFonts w:ascii="Times New Roman" w:hAnsi="Times New Roman"/>
          <w:color w:val="000000"/>
          <w:sz w:val="24"/>
        </w:rPr>
        <w:t>means (i) any sale, lease or other transfer by the Borrower or a Special Purpose Affiliate of all or a portion of the Collateral or (ii) any other asset securitization, secured loan or similar transaction involving all or a portion of the Collateral, provided, that no adverse selection procedures were used by the Borrower or such Special Purpose Affiliate with respect to such Collateral.</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Seller Indemnified Amounts</w:t>
      </w:r>
      <w:r>
        <w:rPr>
          <w:rFonts w:ascii="Times New Roman" w:hAnsi="Times New Roman"/>
          <w:color w:val="000000"/>
          <w:sz w:val="20"/>
        </w:rPr>
        <w:t xml:space="preserve">” </w:t>
      </w:r>
      <w:r>
        <w:rPr>
          <w:rFonts w:ascii="Times New Roman" w:hAnsi="Times New Roman"/>
          <w:color w:val="000000"/>
          <w:sz w:val="24"/>
        </w:rPr>
        <w:t>has the meaning given to such term in Section 5.07 of the Purchase Agreement.</w:t>
      </w:r>
    </w:p>
    <w:p>
      <w:pPr>
        <w:pStyle w:val="TextBody"/>
        <w:bidi w:val="0"/>
        <w:spacing w:before="0" w:after="240"/>
        <w:jc w:val="both"/>
        <w:rPr/>
      </w:pPr>
      <w:r>
        <w:rPr>
          <w:color w:val="000000"/>
        </w:rPr>
        <w:t>“</w:t>
      </w:r>
      <w:r>
        <w:rPr>
          <w:rFonts w:ascii="Times New Roman" w:hAnsi="Times New Roman"/>
          <w:color w:val="000000"/>
          <w:sz w:val="24"/>
          <w:u w:val="single"/>
        </w:rPr>
        <w:t>Seller Indemnified Parties</w:t>
      </w:r>
      <w:r>
        <w:rPr>
          <w:rFonts w:ascii="Times New Roman" w:hAnsi="Times New Roman"/>
          <w:color w:val="000000"/>
          <w:sz w:val="20"/>
        </w:rPr>
        <w:t xml:space="preserve">” </w:t>
      </w:r>
      <w:r>
        <w:rPr>
          <w:rFonts w:ascii="Times New Roman" w:hAnsi="Times New Roman"/>
          <w:color w:val="000000"/>
          <w:sz w:val="24"/>
        </w:rPr>
        <w:t>has the meaning given to such term in Section 5.07 of the Purchase Agreement.</w:t>
      </w:r>
    </w:p>
    <w:p>
      <w:pPr>
        <w:pStyle w:val="TextBody"/>
        <w:bidi w:val="0"/>
        <w:spacing w:before="0" w:after="240"/>
        <w:jc w:val="both"/>
        <w:rPr/>
      </w:pPr>
      <w:r>
        <w:rPr>
          <w:color w:val="000000"/>
        </w:rPr>
        <w:t>“</w:t>
      </w:r>
      <w:r>
        <w:rPr>
          <w:rFonts w:ascii="Times New Roman" w:hAnsi="Times New Roman"/>
          <w:color w:val="000000"/>
          <w:sz w:val="24"/>
          <w:u w:val="single"/>
        </w:rPr>
        <w:t>Senior Monthly Interest and Fees</w:t>
      </w:r>
      <w:r>
        <w:rPr>
          <w:rFonts w:ascii="Times New Roman" w:hAnsi="Times New Roman"/>
          <w:color w:val="000000"/>
          <w:sz w:val="20"/>
        </w:rPr>
        <w:t xml:space="preserve">” </w:t>
      </w:r>
      <w:r>
        <w:rPr>
          <w:rFonts w:ascii="Times New Roman" w:hAnsi="Times New Roman"/>
          <w:color w:val="000000"/>
          <w:sz w:val="24"/>
        </w:rPr>
        <w:t xml:space="preserve">means, with respect to any Payment Date, the sum of (i) Interest for such Payment Date and (ii) all accrued and unpaid Usage Fees and Unused Fees for such Payment Date, together with any accrued and unpaid Usage Fees and Unused Fees from prior Payment Dates, to the extent such sum does not exceed an amount equal to the sum of (x) the amount of Interest that would have accrued on the Loan Balance during the immediately preceding Collection Period at a per annum rate equal to the sum of the Adjusted Daily Simple SOFR and the Usage Fee Rate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(y) the Unused Fee for such Payment Date.</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Serviced Portfolio</w:t>
      </w:r>
      <w:r>
        <w:rPr>
          <w:rFonts w:ascii="Times New Roman" w:hAnsi="Times New Roman"/>
          <w:color w:val="000000"/>
          <w:sz w:val="20"/>
        </w:rPr>
        <w:t xml:space="preserve">” </w:t>
      </w:r>
      <w:r>
        <w:rPr>
          <w:rFonts w:ascii="Times New Roman" w:hAnsi="Times New Roman"/>
          <w:color w:val="000000"/>
          <w:sz w:val="24"/>
        </w:rPr>
        <w:t>means all motor vehicle receivables that have been originated or purchased by UACC or an Affiliate thereof and are serviced by UACC or an Affiliate thereof, including motor vehicle receivables that have been securitized in a transaction for which UACC, the Borrower or any of their respective Affiliates is the sponsor.</w:t>
      </w:r>
    </w:p>
    <w:p>
      <w:pPr>
        <w:pStyle w:val="TextBody"/>
        <w:bidi w:val="0"/>
        <w:spacing w:before="0" w:after="240"/>
        <w:jc w:val="both"/>
        <w:rPr/>
      </w:pPr>
      <w:r>
        <w:rPr>
          <w:color w:val="000000"/>
        </w:rPr>
        <w:t>“</w:t>
      </w:r>
      <w:r>
        <w:rPr>
          <w:rFonts w:ascii="Times New Roman" w:hAnsi="Times New Roman"/>
          <w:color w:val="000000"/>
          <w:sz w:val="24"/>
          <w:u w:val="single"/>
        </w:rPr>
        <w:t>Serviced Portfolio Defaulted Receivable</w:t>
      </w:r>
      <w:r>
        <w:rPr>
          <w:rFonts w:ascii="Times New Roman" w:hAnsi="Times New Roman"/>
          <w:color w:val="000000"/>
          <w:sz w:val="20"/>
        </w:rPr>
        <w:t xml:space="preserve">” </w:t>
      </w:r>
      <w:r>
        <w:rPr>
          <w:rFonts w:ascii="Times New Roman" w:hAnsi="Times New Roman"/>
          <w:color w:val="000000"/>
          <w:sz w:val="24"/>
        </w:rPr>
        <w:t>means, as of any Determination Date, any Serviced Portfolio Receivable (i) with respect to which more than [***]% of any Scheduled Payment remains unpaid for more than [***] days after the related due date and for which the related Financed Vehicle has not been repossessed, (ii) with respect to which [***] days have elapsed since the related Financed Vehicle was repossessed and any applicable redemption period has expired or (iii) that is a Charged-off Receivable.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Serviced Portfolio Delinquency Ratio</w:t>
      </w:r>
      <w:r>
        <w:rPr>
          <w:rFonts w:ascii="Times New Roman" w:hAnsi="Times New Roman"/>
          <w:color w:val="000000"/>
          <w:sz w:val="20"/>
        </w:rPr>
        <w:t xml:space="preserve">” </w:t>
      </w:r>
      <w:r>
        <w:rPr>
          <w:rFonts w:ascii="Times New Roman" w:hAnsi="Times New Roman"/>
          <w:color w:val="000000"/>
          <w:sz w:val="24"/>
        </w:rPr>
        <w:t>means, for all receivables in the Serviced Portfolio originated after Q3 2025, the ratio of (i) principal balance of Serviced Portfolio Delinquent Receivables during such monthly period to (ii) the aggregate Principal Balance of all Serviced Portfolio Receivables (excluding any Serviced Portfolio Receivables that are Portfolio Purchase Receivables) as of such last day of the monthly period that is two (2) months prior to such (current) monthly period.</w:t>
      </w:r>
    </w:p>
    <w:p>
      <w:pPr>
        <w:pStyle w:val="TextBody"/>
        <w:bidi w:val="0"/>
        <w:spacing w:before="0" w:after="240"/>
        <w:jc w:val="both"/>
        <w:rPr/>
      </w:pPr>
      <w:r>
        <w:rPr>
          <w:color w:val="000000"/>
        </w:rPr>
        <w:t>“</w:t>
      </w:r>
      <w:r>
        <w:rPr>
          <w:rFonts w:ascii="Times New Roman" w:hAnsi="Times New Roman"/>
          <w:color w:val="000000"/>
          <w:sz w:val="24"/>
          <w:u w:val="single"/>
        </w:rPr>
        <w:t>Serviced Portfolio Delinquent Receivable</w:t>
      </w:r>
      <w:r>
        <w:rPr>
          <w:rFonts w:ascii="Times New Roman" w:hAnsi="Times New Roman"/>
          <w:color w:val="000000"/>
          <w:sz w:val="20"/>
        </w:rPr>
        <w:t xml:space="preserve">” </w:t>
      </w:r>
      <w:r>
        <w:rPr>
          <w:rFonts w:ascii="Times New Roman" w:hAnsi="Times New Roman"/>
          <w:color w:val="000000"/>
          <w:sz w:val="24"/>
        </w:rPr>
        <w:t>means any Serviced Portfolio Receivable, other than a Serviced Portfolio Defaulted Receivable, with respect to which more than [***]% of any Scheduled Payment remains unpaid for more than [***] days after the related due date as of any Determination Date and for which the related Financed Vehicle has not been repossessed.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Serviced Portfolio Extended Receivable</w:t>
      </w:r>
      <w:r>
        <w:rPr>
          <w:rFonts w:ascii="Times New Roman" w:hAnsi="Times New Roman"/>
          <w:color w:val="000000"/>
          <w:sz w:val="20"/>
        </w:rPr>
        <w:t xml:space="preserve">” </w:t>
      </w:r>
      <w:r>
        <w:rPr>
          <w:rFonts w:ascii="Times New Roman" w:hAnsi="Times New Roman"/>
          <w:color w:val="000000"/>
          <w:sz w:val="24"/>
        </w:rPr>
        <w:t>means any Serviced Portfolio Receivable for which an extension or payment deferment was made (or is in effect) pursuant to the Credit and Collection Policy.</w:t>
      </w:r>
    </w:p>
    <w:p>
      <w:pPr>
        <w:pStyle w:val="TextBody"/>
        <w:bidi w:val="0"/>
        <w:spacing w:before="0" w:after="240"/>
        <w:jc w:val="both"/>
        <w:rPr/>
      </w:pPr>
      <w:r>
        <w:rPr>
          <w:color w:val="000000"/>
        </w:rPr>
        <w:t>“</w:t>
      </w:r>
      <w:r>
        <w:rPr>
          <w:rFonts w:ascii="Times New Roman" w:hAnsi="Times New Roman"/>
          <w:color w:val="000000"/>
          <w:sz w:val="24"/>
          <w:u w:val="single"/>
        </w:rPr>
        <w:t>Serviced Portfolio Extension Ratio</w:t>
      </w:r>
      <w:r>
        <w:rPr>
          <w:rFonts w:ascii="Times New Roman" w:hAnsi="Times New Roman"/>
          <w:color w:val="000000"/>
          <w:sz w:val="20"/>
        </w:rPr>
        <w:t xml:space="preserve">” </w:t>
      </w:r>
      <w:r>
        <w:rPr>
          <w:rFonts w:ascii="Times New Roman" w:hAnsi="Times New Roman"/>
          <w:color w:val="000000"/>
          <w:sz w:val="24"/>
        </w:rPr>
        <w:t>means, for all receivables in the Serviced Portfolio originated after Q3 2025, the ratio of (i) principal balance of Serviced Portfolio Extended Receivables during such monthly period to (ii) the daily average aggregate Principal Balance of all Serviced Portfolio Receivables (excluding any Serviced Portfolio Receivables that are Portfolio Purchase Receivables) during the Collection period that is two (2) months prior to such (current) monthly period.</w:t>
      </w:r>
    </w:p>
    <w:p>
      <w:pPr>
        <w:pStyle w:val="TextBody"/>
        <w:bidi w:val="0"/>
        <w:spacing w:before="0" w:after="240"/>
        <w:jc w:val="both"/>
        <w:rPr/>
      </w:pPr>
      <w:r>
        <w:rPr>
          <w:color w:val="000000"/>
        </w:rPr>
        <w:t>“</w:t>
      </w:r>
      <w:r>
        <w:rPr>
          <w:rFonts w:ascii="Times New Roman" w:hAnsi="Times New Roman"/>
          <w:color w:val="000000"/>
          <w:sz w:val="24"/>
          <w:u w:val="single"/>
        </w:rPr>
        <w:t>Serviced Portfolio Net Loss</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an amount equal to (i) the aggregate Principal Balance of all Serviced Portfolio Receivables that first became Serviced Portfolio Defaulted Receivables during such Collection Period minus (ii) all Serviced Portfolio Recoveries received by the Servicer during such Collection Period.</w:t>
      </w:r>
    </w:p>
    <w:p>
      <w:pPr>
        <w:pStyle w:val="TextBody"/>
        <w:bidi w:val="0"/>
        <w:spacing w:before="0" w:after="240"/>
        <w:jc w:val="both"/>
        <w:rPr/>
      </w:pPr>
      <w:r>
        <w:rPr>
          <w:color w:val="000000"/>
        </w:rPr>
        <w:t>“</w:t>
      </w:r>
      <w:r>
        <w:rPr>
          <w:rFonts w:ascii="Times New Roman" w:hAnsi="Times New Roman"/>
          <w:color w:val="000000"/>
          <w:sz w:val="24"/>
          <w:u w:val="single"/>
        </w:rPr>
        <w:t>Serviced Portfolio Net LTL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percentage equivalent of a fraction, (a) the numerator of which equals the aggregate Serviced Portfolio Net Loss for such Collection Period and (b) the denominator of which equals (i) the aggregate Principal Balance of all Serviced Portfolio Receivables that first became Defaulted Receivables during such Collection Period plus (ii) the aggregate reduction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Principal Balance for all Serviced Portfolio Receivables that were Serviced Portfolio Receivables as of the first day of the related Collection Period.</w:t>
      </w:r>
    </w:p>
    <w:p>
      <w:pPr>
        <w:pStyle w:val="TextBody"/>
        <w:bidi w:val="0"/>
        <w:spacing w:before="0" w:after="240"/>
        <w:jc w:val="both"/>
        <w:rPr/>
      </w:pPr>
      <w:r>
        <w:rPr>
          <w:color w:val="000000"/>
        </w:rPr>
        <w:t>“</w:t>
      </w:r>
      <w:r>
        <w:rPr>
          <w:rFonts w:ascii="Times New Roman" w:hAnsi="Times New Roman"/>
          <w:color w:val="000000"/>
          <w:sz w:val="24"/>
          <w:u w:val="single"/>
        </w:rPr>
        <w:t>Serviced Portfolio Net Loss-to-Liquidation Ratio</w:t>
      </w:r>
      <w:r>
        <w:rPr>
          <w:rFonts w:ascii="Times New Roman" w:hAnsi="Times New Roman"/>
          <w:color w:val="000000"/>
          <w:sz w:val="20"/>
        </w:rPr>
        <w:t xml:space="preserve">” </w:t>
      </w:r>
      <w:r>
        <w:rPr>
          <w:rFonts w:ascii="Times New Roman" w:hAnsi="Times New Roman"/>
          <w:color w:val="000000"/>
          <w:sz w:val="24"/>
        </w:rPr>
        <w:t>means (i) for any Collection Period prior to the August 2026 Collection Period, the Serviced Portfolio Net LTL Ratio for all Serviced Portfolio Receivables originated after Q2 2025 and (ii) for any Collection Period thereafter, the Serviced Portfolio Net LTL Ratio for all Serviced Portfolio Receivables originated after Q3 2025.</w:t>
      </w:r>
    </w:p>
    <w:p>
      <w:pPr>
        <w:pStyle w:val="TextBody"/>
        <w:bidi w:val="0"/>
        <w:spacing w:before="0" w:after="240"/>
        <w:jc w:val="both"/>
        <w:rPr/>
      </w:pPr>
      <w:r>
        <w:rPr>
          <w:color w:val="000000"/>
        </w:rPr>
        <w:t>“</w:t>
      </w:r>
      <w:r>
        <w:rPr>
          <w:rFonts w:ascii="Times New Roman" w:hAnsi="Times New Roman"/>
          <w:color w:val="000000"/>
          <w:sz w:val="24"/>
          <w:u w:val="single"/>
        </w:rPr>
        <w:t>Serviced Portfolio Receivable</w:t>
      </w:r>
      <w:r>
        <w:rPr>
          <w:rFonts w:ascii="Times New Roman" w:hAnsi="Times New Roman"/>
          <w:color w:val="000000"/>
          <w:sz w:val="20"/>
        </w:rPr>
        <w:t xml:space="preserve">” </w:t>
      </w:r>
      <w:r>
        <w:rPr>
          <w:rFonts w:ascii="Times New Roman" w:hAnsi="Times New Roman"/>
          <w:color w:val="000000"/>
          <w:sz w:val="24"/>
        </w:rPr>
        <w:t>means any motor vehicle receivable included in the Serviced Portfolio.</w:t>
      </w:r>
    </w:p>
    <w:p>
      <w:pPr>
        <w:pStyle w:val="TextBody"/>
        <w:bidi w:val="0"/>
        <w:spacing w:before="0" w:after="240"/>
        <w:jc w:val="both"/>
        <w:rPr/>
      </w:pPr>
      <w:r>
        <w:rPr>
          <w:color w:val="000000"/>
        </w:rPr>
        <w:t>“</w:t>
      </w:r>
      <w:r>
        <w:rPr>
          <w:rFonts w:ascii="Times New Roman" w:hAnsi="Times New Roman"/>
          <w:color w:val="000000"/>
          <w:sz w:val="24"/>
          <w:u w:val="single"/>
        </w:rPr>
        <w:t>Serviced Portfolio Recoveries</w:t>
      </w:r>
      <w:r>
        <w:rPr>
          <w:rFonts w:ascii="Times New Roman" w:hAnsi="Times New Roman"/>
          <w:color w:val="000000"/>
          <w:sz w:val="20"/>
        </w:rPr>
        <w:t xml:space="preserve">” </w:t>
      </w:r>
      <w:r>
        <w:rPr>
          <w:rFonts w:ascii="Times New Roman" w:hAnsi="Times New Roman"/>
          <w:color w:val="000000"/>
          <w:sz w:val="24"/>
        </w:rPr>
        <w:t>means, with respect to any Serviced Portfolio Defaulted Receivable and the related Collection Period, all monies collected from whatever source during such Collection Period in respect of such Serviced Portfolio Defaulted Receivable, including in connection with the attempted realization of the full amount due or to become due under such Serviced Portfolio Defaulted Receivable, whether from the sale or other disposition of the related Financed Vehicle, the proceeds of repossession or any collection effort, the proceeds of recourse or similar payments under the related Contract, or any insurance proceeds, net of any amounts required by Applicable Law to be remitted to the related Obligor and net of the Servicer’s expenses (other than overhead) incurred in connection with the liquidation of such Serviced Portfolio Defaulted Receivable and the related Financed Vehicle.</w:t>
      </w:r>
    </w:p>
    <w:p>
      <w:pPr>
        <w:pStyle w:val="TextBody"/>
        <w:bidi w:val="0"/>
        <w:spacing w:before="0" w:after="240"/>
        <w:jc w:val="both"/>
        <w:rPr/>
      </w:pPr>
      <w:r>
        <w:rPr>
          <w:color w:val="000000"/>
        </w:rPr>
        <w:t>“</w:t>
      </w:r>
      <w:r>
        <w:rPr>
          <w:rFonts w:ascii="Times New Roman" w:hAnsi="Times New Roman"/>
          <w:color w:val="000000"/>
          <w:sz w:val="24"/>
          <w:u w:val="single"/>
        </w:rPr>
        <w:t>Servicer</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Servicer Basic Documents</w:t>
      </w:r>
      <w:r>
        <w:rPr>
          <w:rFonts w:ascii="Times New Roman" w:hAnsi="Times New Roman"/>
          <w:color w:val="000000"/>
          <w:sz w:val="20"/>
        </w:rPr>
        <w:t xml:space="preserve">” </w:t>
      </w:r>
      <w:r>
        <w:rPr>
          <w:rFonts w:ascii="Times New Roman" w:hAnsi="Times New Roman"/>
          <w:color w:val="000000"/>
          <w:sz w:val="24"/>
        </w:rPr>
        <w:t>means all Basic Documents to which the Servicer is a party or by which it is bound.</w:t>
      </w:r>
    </w:p>
    <w:p>
      <w:pPr>
        <w:pStyle w:val="TextBody"/>
        <w:bidi w:val="0"/>
        <w:spacing w:before="0" w:after="240"/>
        <w:jc w:val="both"/>
        <w:rPr/>
      </w:pPr>
      <w:r>
        <w:rPr>
          <w:color w:val="000000"/>
        </w:rPr>
        <w:t>“</w:t>
      </w:r>
      <w:r>
        <w:rPr>
          <w:rFonts w:ascii="Times New Roman" w:hAnsi="Times New Roman"/>
          <w:color w:val="000000"/>
          <w:sz w:val="24"/>
          <w:u w:val="single"/>
        </w:rPr>
        <w:t>Servicer File</w:t>
      </w:r>
      <w:r>
        <w:rPr>
          <w:rFonts w:ascii="Times New Roman" w:hAnsi="Times New Roman"/>
          <w:color w:val="000000"/>
          <w:sz w:val="2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Servicer Termination Event</w:t>
      </w:r>
      <w:r>
        <w:rPr>
          <w:rFonts w:ascii="Times New Roman" w:hAnsi="Times New Roman"/>
          <w:color w:val="000000"/>
          <w:sz w:val="20"/>
        </w:rPr>
        <w:t xml:space="preserve">” </w:t>
      </w:r>
      <w:r>
        <w:rPr>
          <w:rFonts w:ascii="Times New Roman" w:hAnsi="Times New Roman"/>
          <w:color w:val="000000"/>
          <w:sz w:val="24"/>
        </w:rPr>
        <w:t>has the meaning given to such term in Section 7.14.</w:t>
      </w:r>
    </w:p>
    <w:p>
      <w:pPr>
        <w:pStyle w:val="TextBody"/>
        <w:bidi w:val="0"/>
        <w:spacing w:before="0" w:after="240"/>
        <w:jc w:val="both"/>
        <w:rPr/>
      </w:pPr>
      <w:r>
        <w:rPr>
          <w:color w:val="000000"/>
        </w:rPr>
        <w:t>“</w:t>
      </w:r>
      <w:r>
        <w:rPr>
          <w:rFonts w:ascii="Times New Roman" w:hAnsi="Times New Roman"/>
          <w:color w:val="000000"/>
          <w:sz w:val="24"/>
          <w:u w:val="single"/>
        </w:rPr>
        <w:t>Servicer Termination Notice</w:t>
      </w:r>
      <w:r>
        <w:rPr>
          <w:rFonts w:ascii="Times New Roman" w:hAnsi="Times New Roman"/>
          <w:color w:val="000000"/>
          <w:sz w:val="20"/>
        </w:rPr>
        <w:t xml:space="preserve">” </w:t>
      </w:r>
      <w:r>
        <w:rPr>
          <w:rFonts w:ascii="Times New Roman" w:hAnsi="Times New Roman"/>
          <w:color w:val="000000"/>
          <w:sz w:val="24"/>
        </w:rPr>
        <w:t>has the meaning given to such term in Section 7.14.</w:t>
      </w:r>
    </w:p>
    <w:p>
      <w:pPr>
        <w:pStyle w:val="TextBody"/>
        <w:bidi w:val="0"/>
        <w:spacing w:before="0" w:after="240"/>
        <w:jc w:val="both"/>
        <w:rPr/>
      </w:pPr>
      <w:r>
        <w:rPr>
          <w:color w:val="000000"/>
        </w:rPr>
        <w:t>“</w:t>
      </w:r>
      <w:r>
        <w:rPr>
          <w:rFonts w:ascii="Times New Roman" w:hAnsi="Times New Roman"/>
          <w:color w:val="000000"/>
          <w:sz w:val="24"/>
          <w:u w:val="single"/>
        </w:rPr>
        <w:t>Servicing Fee</w:t>
      </w:r>
      <w:r>
        <w:rPr>
          <w:rFonts w:ascii="Times New Roman" w:hAnsi="Times New Roman"/>
          <w:color w:val="000000"/>
          <w:sz w:val="20"/>
        </w:rPr>
        <w:t xml:space="preserve">” </w:t>
      </w:r>
      <w:r>
        <w:rPr>
          <w:rFonts w:ascii="Times New Roman" w:hAnsi="Times New Roman"/>
          <w:color w:val="000000"/>
          <w:sz w:val="24"/>
        </w:rPr>
        <w:t>means the fee payable to the Servicer on each Payment Date in accordance with Section 2.12(b) in an amount equal to the product of (i) one-twelfth, (ii) [***]% and (iii)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daily average aggregate Principal Balance of the Receivables during the related Collection Period; </w:t>
      </w:r>
      <w:r>
        <w:rPr>
          <w:rFonts w:ascii="Times New Roman" w:hAnsi="Times New Roman"/>
          <w:color w:val="000000"/>
          <w:sz w:val="24"/>
          <w:u w:val="single"/>
        </w:rPr>
        <w:t>provided</w:t>
      </w:r>
      <w:r>
        <w:rPr>
          <w:rFonts w:ascii="Times New Roman" w:hAnsi="Times New Roman"/>
          <w:color w:val="000000"/>
          <w:sz w:val="24"/>
        </w:rPr>
        <w:t>, that if UACC is no longer the Servicer, the “Servicing Fee” shall be an amount agreed to by the Administrative Agent (acting at the direction of the Required Agents) and the successor Servicer that is reflective of the then market rates for the servicing of motor vehicles receivables similar to the Receivables.</w:t>
      </w:r>
    </w:p>
    <w:p>
      <w:pPr>
        <w:pStyle w:val="TextBody"/>
        <w:bidi w:val="0"/>
        <w:spacing w:before="0" w:after="240"/>
        <w:jc w:val="both"/>
        <w:rPr/>
      </w:pPr>
      <w:r>
        <w:rPr>
          <w:color w:val="000000"/>
        </w:rPr>
        <w:t>“</w:t>
      </w:r>
      <w:r>
        <w:rPr>
          <w:rFonts w:ascii="Times New Roman" w:hAnsi="Times New Roman"/>
          <w:color w:val="000000"/>
          <w:sz w:val="24"/>
          <w:u w:val="single"/>
        </w:rPr>
        <w:t>Seventeenth Amendment Effective Date</w:t>
      </w:r>
      <w:r>
        <w:rPr>
          <w:rFonts w:ascii="Times New Roman" w:hAnsi="Times New Roman"/>
          <w:color w:val="000000"/>
          <w:sz w:val="20"/>
        </w:rPr>
        <w:t xml:space="preserve">” </w:t>
      </w:r>
      <w:r>
        <w:rPr>
          <w:rFonts w:ascii="Times New Roman" w:hAnsi="Times New Roman"/>
          <w:color w:val="000000"/>
          <w:sz w:val="24"/>
        </w:rPr>
        <w:t>means May 11, 2020.</w:t>
      </w:r>
    </w:p>
    <w:p>
      <w:pPr>
        <w:pStyle w:val="TextBody"/>
        <w:bidi w:val="0"/>
        <w:spacing w:before="0" w:after="240"/>
        <w:jc w:val="both"/>
        <w:rPr/>
      </w:pPr>
      <w:r>
        <w:rPr>
          <w:color w:val="000000"/>
        </w:rPr>
        <w:t>“</w:t>
      </w:r>
      <w:r>
        <w:rPr>
          <w:rFonts w:ascii="Times New Roman" w:hAnsi="Times New Roman"/>
          <w:color w:val="000000"/>
          <w:sz w:val="24"/>
          <w:u w:val="single"/>
        </w:rPr>
        <w:t>Short-Term Rating Requirement</w:t>
      </w:r>
      <w:r>
        <w:rPr>
          <w:rFonts w:ascii="Times New Roman" w:hAnsi="Times New Roman"/>
          <w:color w:val="000000"/>
          <w:sz w:val="20"/>
        </w:rPr>
        <w:t xml:space="preserve">” </w:t>
      </w:r>
      <w:r>
        <w:rPr>
          <w:rFonts w:ascii="Times New Roman" w:hAnsi="Times New Roman"/>
          <w:color w:val="000000"/>
          <w:sz w:val="24"/>
        </w:rPr>
        <w:t>means, with respect to any Person, that such Person has a short-term unsecured debt rating of not less than A</w:t>
        <w:noBreakHyphen/>
        <w:t>1 by Standard &amp; Poor’s and not less than Prime</w:t>
        <w:noBreakHyphen/>
        <w:t>1 by Moody’s.</w:t>
      </w:r>
    </w:p>
    <w:p>
      <w:pPr>
        <w:pStyle w:val="TextBody"/>
        <w:bidi w:val="0"/>
        <w:spacing w:before="0" w:after="240"/>
        <w:jc w:val="both"/>
        <w:rPr/>
      </w:pPr>
      <w:r>
        <w:rPr>
          <w:color w:val="000000"/>
        </w:rPr>
        <w:t>“</w:t>
      </w:r>
      <w:r>
        <w:rPr>
          <w:rFonts w:ascii="Times New Roman" w:hAnsi="Times New Roman"/>
          <w:color w:val="000000"/>
          <w:sz w:val="24"/>
          <w:u w:val="single"/>
        </w:rPr>
        <w:t>Simple Interest Contract</w:t>
      </w:r>
      <w:r>
        <w:rPr>
          <w:rFonts w:ascii="Times New Roman" w:hAnsi="Times New Roman"/>
          <w:color w:val="000000"/>
          <w:sz w:val="20"/>
        </w:rPr>
        <w:t xml:space="preserve">” </w:t>
      </w:r>
      <w:r>
        <w:rPr>
          <w:rFonts w:ascii="Times New Roman" w:hAnsi="Times New Roman"/>
          <w:color w:val="000000"/>
          <w:sz w:val="24"/>
        </w:rPr>
        <w:t>means any Contract under which the portion of a payment allocable to interest and the portion allocable to principal are determined in accordance with the Simple Interest Method.</w:t>
      </w:r>
    </w:p>
    <w:p>
      <w:pPr>
        <w:pStyle w:val="TextBody"/>
        <w:bidi w:val="0"/>
        <w:spacing w:before="0" w:after="240"/>
        <w:jc w:val="both"/>
        <w:rPr/>
      </w:pPr>
      <w:r>
        <w:rPr>
          <w:color w:val="000000"/>
        </w:rPr>
        <w:t>“</w:t>
      </w:r>
      <w:r>
        <w:rPr>
          <w:rFonts w:ascii="Times New Roman" w:hAnsi="Times New Roman"/>
          <w:color w:val="000000"/>
          <w:sz w:val="24"/>
          <w:u w:val="single"/>
        </w:rPr>
        <w:t>Simple Interest Method</w:t>
      </w:r>
      <w:r>
        <w:rPr>
          <w:rFonts w:ascii="Times New Roman" w:hAnsi="Times New Roman"/>
          <w:color w:val="000000"/>
          <w:sz w:val="20"/>
        </w:rPr>
        <w:t xml:space="preserve">” </w:t>
      </w:r>
      <w:r>
        <w:rPr>
          <w:rFonts w:ascii="Times New Roman" w:hAnsi="Times New Roman"/>
          <w:color w:val="000000"/>
          <w:sz w:val="24"/>
        </w:rPr>
        <w:t>means the method of allocating a fixed level payment to principal and interest, pursuant to which the portion of such payment that is allocated to interest is equal to the product of the fixed rate of interest multiplied by the unpaid principal balance multiplied by the period of time elapsed since the preceding payment of interest was made.</w:t>
      </w:r>
    </w:p>
    <w:p>
      <w:pPr>
        <w:pStyle w:val="TextBody"/>
        <w:bidi w:val="0"/>
        <w:spacing w:before="0" w:after="240"/>
        <w:jc w:val="both"/>
        <w:rPr/>
      </w:pPr>
      <w:r>
        <w:rPr>
          <w:color w:val="000000"/>
        </w:rPr>
        <w:t>“</w:t>
      </w:r>
      <w:r>
        <w:rPr>
          <w:rFonts w:ascii="Times New Roman" w:hAnsi="Times New Roman"/>
          <w:color w:val="000000"/>
          <w:sz w:val="24"/>
          <w:u w:val="single"/>
        </w:rPr>
        <w:t>SOFR Administrator</w:t>
      </w:r>
      <w:r>
        <w:rPr>
          <w:rFonts w:ascii="Times New Roman" w:hAnsi="Times New Roman"/>
          <w:color w:val="000000"/>
          <w:sz w:val="20"/>
        </w:rPr>
        <w:t xml:space="preserve">” </w:t>
      </w:r>
      <w:r>
        <w:rPr>
          <w:rFonts w:ascii="Times New Roman" w:hAnsi="Times New Roman"/>
          <w:color w:val="000000"/>
          <w:sz w:val="24"/>
        </w:rPr>
        <w:t>means the NYFRB (or a successor administrator of the secured overnight financing rate).</w:t>
      </w:r>
    </w:p>
    <w:p>
      <w:pPr>
        <w:pStyle w:val="TextBody"/>
        <w:bidi w:val="0"/>
        <w:spacing w:before="0" w:after="240"/>
        <w:jc w:val="both"/>
        <w:rPr/>
      </w:pPr>
      <w:r>
        <w:rPr>
          <w:color w:val="000000"/>
        </w:rPr>
        <w:t>“</w:t>
      </w:r>
      <w:r>
        <w:rPr>
          <w:rFonts w:ascii="Times New Roman" w:hAnsi="Times New Roman"/>
          <w:color w:val="000000"/>
          <w:sz w:val="24"/>
          <w:u w:val="single"/>
        </w:rPr>
        <w:t>SOFR Administrator’s Website</w:t>
      </w:r>
      <w:r>
        <w:rPr>
          <w:rFonts w:ascii="Times New Roman" w:hAnsi="Times New Roman"/>
          <w:color w:val="000000"/>
          <w:sz w:val="20"/>
        </w:rPr>
        <w:t xml:space="preserve">” </w:t>
      </w:r>
      <w:r>
        <w:rPr>
          <w:rFonts w:ascii="Times New Roman" w:hAnsi="Times New Roman"/>
          <w:color w:val="000000"/>
          <w:sz w:val="24"/>
        </w:rPr>
        <w:t>means the NYFRB’s website, currently at http://www.newyorkfed.org, or any successor source for the secured overnight financing rate identified as such by the SOFR Administrator from time to time.</w:t>
      </w:r>
    </w:p>
    <w:p>
      <w:pPr>
        <w:pStyle w:val="TextBody"/>
        <w:bidi w:val="0"/>
        <w:spacing w:before="0" w:after="240"/>
        <w:jc w:val="both"/>
        <w:rPr/>
      </w:pPr>
      <w:r>
        <w:rPr>
          <w:color w:val="000000"/>
        </w:rPr>
        <w:t>“</w:t>
      </w:r>
      <w:r>
        <w:rPr>
          <w:rFonts w:ascii="Times New Roman" w:hAnsi="Times New Roman"/>
          <w:color w:val="000000"/>
          <w:sz w:val="24"/>
          <w:u w:val="single"/>
        </w:rPr>
        <w:t>SOFR Determination Date</w:t>
      </w:r>
      <w:r>
        <w:rPr>
          <w:rFonts w:ascii="Times New Roman" w:hAnsi="Times New Roman"/>
          <w:color w:val="000000"/>
          <w:sz w:val="20"/>
        </w:rPr>
        <w:t xml:space="preserve">” </w:t>
      </w:r>
      <w:r>
        <w:rPr>
          <w:rFonts w:ascii="Times New Roman" w:hAnsi="Times New Roman"/>
          <w:color w:val="000000"/>
          <w:sz w:val="24"/>
        </w:rPr>
        <w:t>has the meaning specified in the definition of “Daily Simple SOFR”.</w:t>
      </w:r>
    </w:p>
    <w:p>
      <w:pPr>
        <w:pStyle w:val="TextBody"/>
        <w:bidi w:val="0"/>
        <w:spacing w:before="0" w:after="240"/>
        <w:jc w:val="both"/>
        <w:rPr/>
      </w:pPr>
      <w:r>
        <w:rPr>
          <w:color w:val="000000"/>
        </w:rPr>
        <w:t>“</w:t>
      </w:r>
      <w:r>
        <w:rPr>
          <w:rFonts w:ascii="Times New Roman" w:hAnsi="Times New Roman"/>
          <w:color w:val="000000"/>
          <w:sz w:val="24"/>
          <w:u w:val="single"/>
        </w:rPr>
        <w:t>SOFR Rate Day</w:t>
      </w:r>
      <w:r>
        <w:rPr>
          <w:rFonts w:ascii="Times New Roman" w:hAnsi="Times New Roman"/>
          <w:color w:val="000000"/>
          <w:sz w:val="20"/>
        </w:rPr>
        <w:t xml:space="preserve">” </w:t>
      </w:r>
      <w:r>
        <w:rPr>
          <w:rFonts w:ascii="Times New Roman" w:hAnsi="Times New Roman"/>
          <w:color w:val="000000"/>
          <w:sz w:val="24"/>
        </w:rPr>
        <w:t>has the meaning specified in the definition of “Daily Simple SOFR”.</w:t>
      </w:r>
    </w:p>
    <w:p>
      <w:pPr>
        <w:pStyle w:val="TextBody"/>
        <w:bidi w:val="0"/>
        <w:spacing w:before="0" w:after="240"/>
        <w:jc w:val="both"/>
        <w:rPr/>
      </w:pPr>
      <w:r>
        <w:rPr>
          <w:color w:val="000000"/>
        </w:rPr>
        <w:t>“</w:t>
      </w:r>
      <w:r>
        <w:rPr>
          <w:rFonts w:ascii="Times New Roman" w:hAnsi="Times New Roman"/>
          <w:color w:val="000000"/>
          <w:sz w:val="24"/>
          <w:u w:val="single"/>
        </w:rPr>
        <w:t>SOFR Step-Up Event</w:t>
      </w:r>
      <w:r>
        <w:rPr>
          <w:rFonts w:ascii="Times New Roman" w:hAnsi="Times New Roman"/>
          <w:color w:val="000000"/>
          <w:sz w:val="20"/>
        </w:rPr>
        <w:t xml:space="preserve">” </w:t>
      </w:r>
      <w:r>
        <w:rPr>
          <w:rFonts w:ascii="Times New Roman" w:hAnsi="Times New Roman"/>
          <w:color w:val="000000"/>
          <w:sz w:val="24"/>
        </w:rPr>
        <w:t>means an event that shall occur and be continuing on any date on which (i) the Daily Simple SOFR is greater than [***]% on such date and (ii) the strike rate under the Hedging Agreement on such date is greater than[***]%.</w:t>
      </w:r>
    </w:p>
    <w:p>
      <w:pPr>
        <w:pStyle w:val="TextBody"/>
        <w:bidi w:val="0"/>
        <w:spacing w:before="0" w:after="240"/>
        <w:jc w:val="both"/>
        <w:rPr/>
      </w:pPr>
      <w:r>
        <w:rPr>
          <w:color w:val="000000"/>
        </w:rPr>
        <w:t>“</w:t>
      </w:r>
      <w:r>
        <w:rPr>
          <w:rFonts w:ascii="Times New Roman" w:hAnsi="Times New Roman"/>
          <w:color w:val="000000"/>
          <w:sz w:val="24"/>
          <w:u w:val="single"/>
        </w:rPr>
        <w:t>Solvent</w:t>
      </w:r>
      <w:r>
        <w:rPr>
          <w:rFonts w:ascii="Times New Roman" w:hAnsi="Times New Roman"/>
          <w:color w:val="000000"/>
          <w:sz w:val="20"/>
        </w:rPr>
        <w:t xml:space="preserve">” </w:t>
      </w:r>
      <w:r>
        <w:rPr>
          <w:rFonts w:ascii="Times New Roman" w:hAnsi="Times New Roman"/>
          <w:color w:val="000000"/>
          <w:sz w:val="24"/>
        </w:rPr>
        <w:t>means, with respect to any Person at any time, having a state of affairs such that (i) the fair value of the property owned by such Person is greater than the amount of such Person’s liabilities (including disputed, contingent and unliquidated liabilities) as such value is established and liabilities evaluated for purposes of Section 101(32) of the Bankruptcy Code; (ii) the present fair salable value of the property owned by such Person in an orderly liquidation of such Person is not less than the amount that will be required to pay the probable liability of such Person on its debts as they become absolute and matured; (iii) such Person is able to realize upon its property and pay its debts and other liabilities (including disputed, contingent and unliquidated liabilities) as they</w:t>
      </w:r>
      <w:r>
        <w:rPr>
          <w:rFonts w:ascii="Times New Roman" w:hAnsi="Times New Roman"/>
          <w:color w:val="000000"/>
          <w:sz w:val="20"/>
        </w:rPr>
        <w:t xml:space="preserve"> </w:t>
      </w:r>
      <w:r>
        <w:rPr>
          <w:rFonts w:ascii="Times New Roman" w:hAnsi="Times New Roman"/>
          <w:color w:val="000000"/>
          <w:sz w:val="24"/>
        </w:rPr>
        <w:t>mature in the normal course of</w:t>
      </w:r>
      <w:r>
        <w:rPr>
          <w:rFonts w:ascii="Times New Roman" w:hAnsi="Times New Roman"/>
          <w:color w:val="000000"/>
          <w:sz w:val="20"/>
        </w:rPr>
        <w:t xml:space="preserve"> </w:t>
      </w:r>
      <w:r>
        <w:rPr>
          <w:rFonts w:ascii="Times New Roman" w:hAnsi="Times New Roman"/>
          <w:color w:val="000000"/>
          <w:sz w:val="24"/>
        </w:rPr>
        <w:t>business; (iv) such Person does not intend to, and does not believe that it will, incur debts or liabilities beyond such Person’s ability</w:t>
      </w:r>
      <w:r>
        <w:rPr>
          <w:rFonts w:ascii="Times New Roman" w:hAnsi="Times New Roman"/>
          <w:color w:val="000000"/>
          <w:sz w:val="20"/>
        </w:rPr>
        <w:t xml:space="preserve"> </w:t>
      </w:r>
      <w:r>
        <w:rPr>
          <w:rFonts w:ascii="Times New Roman" w:hAnsi="Times New Roman"/>
          <w:color w:val="000000"/>
          <w:sz w:val="24"/>
        </w:rPr>
        <w:t>to pay as such debts and liabilities</w:t>
      </w:r>
      <w:r>
        <w:rPr>
          <w:rFonts w:ascii="Times New Roman" w:hAnsi="Times New Roman"/>
          <w:color w:val="000000"/>
          <w:sz w:val="20"/>
        </w:rPr>
        <w:t xml:space="preserve"> </w:t>
      </w:r>
      <w:r>
        <w:rPr>
          <w:rFonts w:ascii="Times New Roman" w:hAnsi="Times New Roman"/>
          <w:color w:val="000000"/>
          <w:sz w:val="24"/>
        </w:rPr>
        <w:t>mature; and (v) such Person is</w:t>
      </w:r>
      <w:r>
        <w:rPr>
          <w:rFonts w:ascii="Times New Roman" w:hAnsi="Times New Roman"/>
          <w:color w:val="000000"/>
          <w:sz w:val="20"/>
        </w:rPr>
        <w:t xml:space="preserve"> </w:t>
      </w:r>
      <w:r>
        <w:rPr>
          <w:rFonts w:ascii="Times New Roman" w:hAnsi="Times New Roman"/>
          <w:color w:val="000000"/>
          <w:sz w:val="24"/>
        </w:rPr>
        <w:t>not engaged in business or a transaction, and is not about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engage in a business or a transaction, for which such Person’s property would constitute unreasonably small capital.</w:t>
      </w:r>
    </w:p>
    <w:p>
      <w:pPr>
        <w:pStyle w:val="TextBody"/>
        <w:bidi w:val="0"/>
        <w:spacing w:before="0" w:after="240"/>
        <w:jc w:val="both"/>
        <w:rPr/>
      </w:pPr>
      <w:r>
        <w:rPr>
          <w:color w:val="000000"/>
        </w:rPr>
        <w:t>“</w:t>
      </w:r>
      <w:r>
        <w:rPr>
          <w:rFonts w:ascii="Times New Roman" w:hAnsi="Times New Roman"/>
          <w:color w:val="000000"/>
          <w:sz w:val="24"/>
          <w:u w:val="single"/>
        </w:rPr>
        <w:t>Special Purpose Affiliate</w:t>
      </w:r>
      <w:r>
        <w:rPr>
          <w:rFonts w:ascii="Times New Roman" w:hAnsi="Times New Roman"/>
          <w:color w:val="000000"/>
          <w:sz w:val="20"/>
        </w:rPr>
        <w:t xml:space="preserve">” </w:t>
      </w:r>
      <w:r>
        <w:rPr>
          <w:rFonts w:ascii="Times New Roman" w:hAnsi="Times New Roman"/>
          <w:color w:val="000000"/>
          <w:sz w:val="24"/>
        </w:rPr>
        <w:t>means any bankruptcy-remote special purpose entity that is an Affiliate of the Borrower and was created for the purpose of one or more Securitizations.</w:t>
      </w:r>
    </w:p>
    <w:p>
      <w:pPr>
        <w:pStyle w:val="TextBody"/>
        <w:bidi w:val="0"/>
        <w:spacing w:before="0" w:after="240"/>
        <w:jc w:val="both"/>
        <w:rPr/>
      </w:pPr>
      <w:r>
        <w:rPr>
          <w:color w:val="000000"/>
        </w:rPr>
        <w:t>“</w:t>
      </w:r>
      <w:r>
        <w:rPr>
          <w:rFonts w:ascii="Times New Roman" w:hAnsi="Times New Roman"/>
          <w:color w:val="000000"/>
          <w:sz w:val="24"/>
          <w:u w:val="single"/>
        </w:rPr>
        <w:t>Standard &amp; Poor’s</w:t>
      </w:r>
      <w:r>
        <w:rPr>
          <w:rFonts w:ascii="Times New Roman" w:hAnsi="Times New Roman"/>
          <w:color w:val="000000"/>
          <w:sz w:val="20"/>
        </w:rPr>
        <w:t xml:space="preserve">” </w:t>
      </w:r>
      <w:r>
        <w:rPr>
          <w:rFonts w:ascii="Times New Roman" w:hAnsi="Times New Roman"/>
          <w:color w:val="000000"/>
          <w:sz w:val="24"/>
        </w:rPr>
        <w:t>means Standard &amp; Poor’s Ratings Services, a Standard &amp; Poor’s Financial Services LLC business.</w:t>
      </w:r>
    </w:p>
    <w:p>
      <w:pPr>
        <w:pStyle w:val="TextBody"/>
        <w:bidi w:val="0"/>
        <w:spacing w:before="0" w:after="240"/>
        <w:jc w:val="both"/>
        <w:rPr/>
      </w:pPr>
      <w:r>
        <w:rPr>
          <w:color w:val="000000"/>
        </w:rPr>
        <w:t>“</w:t>
      </w:r>
      <w:r>
        <w:rPr>
          <w:rFonts w:ascii="Times New Roman" w:hAnsi="Times New Roman"/>
          <w:color w:val="000000"/>
          <w:sz w:val="24"/>
          <w:u w:val="single"/>
        </w:rPr>
        <w:t>State</w:t>
      </w:r>
      <w:r>
        <w:rPr>
          <w:rFonts w:ascii="Times New Roman" w:hAnsi="Times New Roman"/>
          <w:color w:val="000000"/>
          <w:sz w:val="20"/>
        </w:rPr>
        <w:t xml:space="preserve">” </w:t>
      </w:r>
      <w:r>
        <w:rPr>
          <w:rFonts w:ascii="Times New Roman" w:hAnsi="Times New Roman"/>
          <w:color w:val="000000"/>
          <w:sz w:val="24"/>
        </w:rPr>
        <w:t>means any state of the United States or the District of Columbia.</w:t>
      </w:r>
    </w:p>
    <w:p>
      <w:pPr>
        <w:pStyle w:val="TextBody"/>
        <w:bidi w:val="0"/>
        <w:spacing w:before="0" w:after="240"/>
        <w:jc w:val="both"/>
        <w:rPr/>
      </w:pPr>
      <w:r>
        <w:rPr>
          <w:color w:val="000000"/>
        </w:rPr>
        <w:t>“</w:t>
      </w:r>
      <w:r>
        <w:rPr>
          <w:rFonts w:ascii="Times New Roman" w:hAnsi="Times New Roman"/>
          <w:color w:val="000000"/>
          <w:sz w:val="24"/>
          <w:u w:val="single"/>
        </w:rPr>
        <w:t>Subordinated Monthly Interest and Fees</w:t>
      </w:r>
      <w:r>
        <w:rPr>
          <w:rFonts w:ascii="Times New Roman" w:hAnsi="Times New Roman"/>
          <w:color w:val="000000"/>
          <w:sz w:val="20"/>
        </w:rPr>
        <w:t xml:space="preserve">” </w:t>
      </w:r>
      <w:r>
        <w:rPr>
          <w:rFonts w:ascii="Times New Roman" w:hAnsi="Times New Roman"/>
          <w:color w:val="000000"/>
          <w:sz w:val="24"/>
        </w:rPr>
        <w:t>means, with respect to any Payment Date, the excess (if any) for such Payment Date of (a) the sum of (i) Interest for such Payment Date and (ii) all accrued and unpaid Usage Fees and Unused Fees for such Payment Date, together with any accrued and unpaid Usage Fees and Unused Fees from prior Payment Dates over (b) the Senior Monthly Interest and Fees for such Payment Date.</w:t>
      </w:r>
    </w:p>
    <w:p>
      <w:pPr>
        <w:pStyle w:val="TextBody"/>
        <w:bidi w:val="0"/>
        <w:spacing w:before="0" w:after="240"/>
        <w:jc w:val="both"/>
        <w:rPr/>
      </w:pPr>
      <w:r>
        <w:rPr>
          <w:color w:val="000000"/>
        </w:rPr>
        <w:t>“</w:t>
      </w:r>
      <w:r>
        <w:rPr>
          <w:rFonts w:ascii="Times New Roman" w:hAnsi="Times New Roman"/>
          <w:color w:val="000000"/>
          <w:sz w:val="24"/>
          <w:u w:val="single"/>
        </w:rPr>
        <w:t>Subsequent Loan</w:t>
      </w:r>
      <w:r>
        <w:rPr>
          <w:rFonts w:ascii="Times New Roman" w:hAnsi="Times New Roman"/>
          <w:color w:val="000000"/>
          <w:sz w:val="20"/>
        </w:rPr>
        <w:t xml:space="preserve">” </w:t>
      </w:r>
      <w:r>
        <w:rPr>
          <w:rFonts w:ascii="Times New Roman" w:hAnsi="Times New Roman"/>
          <w:color w:val="000000"/>
          <w:sz w:val="24"/>
        </w:rPr>
        <w:t>means each Loan made following the Initial Loan.</w:t>
      </w:r>
    </w:p>
    <w:p>
      <w:pPr>
        <w:pStyle w:val="TextBody"/>
        <w:bidi w:val="0"/>
        <w:spacing w:before="0" w:after="240"/>
        <w:jc w:val="both"/>
        <w:rPr/>
      </w:pPr>
      <w:r>
        <w:rPr>
          <w:color w:val="000000"/>
        </w:rPr>
        <w:t>“</w:t>
      </w:r>
      <w:r>
        <w:rPr>
          <w:rFonts w:ascii="Times New Roman" w:hAnsi="Times New Roman"/>
          <w:color w:val="000000"/>
          <w:sz w:val="24"/>
          <w:u w:val="single"/>
        </w:rPr>
        <w:t>Subsequent Receivable</w:t>
      </w:r>
      <w:r>
        <w:rPr>
          <w:rFonts w:ascii="Times New Roman" w:hAnsi="Times New Roman"/>
          <w:color w:val="000000"/>
          <w:sz w:val="20"/>
        </w:rPr>
        <w:t xml:space="preserve">” </w:t>
      </w:r>
      <w:r>
        <w:rPr>
          <w:rFonts w:ascii="Times New Roman" w:hAnsi="Times New Roman"/>
          <w:color w:val="000000"/>
          <w:sz w:val="24"/>
        </w:rPr>
        <w:t>means each Receivable that becomes a part of the Collateral on a Funding Date other than the Funding Date relating to the Initial Loan.</w:t>
      </w:r>
    </w:p>
    <w:p>
      <w:pPr>
        <w:pStyle w:val="TextBody"/>
        <w:bidi w:val="0"/>
        <w:spacing w:before="0" w:after="240"/>
        <w:jc w:val="both"/>
        <w:rPr/>
      </w:pPr>
      <w:r>
        <w:rPr>
          <w:color w:val="000000"/>
        </w:rPr>
        <w:t>“</w:t>
      </w:r>
      <w:r>
        <w:rPr>
          <w:rFonts w:ascii="Times New Roman" w:hAnsi="Times New Roman"/>
          <w:color w:val="000000"/>
          <w:sz w:val="24"/>
          <w:u w:val="single"/>
        </w:rPr>
        <w:t>Subservicer</w:t>
      </w:r>
      <w:r>
        <w:rPr>
          <w:rFonts w:ascii="Times New Roman" w:hAnsi="Times New Roman"/>
          <w:color w:val="000000"/>
          <w:sz w:val="20"/>
        </w:rPr>
        <w:t xml:space="preserve">” </w:t>
      </w:r>
      <w:r>
        <w:rPr>
          <w:rFonts w:ascii="Times New Roman" w:hAnsi="Times New Roman"/>
          <w:color w:val="000000"/>
          <w:sz w:val="24"/>
        </w:rPr>
        <w:t>means a subservicer appointed by the Servicer and acceptable to the Administrative Agent for the servicing and administration of the Receivables.</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with respect to a Person, any entity with respect to which more than 50% of the outstanding voting securities shall at any time be owned or controlled, directly or indirectly, by such Person and/or one or more of its Subsidiaries, or any similar business organization which is so owned or controlled.</w:t>
      </w:r>
    </w:p>
    <w:p>
      <w:pPr>
        <w:pStyle w:val="TextBody"/>
        <w:bidi w:val="0"/>
        <w:spacing w:before="0" w:after="240"/>
        <w:jc w:val="both"/>
        <w:rPr/>
      </w:pPr>
      <w:r>
        <w:rPr>
          <w:color w:val="000000"/>
        </w:rPr>
        <w:t>“</w:t>
      </w:r>
      <w:r>
        <w:rPr>
          <w:rFonts w:ascii="Times New Roman" w:hAnsi="Times New Roman"/>
          <w:color w:val="000000"/>
          <w:sz w:val="24"/>
          <w:u w:val="single"/>
        </w:rPr>
        <w:t>Successor Servicer</w:t>
      </w:r>
      <w:r>
        <w:rPr>
          <w:rFonts w:ascii="Times New Roman" w:hAnsi="Times New Roman"/>
          <w:color w:val="000000"/>
          <w:sz w:val="20"/>
        </w:rPr>
        <w:t xml:space="preserve">” </w:t>
      </w:r>
      <w:r>
        <w:rPr>
          <w:rFonts w:ascii="Times New Roman" w:hAnsi="Times New Roman"/>
          <w:color w:val="000000"/>
          <w:sz w:val="24"/>
        </w:rPr>
        <w:t>has the meaning given to such term in Section 7.15(b).</w:t>
      </w:r>
    </w:p>
    <w:p>
      <w:pPr>
        <w:pStyle w:val="TextBody"/>
        <w:bidi w:val="0"/>
        <w:spacing w:before="0" w:after="240"/>
        <w:jc w:val="both"/>
        <w:rPr/>
      </w:pPr>
      <w:r>
        <w:rPr>
          <w:color w:val="000000"/>
        </w:rPr>
        <w:t>“</w:t>
      </w:r>
      <w:r>
        <w:rPr>
          <w:rFonts w:ascii="Times New Roman" w:hAnsi="Times New Roman"/>
          <w:color w:val="000000"/>
          <w:sz w:val="24"/>
          <w:u w:val="single"/>
        </w:rPr>
        <w:t>Support Advances</w:t>
      </w:r>
      <w:r>
        <w:rPr>
          <w:rFonts w:ascii="Times New Roman" w:hAnsi="Times New Roman"/>
          <w:color w:val="000000"/>
          <w:sz w:val="20"/>
        </w:rPr>
        <w:t xml:space="preserve">” </w:t>
      </w:r>
      <w:r>
        <w:rPr>
          <w:rFonts w:ascii="Times New Roman" w:hAnsi="Times New Roman"/>
          <w:color w:val="000000"/>
          <w:sz w:val="24"/>
        </w:rPr>
        <w:t>means, with respect to a Liquidity Provider and the related Conduit Lender, any participation or other interest held by such Liquidity Provider in such Conduit Lender’s Invested Percentage in the Loans Outstanding which were purchased from such Conduit Lender pursuant to a Support Facility and any loans or other advances made by such Liquidity Provider to such Conduit Lender pursuant to a Support Facility to fund such Conduit Lender’s making or maintaining its advances hereunder.</w:t>
      </w:r>
    </w:p>
    <w:p>
      <w:pPr>
        <w:pStyle w:val="TextBody"/>
        <w:bidi w:val="0"/>
        <w:spacing w:before="0" w:after="240"/>
        <w:jc w:val="both"/>
        <w:rPr/>
      </w:pPr>
      <w:r>
        <w:rPr>
          <w:color w:val="000000"/>
        </w:rPr>
        <w:t>“</w:t>
      </w:r>
      <w:r>
        <w:rPr>
          <w:rFonts w:ascii="Times New Roman" w:hAnsi="Times New Roman"/>
          <w:color w:val="000000"/>
          <w:sz w:val="24"/>
          <w:u w:val="single"/>
        </w:rPr>
        <w:t>Support Facility</w:t>
      </w:r>
      <w:r>
        <w:rPr>
          <w:rFonts w:ascii="Times New Roman" w:hAnsi="Times New Roman"/>
          <w:color w:val="000000"/>
          <w:sz w:val="20"/>
        </w:rPr>
        <w:t xml:space="preserve">” </w:t>
      </w:r>
      <w:r>
        <w:rPr>
          <w:rFonts w:ascii="Times New Roman" w:hAnsi="Times New Roman"/>
          <w:color w:val="000000"/>
          <w:sz w:val="24"/>
        </w:rPr>
        <w:t>means any liquidity or credit support agreement (including any letter of credit, surety bond, swap or loan or purchase facility) with, or for the benefit of, a Conduit Lender which relates to this Agreement or the Conduit Lender’s commercial paper program (including any agreement to purchase an assignment of or participation in the Notes).</w:t>
      </w:r>
    </w:p>
    <w:p>
      <w:pPr>
        <w:pStyle w:val="TextBody"/>
        <w:bidi w:val="0"/>
        <w:spacing w:before="0" w:after="240"/>
        <w:jc w:val="both"/>
        <w:rPr/>
      </w:pPr>
      <w:r>
        <w:rPr>
          <w:color w:val="000000"/>
        </w:rPr>
        <w:t>“</w:t>
      </w:r>
      <w:r>
        <w:rPr>
          <w:rFonts w:ascii="Times New Roman" w:hAnsi="Times New Roman"/>
          <w:color w:val="000000"/>
          <w:sz w:val="24"/>
          <w:u w:val="single"/>
        </w:rPr>
        <w:t>Support Party</w:t>
      </w:r>
      <w:r>
        <w:rPr>
          <w:rFonts w:ascii="Times New Roman" w:hAnsi="Times New Roman"/>
          <w:color w:val="000000"/>
          <w:sz w:val="20"/>
        </w:rPr>
        <w:t xml:space="preserve">” </w:t>
      </w:r>
      <w:r>
        <w:rPr>
          <w:rFonts w:ascii="Times New Roman" w:hAnsi="Times New Roman"/>
          <w:color w:val="000000"/>
          <w:sz w:val="24"/>
        </w:rPr>
        <w:t>means any bank, insurance company or other financial institution extending or having a commitment to extend funds to or for the account of a Conduit Lender (including by agreement to purchase an assignment of or participation in the Notes) under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Support Facility. Each Liquidity Provider for a Conduit Lender shall be deemed to be a Support Party for such Conduit Lender.</w:t>
      </w:r>
    </w:p>
    <w:p>
      <w:pPr>
        <w:pStyle w:val="TextBody"/>
        <w:bidi w:val="0"/>
        <w:spacing w:before="0" w:after="240"/>
        <w:jc w:val="both"/>
        <w:rPr/>
      </w:pPr>
      <w:r>
        <w:rPr>
          <w:color w:val="000000"/>
        </w:rPr>
        <w:t>“</w:t>
      </w:r>
      <w:r>
        <w:rPr>
          <w:rFonts w:ascii="Times New Roman" w:hAnsi="Times New Roman"/>
          <w:color w:val="000000"/>
          <w:sz w:val="24"/>
          <w:u w:val="single"/>
        </w:rPr>
        <w:t>Tangible Net Worth</w:t>
      </w:r>
      <w:r>
        <w:rPr>
          <w:rFonts w:ascii="Times New Roman" w:hAnsi="Times New Roman"/>
          <w:color w:val="000000"/>
          <w:sz w:val="20"/>
        </w:rPr>
        <w:t xml:space="preserve">” </w:t>
      </w:r>
      <w:r>
        <w:rPr>
          <w:rFonts w:ascii="Times New Roman" w:hAnsi="Times New Roman"/>
          <w:color w:val="000000"/>
          <w:sz w:val="24"/>
        </w:rPr>
        <w:t>means, with respect to any Person and its consolidated Subsidiaries, the net worth of such Person and its consolidated Subsidiaries, calculated as of the last day of the most recent calendar quarter and in accordance with GAAP, after subtracting therefrom the aggregate amount of such Person’s and its consolidated Subsidiaries’ intangible assets, including goodwill, franchises, licenses, patents, trademarks, tradenames, copyrights and service marks.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Tax</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color w:val="000000"/>
          <w:sz w:val="24"/>
        </w:rPr>
        <w:t>means any present or future taxes, levies, imposts, duties, charges, assessments or fees of any nature (including interest, penalties and additions thereto) that are imposed by any Government Authority.</w:t>
      </w:r>
    </w:p>
    <w:p>
      <w:pPr>
        <w:pStyle w:val="TextBody"/>
        <w:bidi w:val="0"/>
        <w:spacing w:before="0" w:after="240"/>
        <w:jc w:val="both"/>
        <w:rPr/>
      </w:pPr>
      <w:r>
        <w:rPr>
          <w:color w:val="000000"/>
        </w:rPr>
        <w:t>“</w:t>
      </w:r>
      <w:r>
        <w:rPr>
          <w:rFonts w:ascii="Times New Roman" w:hAnsi="Times New Roman"/>
          <w:color w:val="000000"/>
          <w:sz w:val="24"/>
          <w:u w:val="single"/>
        </w:rPr>
        <w:t>Termination Date</w:t>
      </w:r>
      <w:r>
        <w:rPr>
          <w:rFonts w:ascii="Times New Roman" w:hAnsi="Times New Roman"/>
          <w:color w:val="000000"/>
          <w:sz w:val="20"/>
        </w:rPr>
        <w:t xml:space="preserve">” </w:t>
      </w:r>
      <w:r>
        <w:rPr>
          <w:rFonts w:ascii="Times New Roman" w:hAnsi="Times New Roman"/>
          <w:color w:val="000000"/>
          <w:sz w:val="24"/>
        </w:rPr>
        <w:t>means the earliest to occur of (i) the occurrence of the latest Lender Termination Date, (ii) the Commitment Termination Date, (iii) the Business Day designated by the Borrower to the Lenders as the Termination Date at any time following 60 days’ prior written notice, (iv) the occurrence of an Early Amortization Event and (v) the automatic occurrence, or the declaration of the occurrence, of the Termination Date pursuant to Section 9.01(b).</w:t>
      </w:r>
    </w:p>
    <w:p>
      <w:pPr>
        <w:pStyle w:val="TextBody"/>
        <w:bidi w:val="0"/>
        <w:spacing w:before="0" w:after="240"/>
        <w:jc w:val="both"/>
        <w:rPr/>
      </w:pPr>
      <w:r>
        <w:rPr>
          <w:color w:val="000000"/>
        </w:rPr>
        <w:t>“</w:t>
      </w:r>
      <w:r>
        <w:rPr>
          <w:rFonts w:ascii="Times New Roman" w:hAnsi="Times New Roman"/>
          <w:color w:val="000000"/>
          <w:sz w:val="24"/>
          <w:u w:val="single"/>
        </w:rPr>
        <w:t>Termination Event</w:t>
      </w:r>
      <w:r>
        <w:rPr>
          <w:rFonts w:ascii="Times New Roman" w:hAnsi="Times New Roman"/>
          <w:color w:val="000000"/>
          <w:sz w:val="20"/>
        </w:rPr>
        <w:t xml:space="preserve">” </w:t>
      </w:r>
      <w:r>
        <w:rPr>
          <w:rFonts w:ascii="Times New Roman" w:hAnsi="Times New Roman"/>
          <w:color w:val="000000"/>
          <w:sz w:val="24"/>
        </w:rPr>
        <w:t>has the meaning given to such term in Section 9.01(a).</w:t>
      </w:r>
    </w:p>
    <w:p>
      <w:pPr>
        <w:pStyle w:val="TextBody"/>
        <w:bidi w:val="0"/>
        <w:spacing w:before="0" w:after="240"/>
        <w:jc w:val="both"/>
        <w:rPr/>
      </w:pPr>
      <w:r>
        <w:rPr>
          <w:color w:val="000000"/>
        </w:rPr>
        <w:t>“</w:t>
      </w:r>
      <w:r>
        <w:rPr>
          <w:rFonts w:ascii="Times New Roman" w:hAnsi="Times New Roman"/>
          <w:color w:val="000000"/>
          <w:sz w:val="24"/>
          <w:u w:val="single"/>
        </w:rPr>
        <w:t>Test Data File</w:t>
      </w:r>
      <w:r>
        <w:rPr>
          <w:rFonts w:ascii="Times New Roman" w:hAnsi="Times New Roman"/>
          <w:color w:val="000000"/>
          <w:sz w:val="20"/>
        </w:rPr>
        <w:t xml:space="preserve">” </w:t>
      </w:r>
      <w:r>
        <w:rPr>
          <w:rFonts w:ascii="Times New Roman" w:hAnsi="Times New Roman"/>
          <w:color w:val="000000"/>
          <w:sz w:val="24"/>
        </w:rPr>
        <w:t>means a test data file, which shall include the loan master file, the transaction history file and all other files necessary to carry out the servicing obligations hereunder.</w:t>
      </w:r>
    </w:p>
    <w:p>
      <w:pPr>
        <w:pStyle w:val="TextBody"/>
        <w:bidi w:val="0"/>
        <w:spacing w:before="0" w:after="240"/>
        <w:jc w:val="both"/>
        <w:rPr/>
      </w:pPr>
      <w:r>
        <w:rPr>
          <w:color w:val="000000"/>
        </w:rPr>
        <w:t>“</w:t>
      </w:r>
      <w:r>
        <w:rPr>
          <w:rFonts w:ascii="Times New Roman" w:hAnsi="Times New Roman"/>
          <w:color w:val="000000"/>
          <w:sz w:val="24"/>
          <w:u w:val="single"/>
        </w:rPr>
        <w:t>Transfer Agreement</w:t>
      </w:r>
      <w:r>
        <w:rPr>
          <w:rFonts w:ascii="Times New Roman" w:hAnsi="Times New Roman"/>
          <w:color w:val="000000"/>
          <w:sz w:val="20"/>
        </w:rPr>
        <w:t xml:space="preserve">” </w:t>
      </w:r>
      <w:r>
        <w:rPr>
          <w:rFonts w:ascii="Times New Roman" w:hAnsi="Times New Roman"/>
          <w:color w:val="000000"/>
          <w:sz w:val="24"/>
        </w:rPr>
        <w:t>means a Transfer Agreement in substantially the form attached to the Purchase Agreement as Exhibit A, executed by the Borrower and UACC in connection with a transfer of Receivables and the related Collateral on any Funding Date.</w:t>
      </w:r>
    </w:p>
    <w:p>
      <w:pPr>
        <w:pStyle w:val="TextBody"/>
        <w:bidi w:val="0"/>
        <w:spacing w:before="0" w:after="240"/>
        <w:jc w:val="both"/>
        <w:rPr/>
      </w:pPr>
      <w:r>
        <w:rPr>
          <w:color w:val="000000"/>
        </w:rPr>
        <w:t>“</w:t>
      </w:r>
      <w:r>
        <w:rPr>
          <w:rFonts w:ascii="Times New Roman" w:hAnsi="Times New Roman"/>
          <w:color w:val="000000"/>
          <w:sz w:val="24"/>
          <w:u w:val="single"/>
        </w:rPr>
        <w:t>Transition Expenses</w:t>
      </w:r>
      <w:r>
        <w:rPr>
          <w:rFonts w:ascii="Times New Roman" w:hAnsi="Times New Roman"/>
          <w:color w:val="000000"/>
          <w:sz w:val="20"/>
        </w:rPr>
        <w:t xml:space="preserve">” </w:t>
      </w:r>
      <w:r>
        <w:rPr>
          <w:rFonts w:ascii="Times New Roman" w:hAnsi="Times New Roman"/>
          <w:color w:val="000000"/>
          <w:sz w:val="24"/>
        </w:rPr>
        <w:t>has the meaning given to such term in Section 7.15(e).</w:t>
      </w:r>
    </w:p>
    <w:p>
      <w:pPr>
        <w:pStyle w:val="TextBody"/>
        <w:bidi w:val="0"/>
        <w:spacing w:before="0" w:after="240"/>
        <w:jc w:val="both"/>
        <w:rPr/>
      </w:pPr>
      <w:r>
        <w:rPr>
          <w:color w:val="000000"/>
        </w:rPr>
        <w:t>“</w:t>
      </w:r>
      <w:r>
        <w:rPr>
          <w:rFonts w:ascii="Times New Roman" w:hAnsi="Times New Roman"/>
          <w:color w:val="000000"/>
          <w:sz w:val="24"/>
          <w:u w:val="single"/>
        </w:rPr>
        <w:t>Trust Agreement</w:t>
      </w:r>
      <w:r>
        <w:rPr>
          <w:rFonts w:ascii="Times New Roman" w:hAnsi="Times New Roman"/>
          <w:color w:val="000000"/>
          <w:sz w:val="20"/>
        </w:rPr>
        <w:t xml:space="preserve">” </w:t>
      </w:r>
      <w:r>
        <w:rPr>
          <w:rFonts w:ascii="Times New Roman" w:hAnsi="Times New Roman"/>
          <w:color w:val="000000"/>
          <w:sz w:val="24"/>
        </w:rPr>
        <w:t>means the Amended and Restated Trust Agreement, dated as of the Closing Date, between UACC, as depositor, and the Owner Trustee.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Turbo Event</w:t>
      </w:r>
      <w:r>
        <w:rPr>
          <w:rFonts w:ascii="Times New Roman" w:hAnsi="Times New Roman"/>
          <w:color w:val="000000"/>
          <w:sz w:val="20"/>
        </w:rPr>
        <w:t xml:space="preserve">” </w:t>
      </w:r>
      <w:r>
        <w:rPr>
          <w:rFonts w:ascii="Times New Roman" w:hAnsi="Times New Roman"/>
          <w:color w:val="000000"/>
          <w:sz w:val="24"/>
        </w:rPr>
        <w:t>means either (a) the occurrence of the Termination Date pursuant to any of clauses (iii), (iv) or (v) of the definition thereof or (b) following the Termination Date, the occurrence of an Early Amortization Event.</w:t>
      </w:r>
    </w:p>
    <w:p>
      <w:pPr>
        <w:pStyle w:val="TextBody"/>
        <w:bidi w:val="0"/>
        <w:spacing w:before="0" w:after="240"/>
        <w:jc w:val="both"/>
        <w:rPr/>
      </w:pPr>
      <w:r>
        <w:rPr>
          <w:color w:val="000000"/>
        </w:rPr>
        <w:t>“</w:t>
      </w:r>
      <w:r>
        <w:rPr>
          <w:rFonts w:ascii="Times New Roman" w:hAnsi="Times New Roman"/>
          <w:color w:val="000000"/>
          <w:sz w:val="24"/>
          <w:u w:val="single"/>
        </w:rPr>
        <w:t>Twenty-First Amendment Effective Date</w:t>
      </w:r>
      <w:r>
        <w:rPr>
          <w:rFonts w:ascii="Times New Roman" w:hAnsi="Times New Roman"/>
          <w:color w:val="000000"/>
          <w:sz w:val="20"/>
        </w:rPr>
        <w:t xml:space="preserve">” </w:t>
      </w:r>
      <w:r>
        <w:rPr>
          <w:rFonts w:ascii="Times New Roman" w:hAnsi="Times New Roman"/>
          <w:color w:val="000000"/>
          <w:sz w:val="24"/>
        </w:rPr>
        <w:t>means September 29, 2022.</w:t>
      </w:r>
    </w:p>
    <w:p>
      <w:pPr>
        <w:pStyle w:val="TextBody"/>
        <w:bidi w:val="0"/>
        <w:spacing w:before="0" w:after="240"/>
        <w:jc w:val="both"/>
        <w:rPr/>
      </w:pPr>
      <w:r>
        <w:rPr>
          <w:color w:val="000000"/>
        </w:rPr>
        <w:t>“</w:t>
      </w:r>
      <w:r>
        <w:rPr>
          <w:rFonts w:ascii="Times New Roman" w:hAnsi="Times New Roman"/>
          <w:color w:val="000000"/>
          <w:sz w:val="24"/>
          <w:u w:val="single"/>
        </w:rPr>
        <w:t>Twenty-Ninth Amendment Effective Date</w:t>
      </w:r>
      <w:r>
        <w:rPr>
          <w:rFonts w:ascii="Times New Roman" w:hAnsi="Times New Roman"/>
          <w:color w:val="000000"/>
          <w:sz w:val="20"/>
        </w:rPr>
        <w:t xml:space="preserve">” </w:t>
      </w:r>
      <w:r>
        <w:rPr>
          <w:rFonts w:ascii="Times New Roman" w:hAnsi="Times New Roman"/>
          <w:color w:val="000000"/>
          <w:sz w:val="24"/>
        </w:rPr>
        <w:t>means June 30, 2026.</w:t>
      </w:r>
    </w:p>
    <w:p>
      <w:pPr>
        <w:pStyle w:val="TextBody"/>
        <w:bidi w:val="0"/>
        <w:spacing w:before="0" w:after="240"/>
        <w:jc w:val="both"/>
        <w:rPr/>
      </w:pPr>
      <w:r>
        <w:rPr>
          <w:color w:val="000000"/>
        </w:rPr>
        <w:t>“</w:t>
      </w:r>
      <w:r>
        <w:rPr>
          <w:rFonts w:ascii="Times New Roman" w:hAnsi="Times New Roman"/>
          <w:color w:val="000000"/>
          <w:sz w:val="24"/>
          <w:u w:val="single"/>
        </w:rPr>
        <w:t>Twenty-Seventh Amendment Effective Date</w:t>
      </w:r>
      <w:r>
        <w:rPr>
          <w:rFonts w:ascii="Times New Roman" w:hAnsi="Times New Roman"/>
          <w:color w:val="000000"/>
          <w:sz w:val="20"/>
        </w:rPr>
        <w:t xml:space="preserve">” </w:t>
      </w:r>
      <w:r>
        <w:rPr>
          <w:rFonts w:ascii="Times New Roman" w:hAnsi="Times New Roman"/>
          <w:color w:val="000000"/>
          <w:sz w:val="24"/>
        </w:rPr>
        <w:t>means March 7, 2025.</w:t>
      </w:r>
    </w:p>
    <w:p>
      <w:pPr>
        <w:pStyle w:val="TextBody"/>
        <w:bidi w:val="0"/>
        <w:spacing w:before="0" w:after="240"/>
        <w:jc w:val="both"/>
        <w:rPr/>
      </w:pPr>
      <w:r>
        <w:rPr>
          <w:color w:val="000000"/>
        </w:rPr>
        <w:t>“</w:t>
      </w:r>
      <w:r>
        <w:rPr>
          <w:rFonts w:ascii="Times New Roman" w:hAnsi="Times New Roman"/>
          <w:color w:val="000000"/>
          <w:sz w:val="24"/>
          <w:u w:val="single"/>
        </w:rPr>
        <w:t>Twenty-Sixth Amendment Effective Date</w:t>
      </w:r>
      <w:r>
        <w:rPr>
          <w:rFonts w:ascii="Times New Roman" w:hAnsi="Times New Roman"/>
          <w:color w:val="000000"/>
          <w:sz w:val="20"/>
        </w:rPr>
        <w:t xml:space="preserve">” </w:t>
      </w:r>
      <w:r>
        <w:rPr>
          <w:rFonts w:ascii="Times New Roman" w:hAnsi="Times New Roman"/>
          <w:color w:val="000000"/>
          <w:sz w:val="24"/>
        </w:rPr>
        <w:t>means December 15, 2023.</w:t>
      </w:r>
    </w:p>
    <w:p>
      <w:pPr>
        <w:pStyle w:val="TextBody"/>
        <w:bidi w:val="0"/>
        <w:spacing w:before="0" w:after="240"/>
        <w:jc w:val="both"/>
        <w:rPr/>
      </w:pPr>
      <w:r>
        <w:rPr>
          <w:color w:val="000000"/>
        </w:rPr>
        <w:t>“</w:t>
      </w:r>
      <w:r>
        <w:rPr>
          <w:rFonts w:ascii="Times New Roman" w:hAnsi="Times New Roman"/>
          <w:color w:val="000000"/>
          <w:sz w:val="24"/>
          <w:u w:val="single"/>
        </w:rPr>
        <w:t>Twenty-Third Amendment Effective Date</w:t>
      </w:r>
      <w:r>
        <w:rPr>
          <w:rFonts w:ascii="Times New Roman" w:hAnsi="Times New Roman"/>
          <w:color w:val="000000"/>
          <w:sz w:val="20"/>
        </w:rPr>
        <w:t xml:space="preserve">” </w:t>
      </w:r>
      <w:r>
        <w:rPr>
          <w:rFonts w:ascii="Times New Roman" w:hAnsi="Times New Roman"/>
          <w:color w:val="000000"/>
          <w:sz w:val="24"/>
        </w:rPr>
        <w:t>means March 15, 2023.</w:t>
      </w:r>
    </w:p>
    <w:p>
      <w:pPr>
        <w:pStyle w:val="TextBody"/>
        <w:bidi w:val="0"/>
        <w:spacing w:before="0" w:after="240"/>
        <w:jc w:val="both"/>
        <w:rPr/>
      </w:pPr>
      <w:r>
        <w:rPr>
          <w:color w:val="000000"/>
        </w:rPr>
        <w:t>“</w:t>
      </w:r>
      <w:r>
        <w:rPr>
          <w:rFonts w:ascii="Times New Roman" w:hAnsi="Times New Roman"/>
          <w:color w:val="000000"/>
          <w:sz w:val="24"/>
          <w:u w:val="single"/>
        </w:rPr>
        <w:t>UACC</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UACC Indemnified Amounts</w:t>
      </w:r>
      <w:r>
        <w:rPr>
          <w:rFonts w:ascii="Times New Roman" w:hAnsi="Times New Roman"/>
          <w:color w:val="000000"/>
          <w:sz w:val="20"/>
        </w:rPr>
        <w:t xml:space="preserve">” </w:t>
      </w:r>
      <w:r>
        <w:rPr>
          <w:rFonts w:ascii="Times New Roman" w:hAnsi="Times New Roman"/>
          <w:color w:val="000000"/>
          <w:sz w:val="24"/>
        </w:rPr>
        <w:t>has the meaning given to such term in Section 10.01(b).</w:t>
      </w:r>
    </w:p>
    <w:p>
      <w:pPr>
        <w:pStyle w:val="TextBody"/>
        <w:bidi w:val="0"/>
        <w:spacing w:before="0" w:after="240"/>
        <w:jc w:val="both"/>
        <w:rPr/>
      </w:pPr>
      <w:r>
        <w:rPr>
          <w:color w:val="000000"/>
        </w:rPr>
        <w:t>“</w:t>
      </w:r>
      <w:r>
        <w:rPr>
          <w:rFonts w:ascii="Times New Roman" w:hAnsi="Times New Roman"/>
          <w:color w:val="000000"/>
          <w:sz w:val="24"/>
          <w:u w:val="single"/>
        </w:rPr>
        <w:t>UACC Indemnified Party</w:t>
      </w:r>
      <w:r>
        <w:rPr>
          <w:rFonts w:ascii="Times New Roman" w:hAnsi="Times New Roman"/>
          <w:color w:val="000000"/>
          <w:sz w:val="20"/>
        </w:rPr>
        <w:t xml:space="preserve">” </w:t>
      </w:r>
      <w:r>
        <w:rPr>
          <w:rFonts w:ascii="Times New Roman" w:hAnsi="Times New Roman"/>
          <w:color w:val="000000"/>
          <w:sz w:val="24"/>
        </w:rPr>
        <w:t>has the meaning given to such term in Section 10.01(b).</w:t>
      </w:r>
    </w:p>
    <w:p>
      <w:pPr>
        <w:pStyle w:val="TextBody"/>
        <w:bidi w:val="0"/>
        <w:spacing w:before="0" w:after="240"/>
        <w:jc w:val="both"/>
        <w:rPr/>
      </w:pPr>
      <w:r>
        <w:rPr>
          <w:color w:val="000000"/>
        </w:rPr>
        <w:t>“</w:t>
      </w:r>
      <w:r>
        <w:rPr>
          <w:rFonts w:ascii="Times New Roman" w:hAnsi="Times New Roman"/>
          <w:color w:val="000000"/>
          <w:sz w:val="24"/>
          <w:u w:val="single"/>
        </w:rPr>
        <w:t>UCC</w:t>
      </w:r>
      <w:r>
        <w:rPr>
          <w:rFonts w:ascii="Times New Roman" w:hAnsi="Times New Roman"/>
          <w:color w:val="000000"/>
          <w:sz w:val="20"/>
        </w:rPr>
        <w:t xml:space="preserve">” </w:t>
      </w:r>
      <w:r>
        <w:rPr>
          <w:rFonts w:ascii="Times New Roman" w:hAnsi="Times New Roman"/>
          <w:color w:val="000000"/>
          <w:sz w:val="24"/>
        </w:rPr>
        <w:t>means the Uniform Commercial Code as from time to time in effect in the applicable jurisdiction.</w:t>
      </w:r>
    </w:p>
    <w:p>
      <w:pPr>
        <w:pStyle w:val="TextBody"/>
        <w:bidi w:val="0"/>
        <w:spacing w:before="0" w:after="240"/>
        <w:jc w:val="both"/>
        <w:rPr/>
      </w:pPr>
      <w:r>
        <w:rPr>
          <w:color w:val="000000"/>
        </w:rPr>
        <w:t>“</w:t>
      </w:r>
      <w:r>
        <w:rPr>
          <w:rFonts w:ascii="Times New Roman" w:hAnsi="Times New Roman"/>
          <w:color w:val="000000"/>
          <w:sz w:val="24"/>
          <w:u w:val="single"/>
        </w:rPr>
        <w:t>Unadjusted Benchmark Replacement</w:t>
      </w:r>
      <w:r>
        <w:rPr>
          <w:rFonts w:ascii="Times New Roman" w:hAnsi="Times New Roman"/>
          <w:color w:val="000000"/>
          <w:sz w:val="20"/>
        </w:rPr>
        <w:t xml:space="preserve">” </w:t>
      </w:r>
      <w:r>
        <w:rPr>
          <w:rFonts w:ascii="Times New Roman" w:hAnsi="Times New Roman"/>
          <w:color w:val="000000"/>
          <w:sz w:val="24"/>
        </w:rPr>
        <w:t>means the applicable Benchmark Replacement excluding the related Benchmark Replacement Adjustment.</w:t>
      </w:r>
    </w:p>
    <w:p>
      <w:pPr>
        <w:pStyle w:val="TextBody"/>
        <w:bidi w:val="0"/>
        <w:spacing w:before="0" w:after="240"/>
        <w:jc w:val="both"/>
        <w:rPr/>
      </w:pPr>
      <w:r>
        <w:rPr>
          <w:color w:val="000000"/>
        </w:rPr>
        <w:t>“</w:t>
      </w:r>
      <w:r>
        <w:rPr>
          <w:rFonts w:ascii="Times New Roman" w:hAnsi="Times New Roman"/>
          <w:color w:val="000000"/>
          <w:sz w:val="24"/>
          <w:u w:val="single"/>
        </w:rPr>
        <w:t>United States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U.S.</w:t>
      </w:r>
      <w:r>
        <w:rPr>
          <w:rFonts w:ascii="Times New Roman" w:hAnsi="Times New Roman"/>
          <w:color w:val="000000"/>
          <w:sz w:val="20"/>
        </w:rPr>
        <w:t xml:space="preserve">” </w:t>
      </w:r>
      <w:r>
        <w:rPr>
          <w:rFonts w:ascii="Times New Roman" w:hAnsi="Times New Roman"/>
          <w:color w:val="000000"/>
          <w:sz w:val="24"/>
        </w:rPr>
        <w:t>means the United States of America.</w:t>
      </w:r>
    </w:p>
    <w:p>
      <w:pPr>
        <w:pStyle w:val="TextBody"/>
        <w:bidi w:val="0"/>
        <w:spacing w:before="0" w:after="240"/>
        <w:jc w:val="both"/>
        <w:rPr/>
      </w:pPr>
      <w:r>
        <w:rPr>
          <w:color w:val="000000"/>
        </w:rPr>
        <w:t>“</w:t>
      </w:r>
      <w:r>
        <w:rPr>
          <w:rFonts w:ascii="Times New Roman" w:hAnsi="Times New Roman"/>
          <w:color w:val="000000"/>
          <w:sz w:val="24"/>
          <w:u w:val="single"/>
        </w:rPr>
        <w:t>Unmatured Termination Event</w:t>
      </w:r>
      <w:r>
        <w:rPr>
          <w:rFonts w:ascii="Times New Roman" w:hAnsi="Times New Roman"/>
          <w:color w:val="000000"/>
          <w:sz w:val="20"/>
        </w:rPr>
        <w:t xml:space="preserve">” </w:t>
      </w:r>
      <w:r>
        <w:rPr>
          <w:rFonts w:ascii="Times New Roman" w:hAnsi="Times New Roman"/>
          <w:color w:val="000000"/>
          <w:sz w:val="24"/>
        </w:rPr>
        <w:t>means any event that, with the giving of notice or the lapse of time, or both, would become a Termination Event.</w:t>
      </w:r>
    </w:p>
    <w:p>
      <w:pPr>
        <w:pStyle w:val="TextBody"/>
        <w:bidi w:val="0"/>
        <w:spacing w:before="0" w:after="240"/>
        <w:jc w:val="both"/>
        <w:rPr/>
      </w:pPr>
      <w:r>
        <w:rPr>
          <w:color w:val="000000"/>
        </w:rPr>
        <w:t>“</w:t>
      </w:r>
      <w:r>
        <w:rPr>
          <w:rFonts w:ascii="Times New Roman" w:hAnsi="Times New Roman"/>
          <w:color w:val="000000"/>
          <w:sz w:val="24"/>
          <w:u w:val="single"/>
        </w:rPr>
        <w:t>Unrestricted Cash</w:t>
      </w:r>
      <w:r>
        <w:rPr>
          <w:rFonts w:ascii="Times New Roman" w:hAnsi="Times New Roman"/>
          <w:color w:val="000000"/>
          <w:sz w:val="20"/>
        </w:rPr>
        <w:t xml:space="preserve">” </w:t>
      </w:r>
      <w:r>
        <w:rPr>
          <w:rFonts w:ascii="Times New Roman" w:hAnsi="Times New Roman"/>
          <w:color w:val="000000"/>
          <w:sz w:val="24"/>
        </w:rPr>
        <w:t>means, with respect to a Person and its consolidated Subsidiaries, as of any date of determination, the Cash and Cash Equivalents of such Person and its consolidated Subsidiaries that (i) in accordance with GAAP are not reflected as “restricted” on the consolidated balance sheet of such Person and (ii) (A) is not (and the deposit account or securities account in which it is held is not) subject to any Lien or other preferential arrangement in favor of any creditor (other than, in respect of any such deposit account or securities account, bankers’ liens, rights of setoff and similar Liens granted to financial institutions maintaining such accounts), or (B) if such Cash and Cash Equivalents (and the deposit account or securities account in which it is held) are subject to any Lien or other preferential arrangement in favor of any creditor (other than, in respect of any such deposit account or securities account, bankers’ liens, rights of setoff and similar Liens granted to financial institutions maintaining such accounts), on such date (x) no default has occurred under the transaction documents governing the related Indebtedness and the creation of such Lien and (y) such creditor has contractually agreed that it will not exercise dominion or right of setoff or otherwise prevent such Person or its consolidated Subsidiaries from accessing and utilizing funds credited to such deposit or securities account unless an event of default (after giving effect to any applicable cure period) has occurred under such transaction documents.</w:t>
      </w:r>
    </w:p>
    <w:p>
      <w:pPr>
        <w:pStyle w:val="TextBody"/>
        <w:bidi w:val="0"/>
        <w:spacing w:before="0" w:after="240"/>
        <w:jc w:val="both"/>
        <w:rPr/>
      </w:pPr>
      <w:r>
        <w:rPr>
          <w:color w:val="000000"/>
        </w:rPr>
        <w:t>“</w:t>
      </w:r>
      <w:r>
        <w:rPr>
          <w:rFonts w:ascii="Times New Roman" w:hAnsi="Times New Roman"/>
          <w:color w:val="000000"/>
          <w:sz w:val="24"/>
          <w:u w:val="single"/>
        </w:rPr>
        <w:t>Unused Fee</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for each Lender Group, a fee payable by the Borrower pursuant to the Fee Letter to the related Agent on such Payment Date in an amount equal to the product of (i) the Unused Fee Rate and (ii) the excess of (A) [***]% of the aggregate Commitments of the Committed Lenders in such Lender Group minus (B) [***].</w:t>
      </w:r>
    </w:p>
    <w:p>
      <w:pPr>
        <w:pStyle w:val="TextBody"/>
        <w:bidi w:val="0"/>
        <w:spacing w:before="0" w:after="240"/>
        <w:jc w:val="both"/>
        <w:rPr/>
      </w:pPr>
      <w:r>
        <w:rPr>
          <w:color w:val="000000"/>
        </w:rPr>
        <w:t>“</w:t>
      </w:r>
      <w:r>
        <w:rPr>
          <w:rFonts w:ascii="Times New Roman" w:hAnsi="Times New Roman"/>
          <w:color w:val="000000"/>
          <w:sz w:val="24"/>
          <w:u w:val="single"/>
        </w:rPr>
        <w:t>Unused Fee Rate</w:t>
      </w:r>
      <w:r>
        <w:rPr>
          <w:rFonts w:ascii="Times New Roman" w:hAnsi="Times New Roman"/>
          <w:color w:val="000000"/>
          <w:sz w:val="20"/>
        </w:rPr>
        <w:t xml:space="preserve">” </w:t>
      </w:r>
      <w:r>
        <w:rPr>
          <w:rFonts w:ascii="Times New Roman" w:hAnsi="Times New Roman"/>
          <w:color w:val="000000"/>
          <w:sz w:val="24"/>
        </w:rPr>
        <w:t>has the meaning set forth in the Fee Letter.</w:t>
      </w:r>
    </w:p>
    <w:p>
      <w:pPr>
        <w:pStyle w:val="TextBody"/>
        <w:bidi w:val="0"/>
        <w:spacing w:before="0" w:after="240"/>
        <w:jc w:val="both"/>
        <w:rPr/>
      </w:pPr>
      <w:r>
        <w:rPr>
          <w:color w:val="000000"/>
        </w:rPr>
        <w:t>“</w:t>
      </w:r>
      <w:r>
        <w:rPr>
          <w:rFonts w:ascii="Times New Roman" w:hAnsi="Times New Roman"/>
          <w:color w:val="000000"/>
          <w:sz w:val="24"/>
          <w:u w:val="single"/>
        </w:rPr>
        <w:t>Usage Fee</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for each Lender Group, a fee payable by the Borrower pursuant to the Fee Letter to the related Agent on such Payment Date in an amount equal to the product of (i) the Usage Fee Rate and (ii) the average daily portion of the Loans Outstanding funded or maintained by the related Conduit Lenders during such Collection Period.</w:t>
      </w:r>
    </w:p>
    <w:p>
      <w:pPr>
        <w:pStyle w:val="TextBody"/>
        <w:bidi w:val="0"/>
        <w:spacing w:before="0" w:after="240"/>
        <w:jc w:val="both"/>
        <w:rPr/>
      </w:pPr>
      <w:r>
        <w:rPr>
          <w:color w:val="000000"/>
        </w:rPr>
        <w:t>“</w:t>
      </w:r>
      <w:r>
        <w:rPr>
          <w:rFonts w:ascii="Times New Roman" w:hAnsi="Times New Roman"/>
          <w:color w:val="000000"/>
          <w:sz w:val="24"/>
          <w:u w:val="single"/>
        </w:rPr>
        <w:t>Usage Fee Rate</w:t>
      </w:r>
      <w:r>
        <w:rPr>
          <w:rFonts w:ascii="Times New Roman" w:hAnsi="Times New Roman"/>
          <w:color w:val="000000"/>
          <w:sz w:val="20"/>
        </w:rPr>
        <w:t xml:space="preserve">” </w:t>
      </w:r>
      <w:r>
        <w:rPr>
          <w:rFonts w:ascii="Times New Roman" w:hAnsi="Times New Roman"/>
          <w:color w:val="000000"/>
          <w:sz w:val="24"/>
        </w:rPr>
        <w:t>has the meaning set forth in the Fee Letter.</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U.S. Government Securities Business Day</w:t>
      </w:r>
      <w:r>
        <w:rPr>
          <w:rFonts w:ascii="Times New Roman" w:hAnsi="Times New Roman"/>
          <w:color w:val="000000"/>
          <w:sz w:val="20"/>
        </w:rPr>
        <w:t xml:space="preserve">” </w:t>
      </w:r>
      <w:r>
        <w:rPr>
          <w:rFonts w:ascii="Times New Roman" w:hAnsi="Times New Roman"/>
          <w:color w:val="000000"/>
          <w:sz w:val="24"/>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color w:val="000000"/>
          <w:sz w:val="24"/>
          <w:u w:val="single"/>
        </w:rPr>
        <w:t>VFH</w:t>
      </w:r>
      <w:r>
        <w:rPr>
          <w:rFonts w:ascii="Times New Roman" w:hAnsi="Times New Roman"/>
          <w:color w:val="000000"/>
          <w:sz w:val="20"/>
        </w:rPr>
        <w:t xml:space="preserve">” </w:t>
      </w:r>
      <w:r>
        <w:rPr>
          <w:rFonts w:ascii="Times New Roman" w:hAnsi="Times New Roman"/>
          <w:color w:val="000000"/>
          <w:sz w:val="24"/>
        </w:rPr>
        <w:t>means Vroom Finance Holdings LLC, a Delaware limited liability company.</w:t>
      </w:r>
    </w:p>
    <w:p>
      <w:pPr>
        <w:pStyle w:val="TextBody"/>
        <w:bidi w:val="0"/>
        <w:spacing w:before="0" w:after="240"/>
        <w:jc w:val="both"/>
        <w:rPr/>
      </w:pPr>
      <w:r>
        <w:rPr>
          <w:color w:val="000000"/>
        </w:rPr>
        <w:t>“</w:t>
      </w:r>
      <w:r>
        <w:rPr>
          <w:rFonts w:ascii="Times New Roman" w:hAnsi="Times New Roman"/>
          <w:color w:val="000000"/>
          <w:sz w:val="24"/>
          <w:u w:val="single"/>
        </w:rPr>
        <w:t>Volcker Rule</w:t>
      </w:r>
      <w:r>
        <w:rPr>
          <w:rFonts w:ascii="Times New Roman" w:hAnsi="Times New Roman"/>
          <w:color w:val="000000"/>
          <w:sz w:val="20"/>
        </w:rPr>
        <w:t xml:space="preserve">” </w:t>
      </w:r>
      <w:r>
        <w:rPr>
          <w:rFonts w:ascii="Times New Roman" w:hAnsi="Times New Roman"/>
          <w:color w:val="000000"/>
          <w:sz w:val="24"/>
        </w:rPr>
        <w:t>means Section 13 of the U.S. Bank Holding Company Act of 1956, as amended and the applicable rules and regulations thereunder.</w:t>
      </w:r>
    </w:p>
    <w:p>
      <w:pPr>
        <w:pStyle w:val="TextBody"/>
        <w:bidi w:val="0"/>
        <w:spacing w:before="0" w:after="240"/>
        <w:jc w:val="both"/>
        <w:rPr/>
      </w:pPr>
      <w:r>
        <w:rPr>
          <w:color w:val="000000"/>
        </w:rPr>
        <w:t>“</w:t>
      </w:r>
      <w:r>
        <w:rPr>
          <w:rFonts w:ascii="Times New Roman" w:hAnsi="Times New Roman"/>
          <w:color w:val="000000"/>
          <w:sz w:val="24"/>
          <w:u w:val="single"/>
        </w:rPr>
        <w:t>Vroom Receivable</w:t>
      </w:r>
      <w:r>
        <w:rPr>
          <w:rFonts w:ascii="Times New Roman" w:hAnsi="Times New Roman"/>
          <w:color w:val="000000"/>
          <w:sz w:val="20"/>
        </w:rPr>
        <w:t xml:space="preserve">” </w:t>
      </w:r>
      <w:r>
        <w:rPr>
          <w:rFonts w:ascii="Times New Roman" w:hAnsi="Times New Roman"/>
          <w:color w:val="000000"/>
          <w:sz w:val="24"/>
        </w:rPr>
        <w:t>means a Receivable or Serviced Portfolio Receivable directly originated by Vroom Automotive, LLC, acting as a Dealer.</w:t>
      </w:r>
    </w:p>
    <w:p>
      <w:pPr>
        <w:pStyle w:val="TextBody"/>
        <w:bidi w:val="0"/>
        <w:spacing w:before="0" w:after="240"/>
        <w:jc w:val="both"/>
        <w:rPr/>
      </w:pPr>
      <w:r>
        <w:rPr>
          <w:color w:val="000000"/>
        </w:rPr>
        <w:t>“</w:t>
      </w:r>
      <w:r>
        <w:rPr>
          <w:rFonts w:ascii="Times New Roman" w:hAnsi="Times New Roman"/>
          <w:color w:val="000000"/>
          <w:sz w:val="24"/>
          <w:u w:val="single"/>
        </w:rPr>
        <w:t>Weighted Average Advance Rate</w:t>
      </w:r>
      <w:r>
        <w:rPr>
          <w:rFonts w:ascii="Times New Roman" w:hAnsi="Times New Roman"/>
          <w:color w:val="000000"/>
          <w:sz w:val="20"/>
        </w:rPr>
        <w:t xml:space="preserve">” </w:t>
      </w:r>
      <w:r>
        <w:rPr>
          <w:rFonts w:ascii="Times New Roman" w:hAnsi="Times New Roman"/>
          <w:color w:val="000000"/>
          <w:sz w:val="24"/>
        </w:rPr>
        <w:t>means, on any Determination Date, a fraction (expressed as a percentage) the numerator of which is the sum of (a) the product of (i) the Portfolio Purchase Receivables Advance Rate and (ii) the aggregate Net Principal Balance of all Portfolio Purchase Receivables on such date, plus (b) the product of (i) the Receivables Advance Rate and (ii) the aggregate Net Principal Balance of all Receivables on such date, plus (c) the product of (i) the Permitted Modifications Advance Rate and (ii) the aggregate Net Principal Balance of all Permitted Modifications on such date, and the denominator of which is the aggregate Net Principal Balance of all Eligible Receivables on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1.02. </w:t>
      </w:r>
    </w:p>
    <w:p>
      <w:pPr>
        <w:pStyle w:val="TextBody"/>
        <w:bidi w:val="0"/>
        <w:spacing w:before="0" w:after="240"/>
        <w:jc w:val="both"/>
        <w:rPr/>
      </w:pPr>
      <w:r>
        <w:rPr>
          <w:rFonts w:ascii="Times New Roman" w:hAnsi="Times New Roman"/>
          <w:color w:val="000000"/>
          <w:sz w:val="24"/>
          <w:u w:val="single"/>
        </w:rPr>
        <w:t>Accounting Terms and Determinations</w:t>
      </w:r>
      <w:r>
        <w:rPr>
          <w:rFonts w:ascii="Times New Roman" w:hAnsi="Times New Roman"/>
          <w:color w:val="000000"/>
          <w:sz w:val="24"/>
        </w:rPr>
        <w:t>. Unless otherwise defined or specified herein, all accounting terms shall be construed herein, all accounting determinations hereunder shall be made, all financial statements required to be delivered hereunder shall be prepared and all financial records shall be maintained in accordance with GAAP.</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1.03. </w:t>
      </w:r>
    </w:p>
    <w:p>
      <w:pPr>
        <w:pStyle w:val="TextBody"/>
        <w:bidi w:val="0"/>
        <w:spacing w:before="0" w:after="240"/>
        <w:jc w:val="both"/>
        <w:rPr/>
      </w:pPr>
      <w:r>
        <w:rPr>
          <w:rFonts w:ascii="Times New Roman" w:hAnsi="Times New Roman"/>
          <w:color w:val="000000"/>
          <w:sz w:val="24"/>
          <w:u w:val="single"/>
        </w:rPr>
        <w:t>Computation of Time Periods</w:t>
      </w:r>
      <w:r>
        <w:rPr>
          <w:rFonts w:ascii="Times New Roman" w:hAnsi="Times New Roman"/>
          <w:color w:val="000000"/>
          <w:sz w:val="24"/>
        </w:rPr>
        <w:t>. Unless otherwise stated in this Agreement, in the computation of a period of time from a specified date to a later specified date, the word “from” means “from and including” and the words “to” and “until” each mean “to but excluding.”</w:t>
      </w:r>
    </w:p>
    <w:p>
      <w:pPr>
        <w:pStyle w:val="TextBody"/>
        <w:bidi w:val="0"/>
        <w:spacing w:before="0" w:after="240"/>
        <w:jc w:val="left"/>
        <w:rPr>
          <w:rFonts w:ascii="Times New Roman" w:hAnsi="Times New Roman"/>
          <w:color w:val="2F5496"/>
          <w:sz w:val="24"/>
        </w:rPr>
      </w:pPr>
      <w:r>
        <w:rPr>
          <w:rFonts w:ascii="Times New Roman" w:hAnsi="Times New Roman"/>
          <w:color w:val="2F5496"/>
          <w:sz w:val="24"/>
        </w:rPr>
        <w:t xml:space="preserve">Section 1.04. </w:t>
      </w:r>
    </w:p>
    <w:p>
      <w:pPr>
        <w:pStyle w:val="TextBody"/>
        <w:bidi w:val="0"/>
        <w:spacing w:before="0" w:after="240"/>
        <w:jc w:val="left"/>
        <w:rPr/>
      </w:pPr>
      <w:r>
        <w:rPr>
          <w:rFonts w:ascii="Times New Roman" w:hAnsi="Times New Roman"/>
          <w:color w:val="000000"/>
          <w:sz w:val="24"/>
          <w:u w:val="single"/>
        </w:rPr>
        <w:t>Interpretation</w:t>
      </w:r>
      <w:r>
        <w:rPr>
          <w:rFonts w:ascii="Times New Roman" w:hAnsi="Times New Roman"/>
          <w:color w:val="000000"/>
          <w:sz w:val="24"/>
        </w:rPr>
        <w:t xml:space="preserve">. When used in this Agreement, unless a contrary intention appears: (i) a term has the meaning assigned to it; (ii) “or” is not exclusive; (iii) “including” means including without limitation; (iv) words in the singular include the plural and words in the plural include the singular; (v) any agreement, instrument or statute defined or referred to herein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(vi) references to a Person are also to its successors and permitted assigns; (vii) the words “hereof”, “herein” and “hereunder” and words of similar import when used in this Agreement shall refer to this Agreement as a whole and not to any particular provision hereof; (viii) references contained herein to Article, Section, Schedule and Exhibit, as applicable, are references to Articles, Sections, Schedules and Exhibits in this Agreement unless otherwise specified; (ix) references to “writing” include printing, typing, lithography and other means of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reproducing words in a visible form; and (x) the term “proceeds” has the meaning set forth in the applicable UCC.</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1.05. </w:t>
      </w:r>
    </w:p>
    <w:p>
      <w:pPr>
        <w:pStyle w:val="TextBody"/>
        <w:bidi w:val="0"/>
        <w:spacing w:before="0" w:after="240"/>
        <w:jc w:val="both"/>
        <w:rPr/>
      </w:pPr>
      <w:r>
        <w:rPr>
          <w:rFonts w:ascii="Times New Roman" w:hAnsi="Times New Roman"/>
          <w:color w:val="000000"/>
          <w:sz w:val="24"/>
          <w:u w:val="single"/>
        </w:rPr>
        <w:t>Interest Rates</w:t>
      </w:r>
      <w:r>
        <w:rPr>
          <w:rFonts w:ascii="Times New Roman" w:hAnsi="Times New Roman"/>
          <w:color w:val="000000"/>
          <w:sz w:val="24"/>
        </w:rPr>
        <w:t>. The interest rate on a Loan may be derived from an interest rate benchmark that may be discontinued or is, or may in the future become, the subject of regulatory reform. Upon the occurrence of a Benchmark Transition Event, Section 2.17(b)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1.06. </w:t>
      </w:r>
    </w:p>
    <w:p>
      <w:pPr>
        <w:pStyle w:val="TextBody"/>
        <w:bidi w:val="0"/>
        <w:spacing w:before="0" w:after="240"/>
        <w:jc w:val="both"/>
        <w:rPr/>
      </w:pPr>
      <w:r>
        <w:rPr>
          <w:rFonts w:ascii="Times New Roman" w:hAnsi="Times New Roman"/>
          <w:color w:val="000000"/>
          <w:sz w:val="24"/>
          <w:u w:val="single"/>
        </w:rPr>
        <w:t>Acknowledgement Regarding Any Supported QFCs</w:t>
      </w:r>
      <w:r>
        <w:rPr>
          <w:rFonts w:ascii="Times New Roman" w:hAnsi="Times New Roman"/>
          <w:color w:val="000000"/>
          <w:sz w:val="24"/>
        </w:rPr>
        <w:t>. To the extent that the Basic Documents provide support, through a guarantee or otherwise, for Hedging Agreement or any other agreement or instrument that is a QFC (such support, “</w:t>
      </w:r>
      <w:r>
        <w:rPr>
          <w:rFonts w:ascii="Times New Roman" w:hAnsi="Times New Roman"/>
          <w:color w:val="000000"/>
          <w:sz w:val="24"/>
          <w:u w:val="single"/>
        </w:rPr>
        <w:t>QFC Credit Support</w:t>
      </w:r>
      <w:r>
        <w:rPr>
          <w:color w:val="000000"/>
        </w:rPr>
        <w:t xml:space="preserve">” </w:t>
      </w:r>
      <w:r>
        <w:rPr>
          <w:rFonts w:ascii="Times New Roman" w:hAnsi="Times New Roman"/>
          <w:color w:val="000000"/>
          <w:sz w:val="24"/>
        </w:rPr>
        <w:t>and each such QFC a “</w:t>
      </w:r>
      <w:r>
        <w:rPr>
          <w:rFonts w:ascii="Times New Roman" w:hAnsi="Times New Roman"/>
          <w:color w:val="000000"/>
          <w:sz w:val="24"/>
          <w:u w:val="single"/>
        </w:rPr>
        <w:t>Supported QFC</w:t>
      </w:r>
      <w:r>
        <w:rPr>
          <w:color w:val="000000"/>
        </w:rPr>
        <w:t>”</w:t>
      </w:r>
      <w:r>
        <w:rPr>
          <w:rFonts w:ascii="Times New Roman" w:hAnsi="Times New Roman"/>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color w:val="000000"/>
          <w:sz w:val="24"/>
          <w:u w:val="single"/>
        </w:rPr>
        <w:t>U.S. Special Resolution Regimes</w:t>
      </w:r>
      <w:r>
        <w:rPr>
          <w:color w:val="000000"/>
        </w:rPr>
        <w:t>”</w:t>
      </w:r>
      <w:r>
        <w:rPr>
          <w:rFonts w:ascii="Times New Roman" w:hAnsi="Times New Roman"/>
          <w:color w:val="000000"/>
          <w:sz w:val="24"/>
        </w:rPr>
        <w:t>) in respect of such Supported QFC and QFC Credit Support (with the provisions below applicable notwithstanding that the Basic Documents and any Supported QFC may in fact be stated to be governed by the laws of the State of New York or of the United States or any other state of the United States):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4"/>
        </w:rPr>
        <w:t>In the event a Covered Entity that is party to a Supported QFC (each, a “</w:t>
      </w:r>
      <w:r>
        <w:rPr>
          <w:rFonts w:ascii="Times New Roman" w:hAnsi="Times New Roman"/>
          <w:color w:val="000000"/>
          <w:sz w:val="24"/>
          <w:u w:val="single"/>
        </w:rPr>
        <w:t>Covered Party</w:t>
      </w:r>
      <w:r>
        <w:rPr>
          <w:color w:val="000000"/>
        </w:rPr>
        <w:t>”</w:t>
      </w:r>
      <w:r>
        <w:rPr>
          <w:rFonts w:ascii="Times New Roman" w:hAnsi="Times New Roman"/>
          <w:color w:val="000000"/>
          <w:sz w:val="24"/>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both"/>
        <w:rPr/>
      </w:pPr>
      <w:r>
        <w:rPr>
          <w:rFonts w:ascii="Times New Roman" w:hAnsi="Times New Roman"/>
          <w:color w:val="000000"/>
          <w:sz w:val="24"/>
        </w:rPr>
        <w:t>under a U.S. Special Resolution Regime, Default Rights under the Basic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Basic Documents were governed by the laws of the United States or a state of the United States.</w:t>
      </w:r>
      <w:r>
        <w:rPr>
          <w:color w:val="000000"/>
        </w:rPr>
        <w:t xml:space="preserve">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As used in this Section 1.06, the following terms have the following meanings:</w:t>
      </w:r>
    </w:p>
    <w:p>
      <w:pPr>
        <w:pStyle w:val="TextBody"/>
        <w:bidi w:val="0"/>
        <w:spacing w:before="0" w:after="240"/>
        <w:jc w:val="left"/>
        <w:rPr/>
      </w:pPr>
      <w:r>
        <w:rPr>
          <w:color w:val="000000"/>
        </w:rPr>
        <w:t>“</w:t>
      </w:r>
      <w:r>
        <w:rPr>
          <w:rFonts w:ascii="Times New Roman" w:hAnsi="Times New Roman"/>
          <w:color w:val="000000"/>
          <w:sz w:val="24"/>
          <w:u w:val="single"/>
        </w:rPr>
        <w:t>BHC Act Affiliate</w:t>
      </w:r>
      <w:r>
        <w:rPr>
          <w:rFonts w:ascii="Times New Roman" w:hAnsi="Times New Roman"/>
          <w:color w:val="000000"/>
          <w:sz w:val="20"/>
        </w:rPr>
        <w:t xml:space="preserve">” </w:t>
      </w:r>
      <w:r>
        <w:rPr>
          <w:rFonts w:ascii="Times New Roman" w:hAnsi="Times New Roman"/>
          <w:color w:val="000000"/>
          <w:sz w:val="24"/>
        </w:rPr>
        <w:t>of a party means an “affiliate” (as such term is defined under, and interpreted in accordance with, 12 U.S.C. 1841(k)) of such party.</w:t>
      </w:r>
    </w:p>
    <w:p>
      <w:pPr>
        <w:pStyle w:val="TextBody"/>
        <w:bidi w:val="0"/>
        <w:spacing w:before="0" w:after="240"/>
        <w:jc w:val="left"/>
        <w:rPr/>
      </w:pPr>
      <w:r>
        <w:rPr>
          <w:color w:val="000000"/>
        </w:rPr>
        <w:t>“</w:t>
      </w:r>
      <w:r>
        <w:rPr>
          <w:rFonts w:ascii="Times New Roman" w:hAnsi="Times New Roman"/>
          <w:color w:val="000000"/>
          <w:sz w:val="24"/>
          <w:u w:val="single"/>
        </w:rPr>
        <w:t>Covered Entity</w:t>
      </w:r>
      <w:r>
        <w:rPr>
          <w:rFonts w:ascii="Times New Roman" w:hAnsi="Times New Roman"/>
          <w:color w:val="000000"/>
          <w:sz w:val="20"/>
        </w:rPr>
        <w:t xml:space="preserve">” </w:t>
      </w:r>
      <w:r>
        <w:rPr>
          <w:rFonts w:ascii="Times New Roman" w:hAnsi="Times New Roman"/>
          <w:color w:val="000000"/>
          <w:sz w:val="24"/>
        </w:rPr>
        <w:t>means any of the following:</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“covered entity” as that term is defined in, and interpreted in accordance with, 12 C.F.R. § 252.82(b)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a “covered bank” as that term is defined in, and interpreted in accordance with, 12 C.F.R. § 47.3(b); or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“covered FSI” as that term is defined in, and interpreted in accordance with, 12 C.F.R. § 382.2(b).</w:t>
      </w:r>
    </w:p>
    <w:p>
      <w:pPr>
        <w:pStyle w:val="TextBody"/>
        <w:bidi w:val="0"/>
        <w:spacing w:before="0" w:after="240"/>
        <w:jc w:val="left"/>
        <w:rPr/>
      </w:pPr>
      <w:r>
        <w:rPr>
          <w:color w:val="000000"/>
        </w:rPr>
        <w:t>“</w:t>
      </w:r>
      <w:r>
        <w:rPr>
          <w:rFonts w:ascii="Times New Roman" w:hAnsi="Times New Roman"/>
          <w:color w:val="000000"/>
          <w:sz w:val="24"/>
          <w:u w:val="single"/>
        </w:rPr>
        <w:t>Default Right</w:t>
      </w:r>
      <w:r>
        <w:rPr>
          <w:rFonts w:ascii="Times New Roman" w:hAnsi="Times New Roman"/>
          <w:color w:val="000000"/>
          <w:sz w:val="20"/>
        </w:rPr>
        <w:t xml:space="preserve">” </w:t>
      </w:r>
      <w:r>
        <w:rPr>
          <w:rFonts w:ascii="Times New Roman" w:hAnsi="Times New Roman"/>
          <w:color w:val="000000"/>
          <w:sz w:val="24"/>
        </w:rPr>
        <w:t>has the meaning assigned to that term in, and shall be interpreted in accordance with, 12 C.F.R. §§ 252.81, 47.2 or 382.1, as applicable.</w:t>
      </w:r>
    </w:p>
    <w:p>
      <w:pPr>
        <w:pStyle w:val="TextBody"/>
        <w:bidi w:val="0"/>
        <w:spacing w:before="0" w:after="240"/>
        <w:jc w:val="left"/>
        <w:rPr/>
      </w:pPr>
      <w:r>
        <w:rPr>
          <w:color w:val="000000"/>
        </w:rPr>
        <w:t>“</w:t>
      </w:r>
      <w:r>
        <w:rPr>
          <w:rFonts w:ascii="Times New Roman" w:hAnsi="Times New Roman"/>
          <w:color w:val="000000"/>
          <w:sz w:val="24"/>
          <w:u w:val="single"/>
        </w:rPr>
        <w:t>QFC</w:t>
      </w:r>
      <w:r>
        <w:rPr>
          <w:rFonts w:ascii="Times New Roman" w:hAnsi="Times New Roman"/>
          <w:color w:val="000000"/>
          <w:sz w:val="20"/>
        </w:rPr>
        <w:t xml:space="preserve">” </w:t>
      </w:r>
      <w:r>
        <w:rPr>
          <w:rFonts w:ascii="Times New Roman" w:hAnsi="Times New Roman"/>
          <w:color w:val="000000"/>
          <w:sz w:val="24"/>
        </w:rPr>
        <w:t>has the meaning assigned to the term “qualified financial contract” in, and shall be interpreted in accordance with, 12 U.S.C. 5390(c)(8)(D).</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caps/>
          <w:color w:val="2F5496"/>
          <w:sz w:val="24"/>
        </w:rPr>
      </w:pPr>
      <w:r>
        <w:rPr>
          <w:rFonts w:ascii="Times New Roman" w:hAnsi="Times New Roman"/>
          <w:caps/>
          <w:color w:val="2F5496"/>
          <w:sz w:val="24"/>
        </w:rPr>
        <w:t>ARTICLE 2</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LOANS</w:t>
      </w:r>
    </w:p>
    <w:p>
      <w:pPr>
        <w:pStyle w:val="TextBody"/>
        <w:bidi w:val="0"/>
        <w:spacing w:before="0" w:after="240"/>
        <w:jc w:val="left"/>
        <w:rPr>
          <w:rFonts w:ascii="Times New Roman" w:hAnsi="Times New Roman"/>
          <w:color w:val="2F5496"/>
          <w:sz w:val="24"/>
        </w:rPr>
      </w:pPr>
      <w:r>
        <w:rPr>
          <w:rFonts w:ascii="Times New Roman" w:hAnsi="Times New Roman"/>
          <w:color w:val="2F5496"/>
          <w:sz w:val="24"/>
        </w:rPr>
        <w:t xml:space="preserve">Section 2.01. </w:t>
      </w:r>
    </w:p>
    <w:p>
      <w:pPr>
        <w:pStyle w:val="TextBody"/>
        <w:bidi w:val="0"/>
        <w:spacing w:before="0" w:after="240"/>
        <w:jc w:val="left"/>
        <w:rPr/>
      </w:pPr>
      <w:r>
        <w:rPr>
          <w:rFonts w:ascii="Times New Roman" w:hAnsi="Times New Roman"/>
          <w:color w:val="000000"/>
          <w:sz w:val="24"/>
          <w:u w:val="single"/>
        </w:rPr>
        <w:t>Loans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rPr>
        <w:t>On the terms and conditions set forth herein, including this Section and Article Four, the Borrower may from time to time on any Business Day during the Revolving Period, request that each Conduit Lender and Committed Lender make an advance (each, a “</w:t>
      </w:r>
      <w:r>
        <w:rPr>
          <w:rFonts w:ascii="Times New Roman" w:hAnsi="Times New Roman"/>
          <w:color w:val="000000"/>
          <w:sz w:val="24"/>
          <w:u w:val="single"/>
        </w:rPr>
        <w:t>Loan</w:t>
      </w:r>
      <w:r>
        <w:rPr>
          <w:color w:val="000000"/>
        </w:rPr>
        <w:t>”</w:t>
      </w:r>
      <w:r>
        <w:rPr>
          <w:rFonts w:ascii="Times New Roman" w:hAnsi="Times New Roman"/>
          <w:color w:val="000000"/>
          <w:sz w:val="24"/>
        </w:rPr>
        <w:t xml:space="preserve">) in the amount of each such Conduit Lender’s or Committed Lender’s Lender Advance, to the Borrower on a Funding Date.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later than 12:00 p.m., New York City time, on the Business Day prior to the proposed Funding Date, the Borrower shall notify the Administrative Agent and the Agents of such proposed Funding Date and Loan by delivering to the Administrative Agent and the Agents (with a copy to the Account Bank), in form and substance satisfactory to the Administrative Agent: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Funding Request, which will include, among other things, the proposed Funding Date, a calculation of the Borrowing Base, the Maximum Borrowing Base (calculated as of the previous Determination Date or, with respect to Receivables added to the Collateral following such Determination Date, but prior to or on such date of determination, the related Cutoff Date) and the Principal Amount of the Loan requested, which shall be in an amount at least equal to $[***] (except the Initial Loan, which shall be in a minimum amount of $ [***]) or integral multiples of $ [***] in excess thereof; and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updated Schedule of Receivables that includes each Receivable that is the subject of the proposed Loan (other than in the case of a Reborrowing).</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Following receipt by the Administrative Agent and the Agents of a Funding Request, and prior to the earlier to occur of the Lender Termination Date and the Termination Date, each Conduit Lender may, in its sole discretion, make its Lender Advance of any Loan requested by the Borrower pursuant to Section 2.01(b) and if such Conduit Lender determines not to make its Lender Advance, the related Committed Lenders shall make such Lender Advance pursuant to Section 2.02(b) of any Loan requested by the Borrower, in each case subject to the conditions contained herein, in an aggregate amount equal to the Loan so requested.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no event shall:</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Committed Lender be required on any date to fund a Principal Amount that would cause its Lender Percentage of the Loans Outstanding, determined after giving effect to such funding, to exceed its Commitment;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Loan be requested hereunder, nor shall any Lender be obligated to fund its Lender Advance of any Loan, to the extent that after giving effect to such Loan, the Loans Outstanding would exceed the Borrowing Base (calculated as of the previous Determination Date or, with respect to any Receivables added to the Collateral following such Determination Date, but prior to or on such date of determination, the related Cutoff Date);</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Conduit Lender fund its Lender Advance of any Loan to the extent that after giving effect to such Loan, the portion of the Loans Outstanding funded or maintained by such Conduit Lender would exceed its Maximum Loan Amount;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Loan be made during the Amortization Period or the Principal Amount of any Loan exceed the Available Amount on the related Funding Date;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more than one Loan be funded on any Business Day or more than five Loans be made in any calendar week; or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Loan be funded, unless (A) the Collateral Coverage Ratio, after taking into account the Receivables being added to the Collateral on such Funding Date, is less than or equal to the Weighted Average Advance Rate on such Funding Date and (B) in the case of a Reborrowing, the Collateral Coverage Ratio is less than or equal to the Weighted Average Advance Rate on the date of such Reborrowing.</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2.02. </w:t>
      </w:r>
    </w:p>
    <w:p>
      <w:pPr>
        <w:pStyle w:val="TextBody"/>
        <w:bidi w:val="0"/>
        <w:spacing w:before="0" w:after="240"/>
        <w:jc w:val="both"/>
        <w:rPr/>
      </w:pPr>
      <w:r>
        <w:rPr>
          <w:rFonts w:ascii="Times New Roman" w:hAnsi="Times New Roman"/>
          <w:color w:val="000000"/>
          <w:sz w:val="24"/>
          <w:u w:val="single"/>
        </w:rPr>
        <w:t>Funding Mechanics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rPr>
        <w:t>If any Funding Request is delivered to the Administrative Agent or the applicable Agents after 12:00 p.m., New York City time, two (2) Business Days prior to the proposed Funding Date, such Funding Request shall be deemed to be received prior to 12:00 p.m., New York City time, on the next succeeding Business Day and the proposed Funding Date of such proposed Loan shall be deemed to be the second (2</w:t>
      </w:r>
      <w:r>
        <w:rPr>
          <w:rFonts w:ascii="Times New Roman" w:hAnsi="Times New Roman"/>
          <w:color w:val="000000"/>
          <w:sz w:val="16"/>
        </w:rPr>
        <w:t>nd</w:t>
      </w:r>
      <w:r>
        <w:rPr>
          <w:rFonts w:ascii="Times New Roman" w:hAnsi="Times New Roman"/>
          <w:color w:val="000000"/>
          <w:sz w:val="24"/>
        </w:rPr>
        <w:t>) Business Day following such deemed receipt. Each Funding Request shall include a representation by the Borrower that (i) the requested Loan will not, on the Funding Date, exceed the Available Amount, (ii) the requested Loan, together with the Loans Outstanding, will not, on the Funding Date, exceed the Maximum Borrowing Base and (iii) all conditions precedent to the making of such Loan set forth in this Agreement have been (or prior to the making of such Loan on the Funding Date will be) satisfied. Any Funding Request shall be irrevocable.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Conduit Lender shall notify the Agent for its Lender Group by 10:00 a.m., New York City time, on the applicable Funding Date whether it has elected to make its Lender Advance offered to it pursuant to Section 2.01. In the event that a Conduit Lender shall not have timely provided such notice, such Conduit Lender shall be deemed to have elected not to make its Lender Advance of such Loan. Such Agent shall then notify each Committed Lender in the related Lender Group by 11:00 a.m., New York City time, on the applicable Funding Date if such Conduit Lender has not elected to advance its entire Lender Percentage of the Loan, which notice shall specify the portion of the Loan that such Conduit Lender has not elected to advance as provided above and subject to receiving such notice and to the satisfaction of the applicable conditions set forth in Article Four, each of such Committed Lenders shall make available on the applicable Funding Date an amount equal to its portion of the Principal Amount that such Conduit Lender has not elected to fund.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Lender’s Lender Advance of a Loan shall be made available to the Agent for its Lender Group, subject to the fulfillment of the applicable conditions set forth in Article Four, at or prior to 1:00 p.m., New York City time, on the applicable Funding Date, by deposit of immediately available funds to an account of such Agent. Such Agent shall promptly notify the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 and the Administrative Agent in the event that any Lender either fails to make such funds available to such Agent before such time or notifies such Agent that it will not make such funds available to such Agent before such time. Subject to (i) such Agent’s receipt of such funds and (ii) the fulfillment of the applicable conditions set forth in Article Four, as determined by such Agent, such Agent will not later than 3:00 p.m., New York City time, on such Funding Date make such funds available, in the same type of funds received, by wire transfer thereof to the Borrower’s Account. If any Lender makes available to the related Agent funds for any Loan to be made by such Lender as provided in the foregoing provisions of this Article, and such funds are not made available to the Borrower by such Agent because the conditions to the applicable Loan set forth in Article Four are not satisfied or waived in accordance with the terms hereof, such Agent shall return such funds (in like funds as received from such Lender) to such Lender, without interest.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notwithstanding the fulfillment of the applicable conditions set forth in Article Four with respect to a Loan, a Conduit Lender elected to make an advance on a Funding Date but failed to make its Lender Advance available to the Agent for its Lender Group when required by Section 2.02(c), such Conduit Lender shall be deemed to have rescinded its election to make such advance, and neither the Borrower nor any other party shall have any claim against such Conduit Lender by reason of its failure to timely make such advance. In any such case, such Agent shall give notice of such failure not later than 1:30 p.m., New York City time, on the Funding Date to each Committed Lender in the related Lender Group, the Administrative Agent and the Borrower, which notice shall specify the amount of the Lender Advance which it had elected but failed to make. Subject to receiving such notice, each of such Committed Lenders shall advance the amount described in the preceding sentence, at or before 2:00 p.m., New York City time, on such Funding Date and otherwise in accordance with Section 2.01(d). Subject to such Agent’s receipt of such funds, such Agent will not later than 3:00 p.m., New York City time, on such Funding Date make such funds available, in the same type of funds received, by wire transfer thereof to the Borrower’s Account.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pPr>
      <w:r>
        <w:rPr>
          <w:rFonts w:ascii="Times New Roman" w:hAnsi="Times New Roman"/>
          <w:color w:val="000000"/>
          <w:sz w:val="24"/>
        </w:rPr>
        <w:t>Notwithstanding anything herein to the contrary, each Committed Lender may, prior to 1:00 p.m. (New York City time) on the Business Day immediately following the date of receipt of a Funding Request requesting a new Loan (a “</w:t>
      </w:r>
      <w:r>
        <w:rPr>
          <w:rFonts w:ascii="Times New Roman" w:hAnsi="Times New Roman"/>
          <w:color w:val="000000"/>
          <w:sz w:val="24"/>
          <w:u w:val="single"/>
        </w:rPr>
        <w:t>Requested Loan</w:t>
      </w:r>
      <w:r>
        <w:rPr>
          <w:color w:val="000000"/>
        </w:rPr>
        <w:t>”</w:t>
      </w:r>
      <w:r>
        <w:rPr>
          <w:rFonts w:ascii="Times New Roman" w:hAnsi="Times New Roman"/>
          <w:color w:val="000000"/>
          <w:sz w:val="24"/>
        </w:rPr>
        <w:t>), deliver to the Borrower, UACC and the Administrative Agent a notice (a “</w:t>
      </w:r>
      <w:r>
        <w:rPr>
          <w:rFonts w:ascii="Times New Roman" w:hAnsi="Times New Roman"/>
          <w:color w:val="000000"/>
          <w:sz w:val="24"/>
          <w:u w:val="single"/>
        </w:rPr>
        <w:t>Funding Delay Notice</w:t>
      </w:r>
      <w:r>
        <w:rPr>
          <w:color w:val="000000"/>
        </w:rPr>
        <w:t>”</w:t>
      </w:r>
      <w:r>
        <w:rPr>
          <w:rFonts w:ascii="Times New Roman" w:hAnsi="Times New Roman"/>
          <w:color w:val="000000"/>
          <w:sz w:val="24"/>
        </w:rPr>
        <w:t>) informing the Borrower, UACC and the Administrative Agent that such Committed Lender (a “</w:t>
      </w:r>
      <w:r>
        <w:rPr>
          <w:rFonts w:ascii="Times New Roman" w:hAnsi="Times New Roman"/>
          <w:color w:val="000000"/>
          <w:sz w:val="24"/>
          <w:u w:val="single"/>
        </w:rPr>
        <w:t>Delaying Lender</w:t>
      </w:r>
      <w:r>
        <w:rPr>
          <w:color w:val="000000"/>
        </w:rPr>
        <w:t>”</w:t>
      </w:r>
      <w:r>
        <w:rPr>
          <w:rFonts w:ascii="Times New Roman" w:hAnsi="Times New Roman"/>
          <w:color w:val="000000"/>
          <w:sz w:val="24"/>
        </w:rPr>
        <w:t>) has either (i) elected to delay funding its Lender Percentage of such Requested Loan or (ii) elected to fund only a portion of such Requested Loan on the originally requested Funding Date (the “</w:t>
      </w:r>
      <w:r>
        <w:rPr>
          <w:rFonts w:ascii="Times New Roman" w:hAnsi="Times New Roman"/>
          <w:color w:val="000000"/>
          <w:sz w:val="24"/>
          <w:u w:val="single"/>
        </w:rPr>
        <w:t>Originally Requested Funding Date</w:t>
      </w:r>
      <w:r>
        <w:rPr>
          <w:color w:val="000000"/>
        </w:rPr>
        <w:t>”</w:t>
      </w:r>
      <w:r>
        <w:rPr>
          <w:rFonts w:ascii="Times New Roman" w:hAnsi="Times New Roman"/>
          <w:color w:val="000000"/>
          <w:sz w:val="24"/>
        </w:rPr>
        <w:t>) equal to the amount specified in such Funding Delay Notice (such amount, the “</w:t>
      </w:r>
      <w:r>
        <w:rPr>
          <w:rFonts w:ascii="Times New Roman" w:hAnsi="Times New Roman"/>
          <w:color w:val="000000"/>
          <w:sz w:val="24"/>
          <w:u w:val="single"/>
        </w:rPr>
        <w:t>Non-Delayed Funding Amount</w:t>
      </w:r>
      <w:r>
        <w:rPr>
          <w:color w:val="000000"/>
        </w:rPr>
        <w:t>”</w:t>
      </w:r>
      <w:r>
        <w:rPr>
          <w:rFonts w:ascii="Times New Roman" w:hAnsi="Times New Roman"/>
          <w:color w:val="000000"/>
          <w:sz w:val="24"/>
        </w:rPr>
        <w:t>) and to delay its funding of the balance of such Requested Loan.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Committed Lender delivers a Funding Delay Notice with respect to a Requested Loan by the time specified in clause (e) above, such Committed Lender shall not be required to fund, on the Originally Requested Funding Date therefore, such Requested Loan in an amount exceeding the Non-Delay Threshold, but shall be required to make a Delayed Loan in accordance with clause (g) below.</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any Committed Lender delivers a Funding Delay Notice with respect to a Requested Loan, on the date that is ninety (90) days after the Originally Requested Funding Date </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therefor, if the conditions precedent to any Loan (other than delivery of the original Funding Request therefor) are satisfied on that date, such Committed Lender shall remit to the Borrower an amount equal to the amount by which the amount of the originally requested Loan exceeds the Non-Delay Threshold in respect thereof (such excess amount, a “</w:t>
      </w:r>
      <w:r>
        <w:rPr>
          <w:rFonts w:ascii="Times New Roman" w:hAnsi="Times New Roman"/>
          <w:color w:val="000000"/>
          <w:sz w:val="24"/>
          <w:u w:val="single"/>
        </w:rPr>
        <w:t>Delayed Loan</w:t>
      </w:r>
      <w:r>
        <w:rPr>
          <w:color w:val="000000"/>
        </w:rPr>
        <w:t>”</w:t>
      </w:r>
      <w:r>
        <w:rPr>
          <w:rFonts w:ascii="Times New Roman" w:hAnsi="Times New Roman"/>
          <w:color w:val="000000"/>
          <w:sz w:val="24"/>
        </w:rPr>
        <w:t>). For the avoidance of doubt, a Delayed Loan, when made, shall be a Loan for all purposes of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2.03. </w:t>
      </w:r>
    </w:p>
    <w:p>
      <w:pPr>
        <w:pStyle w:val="TextBody"/>
        <w:bidi w:val="0"/>
        <w:spacing w:before="0" w:after="240"/>
        <w:jc w:val="both"/>
        <w:rPr/>
      </w:pPr>
      <w:r>
        <w:rPr>
          <w:rFonts w:ascii="Times New Roman" w:hAnsi="Times New Roman"/>
          <w:color w:val="000000"/>
          <w:sz w:val="24"/>
          <w:u w:val="single"/>
        </w:rPr>
        <w:t>Reductions of Commitments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any time the Borrower may, upon at least five Business Days’ prior written notice to the Administrative Agent, each Agent and each Hedge Counterparty (with a copy to the Account Bank), reduce the Facility Amount, which shall be applied, unless otherwise consented to by the Administrative Agent and the Agents, pro rata to the Commitments. Each Agent shall promptly deliver a copy of any notice referred to in the preceding sentence to each Lender in its Lender Group. Each partial reduction shall be in a minimum aggregate amount of $[***] or integral multiples of $[***] in excess thereof. Reductions of the Facility Amount pursuant to this Section shall be allocated to the Commitment of each Committed Lender and the Maximum Loan Amount of each Conduit Lender, pro rata based on the Lender Percentage represented by such Commitment or Maximum Loan Amount. Any request for a reduction in the Facility Amount shall be irrevocable and the Borrower shall deliver no more than four such requests in any 12-month period.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any reduction of the Facility Amount, the Borrower shall remit to each Agent for payment to each Lender, (i) instructions regarding such reduction (with a copy to the Administrative Agent) and (ii) cash in an amount sufficient to pay the Aggregate Unpaids with respect to such reduction, including any associated Breakage Costs. Upon receipt of any such amounts, each Agent shall apply such amounts first to the pro rata reduction of the Loans Outstanding, and second to the payment of the remaining Aggregate Unpaids with respect thereto, including any Breakage Costs, by paying such amounts to the Lenders pro rata, based on their respective Lender Percentages.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Lender Termination Date for a Committed Lender or Liquidity Provider, the Commitment of such Lender shall be automatically reduced to zero. On the Termination Date, the Commitments of all Lenders shall be automatically reduced to zero.</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2.04. </w:t>
      </w:r>
    </w:p>
    <w:p>
      <w:pPr>
        <w:pStyle w:val="TextBody"/>
        <w:bidi w:val="0"/>
        <w:spacing w:before="0" w:after="240"/>
        <w:jc w:val="both"/>
        <w:rPr/>
      </w:pPr>
      <w:r>
        <w:rPr>
          <w:rFonts w:ascii="Times New Roman" w:hAnsi="Times New Roman"/>
          <w:color w:val="000000"/>
          <w:sz w:val="24"/>
          <w:u w:val="single"/>
        </w:rPr>
        <w:t>Extensions of Commitments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rPr>
        <w:t>So long as no Termination Event has occurred, the Borrower may request in writing, through the Agents (with a copy to the Administrative Agent and the Account Bank), that each Committed Lender and Liquidity Provider extend its Commitment Termination Date for up to an additional 364-day period as herein provided, which request may be granted or denied by each Committed Lender and Liquidity Provider in its sole discretion. Upon</w:t>
      </w:r>
      <w:r>
        <w:rPr>
          <w:color w:val="000000"/>
        </w:rPr>
        <w:t xml:space="preserve"> </w:t>
      </w:r>
      <w:r>
        <w:rPr>
          <w:rFonts w:ascii="Times New Roman" w:hAnsi="Times New Roman"/>
          <w:color w:val="000000"/>
          <w:sz w:val="24"/>
        </w:rPr>
        <w:t xml:space="preserve">receipt of any such </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request, each Agent shall notify each Committed Lender and Liquidity Provider in its Lender Group. On or before the last day of the Election Period, each Committed Lender and Liquidity Provider shall notify the Agent for its Lender Group of its willingness or refusal to so extend its Commitment Termination Date, provided that the failure of any Committed Lender or Liquidity Provider to timely respond shall be deemed to be its refusal to so extend, and such Agent shall notify the Borrower, the Account Bank and the Administrative Agent of such willingness or refusal by the Committed Lenders and Liquidity Providers not later than the Business Day following the last day of the Election Period. No Liquidity Provider may consent to an extension of its Commitment Termination Date without the consent of each Conduit Lender, if any, for which it acts as a Liquidity Provider. If (i) one or more Committed Lenders or Liquidity Providers have agreed to extend the Commitment Termination Date and (ii) at the end of the applicable Election Period, no Termination Event shall have occurred and be continuing, the Commitment Termination Date then in effect for each such Committed Lender and Liquidity Provider shall be extended to the date which is 364 days following the last day of the Election Period or, if such day is not a Business Day, the next preceding Business Day (or any other date as agreed upon by the Borrower and each Committed Lender and Liquidity Provider); provided, that if not all Committed Lenders and Liquidity Providers have agreed to such extension, the Borrower may elect, by notice to each Agent (with a copy to the Administrative Agent and the Account Bank) delivered not later than five Business Days after the end of the Election Period, not to have such extension become effective.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two Business Days following the end of an Election Period, the Agent for each Lender Group shall notify each other Lender in such Lender Group, the Administrative Agent, the Account Bank and the Borrower of the identity of any Dissenting Lender and the amount of its Commitment. Such Agent, the Borrower and, if the Dissenting Lender is a Liquidity Provider, the affected Conduit Lender may (but shall not be required to) request one or more other Lenders in such Lender Group, with the consent of the Agent for such Lender Group (which shall not be unreasonably withheld) and, if the Dissenting Lender is a Liquidity Provider, the affected Conduit Lender in its sole discretion, or seek another financial institution reasonably acceptable to such Agent and, if the Dissenting Lender is a Liquidity Provider acceptable to the affected Conduit Lender in its sole discretion, to acquire all or a portion of the Commitment of the Dissenting Lender and all amounts payable to it hereunder in accordance with Article Twelve. Each Dissenting Lender hereby agrees to assign all or a portion of its Commitment and the amounts payable to it hereunder to a replacement Lender identified by the Agent for its Lender Group in accordance with the preceding sentence, subject to ratable payment of such Dissenting Lender’s Invested Percentage of the Loans Outstanding, together with all accrued and unpaid interest thereon, and a ratable portion of all fees and other amounts due to it hereunder.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five Business Days following the end of an Election Period, to the extent not acquired pursuant to Section 2.04(b), each Lender that is not a Dissenting Lender shall acquire a pro rata portion of all of the Loans Outstanding owned by the Dissenting Lender. Each Dissenting Lender hereby agrees to assign such Loans Outstanding and the amounts payable to it hereunder to such Lender, together with all accrued and unpaid interest thereon, and a ratable portion of all fees and other amounts due to it hereunder. Notwithstanding the foregoing, in no event shall a Committed Lender be required on any date to purchase a portion of the Loans Outstanding that would cause its Invested Percentage of the Loans Outstanding determined after giving effect to such purchase, to exceed its Commitment.</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to the occurrence of a Termination Event, if a Partial Expiration Event has occurred, the related Agent shall give notice to the Borrower and the Servicer (with a copy to the Administrative Agent and the Account Bank) to apply any Collections in accordance with Section 2.08(vii), to the pro rata repayment of such amounts owing to any Non-Extending Lender as of the date of the related Partial Expiration Event, commencing no later than the first Payment Date which is at least two Business Days following the Lender Termination Date for the Non-Extending Lender, specifying the amounts thereof.</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2.05. </w:t>
      </w:r>
    </w:p>
    <w:p>
      <w:pPr>
        <w:pStyle w:val="TextBody"/>
        <w:bidi w:val="0"/>
        <w:spacing w:before="0" w:after="240"/>
        <w:jc w:val="both"/>
        <w:rPr/>
      </w:pPr>
      <w:r>
        <w:rPr>
          <w:rFonts w:ascii="Times New Roman" w:hAnsi="Times New Roman"/>
          <w:color w:val="000000"/>
          <w:sz w:val="24"/>
          <w:u w:val="single"/>
        </w:rPr>
        <w:t>The Notes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rPr>
        <w:t>The Loans made by the Lenders hereunder shall be evidenced by one or more duly executed promissory notes payable to the order of the Persons specified by the Owners, in an aggregate principal amount not to exceed the Aggregate Commitment, in substantially the form of Exhibit B hereto (each, a “</w:t>
      </w:r>
      <w:r>
        <w:rPr>
          <w:rFonts w:ascii="Times New Roman" w:hAnsi="Times New Roman"/>
          <w:color w:val="000000"/>
          <w:sz w:val="24"/>
          <w:u w:val="single"/>
        </w:rPr>
        <w:t>Note</w:t>
      </w:r>
      <w:r>
        <w:rPr>
          <w:color w:val="000000"/>
        </w:rPr>
        <w:t xml:space="preserve">” </w:t>
      </w:r>
      <w:r>
        <w:rPr>
          <w:rFonts w:ascii="Times New Roman" w:hAnsi="Times New Roman"/>
          <w:color w:val="000000"/>
          <w:sz w:val="24"/>
        </w:rPr>
        <w:t>and collectively, the “</w:t>
      </w:r>
      <w:r>
        <w:rPr>
          <w:rFonts w:ascii="Times New Roman" w:hAnsi="Times New Roman"/>
          <w:color w:val="000000"/>
          <w:sz w:val="24"/>
          <w:u w:val="single"/>
        </w:rPr>
        <w:t>Notes</w:t>
      </w:r>
      <w:r>
        <w:rPr>
          <w:color w:val="000000"/>
        </w:rPr>
        <w:t>”</w:t>
      </w:r>
      <w:r>
        <w:rPr>
          <w:rFonts w:ascii="Times New Roman" w:hAnsi="Times New Roman"/>
          <w:color w:val="000000"/>
          <w:sz w:val="24"/>
        </w:rPr>
        <w:t>). Each Note shall be dated the Closing Date and shall otherwise be duly completed.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Agent is hereby authorized to enter notations (which may be computer generated) on a schedule attached to the Note with respect to each Lender Advance made by each Lender in its Lender Group hereunder, regarding (i) the date and principal amount thereof and (ii) each payment and repayment of principal thereof and any such recordation shall constitute prima facie evidence of the accuracy of the information so recorded. The failure of an Agent to make any such notation on the schedule attached to the Note shall not limit or otherwise affect the obligation of the Borrower to repay the Loans in accordance with their respective terms as set forth herein.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following the Facility Termination Date, each Agent shall mark each Note for its Lender Group “Paid” and return it to the Borrower.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2.06. </w:t>
      </w:r>
    </w:p>
    <w:p>
      <w:pPr>
        <w:pStyle w:val="TextBody"/>
        <w:bidi w:val="0"/>
        <w:spacing w:before="0" w:after="240"/>
        <w:jc w:val="both"/>
        <w:rPr/>
      </w:pPr>
      <w:r>
        <w:rPr>
          <w:rFonts w:ascii="Times New Roman" w:hAnsi="Times New Roman"/>
          <w:color w:val="000000"/>
          <w:sz w:val="24"/>
          <w:u w:val="single"/>
        </w:rPr>
        <w:t>Optional Principal Repayments; Interpayments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any Business Day prior to the Termination Date, on at least two Business Days’ prior written notice to the Administrative Agent, the Account Bank and each Hedge Counterparty, in connection with a Securitization, the Borrower may prepay all (but not less than all) of the Loans Outstanding, except for the Loans Outstanding that are funding any Portfolio Purchase Receivables; provided that (i) the Borrower pays to the Administrative Agent, for the account of the Secured Parties, on the date of any such prepayment (a) accrued Interest with respect to the Loans Outstanding through the date of prepayment, as calculated by the Administrative Agent, and (b) all other Aggregate Unpaids (including all Breakage Costs) payable under this Agreement through the date of such prepayment, including any fees or other amounts payable pursuant to Section 10.01, (iii) the Borrower certifies that following such prepayment, the Borrower will be in compliance with the provisions of this Agreement and (iv) following such prepayment, the Loans Outstanding shall not exceed the Borrowing Base. Any notice of a prepayment shall be irrevocable. Each Agent shall provide prompt notice to the Lenders in its Lender Group following receipt of any notice of intent to prepay the Loans Outstanding in connection with a Securitization.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the related prepayment date, the Borrower shall be deemed to have certified that, after giving effect to such prepayment and the release to the Borrower of the related Receivables, </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the Termination Date has not occurred nor will an Unmatured Termination Event or a Termination Event result from such prepayment.</w:t>
      </w:r>
      <w:r>
        <w:rPr>
          <w:color w:val="000000"/>
        </w:rPr>
        <w:t xml:space="preserve">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agrees to pay the reasonable out-of-pocket legal fees and expenses of the Account Bank, the Administrative Agent, the Agents and the Lenders in connection with any prepayment or Securitization (including expenses incurred in connection with the release of the Lien of the Administrative Agent, the Agents, the Lenders and any other party having such an interest in the Receivables in connection with such prepayment or Securitization).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provisions of Section 2.06(a), the Borrower may, prior to the occurrence of a Termination Event, with prior written notice to the Administrative Agent and each Hedge Counterparty (with a copy to the Account Bank) not later than 12:00 p.m., New York City time, at least three Business Days’ prior to such proposed prepayment and only if approved by the Administrative Agent in its sole discretion, prepay all or any portion of the Loans Outstanding on any Business Day by making an Interpayment. Such written notice of a proposed Interpayment shall be in form and substance satisfactory to the Administrative Agent and shall include, without limitation, representations and warranties that no Early Amortization Event, Termination Event or Servicer Termination Event has occurred and is continuing. On the Payment Date relating to the Collection Period during which an Interpayment is made, if required by the Administrative Agent, UACC shall deposit into the Collection Account an amount equal to the Monthly Accrued Interest Payment Amount.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2.07. </w:t>
      </w:r>
    </w:p>
    <w:p>
      <w:pPr>
        <w:pStyle w:val="TextBody"/>
        <w:bidi w:val="0"/>
        <w:spacing w:before="0" w:after="240"/>
        <w:jc w:val="both"/>
        <w:rPr/>
      </w:pPr>
      <w:r>
        <w:rPr>
          <w:rFonts w:ascii="Times New Roman" w:hAnsi="Times New Roman"/>
          <w:color w:val="000000"/>
          <w:sz w:val="24"/>
          <w:u w:val="single"/>
        </w:rPr>
        <w:t>Payments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shall pay Interest on the unpaid Principal Amount of each Loan for the period from the related Funding Date until the date that such Loan shall be paid in full. Interest shall accrue during each Interest Period and be payable on the Loans Outstanding on each Payment Date in accordance with Section 2.08, unless earlier paid pursuant to Section 2.06.</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Lender’s Invested Percentage of the Loans Outstanding shall bear interest on each day during each Interest Period at a rate per annum equal to (i) in the case of a Conduit Lender, to the extent such Conduit Lender funds or maintains its Invested Percentage of the Loans Outstanding through the issuance of Commercial Paper Notes, such Lender’s Cost of Funds Rate for such day or (ii) in the case of a Conduit Lender, to the extent such Conduit Lender funds or maintains its Invested Percentage of the Loans Outstanding other than through the issuance of Commercial Paper Notes, or, in the case of a Committed Lender, the Drawn Liquidity Rate on such day.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specified in an applicable Conduit Supplement, Interest calculated by reference to (i) the Cost of Funds Rate or the Adjusted Daily Simple SOFR shall be calculated on the basis of a 360-day year for the actual days elapsed and (ii) the Prime Rate and the Federal Funds Effective Rate shall be calculated on the basis of a 365- or 366-day year, as applicable, for the actual days elapsed. Periodic fees or other periodic amounts payable hereunder shall be calculated, unless otherwise specified in the applicable Conduit Supplement, on the basis of a 360-day year and for the actual days elapsed.</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pPr>
      <w:r>
        <w:rPr>
          <w:rFonts w:ascii="Times New Roman" w:hAnsi="Times New Roman"/>
          <w:color w:val="000000"/>
          <w:sz w:val="24"/>
        </w:rPr>
        <w:t>The principal of and Interest on the Notes shall be paid as provided herein and in the Notes. In the case of Notes held by an Agent as agent for its Lender Group, such Agent shall allocate to the members of its Lender Group each payment in respect of the Notes received by such Agent as provided herein. Payments in respect of principal and Interest (including pursuant to Section 2.06) shall be allocated and applied to Owners of such Note based on their respective Invested Percentages, or in any such case in such other proportions as each affected Lender may agree upon in writing from time to time with such Agent and the Borrower; provided that from and after the Lender Termination Date for each Dissenting Lender until the earlier to occur of (i) the Termination Date and (ii) the date on which the aggregate amount of payments in reduction of Loans Outstanding made after the date of the occurrence of the related Partial Expiration Event equals the Partial Expiration Event Amount, payments pursuant to Section 2.08(vii)</w:t>
      </w:r>
      <w:r>
        <w:rPr>
          <w:color w:val="000000"/>
        </w:rPr>
        <w:t xml:space="preserve"> </w:t>
      </w:r>
      <w:r>
        <w:rPr>
          <w:rFonts w:ascii="Times New Roman" w:hAnsi="Times New Roman"/>
          <w:color w:val="000000"/>
          <w:sz w:val="24"/>
        </w:rPr>
        <w:t>in reduction of the Partial Expiration Event Amount shall be allocated and applied to Non-Extending Lenders and related Conduit Lenders pro rata based on their respective Lender Percentages.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or before 3:00 p.m., New York City time, on the second Business Day after each Determination Date, each Conduit Lender shall notify the Agent for its Lender Group of (i) its Cost of Funds Rate in effect for the related Interest Period, and (ii) if applicable, the date on which the Drawn Liquidity Rate became applicable to its Invested Percentage of the Loans Outstanding or a portion thereof. Each determination by a Conduit Lender of its applicable Cost of Funds Rate pursuant to this Agreement shall be conclusive and binding on the Lenders, each Agent, the Borrower, the Servicer, the Backup Servicer and the Custodian, in the absence of manifest error.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or before 4:00 p.m., New York City time, on the second Business Day after each Determination Date, the Agent for each Lender Group shall notify the Administrative Agent of (i) the applicable Cost of Funds Rates for such Lender Group and the related Interest Period and, if applicable, the dates on which the Drawn Liquidity Rate was applicable to the Invested Percentage of the Loans Outstanding owed to any member of its Lender Group and (ii) the Drawn Liquidity Rate and the Alternate Base Rate, if applicable, for such Lender Group and the related Interest Period. At or before 5:00 p.m., New York City time, on the day that is two Business Days after each Determination Date, the Agents shall then notify the Borrower of all such rates. For such purposes, the Agents may rely conclusively on notices from Lenders as to the interest rate or rates from time to time applicable to their respective Invested Percentage of the Loans Outstanding. Each determination of the Cost of Funds Rate, the Drawn Liquidity Rate, Adjusted Daily Simple SOFR, Daily Simple SOFR and the Alternate Base Rate by the Administrative Agent or an Agent pursuant to any provision of this Agreement shall be conclusive and binding on the Lenders and the Borrower in the absence of manifest error.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 other provision of this Agreement or the other Basic Documents, if at any time the rate of interest payable by any Person under the Basic Documents exceeds the Maximum Lawful Rate, then, so long as the Maximum Lawful Rate would be exceeded, such rate of interest shall be equal to the Maximum Lawful Rate. If at any time thereafter the rate of interest so payable is less than the Maximum Lawful Rate, such Person shall continue to pay Interest at the Maximum Lawful Rate until such time as the total interest received from such Person is equal to the total Interest that would have been received had Applicable Law not limited the interest rate so payable. In no event shall the total Interest received by a Lender under this Agreement and the other Basic Documents exceed the amount which such Lender could </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lawfully have received, had the Interest due been calculated from the Closing Date at the Maximum Lawful Rate.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hereby notifies the Borrower and Servicer that: (i) [***] and/or its affiliates may from time to time purchase, hold or sell, as principal and/or agent, Commercial Paper Notes issued by Conduit Lender; (ii) [***] and/or its affiliates act as administrative agent for Conduit Lender, and as administrative agent [***] manages Conduit Lender’s issuance of Commercial Paper Notes, including the selection of amount and tenor of Commercial Paper Note issuance, and the discount or interest rate applicable thereto; (iii) [***] and/or its affiliates act as a Commercial Paper Note dealer for Conduit Lender; and (iv) [***]’s activities as administrative agent and Commercial Paper Note dealer for Conduit Lender, and as a purchaser or seller of Commercial Paper Notes, impact the interest or discount rate applicable to the Commercial Paper Notes issued by Conduit Lender, which impact the Cost of Funds Rate paid by the Borrower hereunder. By execution hereof, each of the Servicer and the Borrower hereby (x) acknowledges the foregoing and agrees that [***] does not warrant or accept any responsibility for, and shall not have any liability with respect to, the interest or discount rate paid by Conduit Lender in connection with its Commercial Paper Note issuance; (y) acknowledges that the discount or interest rate at which [***] and/or its affiliates purchase or sell Commercial Paper Notes will be determined by [***] and/or its affiliates in their sole discretion and may differ from the discount or interest rate applicable to comparable transactions entered into by [***] and/or its affiliates on the relevant date; and (z) waives any conflict of interest arising by reason of [***] and/or its affiliates acting as administrative agent and Commercial Paper Note dealer for Conduit Lender while acting as purchaser or seller of Commercial Paper Notes.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pPr>
      <w:r>
        <w:rPr>
          <w:rFonts w:ascii="Times New Roman" w:hAnsi="Times New Roman"/>
          <w:color w:val="000000"/>
          <w:sz w:val="24"/>
        </w:rPr>
        <w:t xml:space="preserve">The Loans Outstanding shall be payable in installments equal to the Monthly Principal Payment Amount on each Payment Date in accordance with </w:t>
      </w:r>
      <w:r>
        <w:rPr>
          <w:rFonts w:ascii="Times New Roman" w:hAnsi="Times New Roman"/>
          <w:color w:val="000000"/>
          <w:sz w:val="24"/>
          <w:u w:val="single"/>
        </w:rPr>
        <w:t>Section 2.08</w:t>
      </w:r>
      <w:r>
        <w:rPr>
          <w:rFonts w:ascii="Times New Roman" w:hAnsi="Times New Roman"/>
          <w:color w:val="000000"/>
          <w:sz w:val="24"/>
        </w:rPr>
        <w:t xml:space="preserve">. Notwithstanding the foregoing, the Loans Outstanding and all Interest thereon shall be due and payable on the earlier of (i) the date on which the “Termination Date” is declared or automatically occurs pursuant to </w:t>
      </w:r>
      <w:r>
        <w:rPr>
          <w:rFonts w:ascii="Times New Roman" w:hAnsi="Times New Roman"/>
          <w:color w:val="000000"/>
          <w:sz w:val="24"/>
          <w:u w:val="single"/>
        </w:rPr>
        <w:t>Section 9.01(b)</w:t>
      </w:r>
      <w:r>
        <w:rPr>
          <w:color w:val="000000"/>
        </w:rPr>
        <w:t xml:space="preserve"> </w:t>
      </w:r>
      <w:r>
        <w:rPr>
          <w:rFonts w:ascii="Times New Roman" w:hAnsi="Times New Roman"/>
          <w:color w:val="000000"/>
          <w:sz w:val="24"/>
        </w:rPr>
        <w:t>and (ii) on the Maturity Date.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2.08. </w:t>
      </w:r>
    </w:p>
    <w:p>
      <w:pPr>
        <w:pStyle w:val="TextBody"/>
        <w:bidi w:val="0"/>
        <w:spacing w:before="0" w:after="240"/>
        <w:jc w:val="both"/>
        <w:rPr/>
      </w:pPr>
      <w:r>
        <w:rPr>
          <w:rFonts w:ascii="Times New Roman" w:hAnsi="Times New Roman"/>
          <w:color w:val="000000"/>
          <w:sz w:val="24"/>
          <w:u w:val="single"/>
        </w:rPr>
        <w:t>Settlement Procedures</w:t>
      </w:r>
      <w:r>
        <w:rPr>
          <w:rFonts w:ascii="Times New Roman" w:hAnsi="Times New Roman"/>
          <w:color w:val="000000"/>
          <w:sz w:val="24"/>
        </w:rPr>
        <w:t>. On each Payment Date, the Servicer shall instruct the Account Bank to pay to the following Persons, from the Collection Account to the extent of Available Funds, the following amounts in the following order of priority, as set forth in the Monthly Report: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pPr>
      <w:r>
        <w:rPr>
          <w:rFonts w:ascii="Times New Roman" w:hAnsi="Times New Roman"/>
          <w:i/>
          <w:color w:val="000000"/>
          <w:sz w:val="24"/>
        </w:rPr>
        <w:t>first</w:t>
      </w:r>
      <w:r>
        <w:rPr>
          <w:rFonts w:ascii="Times New Roman" w:hAnsi="Times New Roman"/>
          <w:color w:val="000000"/>
          <w:sz w:val="24"/>
        </w:rPr>
        <w:t>, pro rata, (A) to the Servicer, the accrued and unpaid Servicing Fee and, to the extent not previously retained by the Servicer, all ancillary fees, including late fees, extension fees, administrative fees or similar charges allowed by Applicable Law and (B) to the Owner Trustee, the accrued and unpaid fees, costs and expenses and any other amounts not otherwise paid which are payable to the Owner Trustee under Article VII of the Trust Agreement, in an amount not to exceed $[***] per annum;</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pPr>
      <w:r>
        <w:rPr>
          <w:rFonts w:ascii="Times New Roman" w:hAnsi="Times New Roman"/>
          <w:i/>
          <w:color w:val="000000"/>
          <w:sz w:val="24"/>
        </w:rPr>
        <w:t>second</w:t>
      </w:r>
      <w:r>
        <w:rPr>
          <w:rFonts w:ascii="Times New Roman" w:hAnsi="Times New Roman"/>
          <w:color w:val="000000"/>
          <w:sz w:val="24"/>
        </w:rPr>
        <w:t xml:space="preserve">, pro rata, (A) to the extent not paid for by UACC, to the Backup Servicer, so long as the Backup Servicer has not been appointed to serve as successor to the Servicer hereunder, the accrued and unpaid Backup Servicing Fee to the Backup Servicer, together with its expenses, which expenses, except as otherwise provided in Section 7.10(b), shall not exceed $[***] per annum, together with any Transition Expenses </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 paid for by the predecessor Servicer pursuant to Section 7.15(e) and (B) to the Account Bank, an amount equal to any accrued and unpaid Account Bank Fee, together with its expenses;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pPr>
      <w:r>
        <w:rPr>
          <w:rFonts w:ascii="Times New Roman" w:hAnsi="Times New Roman"/>
          <w:i/>
          <w:color w:val="000000"/>
          <w:sz w:val="24"/>
        </w:rPr>
        <w:t>third</w:t>
      </w:r>
      <w:r>
        <w:rPr>
          <w:rFonts w:ascii="Times New Roman" w:hAnsi="Times New Roman"/>
          <w:color w:val="000000"/>
          <w:sz w:val="24"/>
        </w:rPr>
        <w:t>, to the extent not paid for by UACC, to the Custodian, the accrued and unpaid Custodian Fee;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pPr>
      <w:r>
        <w:rPr>
          <w:rFonts w:ascii="Times New Roman" w:hAnsi="Times New Roman"/>
          <w:i/>
          <w:color w:val="000000"/>
          <w:sz w:val="24"/>
        </w:rPr>
        <w:t>fourth</w:t>
      </w:r>
      <w:r>
        <w:rPr>
          <w:rFonts w:ascii="Times New Roman" w:hAnsi="Times New Roman"/>
          <w:color w:val="000000"/>
          <w:sz w:val="24"/>
        </w:rPr>
        <w:t>, to the Administrative Agent for the ratable payment to each Lender, an amount equal to any accrued and unpaid Senior Monthly Interest and Fees;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w:t>
      </w:r>
    </w:p>
    <w:p>
      <w:pPr>
        <w:pStyle w:val="TextBody"/>
        <w:bidi w:val="0"/>
        <w:spacing w:before="0" w:after="240"/>
        <w:jc w:val="both"/>
        <w:rPr/>
      </w:pPr>
      <w:r>
        <w:rPr>
          <w:rFonts w:ascii="Times New Roman" w:hAnsi="Times New Roman"/>
          <w:i/>
          <w:color w:val="000000"/>
          <w:sz w:val="24"/>
        </w:rPr>
        <w:t>fifth</w:t>
      </w:r>
      <w:r>
        <w:rPr>
          <w:rFonts w:ascii="Times New Roman" w:hAnsi="Times New Roman"/>
          <w:color w:val="000000"/>
          <w:sz w:val="24"/>
        </w:rPr>
        <w:t>, to each Agent for the ratable payment to each Lender, an amount equal to the Monthly Principal Payment Amount;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w:t>
      </w:r>
    </w:p>
    <w:p>
      <w:pPr>
        <w:pStyle w:val="TextBody"/>
        <w:bidi w:val="0"/>
        <w:spacing w:before="0" w:after="240"/>
        <w:jc w:val="both"/>
        <w:rPr/>
      </w:pPr>
      <w:r>
        <w:rPr>
          <w:rFonts w:ascii="Times New Roman" w:hAnsi="Times New Roman"/>
          <w:i/>
          <w:color w:val="000000"/>
          <w:sz w:val="24"/>
        </w:rPr>
        <w:t>sixth</w:t>
      </w:r>
      <w:r>
        <w:rPr>
          <w:rFonts w:ascii="Times New Roman" w:hAnsi="Times New Roman"/>
          <w:color w:val="000000"/>
          <w:sz w:val="24"/>
        </w:rPr>
        <w:t>, to each Agent for the ratable payment to each Lender, an amount equal to any accrued and unpaid Subordinated Monthly Interest and Fees;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w:t>
      </w:r>
    </w:p>
    <w:p>
      <w:pPr>
        <w:pStyle w:val="TextBody"/>
        <w:bidi w:val="0"/>
        <w:spacing w:before="0" w:after="240"/>
        <w:jc w:val="both"/>
        <w:rPr/>
      </w:pPr>
      <w:r>
        <w:rPr>
          <w:rFonts w:ascii="Times New Roman" w:hAnsi="Times New Roman"/>
          <w:i/>
          <w:color w:val="000000"/>
          <w:sz w:val="24"/>
        </w:rPr>
        <w:t>seventh</w:t>
      </w:r>
      <w:r>
        <w:rPr>
          <w:rFonts w:ascii="Times New Roman" w:hAnsi="Times New Roman"/>
          <w:color w:val="000000"/>
          <w:sz w:val="24"/>
        </w:rPr>
        <w:t xml:space="preserve">, to the Hedge Reserve Account, the amount (if any) necessary to cause the Hedge Reserve Account Amount to be equal to the Hedge Reserve Account Required Amount;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(viii)</w:t>
      </w:r>
    </w:p>
    <w:p>
      <w:pPr>
        <w:pStyle w:val="TextBody"/>
        <w:bidi w:val="0"/>
        <w:spacing w:before="0" w:after="240"/>
        <w:jc w:val="both"/>
        <w:rPr/>
      </w:pPr>
      <w:r>
        <w:rPr>
          <w:rFonts w:ascii="Times New Roman" w:hAnsi="Times New Roman"/>
          <w:i/>
          <w:color w:val="000000"/>
          <w:sz w:val="24"/>
        </w:rPr>
        <w:t xml:space="preserve">eighth, </w:t>
      </w:r>
      <w:r>
        <w:rPr>
          <w:rFonts w:ascii="Times New Roman" w:hAnsi="Times New Roman"/>
          <w:color w:val="000000"/>
          <w:sz w:val="24"/>
        </w:rPr>
        <w:t>if a Partial Expiration Event has occurred, the remaining funds to reduce pro rata the portion of the Loans Outstanding constituting the Lender Advances of any Non-Extending Lender, to zero;</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(ix)</w:t>
      </w:r>
    </w:p>
    <w:p>
      <w:pPr>
        <w:pStyle w:val="TextBody"/>
        <w:bidi w:val="0"/>
        <w:spacing w:before="0" w:after="240"/>
        <w:jc w:val="both"/>
        <w:rPr/>
      </w:pPr>
      <w:r>
        <w:rPr>
          <w:rFonts w:ascii="Times New Roman" w:hAnsi="Times New Roman"/>
          <w:i/>
          <w:color w:val="000000"/>
          <w:sz w:val="24"/>
        </w:rPr>
        <w:t>ninth</w:t>
      </w:r>
      <w:r>
        <w:rPr>
          <w:rFonts w:ascii="Times New Roman" w:hAnsi="Times New Roman"/>
          <w:color w:val="000000"/>
          <w:sz w:val="24"/>
        </w:rPr>
        <w:t>, pro rata (A) to the Administrative Agent, to each Agent for the ratable payment to each Lender, the Affected Parties or the Indemnified Parties, all Breakage Costs and all other Aggregate Unpaids allocable to the Loans Outstanding (other than the principal amount of the Loans Outstanding) then due and payable under this Agreement or any other Basic Document and (B) to the Servicer, the Owner Trustee, the Backup Servicer, the Custodian (if other than UACC), the Account Bank and any Successor Servicer, any fees, expenses and indemnities not paid pursuant to clauses (i) through (vi) above; and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w:t>
      </w:r>
    </w:p>
    <w:p>
      <w:pPr>
        <w:pStyle w:val="TextBody"/>
        <w:bidi w:val="0"/>
        <w:spacing w:before="0" w:after="240"/>
        <w:jc w:val="both"/>
        <w:rPr/>
      </w:pPr>
      <w:r>
        <w:rPr>
          <w:rFonts w:ascii="Times New Roman" w:hAnsi="Times New Roman"/>
          <w:i/>
          <w:color w:val="000000"/>
          <w:sz w:val="24"/>
        </w:rPr>
        <w:t>tenth</w:t>
      </w:r>
      <w:r>
        <w:rPr>
          <w:rFonts w:ascii="Times New Roman" w:hAnsi="Times New Roman"/>
          <w:color w:val="000000"/>
          <w:sz w:val="24"/>
        </w:rPr>
        <w:t>, any remaining amount shall be distributed to the Borrower.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2.09. </w:t>
      </w:r>
    </w:p>
    <w:p>
      <w:pPr>
        <w:pStyle w:val="TextBody"/>
        <w:bidi w:val="0"/>
        <w:spacing w:before="0" w:after="240"/>
        <w:jc w:val="both"/>
        <w:rPr/>
      </w:pPr>
      <w:r>
        <w:rPr>
          <w:rFonts w:ascii="Times New Roman" w:hAnsi="Times New Roman"/>
          <w:color w:val="000000"/>
          <w:sz w:val="24"/>
          <w:u w:val="single"/>
        </w:rPr>
        <w:t>Mandatory Payments</w:t>
      </w:r>
      <w:r>
        <w:rPr>
          <w:rFonts w:ascii="Times New Roman" w:hAnsi="Times New Roman"/>
          <w:color w:val="000000"/>
          <w:sz w:val="24"/>
        </w:rPr>
        <w:t>. The Borrower promises to pay to each Agent for the account of each related Lender, (i) upon the written request of such Agent, all Breakage Costs, the amount of which shall be determined by a Lender, set forth in a written notice to the Borrower and shall be conclusive absent manifest error, which amounts shall be paid in accordance with Section 2.08 and (ii) all other amounts required to be paid by the Borrower in accordance herewith.</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2.10. </w:t>
      </w:r>
    </w:p>
    <w:p>
      <w:pPr>
        <w:pStyle w:val="TextBody"/>
        <w:bidi w:val="0"/>
        <w:spacing w:before="0" w:after="240"/>
        <w:jc w:val="both"/>
        <w:rPr/>
      </w:pPr>
      <w:r>
        <w:rPr>
          <w:rFonts w:ascii="Times New Roman" w:hAnsi="Times New Roman"/>
          <w:color w:val="000000"/>
          <w:sz w:val="24"/>
          <w:u w:val="single"/>
        </w:rPr>
        <w:t>Payments, Computations, Etc</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Unless otherwise expressly provided herein, all amounts to be paid or deposited by the Borrower hereunder shall be paid or deposited in accordance with the terms hereof no later than 12:00 p.m., Chicago, Illinois time, on the day when due in Dollars in immediately available funds to the depository account or accounts specified by the related Agent of the Lender. Except as otherwise provided in Section 2.07, the Borrower shall, to the extent permitted by Applicable Law, pay to the Lender interest on all amounts not paid or deposited when due hereunder at the </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Default Rate, payable on demand; provided, however, that such interest rate shall not at any time exceed the Maximum Lawful Rate.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Whenever any payment hereunder (i) shall be stated to be due on a day other than a Business Day, such payment shall be made on the next succeeding Business Day, except in the case where the next succeeding Business Day would occur in the succeeding calendar month, in which case such payment shall be due on the preceding Business Day or (ii) is received after 12:00 p.m., Chicago, Illinois time, such payment shall be deemed to have been received on the next succeeding Business Day, and any such extension of time shall in such case be included in the computation of payment of Interest, other interest or any fee payable hereunder, as the case may be.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Loan requested by the Borrower and approved by a Lender and the related Agent pursuant to Section 2.01 is not, for any reason other than due to the fault of a Lender or the Administrative Agent, made or effectuated, as the case may be, on the date specified therefor, the Borrower shall indemnify such Lender against any reasonable loss, cost or expense incurred by such Lender, including any loss (including loss of anticipated profits, net of anticipated profits in the reemployment of such funds in the manner determined by such Lender), cost or expense incurred by reason of the liquidation or reemployment of deposits or other funds acquired by such Lender to fund or maintain such Loan.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provided herein, all payments hereunder shall be made without set-off or counterclaim and in such amounts as may be necessary in order that all such payments shall not be less than the amounts otherwise specified to be paid under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that (i) any Person makes a payment to any party hereto or (ii) any such party receives or is deemed to have received any payment or proceeds for application to an obligation, which payment or proceeds or any part thereof are subsequently invalidated, declared to be fraudulent or preferential, set aside or required to be repaid to a trustee, receiver or any other party under any Insolvency Law, State or federal law, common law or for equitable cause, then, to the extent such payment or proceeds are set aside, the obligation or part thereof intended to be satisfied shall be revived and continue in full force and effect, as if such payment or proceeds had not been received or deemed received by such related party.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2.11. </w:t>
      </w:r>
    </w:p>
    <w:p>
      <w:pPr>
        <w:pStyle w:val="TextBody"/>
        <w:bidi w:val="0"/>
        <w:spacing w:before="0" w:after="240"/>
        <w:jc w:val="both"/>
        <w:rPr/>
      </w:pPr>
      <w:r>
        <w:rPr>
          <w:rFonts w:ascii="Times New Roman" w:hAnsi="Times New Roman"/>
          <w:color w:val="000000"/>
          <w:sz w:val="24"/>
          <w:u w:val="single"/>
        </w:rPr>
        <w:t>Collections and Allocations; Investment of Funds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or before the Closing Date or the applicable Funding Date (with respect to Subsequent Receivables), the Borrower or the Servicer shall have instructed all related Obligors to make all payments in respect of the related Receivables that are made by (i) mail, to be made directly to the Post Office Boxes and (ii) electronic payments, to be made to the Local Bank Account; provided, that such payments may also be directed to and accepted by the Servicer in accordance with the Credit and Collection Policy. The Servicer shall provide the Local Bank with standing instructions to remit all cleared funds in the Local Bank Account to the Collection Account on a daily basis. The Servicer shall have access to the Post Office Boxes at all times until the occurrence of a Servicer Termination Event or a Termination Event, following which time (except as otherwise agreed in writing by the Administrative Agent) the Servicer shall no longer have access to the Post Office Boxes and [***], on behalf of the Administrative Agent and the </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other secured parties as set forth in the Intercreditor Agreement and the Intercreditor Party Supplement, shall have exclusive access to the Post Office Boxes. The Servicer shall direct the Local Bank to remove all payments on or in respect of the Receivables from the Post Office Boxes on each Business Day and shall deposit such amounts into the Local Bank Account on such Business Day. The Servicer and the Borrower shall remit to the Collection Account as soon as practicable, but in no event later than two Business Days after receipt thereof, all other Collections, and at all times prior to such remittance, the Servicer shall hold the same in trust for the benefit of the Administrative Agent. If UACC is no longer the Servicer, the removal of all payments from the Post Office Boxes and deposit thereof into the Local Bank Account shall be performed by the Backup Servicer unless otherwise designated by the Administrative Agent in writing.</w:t>
      </w:r>
      <w:r>
        <w:rPr>
          <w:color w:val="000000"/>
        </w:rPr>
        <w:t xml:space="preserve">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Closing Date and on each Funding Date, the Servicer will deposit (in immediately available funds) into the Collection Account all Collections available after the applicable Cutoff Date and through and including the Closing Date or Funding Date, as the case may be, in respect of Receivables added to the Collateral on the related date. The Servicer will deposit all Collections received into the Collection Account within two (2) Business Days of receipt.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shall be entitled to retain and to be reimbursed for all amounts remitted by or on behalf of the Obligors to the Servicer under the terms of, or with respect to the related Receivables, that represent ancillary fees, including late fees, extension fees, administrative fees or similar charges allowed by Applicable Law.</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there are uninvested amounts on deposit in the Collection Account, such amounts shall be invested in Permitted Investments that mature no later than the Business Day before the next Payment Date, which Permitted Investments shall be selected (i) prior to the occurrence of any Termination Event or a Servicer Termination Event, by the Borrower or (ii) from and after the occurrence of any Termination Event or a Servicer Termination Event, by the Administrative Agent. No Permitted Investment may be purchased at a premium. Any earnings (and losses) on the foregoing investments shall be for the account of the Borrower.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2.12. </w:t>
      </w:r>
    </w:p>
    <w:p>
      <w:pPr>
        <w:pStyle w:val="TextBody"/>
        <w:bidi w:val="0"/>
        <w:spacing w:before="0" w:after="240"/>
        <w:jc w:val="both"/>
        <w:rPr/>
      </w:pPr>
      <w:r>
        <w:rPr>
          <w:rFonts w:ascii="Times New Roman" w:hAnsi="Times New Roman"/>
          <w:color w:val="000000"/>
          <w:sz w:val="24"/>
          <w:u w:val="single"/>
        </w:rPr>
        <w:t>Fees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Borrower hereby agrees to pay to each Agent, for the account of the related Lenders, monthly in arrears, the Usage Fees and Unused Fees from the Collection Account in accordance with Section 2.08 and the Fee Letter. Payments of the Usage Fees and Unused Fees shall be allocated and paid to Owners based upon their respective Invested Percentages for the applicable Interest Period.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any Successor Servicer, the Backup Servicer, the Account Bank and the Custodian shall be entitled to receive any accrued and unpaid Servicing Fee, Backup Servicing Fee, the Account Bank Fee and Custodian Fee and expenses and indemnities due to them, respectively, in accordance with Section 2.08.</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Borrower shall have paid to the Administrative Agent, on or before the Closing Date, any fees set forth in the Fee Letter to be paid on the Closing Date and any reasonable out-of-pocket expenses (including fees charged by any nationally recognized statistical rating </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organization in connection with reviewing the transactions contemplated by this Agreement) in immediately available funds.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shall pay to [***] counsel to the Administrative Agent and the initial Hedge Counterparty, in immediately available funds, all fees and out-of-pocket expenses (not to exceed $[***]) incurred in connection with the preparation and negotiation of this Agreement and the other Basic Documents within [***] after receiving an invoice for such amounts.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2.13. </w:t>
      </w:r>
    </w:p>
    <w:p>
      <w:pPr>
        <w:pStyle w:val="TextBody"/>
        <w:bidi w:val="0"/>
        <w:spacing w:before="0" w:after="240"/>
        <w:jc w:val="both"/>
        <w:rPr/>
      </w:pPr>
      <w:r>
        <w:rPr>
          <w:rFonts w:ascii="Times New Roman" w:hAnsi="Times New Roman"/>
          <w:color w:val="000000"/>
          <w:sz w:val="24"/>
          <w:u w:val="single"/>
        </w:rPr>
        <w:t>Increased Costs; Capital Adequacy; Illegality</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rPr>
        <w:t>If any Regulatory Change (i) subjects any Lender, Support Party or any of their Affiliates (each an “</w:t>
      </w:r>
      <w:r>
        <w:rPr>
          <w:rFonts w:ascii="Times New Roman" w:hAnsi="Times New Roman"/>
          <w:color w:val="000000"/>
          <w:sz w:val="24"/>
          <w:u w:val="single"/>
        </w:rPr>
        <w:t>Affected Party</w:t>
      </w:r>
      <w:r>
        <w:rPr>
          <w:color w:val="000000"/>
        </w:rPr>
        <w:t>”</w:t>
      </w:r>
      <w:r>
        <w:rPr>
          <w:rFonts w:ascii="Times New Roman" w:hAnsi="Times New Roman"/>
          <w:color w:val="000000"/>
          <w:sz w:val="24"/>
        </w:rPr>
        <w:t xml:space="preserve">) to any charge or withhold?ing on or with respect to any Support Facility or this Agreement or an Affected Party’s obligations under a Support Facility or this Agreement, or changes the basis of taxation of payments to any Affected Party of any amounts payable under any Support Facility or this Agreement (except for Excluded Taxes), (ii) imposes, modifies or deems applicable any reserve, assessment, fee, tax, insurance charge, special deposit or similar requirement against assets of, deposits with or for the account of, or liabilities of an Affected Party, or credit extended by an Affected Party pursuant to a Support Facility or this Agreement or (iii) imposes any other condition the result of which is to increase the cost to an Affected Party of performing its obligations under a Support Facility or this Agreement, or to reduce the rate of return on an Affected Party’s capital or assets as a consequence of its obligations under a Support Facility or this Agreement, or to reduce the amount of any sum received or receivable by an Affected Party under a Support Facility or this Agreement, or to require any payment calculated by reference to the amount of interests or loans held or interest received by it, then, upon demand by the Administrative Agent, the Borrower shall pay to the Administrative Agent, for the benefit of the relevant Affected Party, such amounts charged to such Affected Party or such amounts to otherwise compensate such Affected Party for such increased cost or such reduction. Any demand by the Administrative Agent on behalf of any Affected Party pursuant to the preceding sentence shall be deemed to be a representation by such Affected Party that it has applied consistent return metrics to other similarly situated borrowers or obligors (after consideration of facility pricing, structure, usage patterns, capital treatment and relationship) in determining whether to demand amounts from the Borrower pursuant to this </w:t>
      </w:r>
      <w:r>
        <w:rPr>
          <w:rFonts w:ascii="Times New Roman" w:hAnsi="Times New Roman"/>
          <w:color w:val="000000"/>
          <w:sz w:val="24"/>
          <w:u w:val="single"/>
        </w:rPr>
        <w:t>Section 2.13(a)</w:t>
      </w:r>
      <w:r>
        <w:rPr>
          <w:rFonts w:ascii="Times New Roman" w:hAnsi="Times New Roman"/>
          <w:color w:val="000000"/>
          <w:sz w:val="24"/>
        </w:rPr>
        <w:t xml:space="preserve">. The Borrower, at its option upon at least two (2) Business Days prior written notice, may prepay all (but not less than all) of the Loans Outstanding, together with all accrued and unpaid Obligations, and terminate the Commitments of the Committed Lenders hereunder following any demand by the Administrative Agent for amounts pursuant to this </w:t>
      </w:r>
      <w:r>
        <w:rPr>
          <w:rFonts w:ascii="Times New Roman" w:hAnsi="Times New Roman"/>
          <w:color w:val="000000"/>
          <w:sz w:val="24"/>
          <w:u w:val="single"/>
        </w:rPr>
        <w:t>Section 2.13(a)</w:t>
      </w:r>
      <w:r>
        <w:rPr>
          <w:rFonts w:ascii="Times New Roman" w:hAnsi="Times New Roman"/>
          <w:color w:val="000000"/>
          <w:sz w:val="24"/>
        </w:rPr>
        <w:t>. Any such notice of prepayment and termination of the Commitments shall be irrevocable. The term “</w:t>
      </w:r>
      <w:r>
        <w:rPr>
          <w:rFonts w:ascii="Times New Roman" w:hAnsi="Times New Roman"/>
          <w:color w:val="000000"/>
          <w:sz w:val="24"/>
          <w:u w:val="single"/>
        </w:rPr>
        <w:t>Regulatory Change</w:t>
      </w:r>
      <w:r>
        <w:rPr>
          <w:color w:val="000000"/>
        </w:rPr>
        <w:t xml:space="preserve">” </w:t>
      </w:r>
      <w:r>
        <w:rPr>
          <w:rFonts w:ascii="Times New Roman" w:hAnsi="Times New Roman"/>
          <w:color w:val="000000"/>
          <w:sz w:val="24"/>
        </w:rPr>
        <w:t xml:space="preserve">shall mean (i) the adoption after the date hereof of any applicable law, rule or regulation (including any applicable law, rule or regulation regarding capital adequacy or liquidity coverage) or any change therein after the date hereof, (ii) any change after the date hereof in the interpretation or administration thereof by any governmental authority, central bank or compara?ble agency charged with the interpretation or administration thereof, or compliance with any request or directive (whether or not having the force of law) of any such authority, central bank or compara?ble agency; </w:t>
      </w:r>
      <w:r>
        <w:rPr>
          <w:rFonts w:ascii="Times New Roman" w:hAnsi="Times New Roman"/>
          <w:i/>
          <w:color w:val="000000"/>
          <w:sz w:val="24"/>
        </w:rPr>
        <w:t>provided, that</w:t>
      </w:r>
      <w:r>
        <w:rPr>
          <w:color w:val="000000"/>
        </w:rPr>
        <w:t xml:space="preserve"> </w:t>
      </w:r>
      <w:r>
        <w:rPr>
          <w:rFonts w:ascii="Times New Roman" w:hAnsi="Times New Roman"/>
          <w:color w:val="000000"/>
          <w:sz w:val="24"/>
        </w:rPr>
        <w:t xml:space="preserve">for purposes of this definition, (x) the United States bank regulatory rule titled </w:t>
      </w:r>
      <w:r>
        <w:rPr>
          <w:rFonts w:ascii="Times New Roman" w:hAnsi="Times New Roman"/>
          <w:color w:val="000000"/>
          <w:sz w:val="24"/>
          <w:u w:val="single"/>
        </w:rPr>
        <w:t>Risk-Based Capital Guidelines; Capital Adequacy Guidelines; Capital Maintenance: Regulatory Capital; Impact of Modification to Generally Accepted Accounting Principles; Consolidation of Asset-Backed Commercial Paper Programs; and Other Related Issues</w:t>
      </w:r>
      <w:r>
        <w:rPr>
          <w:rFonts w:ascii="Times New Roman" w:hAnsi="Times New Roman"/>
          <w:color w:val="000000"/>
          <w:sz w:val="24"/>
        </w:rPr>
        <w:t xml:space="preserve">, adopted </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 xml:space="preserve">on December 15, 2009, (y) the Dodd-Frank Wall Street Reform and Consumer Protection Act and all requests, rules, guidelines or directives thereunder, issued in connection therewith or in implementation thereof, and (z) all requests, rules, guidelines and directives promulgated by the Bank for International Settlements, the Basel Committee on Banking Supervision (or any successor or similar authority) or the United States or foreign regulatory authorities, shall in each case be deemed to be a “Regulatory Change”, regardless of the date enacted, adopted, issued or implemented. The Borrower acknowledges that any Affected Party may institute measures in anticipation of a Regulatory Change (including, without limitation, the imposition of internal charges on such Affected Party’s interests or obligations under this Agreement), and may commence allocating charges to or seeking compensation from Borrower under this </w:t>
      </w:r>
      <w:r>
        <w:rPr>
          <w:rFonts w:ascii="Times New Roman" w:hAnsi="Times New Roman"/>
          <w:color w:val="000000"/>
          <w:sz w:val="24"/>
          <w:u w:val="single"/>
        </w:rPr>
        <w:t>Section 2.13(a)</w:t>
      </w:r>
      <w:r>
        <w:rPr>
          <w:rFonts w:ascii="Times New Roman" w:hAnsi="Times New Roman"/>
          <w:color w:val="000000"/>
          <w:sz w:val="24"/>
        </w:rPr>
        <w:t>, in connection with such measures in advance of the effective date of such Regulatory Change, and</w:t>
      </w:r>
      <w:r>
        <w:rPr>
          <w:color w:val="000000"/>
        </w:rPr>
        <w:t xml:space="preserve"> </w:t>
      </w:r>
      <w:r>
        <w:rPr>
          <w:rFonts w:ascii="Times New Roman" w:hAnsi="Times New Roman"/>
          <w:color w:val="000000"/>
          <w:sz w:val="24"/>
        </w:rPr>
        <w:t>the Borrower agrees to pay such charges or compensation to</w:t>
      </w:r>
      <w:r>
        <w:rPr>
          <w:color w:val="000000"/>
        </w:rPr>
        <w:t xml:space="preserve"> </w:t>
      </w:r>
      <w:r>
        <w:rPr>
          <w:rFonts w:ascii="Times New Roman" w:hAnsi="Times New Roman"/>
          <w:color w:val="000000"/>
          <w:sz w:val="24"/>
        </w:rPr>
        <w:t>the Affected Party following demand therefor without regard to whether such effective date has occurred. The Borrower further acknowledges that any charge or compensation demanded hereunder may take the form of a monthly charge to be assessed by such Affected Party.</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as a result of any event or circumstance similar to those described in Section 2.13(a), any Affected Party is required to compensate a Credit Provider in connection with this Agreement or the funding or maintenance of Loans hereunder, then within 30 days after demand by such Affected Party, the Borrower shall pay to such Affected Party such additional amount or amounts as may be necessary to reimburse such Affected Party for any such amounts paid by it.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determining any amount provided for in this Section, the Affected Party may use any reasonable averaging and attribution methods. Any Affected Party making a claim under this Section shall submit to the Borrower a certificate as to such additional or increased cost or reduction, which certificate shall be conclusive absent manifest error.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Borrower is required to pay additional amounts to or for the benefit of any Affected Party pursuant to this Section, such Affected Party will, at the Borrower’s request, change the jurisdiction of its applicable lending office if, in the sole judgment of such Affected Party, such change (i) will eliminate or reduce any such additional payment which may thereafter accrue and (ii) will not, in the judgment of such Affected Party, be otherwise disadvantageous to it or inconsistent with its internal policies.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2.14. </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rPr>
        <w:t>All payments made by the Obligor with respect to any Receivable and by the Borrower in respect of any Loan and all other payments made by the Borrower or the Servicer under this Agreement will be made free and clear of and without deduction or withholding for or on account of any Taxes, unless such withholding or deduction is required by Applicable Law. In such event, the Borrower shall pay to the appropriate taxing authority any such Taxes required to be deducted or withheld. If such Taxes are Non-Excluded Taxes, the Borrower shall increase the amount payable to each Lender or the Administrative Agent, as the case may be (such increase, the “</w:t>
      </w:r>
      <w:r>
        <w:rPr>
          <w:rFonts w:ascii="Times New Roman" w:hAnsi="Times New Roman"/>
          <w:color w:val="000000"/>
          <w:sz w:val="24"/>
          <w:u w:val="single"/>
        </w:rPr>
        <w:t>Additional Amount</w:t>
      </w:r>
      <w:r>
        <w:rPr>
          <w:color w:val="000000"/>
        </w:rPr>
        <w:t>”</w:t>
      </w:r>
      <w:r>
        <w:rPr>
          <w:rFonts w:ascii="Times New Roman" w:hAnsi="Times New Roman"/>
          <w:color w:val="000000"/>
          <w:sz w:val="24"/>
        </w:rPr>
        <w:t xml:space="preserve">) such that every net payment made under this Agreement after deduction or withholding for or on account of any Non- Excluded Taxes (including any deduction or </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withholding for or on account of such Additional Amount) is not less than the amount that would have been paid had no such deduction or withholding been deducted or withheld.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will indemnify each Lender and the Administrative Agent for the full amount of Non-Excluded Taxes in respect of which the Borrower is required to pay Additional Amounts (including any Taxes imposed by any jurisdiction on such Additional Amounts) paid by such Lender or the Administrative Agent, as the case may be, and any liability (including penalties, interest and expenses) arising therefrom or with respect thereto; provided, however, that the Lender or Administrative Agent making a demand for indemnity payment hereunder shall provide the Borrower with a certificate from the relevant taxing authority or from a Responsible Officer of such Lender or the Administrative Agent stating or otherwise evidencing that such Lender or the Administrative Agent has made payment of such Taxes and will provide a copy of or extract from documentation, if available, furnished by such taxing authority evidencing assertion or payment of such Taxes. This indemnification shall be made within 15 days from the date a Lender or the Administrative Agent, as the case may be, makes written demand therefor.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30 days after the date of any payment by the Borrower of any Taxes pursuant to this Section, the Borrower will furnish to the Administrative Agent and each Agent, at its address set forth under its name on the signature pages hereof, appropriate evidence of payment thereof.</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Lender is a Non-U.S. Lender, such Lender shall, to the extent that it may then do so under Applicable Law, deliver to the Borrower, with a copy to the Administrative Agent, the related Agent and the Account Bank, (i) on or prior to becoming a Lender under this Agreement, (ii) within 15 days after reasonable written request of the Borrower, and (iii) upon the obsolescence of or after the occurrence of any event requiring a change in any form or certificate previously delivered pursuant to this Section 2.14(d), a duly completed copy of the applicable IRS Form W-8 (or any successor forms or other certificates or statements which may be required from time to time by the relevant U.S. taxing authorities or Applicable Law), including all required attachments, to permit the Borrower to make payments hereunder for the account of such Lender, as the case may be, without deduction or withholding of U.S. federal income or similar Taxes. Any Non-U.S. Lender that is claiming an exemption from U.S. withholding tax under Code Section 871(h) or 881(c) shall provide, in addition to the documentation required by the preceding sentence, a properly executed certificate representing that such Non-U.S. Lender is not a “bank” for purposes of Code Section 881(c), is not a “10 percent shareholder” of the Borrower within the meaning of Code Section 871(h)(3)(B), and is not a “controlled foreign corporation” related to the Borrower within the meaning of Code Section 864(d)(4). If a Lender is a “U.S. Person” as defined in Code Section 7701(a)(30), such Lender shall, to the extent that it may do so under Applicable Law, deliver to the Borrower, with a copy to the Administrative Agent, (i) on or prior to becoming a Lender under this Agreement, (ii) within 15 days after reasonable written request of the Borrower, and (iii) upon the obsolescence of or after the occurrence of any event requiring a change in any form or certificate previously delivered pursuant to this Section 2.14(d) and upon written request of the Borrower, a duly completed copy of the IRS Form W-9 (or any successor forms or other certificates or statements which may be required from time to time by the relevant U.S. taxing authorities or Applicable Law).</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payment made to a Lender in respect of any Loan or under this Agreement would be subject to U.S. federal withholding tax imposed by FATCA if the recipient of such payment were to fail to comply with the applicable reporting requirements of FATCA (including the requirements of Code Sections 1471(b) or 1472(b), as applicable), such recipient shall notify the Borrower, the Administrative Agent and the Account Bank of such fact and deliver to the Borrower, with a copy to the Administrative Agent and the Account Bank, at the time or times prescribed by Applicable Law and at such time or times reasonably requested by the Borrower, the Administrative Agent or the Account Bank, such documentation prescribed by Applicable Law (including as prescribed by Code Section 1471(b)(3)(C)(i)) and such additional documentation reasonably requested by the Borrower, the Administrative Agent or the Account Bank to comply with its obligations under FATCA, to the determine that such recipient has complied with such recipient’s obligations under FATCA, or to determine the amount to deduct and withhold from such payment. Solely for purposes of this Section 2.14(e), “FATCA” shall include any amendments made to FATCA after the date of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30 days of the written request of the Borrower therefor, the Administrative Agent and the Lender, as appropriate, shall execute and deliver to the Borrower such certificates, forms or other documents which can be furnished consistent with the facts and which are reasonably necessary to assist the Borrower in applying for refunds of Taxes remitted hereunder; provided, however, that (i) the Administrative Agent and the Lender shall not be required to deliver such certificates, forms or other documents if in their respective sole discretion it is determined that the deliverance of such certificate, form or other document would have a material adverse affect on the Administrative Agent or Lender and (ii) the Borrower shall reimburse the Administrative Agent or Lender for any reasonable expenses incurred in the delivery of such certificate, form or other document.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in connection with an agreement or other document providing liquidity support, credit enhancement or other similar support to the Lenders in connection with this Agreement or the funding or maintenance of Loans hereunder, the Lenders are required to compensate a bank or other financial institution in respect of Non-Excluded Taxes under circumstances similar to those described in this Section, then within 15 days after demand by the Lenders, the Borrower shall pay to the Lenders such additional amount or amounts as may be necessary to reimburse the Lenders for any amounts paid by them.</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has entered in this Agreement, and the Notes will be issued with the intention that, for federal, State and local income, single business and franchise tax purposes, the Notes will qualify as indebtedness of the Borrower, secured by the Collateral. The Borrower, by entering into this Agreement, and the Administrative Agent, by its acceptance of the Notes (and each Lender, or other Person designated by a Lender, by its acceptance of an interest in the applicable Note), agree to treat the Notes for federal, State and local income, single business and franchise tax purposes as indebtedness of the Borrower.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determining withholding Taxes imposed under FATCA, from and after November 20, 2014, the Borrower and the Administrative Agent shall treat (and the Lenders hereby authorize the Administrative Agent to treat) the Loans as not qualifying as a “grandfathered obligation” within the meaning of Treasury Regulation Section 1.471-2(b)(2)(i).</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2.15.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Sharing of Payments, Etc.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other than as expressly provided elsewhere herein, any Lender shall obtain on account of the Notes owned by it any payment in excess of its Invested Percentage in such payment, such Lender shall immediately (i) notify the Administrative Agent and the Agent for its Lender Group of such fact and (ii) purchase from the other Lenders such participations made by them as shall be necessary to cause such purchasing Lender to share the excess payment pro rata (based on the Lender Percentage of each Lender) with each of them; provided, however, that if all or any portion of such excess payment is thereafter recovered from the purchasing Lender, such purchase shall to that extent be rescinded and each other Lender shall repay to the purchasing Lender the purchase price paid therefor, together with an amount equal to such paying Lender’s ratable share (according to the proportion of (a) the amount of such paying Lender’s required repayment to (b) the total amount so recovered from the purchasing Lender) of any interest or other amount paid or payable by the purchasing Lender in respect of the total amount so recovered. The Borrower agrees that any Lender so purchasing a participation from another Lender may, to the fullest extent permitted by Applicable Law, exercise all its rights of payment (including the right of set-off) with respect to such participation as fully as if such Lender was the direct creditor of the Borrower in the amount of such participation. Each Agent and the Administrative Agent will keep records (which shall be conclusive and binding in the absence of manifest error) of participations purchased under this Section and will in each case notify each Agent following any such purchases or repayments.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2.16. </w:t>
      </w:r>
    </w:p>
    <w:p>
      <w:pPr>
        <w:pStyle w:val="TextBody"/>
        <w:bidi w:val="0"/>
        <w:spacing w:before="0" w:after="240"/>
        <w:jc w:val="both"/>
        <w:rPr/>
      </w:pPr>
      <w:r>
        <w:rPr>
          <w:rFonts w:ascii="Times New Roman" w:hAnsi="Times New Roman"/>
          <w:color w:val="000000"/>
          <w:sz w:val="24"/>
          <w:u w:val="single"/>
        </w:rPr>
        <w:t>The Account Bank</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appoints [***] as the initial Account Bank. All payments of amounts due and payable in respect of the Obligations that are to be made from amounts withdrawn from the Collection Account or the Hedge Reserve Account shall be made on behalf of the Borrower by the Account Bank in accordance with Section 2.08 or Section 6.03(d), as applicable.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shall be compensated for its activities hereunder by receiving the Account Bank Fee. The Account Bank Fee shall be payable in accordance with the priorities specified in Section 2.08 or, at the option of UACC, may be paid directly to the Account Bank by UACC. The Borrower shall indemnify the Account Bank and its officers, directors, employees and agents for, and hold them harmless against any loss, liability or expense incurred, other than in connection with the willful misconduct, gross negligence or bad faith on the part of the Account Bank, arising out of or in connection with (i) the performance of its obligations under and in accordance with this Agreement, including the costs and expenses of defending itself against any claim or liability in connection with the exercise or performance of any of its powers or duties under this Agreement and (ii) the negligence, willful misconduct or bad faith of the Borrower in the performance of its duties hereunder. All such amounts shall be payable in accordance with Section 2.08. The provisions of this Section shall survive the termination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FOREGOING INDEMNIFICATION SHALL APPLY WHETHER OR NOT SUCH LIABILITIES AND COSTS ARE IN ANY WAY OR TO ANY EXTENT OWED, IN WHOLE OR IN PART, UNDER ANY CLAIM OR THEORY OF STRICT LIABILITY.</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Account Bank shall be liable in accordance herewith only to the extent of the obligations specifically undertaken by the Account Bank in such capacity herein and under the </w:t>
      </w:r>
    </w:p>
    <w:p>
      <w:pPr>
        <w:pStyle w:val="TextBody"/>
        <w:bidi w:val="0"/>
        <w:jc w:val="center"/>
        <w:rPr>
          <w:rFonts w:ascii="Times New Roman" w:hAnsi="Times New Roman"/>
          <w:color w:val="000000"/>
          <w:sz w:val="24"/>
        </w:rPr>
      </w:pPr>
      <w:r>
        <w:rPr>
          <w:rFonts w:ascii="Times New Roman" w:hAnsi="Times New Roman"/>
          <w:color w:val="000000"/>
          <w:sz w:val="24"/>
        </w:rPr>
        <w:t>67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Account Control Agreement. No implied covenants or obligations shall be read into this Agreement against the Account Bank and, in the absence of bad faith on the part of the Account Bank, the Account Bank may conclusively rely on the truth of the statements and the correctness of the opinions expressed in any certificates or opinions furnished to the Account Bank pursuant to and conforming to the requirements of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shall not be liable for: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error of judgment made in good faith by one of its officers; or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action taken, suffered or omitted to be taken in good faith in accordance with or believed by it to be authorized or within the discretion or rights or powers conferred, by this Agreement or at the direction of a Secured Party relating to the exercise of any power conferred upon the Account Bank under this Agreement in each case unless it shall be proved that the Account Bank shall have been negligent in ascertaining the pertinent facts.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shall not be charged with knowledge of any Termination Event or Unmatured Termination Event unless an Authorized Officer of the Account Bank obtains actual knowledge of such event or the Account Bank receives written notice of such event from the Borrower, the Servicer, any Secured Party or the Administrative Agent, as the case may be.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limiting the generality of this Section, the Account Bank shall have no duty (i) to see to any recording, filing or depositing of this Agreement or any agreement referred to herein or any financing statement or continuation statement evidencing a security interest in the Collateral, or to see to the maintenance of any such recording or filing or depositing or to any recording, refiling or redepositing of any thereof, (ii) to see to any insurance of the Financed Vehicles or Obligors or to effect or maintain any such insurance, (iii) to see to the payment or discharge of any Tax, assessment or other governmental charge or any Lien or encumbrance of any kind owing with respect to, assessed or levied against, any part of the Contracts, (iv) to confirm or verify the contents of any reports or certificates of the Servicer (other than in its capacity as Backup Servicer in accordance with its express duties as such undertaken herein) or the Borrower delivered to the Account Bank pursuant to this Agreement believed by the Account Bank to be genuine and to have been signed or presented by the proper party or parties or (v) to inspect the Financed Vehicles at any time or ascertain or inquire as to the performance or observance of any of the Borrower’s or the Servicer’s representations, warranties or covenants or the Servicer’s duties and obligations as Servicer and as custodian of books, records, files and computer records relating to the Contracts under this Agreement (in each case other than in its capacity as Backup Servicer in accordance with its express duties as such undertaken herein).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Account Bank shall not be required to expend or risk its own funds or otherwise incur financial liability in the performance of any of its duties hereunder, or in the exercise of any of its rights or powers, if there shall be reasonable ground for believing that the repayment of such funds or adequate indemnity against such risk or liability shall not be reasonably assured to it, and none of the provisions contained in this Agreement shall in any event require the Account Bank to perform, or be responsible for the manner of performance of, any of the obligations of the Servicer </w:t>
      </w:r>
    </w:p>
    <w:p>
      <w:pPr>
        <w:pStyle w:val="TextBody"/>
        <w:bidi w:val="0"/>
        <w:jc w:val="center"/>
        <w:rPr>
          <w:rFonts w:ascii="Times New Roman" w:hAnsi="Times New Roman"/>
          <w:color w:val="000000"/>
          <w:sz w:val="24"/>
        </w:rPr>
      </w:pPr>
      <w:r>
        <w:rPr>
          <w:rFonts w:ascii="Times New Roman" w:hAnsi="Times New Roman"/>
          <w:color w:val="000000"/>
          <w:sz w:val="24"/>
        </w:rPr>
        <w:t>68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under this Agreement (other than in its capacity as Backup Servicer in accordance with its express duties as such undertaken herein).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reasonably believed by it to be genuine and to have been signed or presented by the proper party or parties.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may consult with counsel of its choice with regard to legal questions arising out of or in connection with this Agreement and the advice or opinion of such counsel shall be full and complete authorization and protection in respect of any action taken, omitted or suffered by the Account Bank in good faith in accordance therewith.</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Account Bank shall be under no obligation to exercise any of the rights, powers or remedies vested in it by this Agreement (except to comply with its obligations under this Agreement and any other Basic Document to which it is a party) or to institute, conduct or defend any litigation under this Agreement or in relation to this Agreement, at the request, order or direction of the Administrative Agent pursuant to the provisions of this Agreement, unless the Administrative Agent, on behalf of the Secured Parties, or any other party hereto shall have offered to the Account Bank reasonable security or indemnity against the costs, expenses and liabilities that may be incurred therein or thereby.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shall not be bound to make any investigation into the facts of matters stated in any resolution, certificate, statement, instrument, opinion, report, notice, request, consent, order, approval, bond or other paper or document, unless requested in writing so to do by the Administrative Agent or another Secured Party; provided, that if the payment within a reasonable time to the Account Bank of the costs, expenses or liabilities likely to be incurred by it in the making of such investigation shall be, in the opinion of the Account Bank, not reasonably assured by the Borrower, the Account Bank may require reasonable indemnity against such cost, expense or liability as a condition to so proceeding. The reasonable expense of every such examination shall be paid by the Borrower or, if paid by the Account Bank, shall be reimbursed by the Borrower pursuant to Section 2.08.</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may execute any of the trusts or powers hereunder or perform any duties under this Agreement either directly or by or through agents or attorneys or a custodian. The Account Bank shall not be responsible for any misconduct or negligence of any such agent or custodian appointed with due care by it hereunder.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Account Bank shall have no duties or responsibilities except those that are specifically set forth herein and the other Basic Documents to which it is a party, and no implied covenants or obligations shall be read into this Agreement against the Account Bank. If the Account Bank shall request instructions from the Administrative Agent or the Servicer with respect to any act, action or failure to act in connection with and as set forth in this Agreement, the Account Bank shall be entitled to refrain from taking such action and continue to refrain from acting unless and until the Account Bank shall have received written instructions from the Administrative Agent </w:t>
      </w:r>
    </w:p>
    <w:p>
      <w:pPr>
        <w:pStyle w:val="TextBody"/>
        <w:bidi w:val="0"/>
        <w:jc w:val="center"/>
        <w:rPr>
          <w:rFonts w:ascii="Times New Roman" w:hAnsi="Times New Roman"/>
          <w:color w:val="000000"/>
          <w:sz w:val="24"/>
        </w:rPr>
      </w:pPr>
      <w:r>
        <w:rPr>
          <w:rFonts w:ascii="Times New Roman" w:hAnsi="Times New Roman"/>
          <w:color w:val="000000"/>
          <w:sz w:val="24"/>
        </w:rPr>
        <w:t>69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the Servicer, as applicable, without incurring any liability therefor to the Administrative Agent, the Borrower, the Servicer or any other person.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may act in reliance upon any written communication of the Administrative Agent concerning the delivery of Collateral pursuant to this Agreement. The Account Bank does not assume and shall have no responsibility for, and makes no representation as to, monitoring the value of the Contracts and other Collateral. The Account Bank shall not be liable for any action or omission to act hereunder, except for its own gross negligence, bad faith or willful misconduct.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FOREGOING PARAGRAPH SHALL APPLY WHETHER OR NOT SUCH LIABILITIES ARE IN ANY WAY OR TO ANY EXTENT OWED, IN WHOLE OR IN PART, UNDER ANY CLAIM OR THEORY OF STRICT LIABILITY.</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the Account Bank shall at any time receive conflicting instructions from the Administrative Agent and the Servicer or any other party to this Agreement and the conflict between such instructions cannot be resolved by reference to the terms of this Agreement, the Account Bank shall be entitled to rely on the instructions of the Administrative Agent. In the absence of bad faith, gross negligence or willful misconduct on the part of the Account Bank, the Account Bank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believed by it to be genuine and to have been signed or presented by the proper party or parties. The Account Bank may rely upon the validity of documents delivered to it, without investigation as to their authenticity or legal effectiveness, and the Account Bank shall not be liable to the Servicer or any other party to this Agreement in respect of any claims that may arise or be asserted against the Account Bank because of the invalidity of any such documents or their failure to fulfill their intended purpose. The Account Bank shall not be bound to ascertain or inquire as to the performance or observance of any of the terms of this Agreement or any other agreement on the part of any party, except as may otherwise be specifically set forth herein.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is authorized, in its sole discretion, to disregard any and all notices or instructions given by any other party hereto or by any other Person other than any such notices or instructions as are expressly provided for in this Agreement or the Account Control Agreement and orders or process of any court entered or issued with or without jurisdiction. If any property subject hereto is at any time attached, garnished or levied upon under any court order or in case the payment, assignment, transfer, conveyance or delivery of any such property shall be stayed or enjoined by any court order, or in case any order, judgment or decree shall be made or entered by any court affecting such property or any part hereof, then and in any of such events the Account Bank is authorized, in its sole discretion, to rely upon and comply with any such order, writ, judgment or decree with which it is advised by legal counsel of its own choosing is binding upon it, and if it complies with any such order, writ, judgment or decree it shall not be liable to any other party hereto or to any other Person by reason of such compliance even though such order, writ, judgment or decree maybe subsequently reversed, modified, annulled, set aside or vacated.</w:t>
      </w:r>
    </w:p>
    <w:p>
      <w:pPr>
        <w:pStyle w:val="TextBody"/>
        <w:bidi w:val="0"/>
        <w:spacing w:before="0" w:after="240"/>
        <w:jc w:val="left"/>
        <w:rPr>
          <w:rFonts w:ascii="Times New Roman" w:hAnsi="Times New Roman"/>
          <w:color w:val="2F5496"/>
          <w:sz w:val="24"/>
        </w:rPr>
      </w:pPr>
      <w:r>
        <w:rPr>
          <w:rFonts w:ascii="Times New Roman" w:hAnsi="Times New Roman"/>
          <w:color w:val="2F5496"/>
          <w:sz w:val="24"/>
        </w:rPr>
        <w:t xml:space="preserve">Section 2.17. </w:t>
      </w:r>
    </w:p>
    <w:p>
      <w:pPr>
        <w:pStyle w:val="TextBody"/>
        <w:bidi w:val="0"/>
        <w:spacing w:before="0" w:after="240"/>
        <w:jc w:val="left"/>
        <w:rPr/>
      </w:pPr>
      <w:r>
        <w:rPr>
          <w:rFonts w:ascii="Times New Roman" w:hAnsi="Times New Roman"/>
          <w:color w:val="000000"/>
          <w:sz w:val="24"/>
          <w:u w:val="single"/>
        </w:rPr>
        <w:t>Alternate Rate of Interest</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clauses (b), (c), (d) and (e) of this Section 2.17, if prior to the commencement of any Interest Period for a Loan: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determines (which determination shall be conclusive absent manifest error) at any time that adequate and reasonable means do not exist for ascertaining Daily Simple SOFR; or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is advised by the Required Agents that the Adjusted Daily Simple SOFR will not adequately and fairly reflect the cost to such Lenders (or Lender) of making or maintaining their Loans (or its Loan) bearing interest by reference to Adjusted Daily Simple SOFR;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then the Administrative Agent shall give notice thereof to the Borrower and the Agents by telephone, telecopy or electronic mail as promptly as practicable thereafter and, until the Administrative Agent notifies the Borrower and the Agents that the circumstances giving rise to such notice no longer exist with respect to the relevant Benchmark, the Loans shall bear interest at the Alternate Base Rate.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herein or in any other Basic Document (and any Hedging Agreement shall be deemed not to be a “Basic Document” for purposes of this Error: Reference source not found), if a Benchmark Transition Event and its related Benchmark Replacement Date have occurred prior to the Reference Time in respect of any setting of the then-current Benchmark, then such Benchmark Replacement will replace such Benchmark for all purposes hereunder and under any Basic Document in respect of any Benchmark setting at or after 5:00 p.m. (New York City time) on the fifth (5th) Business Day after the date notice of such Benchmark Replacement is provided to the Agents without any amendment to, or further action or consent of any other party to, this Agreement or any other Basic Document so long as the Administrative Agent has not received, by such time, written notice of objection to such Benchmark Replacement from Agents comprising the Required Agents.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herein or in any other Basic Document, the Administrative Agent will have the right to make Benchmark Replacement Conforming Changes from time to time and, notwithstanding anything to the contrary herein or in any other Basic Document, any amendments implementing such Benchmark Replacement Conforming Changes will become effective without any further action or consent of any other party to this Agreement or any other Basic Document; provided, however, that any such amendments must not affect the Owner Trustee’s, the Backup Servicer’s or the Account Bank’s rights, indemnities or obligations without its consent.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Administrative Agent will promptly notify the Borrower and the Agents of any occurrence of a Benchmark Transition Event, the implementation of any Benchmark Replacement, the effectiveness of any Benchmark Replacement Conforming Changes, and the commencement or conclusion of any Benchmark Unavailability Period. Any determination, decision or election that may be made by the Administrative Agent or, if applicable, any Agent (or group of Agents) pursuant to this Error: Reference source not found, including any determination with respect to a tenor, rate or adjustment or of the occurrence or non-occurrence of an event, circumstance or date and any decision to take or refrain from taking any action or any selection, will be conclusive and </w:t>
      </w:r>
    </w:p>
    <w:p>
      <w:pPr>
        <w:pStyle w:val="TextBody"/>
        <w:bidi w:val="0"/>
        <w:jc w:val="center"/>
        <w:rPr>
          <w:rFonts w:ascii="Times New Roman" w:hAnsi="Times New Roman"/>
          <w:color w:val="000000"/>
          <w:sz w:val="24"/>
        </w:rPr>
      </w:pPr>
      <w:r>
        <w:rPr>
          <w:rFonts w:ascii="Times New Roman" w:hAnsi="Times New Roman"/>
          <w:color w:val="000000"/>
          <w:sz w:val="24"/>
        </w:rPr>
        <w:t>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binding absent manifest error and may be made in its or their sole discretion and without consent from any other party to this Agreement or any other Basic Document, except, in each case, as expressly required pursuant to this Error: Reference source not found.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Borrower’s receipt of notice of the commencement of a Benchmark Unavailability Period, and at all times during the continuation of a Benchmark Unavailability Period, the Loans will bear interest at the Alternate Base Rate.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Owner Trustee, the Account Bank or the Backup Servicer shall (i) be responsible for making decisions or determinations in connection with any Benchmark Replacement, Benchmark Replacement Conforming Changes or Benchmark Transition Event or (ii) have any liability for any determination, decision or election made by or on behalf of the Administrative Agent or the Lenders in connection with a Benchmark Transition Event, Benchmark Replacement Conforming Changes or a Benchmark Replacement. Each Lender shall be deemed to waive and release any and all claims against the Owner Trustee, the Account Bank and the Backup Servicer relating to any such determination, decision or election by the Administrative Agent.</w:t>
      </w:r>
    </w:p>
    <w:p>
      <w:pPr>
        <w:pStyle w:val="TextBody"/>
        <w:bidi w:val="0"/>
        <w:spacing w:before="0" w:after="240"/>
        <w:jc w:val="center"/>
        <w:rPr>
          <w:rFonts w:ascii="Times New Roman" w:hAnsi="Times New Roman"/>
          <w:caps/>
          <w:color w:val="2F5496"/>
          <w:sz w:val="24"/>
        </w:rPr>
      </w:pPr>
      <w:r>
        <w:rPr>
          <w:rFonts w:ascii="Times New Roman" w:hAnsi="Times New Roman"/>
          <w:caps/>
          <w:color w:val="2F5496"/>
          <w:sz w:val="24"/>
        </w:rPr>
        <w:t>ARTICLE 3</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SECURITY</w:t>
      </w:r>
    </w:p>
    <w:p>
      <w:pPr>
        <w:pStyle w:val="TextBody"/>
        <w:bidi w:val="0"/>
        <w:spacing w:before="0" w:after="240"/>
        <w:jc w:val="left"/>
        <w:rPr>
          <w:rFonts w:ascii="Times New Roman" w:hAnsi="Times New Roman"/>
          <w:color w:val="2F5496"/>
          <w:sz w:val="24"/>
        </w:rPr>
      </w:pPr>
      <w:r>
        <w:rPr>
          <w:rFonts w:ascii="Times New Roman" w:hAnsi="Times New Roman"/>
          <w:color w:val="2F5496"/>
          <w:sz w:val="24"/>
        </w:rPr>
        <w:t xml:space="preserve">Section 3.01. </w:t>
      </w:r>
    </w:p>
    <w:p>
      <w:pPr>
        <w:pStyle w:val="TextBody"/>
        <w:bidi w:val="0"/>
        <w:spacing w:before="0" w:after="240"/>
        <w:jc w:val="left"/>
        <w:rPr/>
      </w:pPr>
      <w:r>
        <w:rPr>
          <w:rFonts w:ascii="Times New Roman" w:hAnsi="Times New Roman"/>
          <w:color w:val="000000"/>
          <w:sz w:val="24"/>
          <w:u w:val="single"/>
        </w:rPr>
        <w:t>Collateral</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rPr>
        <w:t>The parties hereto intend that this Agreement constitute a security agreement and the transactions effected hereby constitute secured loans by the Lenders to the Borrower under Applicable Law. As collateral security for the prompt, complete and indefeasible payment and performance in full when due, whether by lapse of time, acceleration or otherwise, of the Obligations, the Borrower hereby grants to the Administrative Agent, as agent for the Secured Parties, a lien on and security interest in all of the Borrower’s right, title and interest in, to and under the following, whether now existing or owned or hereafter arising or acquired by the Borrower (collectively, the “</w:t>
      </w:r>
      <w:r>
        <w:rPr>
          <w:rFonts w:ascii="Times New Roman" w:hAnsi="Times New Roman"/>
          <w:color w:val="000000"/>
          <w:sz w:val="24"/>
          <w:u w:val="single"/>
        </w:rPr>
        <w:t>Collateral</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Receivables and the related Contracts listed on the Schedule of Receivables, any accounts or obligations evidenced thereby, any guarantee thereof, all Collections and all monies due (including any payments made under any guarantee or similar credit enhancement with respect to any such Receivables) or to become due or received by any Person in payment of any of the foregoing on or after the related Cutoff Date;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Financed Vehicles related to such Receivables (including Financed Vehicles that have been repossessed) or in any document or writing evidencing any security interest in any Financed Vehicle and each security interest in each Financed Vehicle securing each such Receivable, including all proceeds from any sale or other disposition of such Financed Vehicles;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72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income and proceeds of the foregoing.</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 under this Section does not constitute and is not intended to result in a creation or an assumption by the Administrative Agent, any Agent or any of the Secured Parties of any obligation of the Borrower or any other Person in connection with any or all of the Collateral or under any agreement or instrument relating thereto. Anything herein to the contrary notwithstanding, (i) the Borrower shall remain liable under the Contracts related to the Receivables to the extent set forth therein to perform all of its duties and obligations thereunder to the same extent as if this Agreement had not been executed, (ii) the exercise by the Administrative Agent of any of its rights in the Collateral shall not release the Borrower from any of its duties or obligations under the Collateral and (iii) no Agent or any Secured Party shall have any obligations or liability under the Collateral by reason of this Agreement, nor shall any Agent or any Secured Party be obligated to perform any of the obligations or duties of the Borrower thereunder or to take any action to collect or enforce any claim for payment assigned hereunder.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grant of security interest, no account, instrument, chattel paper or other obligation or property of any kind due from, owned by or belonging to a Designated Person shall be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Each of the Borrower and the Administrative Agent represents and warrants as to itself that each remittance of Collections by the Borrower to the Administrative Agent or any Lender under this Agreement will have been (i) in payment of a debt incurred by the Borrower in the ordinary course of business or financial affairs of the Borrower and the Administrative Agent or any Lender and (ii) made in the ordinary course of business or financial affairs of the Borrower and the Administrative Agent or any Lender.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3.02. </w:t>
      </w:r>
    </w:p>
    <w:p>
      <w:pPr>
        <w:pStyle w:val="TextBody"/>
        <w:bidi w:val="0"/>
        <w:spacing w:before="0" w:after="240"/>
        <w:jc w:val="both"/>
        <w:rPr/>
      </w:pPr>
      <w:r>
        <w:rPr>
          <w:rFonts w:ascii="Times New Roman" w:hAnsi="Times New Roman"/>
          <w:color w:val="000000"/>
          <w:sz w:val="24"/>
          <w:u w:val="single"/>
        </w:rPr>
        <w:t>Release of Collateral; No Legal Title</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At the same time as any Contract relating to a Receivable (i) expires by its terms and all amounts in respect thereof have been paid by the related Obligor and deposited in the Local </w:t>
      </w:r>
    </w:p>
    <w:p>
      <w:pPr>
        <w:pStyle w:val="TextBody"/>
        <w:bidi w:val="0"/>
        <w:jc w:val="center"/>
        <w:rPr>
          <w:rFonts w:ascii="Times New Roman" w:hAnsi="Times New Roman"/>
          <w:color w:val="000000"/>
          <w:sz w:val="24"/>
        </w:rPr>
      </w:pPr>
      <w:r>
        <w:rPr>
          <w:rFonts w:ascii="Times New Roman" w:hAnsi="Times New Roman"/>
          <w:color w:val="000000"/>
          <w:sz w:val="24"/>
        </w:rPr>
        <w:t>73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Bank Account or the Collection Account or (ii) has been prepaid in full and all amounts in respect thereof have been paid by the related Obligor and deposited in the Local Bank Account and subsequently deposited into the Collection Account, the Administrative Agent will, to the extent requested by the Servicer, promptly release its interest and lien in such Contract and the related Collateral. In connection with any sale of the related Financed Vehicle on or after the occurrence of an event described in clauses (i) or (ii) above, after the deposit by the Servicer of the proceeds of such sale into the Local Bank Account and subsequent deposit within two Business Days thereafter into the Collection Account, the Administrative Agent will, at the sole expense of the Servicer, promptly execute and deliver to the Servicer any assignments, bills of sale, termination statements and any other releases and instruments as the Servicer may reasonably request in order to effect the release and transfer of such Financed Vehicle; provided, that the Administrative Agent will not make any representation or warranty, express or implied, with respect to any such Financed Vehicle in connection with such sale or transfer and assignment. Nothing in this Section shall diminish the Servicer’s obligations pursuant to Sections 7.03(c) and 7.03(d) with respect to the proceeds of any such sale.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(i) reallocation of the Receivables and related Collateral in connection with a prepayment pursuant to Section 2.06 or a Securitization or (ii) the Facility Termination Date, the Administrative Agent shall, at the Borrower’s expense, upon payment in full of the related Aggregate Unpaids then due and payable, promptly (A) execute and file instruments of release, partial or full assignments of financing statements and other documents and instruments as the Borrower or the Servicer may reasonably request with respect to the portion of the Receivables (and the other related Collateral) to be released to the Borrower, (B) deliver any portion of the Receivables (and the other related Collateral) to be released to the Borrower in its possession to the Borrower and (C) otherwise take such actions, and cause or permit the Servicer and the Custodian to take such actions, as are necessary and appropriate to release the Lien of the Administrative Agent on the portion of the Receivables (and the other related Collateral) to be released to the Borrower and deliver to the Borrower such Receivables and related Collateral.</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will not, except as may result from the exercise of its remedies hereunder, have legal title to any part of the Collateral on the Facility Termination Date and will have no further interest in or rights with respect to the Collateral.</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3.03. </w:t>
      </w:r>
    </w:p>
    <w:p>
      <w:pPr>
        <w:pStyle w:val="TextBody"/>
        <w:bidi w:val="0"/>
        <w:spacing w:before="0" w:after="240"/>
        <w:jc w:val="both"/>
        <w:rPr/>
      </w:pPr>
      <w:r>
        <w:rPr>
          <w:rFonts w:ascii="Times New Roman" w:hAnsi="Times New Roman"/>
          <w:color w:val="000000"/>
          <w:sz w:val="24"/>
          <w:u w:val="single"/>
        </w:rPr>
        <w:t>Protection of Security Interest; Administrative Agent, as Attorney-in-Fact</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agrees that from time to time, at its expense, it will promptly execute and deliver all instruments and documents, and take all actions, that may reasonably be necessary or desirable, or that the Administrative Agent may deem necessary, to perfect, protect or more fully evidence the security interest granted to the Administrative Agent in the Receivables and the other Collateral, or to enable any Secured Party to exercise and enforce its rights and remedies hereunder and thereunder; provided, that prior to the occurrence of a Servicer Termination Event, Custodian Termination Event or a Termination Event, the Borrower shall not be required to (i) deliver any Receivable Files to any Person other than the Custodian, or (ii) cause any Certificate of Title to be revised to name the Administrative Agent or any Secured Party as Lienholder.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the Borrower fails to perform any of its obligations hereunder after five Business Days’ notice from any Secured Party, any Secured Party may (but shall not be required to) perform, </w:t>
      </w:r>
    </w:p>
    <w:p>
      <w:pPr>
        <w:pStyle w:val="TextBody"/>
        <w:bidi w:val="0"/>
        <w:jc w:val="center"/>
        <w:rPr>
          <w:rFonts w:ascii="Times New Roman" w:hAnsi="Times New Roman"/>
          <w:color w:val="000000"/>
          <w:sz w:val="24"/>
        </w:rPr>
      </w:pPr>
      <w:r>
        <w:rPr>
          <w:rFonts w:ascii="Times New Roman" w:hAnsi="Times New Roman"/>
          <w:color w:val="000000"/>
          <w:sz w:val="24"/>
        </w:rPr>
        <w:t>74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cause performance of, such obligation; and the reasonable costs and expenses of such Secured Party incurred in connection therewith shall be payable by the Borrower as provided in Article Ten. The Borrower irrevocably authorizes the Administrative Agent and appoints the Administrative Agent, as its attorney-in-fact to act on behalf of the Borrower, (i) to execute or cause to be executed on behalf of the Borrower as debtor and to file financing statements necessary or desirable in the Administrative Agent’s sole discretion to perfect and to maintain the perfection and priority of the interest of the Secured Parties in the Receivables and the other Collateral, including financing statements that describe the collateral covered thereby as “all assets of the Borrower whether now owned or existing or hereafter acquired or arising and wheresoever located” or words of similar effect and (ii) to file a carbon, photographic or other reproduction of this Agreement or any financing statement with respect to the Receivables and the other Collateral, as a financing statement in such offices as the Administrative Agent in its sole discretion deems necessary or desirable to perfect and to maintain the perfection and priority of the interests of the Secured Parties in the Receivables and the other Collateral. This appointment is coupled with an interest and is irrevocable.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3.04. </w:t>
      </w:r>
    </w:p>
    <w:p>
      <w:pPr>
        <w:pStyle w:val="TextBody"/>
        <w:bidi w:val="0"/>
        <w:spacing w:before="0" w:after="240"/>
        <w:jc w:val="both"/>
        <w:rPr/>
      </w:pPr>
      <w:r>
        <w:rPr>
          <w:rFonts w:ascii="Times New Roman" w:hAnsi="Times New Roman"/>
          <w:color w:val="000000"/>
          <w:sz w:val="24"/>
          <w:u w:val="single"/>
        </w:rPr>
        <w:t>Assignment of the Purchase Agreement</w:t>
      </w:r>
      <w:r>
        <w:rPr>
          <w:rFonts w:ascii="Times New Roman" w:hAnsi="Times New Roman"/>
          <w:color w:val="000000"/>
          <w:sz w:val="24"/>
        </w:rPr>
        <w:t>. The Borrower hereby represents, warrants and confirms to the Administrative Agent that the Borrower has assigned to the Administrative Agent, for the ratable benefit of the Secured Parties hereunder, all of the Borrower’s right and title to and interest in the Purchase Agreement (including each Transfer Agreement). The Borrower confirms that the Administrative Agent shall have the sole right to enforce the Borrower’s rights and remedies under the Purchase Agreement or any Transfer Agreement for the benefit of the Secured Parties, but without any obligation on the part of the Administrative Agent, the Secured Parties or any of their respective Affiliates, to perform any of the obligations of the Borrower under the Purchase Agreement or any Transfer Agreement. The Borrower further confirms and agrees that such assignment to the Administrative Agent shall terminate upon the Facility Termination Date; provided, however, that the rights of the Administrative Agent and the Secured Parties pursuant to such assignment with respect to rights and remedies in connection with any indemnities and any breach of any representation, warranty or covenants made by UACC pursuant to the Purchase Agreement, which rights and remedies survive the termination of the Purchase Agreement, shall be continuing and shall survive any termination of such assignment.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3.05. </w:t>
      </w:r>
    </w:p>
    <w:p>
      <w:pPr>
        <w:pStyle w:val="TextBody"/>
        <w:bidi w:val="0"/>
        <w:spacing w:before="0" w:after="240"/>
        <w:jc w:val="both"/>
        <w:rPr/>
      </w:pPr>
      <w:r>
        <w:rPr>
          <w:rFonts w:ascii="Times New Roman" w:hAnsi="Times New Roman"/>
          <w:color w:val="000000"/>
          <w:sz w:val="24"/>
          <w:u w:val="single"/>
        </w:rPr>
        <w:t>Waiver of Certain Laws</w:t>
      </w:r>
      <w:r>
        <w:rPr>
          <w:rFonts w:ascii="Times New Roman" w:hAnsi="Times New Roman"/>
          <w:color w:val="000000"/>
          <w:sz w:val="24"/>
        </w:rPr>
        <w:t>. Each of the Borrower, the Servicer, the Backup Servicer, the Account Bank and the Custodian agrees, to the full extent that it may lawfully so agree, that neither it nor anyone claiming through or under it will set up, claim or seek to take advantage of any appraisement, valuation, stay, extension or redemption law now or hereafter in force in any locality where any part of the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each of the Borrower, the Servicer, the Backup Servicer, the Account Bank and the Custodian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in such parcels as the Administrative Agent or such court may determine.</w:t>
      </w:r>
    </w:p>
    <w:p>
      <w:pPr>
        <w:pStyle w:val="TextBody"/>
        <w:bidi w:val="0"/>
        <w:jc w:val="center"/>
        <w:rPr>
          <w:rFonts w:ascii="Times New Roman" w:hAnsi="Times New Roman"/>
          <w:color w:val="000000"/>
          <w:sz w:val="24"/>
        </w:rPr>
      </w:pPr>
      <w:r>
        <w:rPr>
          <w:rFonts w:ascii="Times New Roman" w:hAnsi="Times New Roman"/>
          <w:color w:val="000000"/>
          <w:sz w:val="24"/>
        </w:rPr>
        <w:t>75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caps/>
          <w:color w:val="2F5496"/>
          <w:sz w:val="24"/>
        </w:rPr>
      </w:pPr>
      <w:r>
        <w:rPr>
          <w:rFonts w:ascii="Times New Roman" w:hAnsi="Times New Roman"/>
          <w:caps/>
          <w:color w:val="2F5496"/>
          <w:sz w:val="24"/>
        </w:rPr>
        <w:t>ARTICLE 4</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CONDITIONS OF CLOSING AND LOANS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4.01. </w:t>
      </w:r>
    </w:p>
    <w:p>
      <w:pPr>
        <w:pStyle w:val="TextBody"/>
        <w:bidi w:val="0"/>
        <w:spacing w:before="0" w:after="240"/>
        <w:jc w:val="both"/>
        <w:rPr/>
      </w:pPr>
      <w:r>
        <w:rPr>
          <w:rFonts w:ascii="Times New Roman" w:hAnsi="Times New Roman"/>
          <w:color w:val="000000"/>
          <w:sz w:val="24"/>
          <w:u w:val="single"/>
        </w:rPr>
        <w:t>Conditions to Closing and Initial Loan</w:t>
      </w:r>
      <w:r>
        <w:rPr>
          <w:rFonts w:ascii="Times New Roman" w:hAnsi="Times New Roman"/>
          <w:color w:val="000000"/>
          <w:sz w:val="24"/>
        </w:rPr>
        <w:t>. The Closing Date shall not occur and no Lender shall be obligated to make any Lender Advance hereunder on the occasion of the Initial Loan, nor shall any Lender, the Administrative Agent, any Agent, the Backup Servicer, the Account Bank or the Custodian be obligated to take, fulfill or perform any other action hereunder, until all of the following conditions have been satisfied, in the sole discretion of the Administrative Agent: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4.02. </w:t>
      </w:r>
    </w:p>
    <w:p>
      <w:pPr>
        <w:pStyle w:val="TextBody"/>
        <w:bidi w:val="0"/>
        <w:spacing w:before="0" w:after="240"/>
        <w:jc w:val="both"/>
        <w:rPr/>
      </w:pPr>
      <w:r>
        <w:rPr>
          <w:rFonts w:ascii="Times New Roman" w:hAnsi="Times New Roman"/>
          <w:color w:val="000000"/>
          <w:sz w:val="24"/>
          <w:u w:val="single"/>
        </w:rPr>
        <w:t>Conditions Precedent to All Loans</w:t>
      </w:r>
      <w:r>
        <w:rPr>
          <w:rFonts w:ascii="Times New Roman" w:hAnsi="Times New Roman"/>
          <w:color w:val="000000"/>
          <w:sz w:val="24"/>
        </w:rPr>
        <w:t>. Each request for a Loan by the Borrower to a Lender (including the Initial Loan) shall be subject to the conditions set forth in Section 4.01 and the further conditions precedent that: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76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center"/>
        <w:rPr>
          <w:rFonts w:ascii="Times New Roman" w:hAnsi="Times New Roman"/>
          <w:caps/>
          <w:color w:val="2F5496"/>
          <w:sz w:val="24"/>
        </w:rPr>
      </w:pPr>
      <w:r>
        <w:rPr>
          <w:rFonts w:ascii="Times New Roman" w:hAnsi="Times New Roman"/>
          <w:caps/>
          <w:color w:val="2F5496"/>
          <w:sz w:val="24"/>
        </w:rPr>
        <w:t>ARTICLE 5</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REPRESENTATIONS AND WARRANTIES</w:t>
      </w:r>
    </w:p>
    <w:p>
      <w:pPr>
        <w:pStyle w:val="TextBody"/>
        <w:bidi w:val="0"/>
        <w:spacing w:before="0" w:after="240"/>
        <w:jc w:val="left"/>
        <w:rPr>
          <w:rFonts w:ascii="Times New Roman" w:hAnsi="Times New Roman"/>
          <w:color w:val="2F5496"/>
          <w:sz w:val="24"/>
        </w:rPr>
      </w:pPr>
      <w:r>
        <w:rPr>
          <w:rFonts w:ascii="Times New Roman" w:hAnsi="Times New Roman"/>
          <w:color w:val="2F5496"/>
          <w:sz w:val="24"/>
        </w:rPr>
        <w:t xml:space="preserve">Section 5.01. </w:t>
      </w:r>
    </w:p>
    <w:p>
      <w:pPr>
        <w:pStyle w:val="TextBody"/>
        <w:bidi w:val="0"/>
        <w:spacing w:before="0" w:after="240"/>
        <w:jc w:val="left"/>
        <w:rPr/>
      </w:pPr>
      <w:r>
        <w:rPr>
          <w:rFonts w:ascii="Times New Roman" w:hAnsi="Times New Roman"/>
          <w:color w:val="000000"/>
          <w:sz w:val="24"/>
          <w:u w:val="single"/>
        </w:rPr>
        <w:t>Representations and Warranties of the Borrower</w:t>
      </w:r>
      <w:r>
        <w:rPr>
          <w:rFonts w:ascii="Times New Roman" w:hAnsi="Times New Roman"/>
          <w:color w:val="000000"/>
          <w:sz w:val="24"/>
        </w:rPr>
        <w:t>. The Borrower represents and warrants, as of the Closing Date and each Funding Date, as follows: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(a)</w:t>
      </w:r>
    </w:p>
    <w:p>
      <w:pPr>
        <w:pStyle w:val="TextBody"/>
        <w:bidi w:val="0"/>
        <w:spacing w:before="0" w:after="240"/>
        <w:jc w:val="both"/>
        <w:rPr/>
      </w:pPr>
      <w:r>
        <w:rPr>
          <w:rFonts w:ascii="Times New Roman" w:hAnsi="Times New Roman"/>
          <w:color w:val="000000"/>
          <w:sz w:val="24"/>
          <w:u w:val="single"/>
        </w:rPr>
        <w:t>Organization and Good Standing</w:t>
      </w:r>
      <w:r>
        <w:rPr>
          <w:rFonts w:ascii="Times New Roman" w:hAnsi="Times New Roman"/>
          <w:color w:val="000000"/>
          <w:sz w:val="24"/>
        </w:rPr>
        <w:t>. The Borrower has been duly organized, and is validly existing as a statutory trust in good standing under the laws of the State of Delaware, with all requisite power and authority to own or lease its properties and conduct its business as such business is presently conducted, and the Borrower had at all relevant times, and now has all necessary power, authority and legal right to acquire, own, sell and pledge the Receivables and the other Collateral.</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(b)</w:t>
      </w:r>
    </w:p>
    <w:p>
      <w:pPr>
        <w:pStyle w:val="TextBody"/>
        <w:bidi w:val="0"/>
        <w:spacing w:before="0" w:after="240"/>
        <w:jc w:val="both"/>
        <w:rPr/>
      </w:pPr>
      <w:r>
        <w:rPr>
          <w:rFonts w:ascii="Times New Roman" w:hAnsi="Times New Roman"/>
          <w:color w:val="000000"/>
          <w:sz w:val="24"/>
          <w:u w:val="single"/>
        </w:rPr>
        <w:t>Due Qualification</w:t>
      </w:r>
      <w:r>
        <w:rPr>
          <w:rFonts w:ascii="Times New Roman" w:hAnsi="Times New Roman"/>
          <w:color w:val="000000"/>
          <w:sz w:val="24"/>
        </w:rPr>
        <w:t>. The Borrower is duly qualified to do business and is in good standing as a statutory trust, and has obtained all necessary licenses and approvals in all jurisdictions in which the ownership or lease of property or the conduct of its business requires such qualifications, licenses or approvals (including, as applicable, the purchase, sale and pledge of the Receivables).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(c)</w:t>
      </w:r>
    </w:p>
    <w:p>
      <w:pPr>
        <w:pStyle w:val="TextBody"/>
        <w:bidi w:val="0"/>
        <w:spacing w:before="0" w:after="240"/>
        <w:jc w:val="both"/>
        <w:rPr/>
      </w:pPr>
      <w:r>
        <w:rPr>
          <w:rFonts w:ascii="Times New Roman" w:hAnsi="Times New Roman"/>
          <w:color w:val="000000"/>
          <w:sz w:val="24"/>
          <w:u w:val="single"/>
        </w:rPr>
        <w:t>Power and Authority; Due Authorization</w:t>
      </w:r>
      <w:r>
        <w:rPr>
          <w:rFonts w:ascii="Times New Roman" w:hAnsi="Times New Roman"/>
          <w:color w:val="000000"/>
          <w:sz w:val="24"/>
        </w:rPr>
        <w:t>. The Borrower (i) has all necessary power, authority and legal right to (A) execute and deliver the Borrower Basic Documents, (B) carry out the terms of the Borrower Basic Documents and (C) grant the security interest in the Collateral on the terms and conditions herein provided and (ii) has duly authorized by all necessary trust action the execution, delivery and performance of the Borrower Basic Documents and the grant of the security interest in the Collateral on the terms and conditions herein and therein provided.</w:t>
      </w:r>
    </w:p>
    <w:p>
      <w:pPr>
        <w:pStyle w:val="TextBody"/>
        <w:bidi w:val="0"/>
        <w:jc w:val="center"/>
        <w:rPr>
          <w:rFonts w:ascii="Times New Roman" w:hAnsi="Times New Roman"/>
          <w:color w:val="000000"/>
          <w:sz w:val="24"/>
        </w:rPr>
      </w:pPr>
      <w:r>
        <w:rPr>
          <w:rFonts w:ascii="Times New Roman" w:hAnsi="Times New Roman"/>
          <w:color w:val="000000"/>
          <w:sz w:val="24"/>
        </w:rPr>
        <w:t>77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(d)</w:t>
      </w:r>
    </w:p>
    <w:p>
      <w:pPr>
        <w:pStyle w:val="TextBody"/>
        <w:bidi w:val="0"/>
        <w:spacing w:before="0" w:after="240"/>
        <w:jc w:val="both"/>
        <w:rPr/>
      </w:pPr>
      <w:r>
        <w:rPr>
          <w:rFonts w:ascii="Times New Roman" w:hAnsi="Times New Roman"/>
          <w:color w:val="000000"/>
          <w:sz w:val="24"/>
          <w:u w:val="single"/>
        </w:rPr>
        <w:t>No Violation</w:t>
      </w:r>
      <w:r>
        <w:rPr>
          <w:rFonts w:ascii="Times New Roman" w:hAnsi="Times New Roman"/>
          <w:color w:val="000000"/>
          <w:sz w:val="24"/>
        </w:rPr>
        <w:t>. The consummation of the transactions contemplated by the Borrower Basic Documents and the fulfillment of the terms hereof and thereof will not (i) conflict with, result in any breach of any of the terms and provisions of, or constitute (with or without notice or lapse of time or both) a default under, the Borrower’s Formation Documents or a default in any material respect under any Contractual Obligation of the Borrower, (ii) result in the creation or imposition of any Lien upon any of the Borrower’s properties pursuant to the terms of any such Formation Documents, or Contractual Obligation, other than this Agreement, or (iii) violate any Applicable Law, the violation of which could reasonably be expected to have a Material Adverse Effect.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(e)</w:t>
      </w:r>
    </w:p>
    <w:p>
      <w:pPr>
        <w:pStyle w:val="TextBody"/>
        <w:bidi w:val="0"/>
        <w:spacing w:before="0" w:after="240"/>
        <w:jc w:val="both"/>
        <w:rPr/>
      </w:pPr>
      <w:r>
        <w:rPr>
          <w:rFonts w:ascii="Times New Roman" w:hAnsi="Times New Roman"/>
          <w:color w:val="000000"/>
          <w:sz w:val="24"/>
          <w:u w:val="single"/>
        </w:rPr>
        <w:t>No Proceedings</w:t>
      </w:r>
      <w:r>
        <w:rPr>
          <w:rFonts w:ascii="Times New Roman" w:hAnsi="Times New Roman"/>
          <w:color w:val="000000"/>
          <w:sz w:val="24"/>
        </w:rPr>
        <w:t>. There is no litigation, proceeding or investigation pending or, to the best knowledge of the Borrower, threatened against the Borrower, before any Governmental Authority (i) asserting the invalidity of any Borrower Basic Document, (ii) seeking to prevent the consummation of any of the transactions contemplated by any Borrower Basic Document or (iii) seeking any determination or ruling that could reasonably be expected to have a Material Adverse Effect.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(f)</w:t>
      </w:r>
    </w:p>
    <w:p>
      <w:pPr>
        <w:pStyle w:val="TextBody"/>
        <w:bidi w:val="0"/>
        <w:spacing w:before="0" w:after="240"/>
        <w:jc w:val="both"/>
        <w:rPr/>
      </w:pPr>
      <w:r>
        <w:rPr>
          <w:rFonts w:ascii="Times New Roman" w:hAnsi="Times New Roman"/>
          <w:color w:val="000000"/>
          <w:sz w:val="24"/>
          <w:u w:val="single"/>
        </w:rPr>
        <w:t>All Consents Required</w:t>
      </w:r>
      <w:r>
        <w:rPr>
          <w:rFonts w:ascii="Times New Roman" w:hAnsi="Times New Roman"/>
          <w:color w:val="000000"/>
          <w:sz w:val="24"/>
        </w:rPr>
        <w:t>. All approvals, authorizations, consents, orders, licenses or other actions of any Person or of any Governmental Authority required for the due execution, delivery and performance by the Borrower of the Borrower Basic Documents have been obtained.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(g)</w:t>
      </w:r>
    </w:p>
    <w:p>
      <w:pPr>
        <w:pStyle w:val="TextBody"/>
        <w:bidi w:val="0"/>
        <w:spacing w:before="0" w:after="240"/>
        <w:jc w:val="both"/>
        <w:rPr/>
      </w:pPr>
      <w:r>
        <w:rPr>
          <w:rFonts w:ascii="Times New Roman" w:hAnsi="Times New Roman"/>
          <w:color w:val="000000"/>
          <w:sz w:val="24"/>
          <w:u w:val="single"/>
        </w:rPr>
        <w:t>Bulk Sales</w:t>
      </w:r>
      <w:r>
        <w:rPr>
          <w:rFonts w:ascii="Times New Roman" w:hAnsi="Times New Roman"/>
          <w:color w:val="000000"/>
          <w:sz w:val="24"/>
        </w:rPr>
        <w:t>. The execution, delivery and performance of this Agreement do not require compliance with any “bulk sales” act or similar law by the Borrower.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(h)</w:t>
      </w:r>
    </w:p>
    <w:p>
      <w:pPr>
        <w:pStyle w:val="TextBody"/>
        <w:bidi w:val="0"/>
        <w:spacing w:before="0" w:after="240"/>
        <w:jc w:val="both"/>
        <w:rPr/>
      </w:pPr>
      <w:r>
        <w:rPr>
          <w:rFonts w:ascii="Times New Roman" w:hAnsi="Times New Roman"/>
          <w:color w:val="000000"/>
          <w:sz w:val="24"/>
          <w:u w:val="single"/>
        </w:rPr>
        <w:t>Solvency</w:t>
      </w:r>
      <w:r>
        <w:rPr>
          <w:rFonts w:ascii="Times New Roman" w:hAnsi="Times New Roman"/>
          <w:color w:val="000000"/>
          <w:sz w:val="24"/>
        </w:rPr>
        <w:t>. The transactions contemplated by the Borrower Basic Documents do not and will not render the Borrower not Solvent.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pPr>
      <w:r>
        <w:rPr>
          <w:rFonts w:ascii="Times New Roman" w:hAnsi="Times New Roman"/>
          <w:color w:val="000000"/>
          <w:sz w:val="24"/>
          <w:u w:val="single"/>
        </w:rPr>
        <w:t>Selection Procedures</w:t>
      </w:r>
      <w:r>
        <w:rPr>
          <w:rFonts w:ascii="Times New Roman" w:hAnsi="Times New Roman"/>
          <w:color w:val="000000"/>
          <w:sz w:val="24"/>
        </w:rPr>
        <w:t>. No procedures that could reasonably be expected to be adverse to the interests of the Lenders were utilized by the Borrower in identifying and/or selecting Receivables to be funded by the related Loans. In addition, each Receivable shall have been underwritten in accordance with and satisfy the standards of the Credit and Collection Policy at the time of origination of such Receivable.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(j)</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The Borrower has filed or caused to be filed all tax returns that are required to be filed by it. The Borrower has paid or made adequate provisions for the payment of all Taxes and all assessments made against it or any of its property (other than any amount of Tax the validity of which is currently being contested in good faith by appropriate proceedings and with respect to which reserves in accordance with GAAP have been provided on the books of the Borrower), and no Tax lien has been filed and, to the Borrower’s knowledge, no claim is being asserted, with respect to any such Tax, fee or other charge.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(k)</w:t>
      </w:r>
    </w:p>
    <w:p>
      <w:pPr>
        <w:pStyle w:val="TextBody"/>
        <w:bidi w:val="0"/>
        <w:spacing w:before="0" w:after="240"/>
        <w:jc w:val="both"/>
        <w:rPr/>
      </w:pPr>
      <w:r>
        <w:rPr>
          <w:rFonts w:ascii="Times New Roman" w:hAnsi="Times New Roman"/>
          <w:color w:val="000000"/>
          <w:sz w:val="24"/>
          <w:u w:val="single"/>
        </w:rPr>
        <w:t>Exchange Act Compliance; Regulations T, U and X</w:t>
      </w:r>
      <w:r>
        <w:rPr>
          <w:rFonts w:ascii="Times New Roman" w:hAnsi="Times New Roman"/>
          <w:color w:val="000000"/>
          <w:sz w:val="24"/>
        </w:rPr>
        <w:t xml:space="preserve">. None of the transactions contemplated herein (including the use of the proceeds from the Loans and the pledge of the Collateral) will violate or result in a violation of Section 7 of the Exchange Act, or any regulations issued pursuant thereto, including Regulations T, U and X of the </w:t>
      </w:r>
    </w:p>
    <w:p>
      <w:pPr>
        <w:pStyle w:val="TextBody"/>
        <w:bidi w:val="0"/>
        <w:jc w:val="center"/>
        <w:rPr>
          <w:rFonts w:ascii="Times New Roman" w:hAnsi="Times New Roman"/>
          <w:color w:val="000000"/>
          <w:sz w:val="24"/>
        </w:rPr>
      </w:pPr>
      <w:r>
        <w:rPr>
          <w:rFonts w:ascii="Times New Roman" w:hAnsi="Times New Roman"/>
          <w:color w:val="000000"/>
          <w:sz w:val="24"/>
        </w:rPr>
        <w:t>78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Federal Reserve Board, 12 C.F.R., Chapter II. The Borrower does not own or intend to carry or purchase, and no proceeds from Loans will be used to carry or purchase, any “Margin Stock” within the meaning of Regulation U or to extend “Purchase Credit” within the meaning of Regulation U.</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(l)</w:t>
      </w:r>
    </w:p>
    <w:p>
      <w:pPr>
        <w:pStyle w:val="TextBody"/>
        <w:bidi w:val="0"/>
        <w:spacing w:before="0" w:after="240"/>
        <w:jc w:val="both"/>
        <w:rPr/>
      </w:pPr>
      <w:r>
        <w:rPr>
          <w:rFonts w:ascii="Times New Roman" w:hAnsi="Times New Roman"/>
          <w:color w:val="000000"/>
          <w:sz w:val="24"/>
          <w:u w:val="single"/>
        </w:rPr>
        <w:t>Quality of Title</w:t>
      </w:r>
      <w:r>
        <w:rPr>
          <w:rFonts w:ascii="Times New Roman" w:hAnsi="Times New Roman"/>
          <w:color w:val="000000"/>
          <w:sz w:val="24"/>
        </w:rPr>
        <w:t>. Each Receivable, together with the Contract related thereto, shall, at all times, be owned by the Borrower free and clear of any Lien, except for Permitted Liens, and upon the Initial Loan and each Subsequent Loan, the Administrative Agent, as agent for the Secured Parties, shall acquire a valid and perfected first priority security interest in each Receivable and the related Collateral then existing or thereafter arising, free and clear of any Lien, other than Permitted Liens. No effective financing statement or other instrument similar in effect covering any portion of the Collateral shall at any time be on file in any recording office except such as may be filed in favor of (i) the Borrower in accordance with the Purchase Agreement or (ii) the Administrative Agent in accordance with this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(m)</w:t>
      </w:r>
    </w:p>
    <w:p>
      <w:pPr>
        <w:pStyle w:val="TextBody"/>
        <w:bidi w:val="0"/>
        <w:spacing w:before="0" w:after="240"/>
        <w:jc w:val="both"/>
        <w:rPr/>
      </w:pPr>
      <w:r>
        <w:rPr>
          <w:rFonts w:ascii="Times New Roman" w:hAnsi="Times New Roman"/>
          <w:color w:val="000000"/>
          <w:sz w:val="24"/>
          <w:u w:val="single"/>
        </w:rPr>
        <w:t>Security Interest</w:t>
      </w:r>
      <w:r>
        <w:rPr>
          <w:rFonts w:ascii="Times New Roman" w:hAnsi="Times New Roman"/>
          <w:color w:val="000000"/>
          <w:sz w:val="24"/>
        </w:rPr>
        <w:t>. The Borrower has granted a security interest (as defined in the UCC) to the Administrative Agent, as agent for the Secured Parties, in the Collateral, which is enforceable in accordance with Applicable Law upon execution and delivery of this Agreement. Upon the filing of UCC-1 financing statements naming the Administrative Agent, as secured party and the Borrower as debtor, or upon the Custodian obtaining possession or control, in the case of that portion of the Collateral which constitutes chattel paper (including “tangible chattel paper” and “electronic chattel paper”), the Administrative Agent, as agent for the Secured Parties, shall have a first priority (except for any Permitted Liens) perfected security interest in the Collateral. All filings (including such UCC filings) as are necessary in any jurisdiction to perfect the interest of the Administrative Agent, as agent for the Secured Parties, in the Collateral have been (or prior to the applicable Loan will be) made.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(n)</w:t>
      </w:r>
    </w:p>
    <w:p>
      <w:pPr>
        <w:pStyle w:val="TextBody"/>
        <w:bidi w:val="0"/>
        <w:spacing w:before="0" w:after="240"/>
        <w:jc w:val="both"/>
        <w:rPr/>
      </w:pPr>
      <w:r>
        <w:rPr>
          <w:rFonts w:ascii="Times New Roman" w:hAnsi="Times New Roman"/>
          <w:color w:val="000000"/>
          <w:sz w:val="24"/>
          <w:u w:val="single"/>
        </w:rPr>
        <w:t>Reports Accurate</w:t>
      </w:r>
      <w:r>
        <w:rPr>
          <w:rFonts w:ascii="Times New Roman" w:hAnsi="Times New Roman"/>
          <w:color w:val="000000"/>
          <w:sz w:val="24"/>
        </w:rPr>
        <w:t>. All Monthly Reports (if prepared by the Borrower, or to the extent that information contained therein is supplied by the Borrower, such portion supplied by the Borrower), information, exhibits, financial statements, documents, books, records or reports furnished or to be furnished by the Borrower to the Administrative Agent, each Agent, the Account Bank, the Backup Servicer and any Secured Party in connection with this Agreement are true, complete and correct in all material respects.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(o)</w:t>
      </w:r>
    </w:p>
    <w:p>
      <w:pPr>
        <w:pStyle w:val="TextBody"/>
        <w:bidi w:val="0"/>
        <w:spacing w:before="0" w:after="240"/>
        <w:jc w:val="both"/>
        <w:rPr/>
      </w:pPr>
      <w:r>
        <w:rPr>
          <w:rFonts w:ascii="Times New Roman" w:hAnsi="Times New Roman"/>
          <w:color w:val="000000"/>
          <w:sz w:val="24"/>
          <w:u w:val="single"/>
        </w:rPr>
        <w:t>Location of Offices</w:t>
      </w:r>
      <w:r>
        <w:rPr>
          <w:rFonts w:ascii="Times New Roman" w:hAnsi="Times New Roman"/>
          <w:color w:val="000000"/>
          <w:sz w:val="24"/>
        </w:rPr>
        <w:t xml:space="preserve">. The principal place of business and chief executive office of the Borrower and the office where the Borrower keeps all the Records are located at the address of the Borrower referred to in Section 14.02 and has been so for the last four months (or at such other locations as to which the notice and other requirements specified in Section 6.02(f) shall have been satisfied).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(p)</w:t>
      </w:r>
    </w:p>
    <w:p>
      <w:pPr>
        <w:pStyle w:val="TextBody"/>
        <w:bidi w:val="0"/>
        <w:spacing w:before="0" w:after="240"/>
        <w:jc w:val="both"/>
        <w:rPr/>
      </w:pPr>
      <w:r>
        <w:rPr>
          <w:rFonts w:ascii="Times New Roman" w:hAnsi="Times New Roman"/>
          <w:color w:val="000000"/>
          <w:sz w:val="24"/>
          <w:u w:val="single"/>
        </w:rPr>
        <w:t>Post Office Box; Local Bank Account; Collection Account</w:t>
      </w:r>
      <w:r>
        <w:rPr>
          <w:rFonts w:ascii="Times New Roman" w:hAnsi="Times New Roman"/>
          <w:color w:val="000000"/>
          <w:sz w:val="24"/>
        </w:rPr>
        <w:t xml:space="preserve">. The Borrower has not granted any Person dominion or control of (i) any Post Office Box or the Local Bank Account other than in accordance with the terms of the Intercreditor Agreement and the Intercreditor Party Supplement or (ii) the Collection Account other than the Administrative Agent. The Local Bank Account is a “deposit account” (under and as </w:t>
      </w:r>
    </w:p>
    <w:p>
      <w:pPr>
        <w:pStyle w:val="TextBody"/>
        <w:bidi w:val="0"/>
        <w:jc w:val="center"/>
        <w:rPr>
          <w:rFonts w:ascii="Times New Roman" w:hAnsi="Times New Roman"/>
          <w:color w:val="000000"/>
          <w:sz w:val="24"/>
        </w:rPr>
      </w:pPr>
      <w:r>
        <w:rPr>
          <w:rFonts w:ascii="Times New Roman" w:hAnsi="Times New Roman"/>
          <w:color w:val="000000"/>
          <w:sz w:val="24"/>
        </w:rPr>
        <w:t>79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defined in the relevant UCC) and the Collection Account is a “securities account” (under and as defined in the relevant UCC). The Administrative Agent has a valid and perfected first priority security interest in the Collection Account. None of the Post Office Boxes, the Local Bank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(q)</w:t>
      </w:r>
    </w:p>
    <w:p>
      <w:pPr>
        <w:pStyle w:val="TextBody"/>
        <w:bidi w:val="0"/>
        <w:spacing w:before="0" w:after="240"/>
        <w:jc w:val="both"/>
        <w:rPr/>
      </w:pPr>
      <w:r>
        <w:rPr>
          <w:rFonts w:ascii="Times New Roman" w:hAnsi="Times New Roman"/>
          <w:color w:val="000000"/>
          <w:sz w:val="24"/>
          <w:u w:val="single"/>
        </w:rPr>
        <w:t>Tradenames</w:t>
      </w:r>
      <w:r>
        <w:rPr>
          <w:rFonts w:ascii="Times New Roman" w:hAnsi="Times New Roman"/>
          <w:color w:val="000000"/>
          <w:sz w:val="24"/>
        </w:rPr>
        <w:t>. The Borrower has no trade names, fictitious names, assumed names or “doing business as” names or other names under which it has done or is doing business.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(r)</w:t>
      </w:r>
    </w:p>
    <w:p>
      <w:pPr>
        <w:pStyle w:val="TextBody"/>
        <w:bidi w:val="0"/>
        <w:spacing w:before="0" w:after="240"/>
        <w:jc w:val="both"/>
        <w:rPr/>
      </w:pPr>
      <w:r>
        <w:rPr>
          <w:rFonts w:ascii="Times New Roman" w:hAnsi="Times New Roman"/>
          <w:color w:val="000000"/>
          <w:sz w:val="24"/>
          <w:u w:val="single"/>
        </w:rPr>
        <w:t>Purchase Agreement</w:t>
      </w:r>
      <w:r>
        <w:rPr>
          <w:rFonts w:ascii="Times New Roman" w:hAnsi="Times New Roman"/>
          <w:color w:val="000000"/>
          <w:sz w:val="24"/>
        </w:rPr>
        <w:t>. The Purchase Agreement is the only agreement pursuant to which the Borrower purchases Receivables and the related Contracts.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(s)</w:t>
      </w:r>
    </w:p>
    <w:p>
      <w:pPr>
        <w:pStyle w:val="TextBody"/>
        <w:bidi w:val="0"/>
        <w:spacing w:before="0" w:after="240"/>
        <w:jc w:val="both"/>
        <w:rPr/>
      </w:pPr>
      <w:r>
        <w:rPr>
          <w:rFonts w:ascii="Times New Roman" w:hAnsi="Times New Roman"/>
          <w:color w:val="000000"/>
          <w:sz w:val="24"/>
          <w:u w:val="single"/>
        </w:rPr>
        <w:t>Value Given</w:t>
      </w:r>
      <w:r>
        <w:rPr>
          <w:rFonts w:ascii="Times New Roman" w:hAnsi="Times New Roman"/>
          <w:color w:val="000000"/>
          <w:sz w:val="24"/>
        </w:rPr>
        <w:t>. The Borrower shall have given reasonably equivalent value to UACC in consideration for the transfer to the Borrower of the Receivables and the related Collateral under the Purchase Agreement, no such transfer shall have been made for or on account of an antecedent debt owed by UACC to the Borrower and no such transfer is or may be voidable or subject to avoidance under any section of the Bankruptcy Code.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(t)</w:t>
      </w:r>
    </w:p>
    <w:p>
      <w:pPr>
        <w:pStyle w:val="TextBody"/>
        <w:bidi w:val="0"/>
        <w:spacing w:before="0" w:after="240"/>
        <w:jc w:val="both"/>
        <w:rPr/>
      </w:pPr>
      <w:r>
        <w:rPr>
          <w:rFonts w:ascii="Times New Roman" w:hAnsi="Times New Roman"/>
          <w:color w:val="000000"/>
          <w:sz w:val="24"/>
          <w:u w:val="single"/>
        </w:rPr>
        <w:t>Accounting</w:t>
      </w:r>
      <w:r>
        <w:rPr>
          <w:rFonts w:ascii="Times New Roman" w:hAnsi="Times New Roman"/>
          <w:color w:val="000000"/>
          <w:sz w:val="24"/>
        </w:rPr>
        <w:t>. The Borrower accounts for the transfers to it from UACC of Receivables and related Collateral under the Purchase Agreement as sales of such Receivables and related Collateral in its books and records and in UACC’s consolidated financial statements, in each case consistent with GAAP and with the requirements set forth herein.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(u)</w:t>
      </w:r>
    </w:p>
    <w:p>
      <w:pPr>
        <w:pStyle w:val="TextBody"/>
        <w:bidi w:val="0"/>
        <w:spacing w:before="0" w:after="240"/>
        <w:jc w:val="both"/>
        <w:rPr/>
      </w:pPr>
      <w:r>
        <w:rPr>
          <w:rFonts w:ascii="Times New Roman" w:hAnsi="Times New Roman"/>
          <w:color w:val="000000"/>
          <w:sz w:val="24"/>
          <w:u w:val="single"/>
        </w:rPr>
        <w:t>Special Purpose Entity</w:t>
      </w:r>
      <w:r>
        <w:rPr>
          <w:rFonts w:ascii="Times New Roman" w:hAnsi="Times New Roman"/>
          <w:color w:val="000000"/>
          <w:sz w:val="24"/>
        </w:rPr>
        <w:t>. The Borrower is in compliance with Section 6.02(n).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w:t>
      </w:r>
    </w:p>
    <w:p>
      <w:pPr>
        <w:pStyle w:val="TextBody"/>
        <w:bidi w:val="0"/>
        <w:spacing w:before="0" w:after="240"/>
        <w:jc w:val="both"/>
        <w:rPr/>
      </w:pPr>
      <w:r>
        <w:rPr>
          <w:rFonts w:ascii="Times New Roman" w:hAnsi="Times New Roman"/>
          <w:color w:val="000000"/>
          <w:sz w:val="24"/>
          <w:u w:val="single"/>
        </w:rPr>
        <w:t>Bankruptcy Filings</w:t>
      </w:r>
      <w:r>
        <w:rPr>
          <w:rFonts w:ascii="Times New Roman" w:hAnsi="Times New Roman"/>
          <w:color w:val="000000"/>
          <w:sz w:val="24"/>
        </w:rPr>
        <w:t>. The Trust Agreement provides that the Owner Trustee, prior to consenting to the filing by the Borrower of a voluntary petition under the Bankruptcy Code or any other Insolvency Laws, shall consider the interests of all Secured Parties and whether the Borrower is not Solvent. Each of the Borrower and UACC is aware that in light of the circumstances described in the preceding sentence and other relevant facts, the filing of a voluntary petition under the Bankruptcy Code for the purpose of making any Receivable or any other assets of the Borrower available to satisfy claims of the creditors of UACC would not result in making such assets available to satisfy such creditors under the Bankruptcy Code.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(w)</w:t>
      </w:r>
    </w:p>
    <w:p>
      <w:pPr>
        <w:pStyle w:val="TextBody"/>
        <w:bidi w:val="0"/>
        <w:spacing w:before="0" w:after="240"/>
        <w:jc w:val="both"/>
        <w:rPr/>
      </w:pPr>
      <w:r>
        <w:rPr>
          <w:rFonts w:ascii="Times New Roman" w:hAnsi="Times New Roman"/>
          <w:color w:val="000000"/>
          <w:sz w:val="24"/>
          <w:u w:val="single"/>
        </w:rPr>
        <w:t>Investment Company Act</w:t>
      </w:r>
      <w:r>
        <w:rPr>
          <w:rFonts w:ascii="Times New Roman" w:hAnsi="Times New Roman"/>
          <w:color w:val="000000"/>
          <w:sz w:val="24"/>
        </w:rPr>
        <w:t>. The Borrower (i) is not a “covered fund” under the Volcker Rule and (ii) is not, and after giving effect to the transactions contemplated hereby, will not be required to register as, an “investment company” within the meaning of the Investment Company Act or any successor statute. In determining that the Borrower is not a “covered fund”, the Borrower is entitled to rely on the exemption from the definition of “investment company” set forth in Section 3(c)(5) of the Investment Company Act.</w:t>
      </w:r>
    </w:p>
    <w:p>
      <w:pPr>
        <w:pStyle w:val="TextBody"/>
        <w:bidi w:val="0"/>
        <w:jc w:val="center"/>
        <w:rPr>
          <w:rFonts w:ascii="Times New Roman" w:hAnsi="Times New Roman"/>
          <w:color w:val="000000"/>
          <w:sz w:val="24"/>
        </w:rPr>
      </w:pPr>
      <w:r>
        <w:rPr>
          <w:rFonts w:ascii="Times New Roman" w:hAnsi="Times New Roman"/>
          <w:color w:val="000000"/>
          <w:sz w:val="24"/>
        </w:rPr>
        <w:t>80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w:t>
      </w:r>
    </w:p>
    <w:p>
      <w:pPr>
        <w:pStyle w:val="TextBody"/>
        <w:bidi w:val="0"/>
        <w:spacing w:before="0" w:after="240"/>
        <w:jc w:val="both"/>
        <w:rPr/>
      </w:pPr>
      <w:r>
        <w:rPr>
          <w:rFonts w:ascii="Times New Roman" w:hAnsi="Times New Roman"/>
          <w:color w:val="000000"/>
          <w:sz w:val="24"/>
          <w:u w:val="single"/>
        </w:rPr>
        <w:t>ERISA</w:t>
      </w:r>
      <w:r>
        <w:rPr>
          <w:rFonts w:ascii="Times New Roman" w:hAnsi="Times New Roman"/>
          <w:color w:val="000000"/>
          <w:sz w:val="24"/>
        </w:rPr>
        <w:t>. The Borrower has no current or former employees. Neither the Borrower nor any ERISA Affiliate sponsors contributes to or is required to contribute to any Pension Plan or any Multiemployer Plan.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(y)</w:t>
      </w:r>
    </w:p>
    <w:p>
      <w:pPr>
        <w:pStyle w:val="TextBody"/>
        <w:bidi w:val="0"/>
        <w:spacing w:before="0" w:after="240"/>
        <w:jc w:val="both"/>
        <w:rPr/>
      </w:pPr>
      <w:r>
        <w:rPr>
          <w:rFonts w:ascii="Times New Roman" w:hAnsi="Times New Roman"/>
          <w:color w:val="000000"/>
          <w:sz w:val="24"/>
          <w:u w:val="single"/>
        </w:rPr>
        <w:t>Accuracy of Representations and Warranties</w:t>
      </w:r>
      <w:r>
        <w:rPr>
          <w:rFonts w:ascii="Times New Roman" w:hAnsi="Times New Roman"/>
          <w:color w:val="000000"/>
          <w:sz w:val="24"/>
        </w:rPr>
        <w:t>. Each representation or warranty by the Borrower contained herein, in any other Basic Document or in any certificate or other document furnished by the Borrower pursuant hereto or thereto or in connection herewith or therewith is true and correct in all material respects.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(z)</w:t>
      </w:r>
    </w:p>
    <w:p>
      <w:pPr>
        <w:pStyle w:val="TextBody"/>
        <w:bidi w:val="0"/>
        <w:spacing w:before="0" w:after="240"/>
        <w:jc w:val="both"/>
        <w:rPr/>
      </w:pPr>
      <w:r>
        <w:rPr>
          <w:rFonts w:ascii="Times New Roman" w:hAnsi="Times New Roman"/>
          <w:color w:val="000000"/>
          <w:sz w:val="24"/>
          <w:u w:val="single"/>
        </w:rPr>
        <w:t>Representations and Warranties in Purchase Agreement</w:t>
      </w:r>
      <w:r>
        <w:rPr>
          <w:rFonts w:ascii="Times New Roman" w:hAnsi="Times New Roman"/>
          <w:color w:val="000000"/>
          <w:sz w:val="24"/>
        </w:rPr>
        <w:t>. The representations and warranties made by the Borrower to UACC in the Purchase Agreement are hereby remade by the Borrower on each date to which they speak in the Purchase Agreement, as if such representations and warranties were set forth herein. For purposes of this Section, such representations and warranties are incorporated herein by reference as if made by the Borrower to the Administrative Agent and to each of the Secured Parties under the terms hereof mutatis mutandis.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(aa)</w:t>
      </w:r>
    </w:p>
    <w:p>
      <w:pPr>
        <w:pStyle w:val="TextBody"/>
        <w:bidi w:val="0"/>
        <w:spacing w:before="0" w:after="240"/>
        <w:jc w:val="both"/>
        <w:rPr/>
      </w:pPr>
      <w:r>
        <w:rPr>
          <w:rFonts w:ascii="Times New Roman" w:hAnsi="Times New Roman"/>
          <w:color w:val="000000"/>
          <w:sz w:val="24"/>
          <w:u w:val="single"/>
        </w:rPr>
        <w:t>OFAC</w:t>
      </w:r>
      <w:r>
        <w:rPr>
          <w:rFonts w:ascii="Times New Roman" w:hAnsi="Times New Roman"/>
          <w:color w:val="000000"/>
          <w:sz w:val="24"/>
        </w:rPr>
        <w:t>. None of the Borrower, the Originator or any of their respective directors, officers, brokers or other agents acting or benefiting in any capacity in connection with this Agreement or the other Basic Documents, or any of their respective parents or subsidiaries, is a Designated Person.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(bb)</w:t>
      </w:r>
    </w:p>
    <w:p>
      <w:pPr>
        <w:pStyle w:val="TextBody"/>
        <w:bidi w:val="0"/>
        <w:spacing w:before="0" w:after="240"/>
        <w:jc w:val="both"/>
        <w:rPr/>
      </w:pPr>
      <w:r>
        <w:rPr>
          <w:rFonts w:ascii="Times New Roman" w:hAnsi="Times New Roman"/>
          <w:color w:val="000000"/>
          <w:sz w:val="24"/>
          <w:u w:val="single"/>
        </w:rPr>
        <w:t>Anti-Money Laundering</w:t>
      </w:r>
      <w:r>
        <w:rPr>
          <w:rFonts w:ascii="Times New Roman" w:hAnsi="Times New Roman"/>
          <w:color w:val="000000"/>
          <w:sz w:val="24"/>
        </w:rPr>
        <w:t>. The Borrower has not used all or any part of the Loans,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(cc)</w:t>
      </w:r>
    </w:p>
    <w:p>
      <w:pPr>
        <w:pStyle w:val="TextBody"/>
        <w:bidi w:val="0"/>
        <w:spacing w:before="0" w:after="240"/>
        <w:jc w:val="both"/>
        <w:rPr/>
      </w:pPr>
      <w:r>
        <w:rPr>
          <w:rFonts w:ascii="Times New Roman" w:hAnsi="Times New Roman"/>
          <w:color w:val="000000"/>
          <w:sz w:val="24"/>
          <w:u w:val="single"/>
        </w:rPr>
        <w:t>Allocation of Assets</w:t>
      </w:r>
      <w:r>
        <w:rPr>
          <w:rFonts w:ascii="Times New Roman" w:hAnsi="Times New Roman"/>
          <w:color w:val="000000"/>
          <w:sz w:val="24"/>
        </w:rPr>
        <w:t xml:space="preserve">. The receivables transferred to the Borrower under the Purchase Agreement and to other special-purpose, bankruptcy-remote Subsidiaries of UACC that are party to warehouse facilities are generally allocated in the same order as such receivables become available for allocation (i.e. “FIFO”) and any variance in the relative mix of receivables collateral characteristics across the Collateral and such warehouse facilities are limited to the relative differences in eligibility criteria and/or concentration limits set forth herein and in the documents governing such warehouse facilities; </w:t>
      </w:r>
      <w:r>
        <w:rPr>
          <w:rFonts w:ascii="Times New Roman" w:hAnsi="Times New Roman"/>
          <w:i/>
          <w:color w:val="000000"/>
          <w:sz w:val="24"/>
        </w:rPr>
        <w:t>provided, however that</w:t>
      </w:r>
      <w:r>
        <w:rPr>
          <w:color w:val="000000"/>
        </w:rPr>
        <w:t xml:space="preserve"> </w:t>
      </w:r>
      <w:r>
        <w:rPr>
          <w:rFonts w:ascii="Times New Roman" w:hAnsi="Times New Roman"/>
          <w:color w:val="000000"/>
          <w:sz w:val="24"/>
        </w:rPr>
        <w:t xml:space="preserve">notwithstanding the foregoing, nothing shall require the Originator to sell receivables to the Borrower or any other of its Subsidiaries that are parties to warehouse facilities at any particular time until the Borrower or such other Subsidiary decides to request funding under this Agreement or the related warehouse facility, as applicable.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(dd)</w:t>
      </w:r>
    </w:p>
    <w:p>
      <w:pPr>
        <w:pStyle w:val="TextBody"/>
        <w:bidi w:val="0"/>
        <w:spacing w:before="0" w:after="240"/>
        <w:jc w:val="both"/>
        <w:rPr/>
      </w:pPr>
      <w:r>
        <w:rPr>
          <w:rFonts w:ascii="Times New Roman" w:hAnsi="Times New Roman"/>
          <w:color w:val="000000"/>
          <w:sz w:val="24"/>
          <w:u w:val="single"/>
        </w:rPr>
        <w:t>Beneficial Ownership Certification</w:t>
      </w:r>
      <w:r>
        <w:rPr>
          <w:rFonts w:ascii="Times New Roman" w:hAnsi="Times New Roman"/>
          <w:color w:val="000000"/>
          <w:sz w:val="24"/>
        </w:rPr>
        <w:t>. To the best of the Borrower’s knowledge, the information included in the Beneficial Ownership Certification is true and correct in all respects.</w:t>
      </w:r>
    </w:p>
    <w:p>
      <w:pPr>
        <w:pStyle w:val="TextBody"/>
        <w:bidi w:val="0"/>
        <w:jc w:val="center"/>
        <w:rPr>
          <w:rFonts w:ascii="Times New Roman" w:hAnsi="Times New Roman"/>
          <w:color w:val="000000"/>
          <w:sz w:val="24"/>
        </w:rPr>
      </w:pPr>
      <w:r>
        <w:rPr>
          <w:rFonts w:ascii="Times New Roman" w:hAnsi="Times New Roman"/>
          <w:color w:val="000000"/>
          <w:sz w:val="24"/>
        </w:rPr>
        <w:t>81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5.02. </w:t>
      </w:r>
    </w:p>
    <w:p>
      <w:pPr>
        <w:pStyle w:val="TextBody"/>
        <w:bidi w:val="0"/>
        <w:spacing w:before="0" w:after="240"/>
        <w:jc w:val="both"/>
        <w:rPr/>
      </w:pPr>
      <w:r>
        <w:rPr>
          <w:rFonts w:ascii="Times New Roman" w:hAnsi="Times New Roman"/>
          <w:color w:val="000000"/>
          <w:sz w:val="24"/>
          <w:u w:val="single"/>
        </w:rPr>
        <w:t>Representations and Warranties of the Borrower Relating to this Agreement and the Receivables</w:t>
      </w:r>
      <w:r>
        <w:rPr>
          <w:rFonts w:ascii="Times New Roman" w:hAnsi="Times New Roman"/>
          <w:color w:val="000000"/>
          <w:sz w:val="24"/>
        </w:rPr>
        <w:t>. The Borrower represents and warrants, as of the Closing Date and as of each Funding Date, as follows: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(a)</w:t>
      </w:r>
    </w:p>
    <w:p>
      <w:pPr>
        <w:pStyle w:val="TextBody"/>
        <w:bidi w:val="0"/>
        <w:spacing w:before="0" w:after="240"/>
        <w:jc w:val="both"/>
        <w:rPr/>
      </w:pPr>
      <w:r>
        <w:rPr>
          <w:rFonts w:ascii="Times New Roman" w:hAnsi="Times New Roman"/>
          <w:color w:val="000000"/>
          <w:sz w:val="24"/>
          <w:u w:val="single"/>
        </w:rPr>
        <w:t>Binding Obligation</w:t>
      </w:r>
      <w:r>
        <w:rPr>
          <w:rFonts w:ascii="Times New Roman" w:hAnsi="Times New Roman"/>
          <w:color w:val="000000"/>
          <w:sz w:val="24"/>
        </w:rPr>
        <w:t>. Each Borrower Basic Document constitutes a legal, valid and binding obligation of the Borrower, enforceable against the Borrower in accordance with its respective terms, except as such enforceability may be limited by Insolvency Laws and except as such enforceability may be limited by general principles of equity (whether considered in a suit at law or in equity).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(b)</w:t>
      </w:r>
    </w:p>
    <w:p>
      <w:pPr>
        <w:pStyle w:val="TextBody"/>
        <w:bidi w:val="0"/>
        <w:spacing w:before="0" w:after="240"/>
        <w:jc w:val="both"/>
        <w:rPr/>
      </w:pPr>
      <w:r>
        <w:rPr>
          <w:rFonts w:ascii="Times New Roman" w:hAnsi="Times New Roman"/>
          <w:color w:val="000000"/>
          <w:sz w:val="24"/>
          <w:u w:val="single"/>
        </w:rPr>
        <w:t>Security Interest</w:t>
      </w:r>
      <w:r>
        <w:rPr>
          <w:rFonts w:ascii="Times New Roman" w:hAnsi="Times New Roman"/>
          <w:color w:val="000000"/>
          <w:sz w:val="24"/>
        </w:rPr>
        <w:t>. This Agreement constitutes a grant of a security interest in all Collateral to the Administrative Agent which upon the filing of financing statements in the applicable jurisdictions and, in the case of Subsequent Receivables in connection with the applicable Subsequent Loan, shall be a first priority perfected security interest in all Collateral, subject only to Permitted Liens. Neither the Borrower nor any Person claiming through or under the Borrower shall have any claim to or interest in any Account and, if this Agreement constitutes the grant of a security interest in such property, except for the interest of the Borrower in such property.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(c)</w:t>
      </w:r>
    </w:p>
    <w:p>
      <w:pPr>
        <w:pStyle w:val="TextBody"/>
        <w:bidi w:val="0"/>
        <w:spacing w:before="0" w:after="240"/>
        <w:jc w:val="both"/>
        <w:rPr/>
      </w:pPr>
      <w:r>
        <w:rPr>
          <w:rFonts w:ascii="Times New Roman" w:hAnsi="Times New Roman"/>
          <w:color w:val="000000"/>
          <w:sz w:val="24"/>
          <w:u w:val="single"/>
        </w:rPr>
        <w:t>Eligibility of Receivables</w:t>
      </w: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Closing Date, (A) Schedule C and the information contained in the Funding Request delivered pursuant to Section 2.01 is an accurate and complete listing in all material respects of the Receivables constituting a portion of the Collateral as of the date of the Initial Loan and the information contained therein with respect to the identity of such Receivables and the amounts owing thereunder is true and correct in all material respects as of the related Cutoff Date, (B) each such Receivable is an Eligible Receivable, (C) each such Receivable and the related Financed Vehicle is free and clear of all Liens (other than Permitted Liens) and in compliance, in all material respects, with all Applicable Laws and (D) with respect to each such Receivable, all material consents, licenses, approvals or authorizations of or registrations or declarations with any Governmental Authority required to be obtained, effected or given by the Borrower in connection with the origination, purchase and pledge of such Receivable and the related Collateral to the Administrative Agent have been duly obtained, effected or given and are in full force and effect.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each Funding Date other than the Funding Date on which the Initial Loan is made, the Borrower shall be deemed to represent and warrant that (A) Schedule C and the information contained in the related Funding Request is an accurate and complete listing in all material respects of the Receivables (including the Subsequent Receivables being transferred on such Funding Date) constituting a portion of the Collateral as of the date of the Subsequent Loan and the information contained therein with respect to the identity of such Receivables and the amounts owing thereunder is true and correct in all material respects as of the related Cutoff Date, (B) each Subsequent Receivable referenced on the related Funding Request is an Eligible Receivable, (C) each such Subsequent Receivable and the related Financed Vehicle is free and clear of all Liens (other than Permitted Liens) and in compliance in all material respects with all Applicable Laws, (D) </w:t>
      </w:r>
    </w:p>
    <w:p>
      <w:pPr>
        <w:pStyle w:val="TextBody"/>
        <w:bidi w:val="0"/>
        <w:jc w:val="center"/>
        <w:rPr>
          <w:rFonts w:ascii="Times New Roman" w:hAnsi="Times New Roman"/>
          <w:color w:val="000000"/>
          <w:sz w:val="24"/>
        </w:rPr>
      </w:pPr>
      <w:r>
        <w:rPr>
          <w:rFonts w:ascii="Times New Roman" w:hAnsi="Times New Roman"/>
          <w:color w:val="000000"/>
          <w:sz w:val="24"/>
        </w:rPr>
        <w:t>82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each such Subsequent Receivable, all material consents, licenses, approvals, authorizations, registrations or declarations with any Governmental Authority required to be obtained, effected or given by the Borrower in connection with the origination, purchase and pledge of such Subsequent Receivable and the related Collateral have been duly obtained, effected or given and are in full force and effect and (E) the representations and warranties set forth in Section 5.02 are true and correct with respect to each Subsequent Receivable pledged on such day as if made on such day.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5.03. </w:t>
      </w:r>
    </w:p>
    <w:p>
      <w:pPr>
        <w:pStyle w:val="TextBody"/>
        <w:bidi w:val="0"/>
        <w:spacing w:before="0" w:after="240"/>
        <w:jc w:val="both"/>
        <w:rPr/>
      </w:pPr>
      <w:r>
        <w:rPr>
          <w:rFonts w:ascii="Times New Roman" w:hAnsi="Times New Roman"/>
          <w:color w:val="000000"/>
          <w:sz w:val="24"/>
          <w:u w:val="single"/>
        </w:rPr>
        <w:t>Representations and Warranties of the Servicer</w:t>
      </w:r>
      <w:r>
        <w:rPr>
          <w:rFonts w:ascii="Times New Roman" w:hAnsi="Times New Roman"/>
          <w:color w:val="000000"/>
          <w:sz w:val="24"/>
        </w:rPr>
        <w:t>. The Servicer represents and warrants, as of the Closing Date and as of each Funding Date, as follows: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(a)</w:t>
      </w:r>
    </w:p>
    <w:p>
      <w:pPr>
        <w:pStyle w:val="TextBody"/>
        <w:bidi w:val="0"/>
        <w:spacing w:before="0" w:after="240"/>
        <w:jc w:val="both"/>
        <w:rPr/>
      </w:pPr>
      <w:r>
        <w:rPr>
          <w:rFonts w:ascii="Times New Roman" w:hAnsi="Times New Roman"/>
          <w:color w:val="000000"/>
          <w:sz w:val="24"/>
          <w:u w:val="single"/>
        </w:rPr>
        <w:t>Organization and Good Standing</w:t>
      </w:r>
      <w:r>
        <w:rPr>
          <w:rFonts w:ascii="Times New Roman" w:hAnsi="Times New Roman"/>
          <w:color w:val="000000"/>
          <w:sz w:val="24"/>
        </w:rPr>
        <w:t>. The Servicer has been duly organized and is validly existing as a corporation in good standing under the laws of the State of California, with all requisite power and authority to own or lease its properties and to conduct its business as such business is presently conducted and to enter into and perform its obligations pursuant to this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(b)</w:t>
      </w:r>
    </w:p>
    <w:p>
      <w:pPr>
        <w:pStyle w:val="TextBody"/>
        <w:bidi w:val="0"/>
        <w:spacing w:before="0" w:after="240"/>
        <w:jc w:val="both"/>
        <w:rPr/>
      </w:pPr>
      <w:r>
        <w:rPr>
          <w:rFonts w:ascii="Times New Roman" w:hAnsi="Times New Roman"/>
          <w:color w:val="000000"/>
          <w:sz w:val="24"/>
          <w:u w:val="single"/>
        </w:rPr>
        <w:t>Due Qualification</w:t>
      </w:r>
      <w:r>
        <w:rPr>
          <w:rFonts w:ascii="Times New Roman" w:hAnsi="Times New Roman"/>
          <w:color w:val="000000"/>
          <w:sz w:val="24"/>
        </w:rPr>
        <w:t>. The Servicer is duly qualified to do business and is in good standing as a corporation, and has obtained all necessary licenses and approvals in all jurisdictions in which the ownership or lease of its property and or the conduct of its business, including the origination and servicing of the Receivables, requires such qualification, licenses or approvals.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(c)</w:t>
      </w:r>
    </w:p>
    <w:p>
      <w:pPr>
        <w:pStyle w:val="TextBody"/>
        <w:bidi w:val="0"/>
        <w:spacing w:before="0" w:after="240"/>
        <w:jc w:val="both"/>
        <w:rPr/>
      </w:pPr>
      <w:r>
        <w:rPr>
          <w:rFonts w:ascii="Times New Roman" w:hAnsi="Times New Roman"/>
          <w:color w:val="000000"/>
          <w:sz w:val="24"/>
          <w:u w:val="single"/>
        </w:rPr>
        <w:t>Power and Authority; Due Authorization</w:t>
      </w:r>
      <w:r>
        <w:rPr>
          <w:rFonts w:ascii="Times New Roman" w:hAnsi="Times New Roman"/>
          <w:color w:val="000000"/>
          <w:sz w:val="24"/>
        </w:rPr>
        <w:t>. The Servicer (i) has all necessary power, authority and legal right to (A) execute and deliver the Servicer Basic Documents and (B) carry out the terms of the Servicer Basic Documents and (ii) has duly authorized by all necessary corporate action the execution, delivery and performance of the Servicer Basic Documents.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(d)</w:t>
      </w:r>
    </w:p>
    <w:p>
      <w:pPr>
        <w:pStyle w:val="TextBody"/>
        <w:bidi w:val="0"/>
        <w:spacing w:before="0" w:after="240"/>
        <w:jc w:val="both"/>
        <w:rPr/>
      </w:pPr>
      <w:r>
        <w:rPr>
          <w:rFonts w:ascii="Times New Roman" w:hAnsi="Times New Roman"/>
          <w:color w:val="000000"/>
          <w:sz w:val="24"/>
          <w:u w:val="single"/>
        </w:rPr>
        <w:t>Binding Obligation</w:t>
      </w:r>
      <w:r>
        <w:rPr>
          <w:rFonts w:ascii="Times New Roman" w:hAnsi="Times New Roman"/>
          <w:color w:val="000000"/>
          <w:sz w:val="24"/>
        </w:rPr>
        <w:t>. Each Servicer Basic Document constitutes a legal, valid and binding obligation of the Servicer enforceable against the Servicer in accordance with its respective terms except as such enforceability may be limited by Insolvency Laws and except as such enforceability may be limited by general principles of equity (whether considered in a suit at law or in equity).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(e)</w:t>
      </w:r>
    </w:p>
    <w:p>
      <w:pPr>
        <w:pStyle w:val="TextBody"/>
        <w:bidi w:val="0"/>
        <w:spacing w:before="0" w:after="240"/>
        <w:jc w:val="both"/>
        <w:rPr/>
      </w:pPr>
      <w:r>
        <w:rPr>
          <w:rFonts w:ascii="Times New Roman" w:hAnsi="Times New Roman"/>
          <w:color w:val="000000"/>
          <w:sz w:val="24"/>
          <w:u w:val="single"/>
        </w:rPr>
        <w:t>No Violation</w:t>
      </w:r>
      <w:r>
        <w:rPr>
          <w:rFonts w:ascii="Times New Roman" w:hAnsi="Times New Roman"/>
          <w:color w:val="000000"/>
          <w:sz w:val="24"/>
        </w:rPr>
        <w:t>. The consummation of the transactions contemplated by the Servicer Basic Documents and the fulfillment of the terms hereof and thereof will not (i) conflict with, result in any breach of any of the terms and provisions of, or constitute (with or without notice or lapse of time or both) a default under, the Servicer’s Formation Documents or, in any material respect, any Contractual Obligation of the Servicer, (ii) result in the creation or imposition of any Lien (other than Permitted Liens) upon any of the Servicer’s properties pursuant to the terms of any such Formation Documents or Contractual Obligation, other than this Agreement, or (iii) violate any Applicable Law, the violation of which could reasonably be expected to have a Material Adverse Effect.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(f)</w:t>
      </w:r>
    </w:p>
    <w:p>
      <w:pPr>
        <w:pStyle w:val="TextBody"/>
        <w:bidi w:val="0"/>
        <w:spacing w:before="0" w:after="240"/>
        <w:jc w:val="both"/>
        <w:rPr/>
      </w:pPr>
      <w:r>
        <w:rPr>
          <w:rFonts w:ascii="Times New Roman" w:hAnsi="Times New Roman"/>
          <w:color w:val="000000"/>
          <w:sz w:val="24"/>
          <w:u w:val="single"/>
        </w:rPr>
        <w:t>No Proceedings</w:t>
      </w:r>
      <w:r>
        <w:rPr>
          <w:rFonts w:ascii="Times New Roman" w:hAnsi="Times New Roman"/>
          <w:color w:val="000000"/>
          <w:sz w:val="24"/>
        </w:rPr>
        <w:t xml:space="preserve">. There is no litigation, proceeding or investigation pending or, to the best knowledge of the Servicer, threatened against the Servicer, before any </w:t>
      </w:r>
    </w:p>
    <w:p>
      <w:pPr>
        <w:pStyle w:val="TextBody"/>
        <w:bidi w:val="0"/>
        <w:jc w:val="center"/>
        <w:rPr>
          <w:rFonts w:ascii="Times New Roman" w:hAnsi="Times New Roman"/>
          <w:color w:val="000000"/>
          <w:sz w:val="24"/>
        </w:rPr>
      </w:pPr>
      <w:r>
        <w:rPr>
          <w:rFonts w:ascii="Times New Roman" w:hAnsi="Times New Roman"/>
          <w:color w:val="000000"/>
          <w:sz w:val="24"/>
        </w:rPr>
        <w:t>83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Governmental Authority (i) asserting the invalidity of any Servicer Basic Document, (ii) seeking to prevent the consummation of any of the transactions contemplated by any Servicer Basic Document, (iii) challenging the enforceability of a material portion of the Receivables or (iv) seeking any determination or ruling that could reasonably be expected to have Material Adverse Effect.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(g)</w:t>
      </w:r>
    </w:p>
    <w:p>
      <w:pPr>
        <w:pStyle w:val="TextBody"/>
        <w:bidi w:val="0"/>
        <w:spacing w:before="0" w:after="240"/>
        <w:jc w:val="both"/>
        <w:rPr/>
      </w:pPr>
      <w:r>
        <w:rPr>
          <w:rFonts w:ascii="Times New Roman" w:hAnsi="Times New Roman"/>
          <w:color w:val="000000"/>
          <w:sz w:val="24"/>
          <w:u w:val="single"/>
        </w:rPr>
        <w:t>All Consents Required</w:t>
      </w:r>
      <w:r>
        <w:rPr>
          <w:rFonts w:ascii="Times New Roman" w:hAnsi="Times New Roman"/>
          <w:color w:val="000000"/>
          <w:sz w:val="24"/>
        </w:rPr>
        <w:t>. All approvals, authorizations, consents, orders or other actions of any Person or of any Governmental Authority (if any) required for the due execution, delivery and performance by the Servicer of the Servicer Basic Documents have been obtained.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(h)</w:t>
      </w:r>
    </w:p>
    <w:p>
      <w:pPr>
        <w:pStyle w:val="TextBody"/>
        <w:bidi w:val="0"/>
        <w:spacing w:before="0" w:after="240"/>
        <w:jc w:val="both"/>
        <w:rPr/>
      </w:pPr>
      <w:r>
        <w:rPr>
          <w:rFonts w:ascii="Times New Roman" w:hAnsi="Times New Roman"/>
          <w:color w:val="000000"/>
          <w:sz w:val="24"/>
          <w:u w:val="single"/>
        </w:rPr>
        <w:t>Reports Accurate</w:t>
      </w:r>
      <w:r>
        <w:rPr>
          <w:rFonts w:ascii="Times New Roman" w:hAnsi="Times New Roman"/>
          <w:color w:val="000000"/>
          <w:sz w:val="24"/>
        </w:rPr>
        <w:t>. All Monthly Reports, information, exhibits, financial statements, documents, books, records or reports furnished or to be furnished by the Servicer to any Agent, the Account Bank, the Backup Servicer or any Secured Party in connection with this Agreement are accurate, true and correct in all material respects.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pPr>
      <w:r>
        <w:rPr>
          <w:rFonts w:ascii="Times New Roman" w:hAnsi="Times New Roman"/>
          <w:color w:val="000000"/>
          <w:sz w:val="24"/>
          <w:u w:val="single"/>
        </w:rPr>
        <w:t>Servicer’s Performance</w:t>
      </w:r>
      <w:r>
        <w:rPr>
          <w:rFonts w:ascii="Times New Roman" w:hAnsi="Times New Roman"/>
          <w:color w:val="000000"/>
          <w:sz w:val="24"/>
        </w:rPr>
        <w:t>. The Servicer has the knowledge, the experience and the systems, financial and operational capacity available to timely perform each of its obligations hereunder.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(j)</w:t>
      </w:r>
    </w:p>
    <w:p>
      <w:pPr>
        <w:pStyle w:val="TextBody"/>
        <w:bidi w:val="0"/>
        <w:spacing w:before="0" w:after="240"/>
        <w:jc w:val="both"/>
        <w:rPr/>
      </w:pPr>
      <w:r>
        <w:rPr>
          <w:rFonts w:ascii="Times New Roman" w:hAnsi="Times New Roman"/>
          <w:color w:val="000000"/>
          <w:sz w:val="24"/>
          <w:u w:val="single"/>
        </w:rPr>
        <w:t>Compliance with Credit and Collection Policy</w:t>
      </w:r>
      <w:r>
        <w:rPr>
          <w:rFonts w:ascii="Times New Roman" w:hAnsi="Times New Roman"/>
          <w:color w:val="000000"/>
          <w:sz w:val="24"/>
        </w:rPr>
        <w:t>. The Servicer has, with respect to the Receivables, complied in all material respects with the Credit and Collection Policy.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(k)</w:t>
      </w:r>
    </w:p>
    <w:p>
      <w:pPr>
        <w:pStyle w:val="TextBody"/>
        <w:bidi w:val="0"/>
        <w:spacing w:before="0" w:after="240"/>
        <w:jc w:val="both"/>
        <w:rPr/>
      </w:pPr>
      <w:r>
        <w:rPr>
          <w:rFonts w:ascii="Times New Roman" w:hAnsi="Times New Roman"/>
          <w:color w:val="000000"/>
          <w:sz w:val="24"/>
          <w:u w:val="single"/>
        </w:rPr>
        <w:t>Post Office Boxes; Local Bank Account; Collection Account</w:t>
      </w:r>
      <w:r>
        <w:rPr>
          <w:rFonts w:ascii="Times New Roman" w:hAnsi="Times New Roman"/>
          <w:color w:val="000000"/>
          <w:sz w:val="24"/>
        </w:rPr>
        <w:t>. The Servicer has not granted any Person dominion or control of (i) any Post Office Box or the Local Bank Account other than in accordance with the terms of the Intercreditor Agreement and the Intercreditor Party Supplement or (ii) the Collection Account other than the Administrative Agent. The Local Bank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Local Bank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pStyle w:val="TextBody"/>
        <w:bidi w:val="0"/>
        <w:spacing w:before="0" w:after="240"/>
        <w:jc w:val="left"/>
        <w:rPr>
          <w:rFonts w:ascii="Times New Roman" w:hAnsi="Times New Roman"/>
          <w:color w:val="2F5496"/>
          <w:sz w:val="24"/>
        </w:rPr>
      </w:pPr>
      <w:r>
        <w:rPr>
          <w:rFonts w:ascii="Times New Roman" w:hAnsi="Times New Roman"/>
          <w:color w:val="2F5496"/>
          <w:sz w:val="24"/>
        </w:rPr>
        <w:t xml:space="preserve">Section 5.04. </w:t>
      </w:r>
    </w:p>
    <w:p>
      <w:pPr>
        <w:pStyle w:val="TextBody"/>
        <w:bidi w:val="0"/>
        <w:spacing w:before="0" w:after="240"/>
        <w:jc w:val="left"/>
        <w:rPr/>
      </w:pPr>
      <w:r>
        <w:rPr>
          <w:rFonts w:ascii="Times New Roman" w:hAnsi="Times New Roman"/>
          <w:color w:val="000000"/>
          <w:sz w:val="24"/>
          <w:u w:val="single"/>
        </w:rPr>
        <w:t>Retransfer of Certain Receivables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u w:val="single"/>
        </w:rPr>
        <w:t>Retransfer of an Ineligible Receivable</w:t>
      </w:r>
      <w:r>
        <w:rPr>
          <w:rFonts w:ascii="Times New Roman" w:hAnsi="Times New Roman"/>
          <w:color w:val="000000"/>
          <w:sz w:val="24"/>
        </w:rPr>
        <w:t xml:space="preserve">. If a Receivable is an Ineligible Receivable as of the related Funding Date, no later than the earlier of (i) knowledge by the Borrower of such event and (ii) receipt by the Borrower from the Administrative Agent or the Servicer of written notice thereof (which notice the Servicer shall be required to give promptly upon knowledge thereof), the Borrower shall (A) disclose the identity of such Ineligible Receivable on the following Monthly Report and (B) to the extent such ineligibility has not been cured or waived in writing by the Administrative Agent, on or before the next Payment Date, make a deposit of the Release Price for each such Ineligible Receivable to the Collection Account in immediately available funds and </w:t>
      </w:r>
    </w:p>
    <w:p>
      <w:pPr>
        <w:pStyle w:val="TextBody"/>
        <w:bidi w:val="0"/>
        <w:jc w:val="center"/>
        <w:rPr>
          <w:rFonts w:ascii="Times New Roman" w:hAnsi="Times New Roman"/>
          <w:color w:val="000000"/>
          <w:sz w:val="24"/>
        </w:rPr>
      </w:pPr>
      <w:r>
        <w:rPr>
          <w:rFonts w:ascii="Times New Roman" w:hAnsi="Times New Roman"/>
          <w:color w:val="000000"/>
          <w:sz w:val="24"/>
        </w:rPr>
        <w:t>84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accept the release of each such Ineligible Receivable. The Administrative Agent shall be deemed, upon deposit of the Release Price into the Collection Account, to convey to the Borrower, without recourse, representation or warranty, all of its right, title and interest in such Ineligible Receivable and the Borrower shall accept the release of each such Ineligible Receivable from the Administrative Agent, and the Aggregate Net Principal Balance shall be reduced by the Principal Balance (as of the related Determination Date) of each such Ineligible Receivable. On and after the date of release, the Ineligible Receivable so released shall not be included in the Collateral. Upon each release to the Borrower of any such Ineligible Receivable, the Administrative Agent shall automatically and without further action be deemed to transfer, assign and set-over to the Borrower, without recourse, representation or warranty, all the right, title and interest of the Administrative Agent in, to and under such Ineligible Receivable and all future monies due or to become due with respect thereto, all proceeds of such Ineligible Receivable and Recoveries relating thereto, all rights to security for any such Ineligible Receivable, and all proceeds and products of the foregoing. The Administrative Agent shall, at the sole expense of the Servicer, execute such documents and instruments of release as may be prepared by the Servicer on behalf of the Borrower and take other such actions as shall reasonably be requested by the Borrower to effect the release of such Ineligible Receivable pursuant to this subsection.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Retransfer of All of the Receivables</w:t>
      </w:r>
      <w:r>
        <w:rPr>
          <w:rFonts w:ascii="Times New Roman" w:hAnsi="Times New Roman"/>
          <w:color w:val="000000"/>
          <w:sz w:val="24"/>
        </w:rPr>
        <w:t>. In the event of a breach of any representation or warranty set forth in Section 5.02, which breach could reasonably be expected to have a Material Adverse Effect on the rights of any of the Borrower, the Administrative Agent, the Agents or the Secured Parties, by notice then given in writing to the Borrower, the Administrative Agent may direct the Borrower to accept the release of all interest in the Receivables, in which case the Borrower shall be obligated to accept the release of such Receivables on a Release Date. The Borrower shall deposit on the Release Date an amount equal to the Release Amount in the Collection Account. On the Release Date, provided that the Release Amount has been deposited into the Collection Account, all interests of the Administrative Agent in the Receivables shall be transferred to the Borrower; and the Administrative Agent shall, at the sole expense of the Servicer, execute and deliver such instruments of transfer, in each case without recourse, representation or warranty, as shall be prepared and reasonably requested by the Servicer on behalf of the Borrower to vest in the Borrower, or its designee or assignee, all right, title and interest of the Administrative Agent in, to and under the Receivables.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pPr>
      <w:r>
        <w:rPr>
          <w:rFonts w:ascii="Times New Roman" w:hAnsi="Times New Roman"/>
          <w:color w:val="000000"/>
          <w:sz w:val="24"/>
          <w:u w:val="single"/>
        </w:rPr>
        <w:t>Retransfer of Receivables for Breach of Servicing Covenant</w:t>
      </w:r>
      <w:r>
        <w:rPr>
          <w:rFonts w:ascii="Times New Roman" w:hAnsi="Times New Roman"/>
          <w:color w:val="000000"/>
          <w:sz w:val="24"/>
        </w:rPr>
        <w:t xml:space="preserve">. In the event that the Servicer breaches a servicing covenant pursuant to Section 7.03(c)(i) or (c)(ii), no later than the earlier of (i) knowledge by the Servicer of such event or (ii) receipt by the Servicer from the Administrative Agent or the Borrower of written notice thereof, the Servicer shall (A) disclose the identity of the related Receivable on the following Monthly Report and (B) to the extent such breach has not been cured or waived in writing by the Administrative Agent, on or before the next Payment Date, make a deposit of the Release Price for each such Receivable into the Collection Account in immediately available funds, and the Borrower shall accept the release of such Receivable(s), in each case as described in Section 5.04(a).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pPr>
      <w:r>
        <w:rPr>
          <w:rFonts w:ascii="Times New Roman" w:hAnsi="Times New Roman"/>
          <w:color w:val="000000"/>
          <w:sz w:val="24"/>
          <w:u w:val="single"/>
        </w:rPr>
        <w:t>Notice of Release</w:t>
      </w:r>
      <w:r>
        <w:rPr>
          <w:rFonts w:ascii="Times New Roman" w:hAnsi="Times New Roman"/>
          <w:color w:val="000000"/>
          <w:sz w:val="24"/>
        </w:rPr>
        <w:t xml:space="preserve">. The Borrower or the Servicer, as applicable, shall provide written notice to the Administrative Agent and each Hedge Counterparty on the related Monthly Report of any release of Receivables pursuant to Sections 5.04(a) and (c). With respect to any release under Section 5.04(b), the Borrower shall provide written notice to the Administrative </w:t>
      </w:r>
    </w:p>
    <w:p>
      <w:pPr>
        <w:pStyle w:val="TextBody"/>
        <w:bidi w:val="0"/>
        <w:jc w:val="center"/>
        <w:rPr>
          <w:rFonts w:ascii="Times New Roman" w:hAnsi="Times New Roman"/>
          <w:color w:val="000000"/>
          <w:sz w:val="24"/>
        </w:rPr>
      </w:pPr>
      <w:r>
        <w:rPr>
          <w:rFonts w:ascii="Times New Roman" w:hAnsi="Times New Roman"/>
          <w:color w:val="000000"/>
          <w:sz w:val="24"/>
        </w:rPr>
        <w:t>85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Agent and each Hedge Counterparty of any release of Receivables prior to 12:00 p.m., Chicago, Illinois time, three (3) Business Days prior to the related Release Date, and such notice shall include representations and warranties by the Borrower that no Termination Event or Servicer Termination Event has occurred.</w:t>
      </w:r>
    </w:p>
    <w:p>
      <w:pPr>
        <w:pStyle w:val="TextBody"/>
        <w:bidi w:val="0"/>
        <w:spacing w:before="0" w:after="240"/>
        <w:jc w:val="center"/>
        <w:rPr>
          <w:rFonts w:ascii="Times New Roman" w:hAnsi="Times New Roman"/>
          <w:caps/>
          <w:color w:val="2F5496"/>
          <w:sz w:val="24"/>
        </w:rPr>
      </w:pPr>
      <w:r>
        <w:rPr>
          <w:rFonts w:ascii="Times New Roman" w:hAnsi="Times New Roman"/>
          <w:caps/>
          <w:color w:val="2F5496"/>
          <w:sz w:val="24"/>
        </w:rPr>
        <w:t>ARTICLE 6</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COVENANTS</w:t>
      </w:r>
    </w:p>
    <w:p>
      <w:pPr>
        <w:pStyle w:val="TextBody"/>
        <w:bidi w:val="0"/>
        <w:spacing w:before="0" w:after="240"/>
        <w:jc w:val="left"/>
        <w:rPr>
          <w:rFonts w:ascii="Times New Roman" w:hAnsi="Times New Roman"/>
          <w:color w:val="2F5496"/>
          <w:sz w:val="24"/>
        </w:rPr>
      </w:pPr>
      <w:r>
        <w:rPr>
          <w:rFonts w:ascii="Times New Roman" w:hAnsi="Times New Roman"/>
          <w:color w:val="2F5496"/>
          <w:sz w:val="24"/>
        </w:rPr>
        <w:t xml:space="preserve">Section 6.01. </w:t>
      </w:r>
    </w:p>
    <w:p>
      <w:pPr>
        <w:pStyle w:val="TextBody"/>
        <w:bidi w:val="0"/>
        <w:spacing w:before="0" w:after="240"/>
        <w:jc w:val="left"/>
        <w:rPr/>
      </w:pPr>
      <w:r>
        <w:rPr>
          <w:rFonts w:ascii="Times New Roman" w:hAnsi="Times New Roman"/>
          <w:color w:val="000000"/>
          <w:sz w:val="24"/>
          <w:u w:val="single"/>
        </w:rPr>
        <w:t>Affirmative Covenants of the Borrower</w:t>
      </w:r>
      <w:r>
        <w:rPr>
          <w:rFonts w:ascii="Times New Roman" w:hAnsi="Times New Roman"/>
          <w:color w:val="000000"/>
          <w:sz w:val="24"/>
        </w:rPr>
        <w:t>. Except as otherwise provided herein, from the date hereof until the Facility Termination Date: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(a)</w:t>
      </w:r>
    </w:p>
    <w:p>
      <w:pPr>
        <w:pStyle w:val="TextBody"/>
        <w:bidi w:val="0"/>
        <w:spacing w:before="0" w:after="240"/>
        <w:jc w:val="both"/>
        <w:rPr/>
      </w:pPr>
      <w:r>
        <w:rPr>
          <w:rFonts w:ascii="Times New Roman" w:hAnsi="Times New Roman"/>
          <w:color w:val="000000"/>
          <w:sz w:val="24"/>
          <w:u w:val="single"/>
        </w:rPr>
        <w:t>Compliance with Laws</w:t>
      </w:r>
      <w:r>
        <w:rPr>
          <w:rFonts w:ascii="Times New Roman" w:hAnsi="Times New Roman"/>
          <w:color w:val="000000"/>
          <w:sz w:val="24"/>
        </w:rPr>
        <w:t>. The Borrower will comply in all material respects with all Applicable Laws, including those with respect to the Receivables and related Financed Vehicles.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(b)</w:t>
      </w:r>
    </w:p>
    <w:p>
      <w:pPr>
        <w:pStyle w:val="TextBody"/>
        <w:bidi w:val="0"/>
        <w:spacing w:before="0" w:after="240"/>
        <w:jc w:val="both"/>
        <w:rPr/>
      </w:pPr>
      <w:r>
        <w:rPr>
          <w:rFonts w:ascii="Times New Roman" w:hAnsi="Times New Roman"/>
          <w:color w:val="000000"/>
          <w:sz w:val="24"/>
          <w:u w:val="single"/>
        </w:rPr>
        <w:t>Preservation of Existence</w:t>
      </w:r>
      <w:r>
        <w:rPr>
          <w:rFonts w:ascii="Times New Roman" w:hAnsi="Times New Roman"/>
          <w:color w:val="000000"/>
          <w:sz w:val="24"/>
        </w:rPr>
        <w:t>. The Borrower will preserve and maintain its existence, rights, franchises and privileges in the State of Delaware, and qualify and remain qualified in good standing as a foreign trust in each jurisdiction where the failure to preserve and maintain such existence, rights, franchises, privileges and qualification has had, or could reasonably be expected to have, a Material Adverse Effect.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(c)</w:t>
      </w:r>
    </w:p>
    <w:p>
      <w:pPr>
        <w:pStyle w:val="TextBody"/>
        <w:bidi w:val="0"/>
        <w:spacing w:before="0" w:after="240"/>
        <w:jc w:val="both"/>
        <w:rPr/>
      </w:pPr>
      <w:r>
        <w:rPr>
          <w:rFonts w:ascii="Times New Roman" w:hAnsi="Times New Roman"/>
          <w:color w:val="000000"/>
          <w:sz w:val="24"/>
          <w:u w:val="single"/>
        </w:rPr>
        <w:t>Performance and Compliance with Contracts</w:t>
      </w:r>
      <w:r>
        <w:rPr>
          <w:rFonts w:ascii="Times New Roman" w:hAnsi="Times New Roman"/>
          <w:color w:val="000000"/>
          <w:sz w:val="24"/>
        </w:rPr>
        <w:t>. The Borrower will, at its expense, timely and fully perform and comply in all material respects (or cause UACC to perform and comply pursuant to the Purchase Agreement and all Transfer Agreements) with all provisions, covenants and other promises required to be observed by it under the Contracts and all other agreements related to such Contracts.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(d)</w:t>
      </w:r>
    </w:p>
    <w:p>
      <w:pPr>
        <w:pStyle w:val="TextBody"/>
        <w:bidi w:val="0"/>
        <w:spacing w:before="0" w:after="240"/>
        <w:jc w:val="both"/>
        <w:rPr/>
      </w:pPr>
      <w:r>
        <w:rPr>
          <w:rFonts w:ascii="Times New Roman" w:hAnsi="Times New Roman"/>
          <w:color w:val="000000"/>
          <w:sz w:val="24"/>
          <w:u w:val="single"/>
        </w:rPr>
        <w:t>Keeping of Records and Books of Account</w:t>
      </w:r>
      <w:r>
        <w:rPr>
          <w:rFonts w:ascii="Times New Roman" w:hAnsi="Times New Roman"/>
          <w:color w:val="000000"/>
          <w:sz w:val="24"/>
        </w:rPr>
        <w:t>. To the extent not maintained and implemented by the Servicer, the Borrower will maintain and implement administrative and operating procedures (including an ability to recreate records evidencing Receivables in the event of the destruction of the originals thereof), and keep and maintain all documents, books, records and other information reasonably necessary or advisable for the collection of all Receivables.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(e)</w:t>
      </w:r>
    </w:p>
    <w:p>
      <w:pPr>
        <w:pStyle w:val="TextBody"/>
        <w:bidi w:val="0"/>
        <w:spacing w:before="0" w:after="240"/>
        <w:jc w:val="both"/>
        <w:rPr/>
      </w:pPr>
      <w:r>
        <w:rPr>
          <w:rFonts w:ascii="Times New Roman" w:hAnsi="Times New Roman"/>
          <w:color w:val="000000"/>
          <w:sz w:val="24"/>
          <w:u w:val="single"/>
        </w:rPr>
        <w:t>Borrower Assets</w:t>
      </w:r>
      <w:r>
        <w:rPr>
          <w:rFonts w:ascii="Times New Roman" w:hAnsi="Times New Roman"/>
          <w:color w:val="000000"/>
          <w:sz w:val="24"/>
        </w:rPr>
        <w:t xml:space="preserve">. With respect to each Receivable, the Borrower will (i) acquire such Receivable pursuant to and in accordance with the Purchase Agreement, (ii) take all action necessary to perfect, protect and more fully evidence the Borrower’s ownership of such Receivable, including (A) filing and maintaining, effective financing statements (Form UCC-1) listing UACC, respectively, as debtor in all necessary or appropriate filing offices, and filing continuation statements, amendments or assignments with respect thereto in such filing offices and (B) executing or causing to be executed such other instruments or notices as may be necessary or appropriate and (iii) take all additional action that the Administrative Agent may reasonably request, including the filing of financing statements listing the Administrative Agent as secured party to perfect, protect and more fully evidence the respective interests of the parties to this Agreement in the Collateral. </w:t>
      </w:r>
    </w:p>
    <w:p>
      <w:pPr>
        <w:pStyle w:val="TextBody"/>
        <w:bidi w:val="0"/>
        <w:jc w:val="center"/>
        <w:rPr>
          <w:rFonts w:ascii="Times New Roman" w:hAnsi="Times New Roman"/>
          <w:color w:val="000000"/>
          <w:sz w:val="24"/>
        </w:rPr>
      </w:pPr>
      <w:r>
        <w:rPr>
          <w:rFonts w:ascii="Times New Roman" w:hAnsi="Times New Roman"/>
          <w:color w:val="000000"/>
          <w:sz w:val="24"/>
        </w:rPr>
        <w:t>86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(f)</w:t>
      </w:r>
    </w:p>
    <w:p>
      <w:pPr>
        <w:pStyle w:val="TextBody"/>
        <w:bidi w:val="0"/>
        <w:spacing w:before="0" w:after="240"/>
        <w:jc w:val="both"/>
        <w:rPr/>
      </w:pPr>
      <w:r>
        <w:rPr>
          <w:rFonts w:ascii="Times New Roman" w:hAnsi="Times New Roman"/>
          <w:color w:val="000000"/>
          <w:sz w:val="24"/>
          <w:u w:val="single"/>
        </w:rPr>
        <w:t>Delivery of Collections</w:t>
      </w:r>
      <w:r>
        <w:rPr>
          <w:rFonts w:ascii="Times New Roman" w:hAnsi="Times New Roman"/>
          <w:color w:val="000000"/>
          <w:sz w:val="24"/>
        </w:rPr>
        <w:t>. The Borrower will deliver to the Servicer for further remittance to the Local Bank Account promptly (but in no event later than one Business Day after receipt) all Collections received by Borrower in respect of the Receivables.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(g)</w:t>
      </w:r>
    </w:p>
    <w:p>
      <w:pPr>
        <w:pStyle w:val="TextBody"/>
        <w:bidi w:val="0"/>
        <w:spacing w:before="0" w:after="240"/>
        <w:jc w:val="both"/>
        <w:rPr/>
      </w:pPr>
      <w:r>
        <w:rPr>
          <w:rFonts w:ascii="Times New Roman" w:hAnsi="Times New Roman"/>
          <w:color w:val="000000"/>
          <w:sz w:val="24"/>
          <w:u w:val="single"/>
        </w:rPr>
        <w:t>Separate Corporate Existence</w:t>
      </w:r>
      <w:r>
        <w:rPr>
          <w:rFonts w:ascii="Times New Roman" w:hAnsi="Times New Roman"/>
          <w:color w:val="000000"/>
          <w:sz w:val="24"/>
        </w:rPr>
        <w:t>. The Borrower shall be in compliance with the special purpose entity requirements set forth in Section 6.02(n).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(h)</w:t>
      </w:r>
    </w:p>
    <w:p>
      <w:pPr>
        <w:pStyle w:val="TextBody"/>
        <w:bidi w:val="0"/>
        <w:spacing w:before="0" w:after="240"/>
        <w:jc w:val="both"/>
        <w:rPr/>
      </w:pPr>
      <w:r>
        <w:rPr>
          <w:rFonts w:ascii="Times New Roman" w:hAnsi="Times New Roman"/>
          <w:color w:val="000000"/>
          <w:sz w:val="24"/>
          <w:u w:val="single"/>
        </w:rPr>
        <w:t>[***].</w:t>
      </w:r>
      <w:r>
        <w:rPr>
          <w:color w:val="000000"/>
        </w:rPr>
        <w:t xml:space="preserve">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pPr>
      <w:r>
        <w:rPr>
          <w:rFonts w:ascii="Times New Roman" w:hAnsi="Times New Roman"/>
          <w:color w:val="000000"/>
          <w:sz w:val="24"/>
          <w:u w:val="single"/>
        </w:rPr>
        <w:t>Notice of Certain Events</w:t>
      </w:r>
      <w:r>
        <w:rPr>
          <w:rFonts w:ascii="Times New Roman" w:hAnsi="Times New Roman"/>
          <w:color w:val="000000"/>
          <w:sz w:val="24"/>
        </w:rPr>
        <w:t>. The Borrower will provide the Administrative Agent, each Agent, the Account Bank and the Backup Servicer with written notice immediately following the earlier of (i) actual knowledge by the Borrower and (ii) receipt by the Borrower from the Servicer of written notice (which notice the Servicer shall be required to give promptly upon knowledge) of the occurrence of each Early Amortization Event, each Termination Event and each Unmatured Termination Event and, no later than three Business Days following the occurrence thereof, the Borrower will provide to the Administrative Agent an Officer’s Certificate setting forth the details of such event and the action that the Borrower proposes to take with respect thereto.</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(j)</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The Borrower will file and pay any and all Taxes, including those required to meet the obligations of the Basic Documents that are due and payable, not being contested in good faith and fully reserved for in accordance with GAAP.</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(k)</w:t>
      </w:r>
    </w:p>
    <w:p>
      <w:pPr>
        <w:pStyle w:val="TextBody"/>
        <w:bidi w:val="0"/>
        <w:spacing w:before="0" w:after="240"/>
        <w:jc w:val="both"/>
        <w:rPr/>
      </w:pPr>
      <w:r>
        <w:rPr>
          <w:rFonts w:ascii="Times New Roman" w:hAnsi="Times New Roman"/>
          <w:color w:val="000000"/>
          <w:sz w:val="24"/>
          <w:u w:val="single"/>
        </w:rPr>
        <w:t>Use of Proceeds</w:t>
      </w:r>
      <w:r>
        <w:rPr>
          <w:rFonts w:ascii="Times New Roman" w:hAnsi="Times New Roman"/>
          <w:color w:val="000000"/>
          <w:sz w:val="24"/>
        </w:rPr>
        <w:t>. The Borrower will use the Principal Amounts only to acquire Receivables.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(l)</w:t>
      </w:r>
    </w:p>
    <w:p>
      <w:pPr>
        <w:pStyle w:val="TextBody"/>
        <w:bidi w:val="0"/>
        <w:spacing w:before="0" w:after="240"/>
        <w:jc w:val="both"/>
        <w:rPr/>
      </w:pPr>
      <w:r>
        <w:rPr>
          <w:rFonts w:ascii="Times New Roman" w:hAnsi="Times New Roman"/>
          <w:color w:val="000000"/>
          <w:sz w:val="24"/>
          <w:u w:val="single"/>
        </w:rPr>
        <w:t>Preservation of Security Interest</w:t>
      </w:r>
      <w:r>
        <w:rPr>
          <w:rFonts w:ascii="Times New Roman" w:hAnsi="Times New Roman"/>
          <w:color w:val="000000"/>
          <w:sz w:val="24"/>
        </w:rPr>
        <w:t>. The Borrower will execute and file such financing and continuation statements and any other documents that may be required by any Applicable Law to preserve and protect fully the security interest of the Administrative Agent in, to and under the Collateral.</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(m)</w:t>
      </w:r>
    </w:p>
    <w:p>
      <w:pPr>
        <w:pStyle w:val="TextBody"/>
        <w:bidi w:val="0"/>
        <w:spacing w:before="0" w:after="240"/>
        <w:jc w:val="both"/>
        <w:rPr/>
      </w:pPr>
      <w:r>
        <w:rPr>
          <w:rFonts w:ascii="Times New Roman" w:hAnsi="Times New Roman"/>
          <w:color w:val="000000"/>
          <w:sz w:val="24"/>
          <w:u w:val="single"/>
        </w:rPr>
        <w:t>Reporting</w:t>
      </w:r>
      <w:r>
        <w:rPr>
          <w:rFonts w:ascii="Times New Roman" w:hAnsi="Times New Roman"/>
          <w:color w:val="000000"/>
          <w:sz w:val="24"/>
        </w:rPr>
        <w:t>. The Borrower will furnish or cause to be furnished to the Administrative Agent and each Agent: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pPr>
      <w:r>
        <w:rPr>
          <w:rFonts w:ascii="Times New Roman" w:hAnsi="Times New Roman"/>
          <w:color w:val="000000"/>
          <w:sz w:val="24"/>
          <w:u w:val="single"/>
        </w:rPr>
        <w:t>Monthly Reports</w:t>
      </w:r>
      <w:r>
        <w:rPr>
          <w:rFonts w:ascii="Times New Roman" w:hAnsi="Times New Roman"/>
          <w:color w:val="000000"/>
          <w:sz w:val="24"/>
        </w:rPr>
        <w:t>. Not later than each Reporting Date, a Monthly Report and such other information as reasonably requested by the Administrative Agent.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(ii)</w:t>
      </w:r>
    </w:p>
    <w:p>
      <w:pPr>
        <w:pStyle w:val="TextBody"/>
        <w:bidi w:val="0"/>
        <w:spacing w:before="0" w:after="240"/>
        <w:jc w:val="both"/>
        <w:rPr/>
      </w:pPr>
      <w:r>
        <w:rPr>
          <w:rFonts w:ascii="Times New Roman" w:hAnsi="Times New Roman"/>
          <w:color w:val="000000"/>
          <w:sz w:val="24"/>
          <w:u w:val="single"/>
        </w:rPr>
        <w:t>Income Tax Liability</w:t>
      </w:r>
      <w:r>
        <w:rPr>
          <w:rFonts w:ascii="Times New Roman" w:hAnsi="Times New Roman"/>
          <w:color w:val="000000"/>
          <w:sz w:val="24"/>
        </w:rPr>
        <w:t>. Within ten Business Days after the receipt of revenue agent reports or other written proposals, determinations or assessments of the Internal Revenue Service or any other taxing authority which propose, determine or otherwise set forth positive adjustments to the Tax liability of the Borrower (within the meaning of Section 1504(a)(l) of the Code) which equal or exceed $[***] in the aggregate, telephonic, telex or telecopied notice (confirmed in writing within five Business Days) specifying the nature of the items giving rise to such adjustments and the amounts thereof.</w:t>
      </w:r>
    </w:p>
    <w:p>
      <w:pPr>
        <w:pStyle w:val="TextBody"/>
        <w:bidi w:val="0"/>
        <w:jc w:val="center"/>
        <w:rPr>
          <w:rFonts w:ascii="Times New Roman" w:hAnsi="Times New Roman"/>
          <w:color w:val="000000"/>
          <w:sz w:val="24"/>
        </w:rPr>
      </w:pPr>
      <w:r>
        <w:rPr>
          <w:rFonts w:ascii="Times New Roman" w:hAnsi="Times New Roman"/>
          <w:color w:val="000000"/>
          <w:sz w:val="24"/>
        </w:rPr>
        <w:t>87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(iii)</w:t>
      </w:r>
    </w:p>
    <w:p>
      <w:pPr>
        <w:pStyle w:val="TextBody"/>
        <w:bidi w:val="0"/>
        <w:spacing w:before="0" w:after="240"/>
        <w:jc w:val="both"/>
        <w:rPr/>
      </w:pPr>
      <w:r>
        <w:rPr>
          <w:rFonts w:ascii="Times New Roman" w:hAnsi="Times New Roman"/>
          <w:color w:val="000000"/>
          <w:sz w:val="24"/>
          <w:u w:val="single"/>
        </w:rPr>
        <w:t>Tax Returns</w:t>
      </w:r>
      <w:r>
        <w:rPr>
          <w:rFonts w:ascii="Times New Roman" w:hAnsi="Times New Roman"/>
          <w:color w:val="000000"/>
          <w:sz w:val="24"/>
        </w:rPr>
        <w:t xml:space="preserve">. Upon demand by the Administrative Agent, copies of all federal, State and local Tax returns and reports filed by the Borrower, or in which the Borrower was included on a consolidated or combined basis (excluding sales, use and like taxes).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(iv)</w:t>
      </w:r>
    </w:p>
    <w:p>
      <w:pPr>
        <w:pStyle w:val="TextBody"/>
        <w:bidi w:val="0"/>
        <w:spacing w:before="0" w:after="240"/>
        <w:jc w:val="both"/>
        <w:rPr/>
      </w:pPr>
      <w:r>
        <w:rPr>
          <w:rFonts w:ascii="Times New Roman" w:hAnsi="Times New Roman"/>
          <w:color w:val="000000"/>
          <w:sz w:val="24"/>
          <w:u w:val="single"/>
        </w:rPr>
        <w:t>Representations</w:t>
      </w:r>
      <w:r>
        <w:rPr>
          <w:rFonts w:ascii="Times New Roman" w:hAnsi="Times New Roman"/>
          <w:color w:val="000000"/>
          <w:sz w:val="24"/>
        </w:rPr>
        <w:t>. Promptly upon receiving knowledge of same, the Borrower shall notify the Administrative Agent if any representation or warranty set forth in Section 5.01 or 5.02 in any material respect was incorrect at the time it was given or deemed to have been given and at the same time deliver to the Administrative Agent a written notice setting forth in reasonable detail the nature of such facts and circumstances. In particular, but without limiting the foregoing, the Borrower shall notify the Administrative Agent in the manner set forth in the preceding sentence before any Funding Date of any facts or circumstances within the knowledge of the Borrower which would render any of such representations and warranties untrue in any material respect at the date when they were made or deemed to have been made.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(v)</w:t>
      </w:r>
    </w:p>
    <w:p>
      <w:pPr>
        <w:pStyle w:val="TextBody"/>
        <w:bidi w:val="0"/>
        <w:spacing w:before="0" w:after="240"/>
        <w:jc w:val="both"/>
        <w:rPr/>
      </w:pPr>
      <w:r>
        <w:rPr>
          <w:rFonts w:ascii="Times New Roman" w:hAnsi="Times New Roman"/>
          <w:color w:val="000000"/>
          <w:sz w:val="24"/>
          <w:u w:val="single"/>
        </w:rPr>
        <w:t>Proceedings</w:t>
      </w:r>
      <w:r>
        <w:rPr>
          <w:rFonts w:ascii="Times New Roman" w:hAnsi="Times New Roman"/>
          <w:color w:val="000000"/>
          <w:sz w:val="24"/>
        </w:rPr>
        <w:t>. As soon as possible and in any event within three Business Days after any Responsible Officer of the Borrower receives notice or obtains knowledge thereof, any settlement of, material judgment (including a material judgment with respect to the liability phase of a bifurcated trial) in or commencement of any labor controversy (of a material nature), litigation, action, suit or proceeding before any court or governmental department, commission, board, bureau, agency or instrumentality, domestic or foreign, affecting the Borrower.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(vi)</w:t>
      </w:r>
    </w:p>
    <w:p>
      <w:pPr>
        <w:pStyle w:val="TextBody"/>
        <w:bidi w:val="0"/>
        <w:spacing w:before="0" w:after="240"/>
        <w:jc w:val="both"/>
        <w:rPr/>
      </w:pPr>
      <w:r>
        <w:rPr>
          <w:rFonts w:ascii="Times New Roman" w:hAnsi="Times New Roman"/>
          <w:color w:val="000000"/>
          <w:sz w:val="24"/>
          <w:u w:val="single"/>
        </w:rPr>
        <w:t>Notice of Material Events</w:t>
      </w:r>
      <w:r>
        <w:rPr>
          <w:rFonts w:ascii="Times New Roman" w:hAnsi="Times New Roman"/>
          <w:color w:val="000000"/>
          <w:sz w:val="24"/>
        </w:rPr>
        <w:t>. Promptly upon any Responsible Officer of the Borrower becoming aware thereof, notice of any other event or circumstances that, in the reasonable judgment of the Borrower, is likely to have a Material Adverse Effect.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(vii)</w:t>
      </w:r>
    </w:p>
    <w:p>
      <w:pPr>
        <w:pStyle w:val="TextBody"/>
        <w:bidi w:val="0"/>
        <w:spacing w:before="0" w:after="240"/>
        <w:jc w:val="both"/>
        <w:rPr/>
      </w:pPr>
      <w:r>
        <w:rPr>
          <w:rFonts w:ascii="Times New Roman" w:hAnsi="Times New Roman"/>
          <w:color w:val="000000"/>
          <w:sz w:val="24"/>
          <w:u w:val="single"/>
        </w:rPr>
        <w:t>Beneficial Ownership Certification</w:t>
      </w:r>
      <w:r>
        <w:rPr>
          <w:rFonts w:ascii="Times New Roman" w:hAnsi="Times New Roman"/>
          <w:color w:val="000000"/>
          <w:sz w:val="24"/>
        </w:rPr>
        <w:t>. Promptly following any request therefor, information and documentation reasonably requested by the Administrative Agent or any Lender for purposes of compliance with the Beneficial Ownership Regulation, including delivery of a Beneficial Ownership Certification.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(n)</w:t>
      </w:r>
    </w:p>
    <w:p>
      <w:pPr>
        <w:pStyle w:val="TextBody"/>
        <w:bidi w:val="0"/>
        <w:spacing w:before="0" w:after="240"/>
        <w:jc w:val="both"/>
        <w:rPr/>
      </w:pPr>
      <w:r>
        <w:rPr>
          <w:rFonts w:ascii="Times New Roman" w:hAnsi="Times New Roman"/>
          <w:color w:val="000000"/>
          <w:sz w:val="24"/>
          <w:u w:val="single"/>
        </w:rPr>
        <w:t>Accounting Policy</w:t>
      </w:r>
      <w:r>
        <w:rPr>
          <w:rFonts w:ascii="Times New Roman" w:hAnsi="Times New Roman"/>
          <w:color w:val="000000"/>
          <w:sz w:val="24"/>
        </w:rPr>
        <w:t xml:space="preserve">. The Borrower will promptly notify the Administrative Agent of any change in the Borrower’s accounting policies that are not otherwise required by GAAP.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(o)</w:t>
      </w:r>
    </w:p>
    <w:p>
      <w:pPr>
        <w:pStyle w:val="TextBody"/>
        <w:bidi w:val="0"/>
        <w:spacing w:before="0" w:after="240"/>
        <w:jc w:val="both"/>
        <w:rPr/>
      </w:pPr>
      <w:r>
        <w:rPr>
          <w:rFonts w:ascii="Times New Roman" w:hAnsi="Times New Roman"/>
          <w:color w:val="000000"/>
          <w:sz w:val="24"/>
          <w:u w:val="single"/>
        </w:rPr>
        <w:t>Certificate of Title Opinion</w:t>
      </w:r>
      <w:r>
        <w:rPr>
          <w:rFonts w:ascii="Times New Roman" w:hAnsi="Times New Roman"/>
          <w:color w:val="000000"/>
          <w:sz w:val="24"/>
        </w:rPr>
        <w:t xml:space="preserve">. If in connection with a Securitization involving all or a portion of the Collateral the Borrower is required to provide an Opinion of Counsel in each State in which the aggregate Principal Balance of Receivables related to Obligors with mailing addresses in such State equals or exceeds [***]% of the Aggregate Net Principal Balance, as to the requirements in each such State for the assignment of a security interest in the related Financed Vehicles and that the security interest of the related secured parties in such Financed Vehicles will be perfected and may be enforced by such secured </w:t>
      </w:r>
    </w:p>
    <w:p>
      <w:pPr>
        <w:pStyle w:val="TextBody"/>
        <w:bidi w:val="0"/>
        <w:jc w:val="center"/>
        <w:rPr>
          <w:rFonts w:ascii="Times New Roman" w:hAnsi="Times New Roman"/>
          <w:color w:val="000000"/>
          <w:sz w:val="24"/>
        </w:rPr>
      </w:pPr>
      <w:r>
        <w:rPr>
          <w:rFonts w:ascii="Times New Roman" w:hAnsi="Times New Roman"/>
          <w:color w:val="000000"/>
          <w:sz w:val="24"/>
        </w:rPr>
        <w:t>88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parties notwithstanding the absence of a notation of the assignment of the security interest of the Originator to such secured parties on the related Certificate of Title, the Borrower will furnish to the Administrative Agent and the Lenders a copy of such Opinion of Counsel.</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(p)</w:t>
      </w:r>
    </w:p>
    <w:p>
      <w:pPr>
        <w:pStyle w:val="TextBody"/>
        <w:bidi w:val="0"/>
        <w:spacing w:before="0" w:after="240"/>
        <w:jc w:val="both"/>
        <w:rPr/>
      </w:pPr>
      <w:r>
        <w:rPr>
          <w:rFonts w:ascii="Times New Roman" w:hAnsi="Times New Roman"/>
          <w:color w:val="000000"/>
          <w:sz w:val="24"/>
          <w:u w:val="single"/>
        </w:rPr>
        <w:t>Other</w:t>
      </w:r>
      <w:r>
        <w:rPr>
          <w:rFonts w:ascii="Times New Roman" w:hAnsi="Times New Roman"/>
          <w:color w:val="000000"/>
          <w:sz w:val="24"/>
        </w:rPr>
        <w:t>. The Borrower will furnish to the Administrative Agent promptly, from time to time, such other information, documents, records or reports respecting the Collateral or the condition or operations, financial or otherwise, of the Borrower as the Administrative Agent may from time to time reasonably request in order to protect the interests of the Secured Parties under or as contemplated by this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6.02. </w:t>
      </w:r>
    </w:p>
    <w:p>
      <w:pPr>
        <w:pStyle w:val="TextBody"/>
        <w:bidi w:val="0"/>
        <w:spacing w:before="0" w:after="240"/>
        <w:jc w:val="both"/>
        <w:rPr/>
      </w:pPr>
      <w:r>
        <w:rPr>
          <w:rFonts w:ascii="Times New Roman" w:hAnsi="Times New Roman"/>
          <w:color w:val="000000"/>
          <w:sz w:val="24"/>
          <w:u w:val="single"/>
        </w:rPr>
        <w:t>Negative Covenants of the Borrower</w:t>
      </w:r>
      <w:r>
        <w:rPr>
          <w:rFonts w:ascii="Times New Roman" w:hAnsi="Times New Roman"/>
          <w:color w:val="000000"/>
          <w:sz w:val="24"/>
        </w:rPr>
        <w:t>. From the date hereof until the Facility Termination Date: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(a)</w:t>
      </w:r>
    </w:p>
    <w:p>
      <w:pPr>
        <w:pStyle w:val="TextBody"/>
        <w:bidi w:val="0"/>
        <w:spacing w:before="0" w:after="240"/>
        <w:jc w:val="both"/>
        <w:rPr/>
      </w:pPr>
      <w:r>
        <w:rPr>
          <w:rFonts w:ascii="Times New Roman" w:hAnsi="Times New Roman"/>
          <w:color w:val="000000"/>
          <w:sz w:val="24"/>
          <w:u w:val="single"/>
        </w:rPr>
        <w:t>Other Business</w:t>
      </w:r>
      <w:r>
        <w:rPr>
          <w:rFonts w:ascii="Times New Roman" w:hAnsi="Times New Roman"/>
          <w:color w:val="000000"/>
          <w:sz w:val="24"/>
        </w:rPr>
        <w:t>. The Borrower will not (i) engage in any business other than the transactions contemplated by the Basic Documents, (ii) incur any Indebtedness, obligation, liability or contingent obligation of any kind other than pursuant to this Agreement or under any Hedging Agreement required by Section 6.03 or (iii) form any Subsidiary or make any Investment in any other Person.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(b)</w:t>
      </w:r>
    </w:p>
    <w:p>
      <w:pPr>
        <w:pStyle w:val="TextBody"/>
        <w:bidi w:val="0"/>
        <w:spacing w:before="0" w:after="240"/>
        <w:jc w:val="both"/>
        <w:rPr/>
      </w:pPr>
      <w:r>
        <w:rPr>
          <w:rFonts w:ascii="Times New Roman" w:hAnsi="Times New Roman"/>
          <w:color w:val="000000"/>
          <w:sz w:val="24"/>
          <w:u w:val="single"/>
        </w:rPr>
        <w:t>Receivables Not to be Evidenced by Instruments</w:t>
      </w:r>
      <w:r>
        <w:rPr>
          <w:rFonts w:ascii="Times New Roman" w:hAnsi="Times New Roman"/>
          <w:color w:val="000000"/>
          <w:sz w:val="24"/>
        </w:rPr>
        <w:t>. The Borrower will take no action to cause any Receivable that is not, as of the Closing Date or the related Funding Date, as the case may be, evidenced by an Instrument, to be so evidenced except in connection with the enforcement or collection of such Receivable.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(c)</w:t>
      </w:r>
    </w:p>
    <w:p>
      <w:pPr>
        <w:pStyle w:val="TextBody"/>
        <w:bidi w:val="0"/>
        <w:spacing w:before="0" w:after="240"/>
        <w:jc w:val="both"/>
        <w:rPr/>
      </w:pPr>
      <w:r>
        <w:rPr>
          <w:rFonts w:ascii="Times New Roman" w:hAnsi="Times New Roman"/>
          <w:color w:val="000000"/>
          <w:sz w:val="24"/>
          <w:u w:val="single"/>
        </w:rPr>
        <w:t>Security Interests</w:t>
      </w:r>
      <w:r>
        <w:rPr>
          <w:rFonts w:ascii="Times New Roman" w:hAnsi="Times New Roman"/>
          <w:color w:val="000000"/>
          <w:sz w:val="24"/>
        </w:rPr>
        <w:t>. The Borrower will not sell, pledge, assign or transfer to any other Person, or grant, create, incur, assume or suffer to exist any Lien (other than Permitted Liens) on any portion of the Collateral, whether now existing or hereafter transferred hereunder, or any interest therein, and the Borrower will not sell, pledge, assign or suffer to exist any Lien on its interest, if any, hereunder. The Borrower will promptly notify the Administrative Agent of the existence of any Lien (other than Permitted Liens) on any portion of the Collateral and the Borrower shall defend the right, title and interest of the Administrative Agent in, to and under such Collateral, against all claims of third parties; provided, however, that nothing in this subsection shall prevent or be deemed to prohibit the Borrower from suffering to exist Permitted Liens upon any portion of the Collateral.</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(d)</w:t>
      </w:r>
    </w:p>
    <w:p>
      <w:pPr>
        <w:pStyle w:val="TextBody"/>
        <w:bidi w:val="0"/>
        <w:spacing w:before="0" w:after="240"/>
        <w:jc w:val="both"/>
        <w:rPr/>
      </w:pPr>
      <w:r>
        <w:rPr>
          <w:rFonts w:ascii="Times New Roman" w:hAnsi="Times New Roman"/>
          <w:color w:val="000000"/>
          <w:sz w:val="24"/>
          <w:u w:val="single"/>
        </w:rPr>
        <w:t>Mergers, Acquisitions, Sales, Etc</w:t>
      </w:r>
      <w:r>
        <w:rPr>
          <w:rFonts w:ascii="Times New Roman" w:hAnsi="Times New Roman"/>
          <w:color w:val="000000"/>
          <w:sz w:val="24"/>
        </w:rPr>
        <w:t>. The Borrower will not be a party to any merger or consolidation, or purchase or otherwise acquire all or substantially all of the assets or any stock or membership interests of any class of, or any partnership or joint venture interest in, any other Person, or, sell, transfer, convey or lease all or any substantial part of its assets, or sell or assign with or without recourse any portion of the Collateral or any interest therein (other than pursuant hereto).</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(e)</w:t>
      </w:r>
    </w:p>
    <w:p>
      <w:pPr>
        <w:pStyle w:val="TextBody"/>
        <w:bidi w:val="0"/>
        <w:spacing w:before="0" w:after="240"/>
        <w:jc w:val="both"/>
        <w:rPr/>
      </w:pPr>
      <w:r>
        <w:rPr>
          <w:rFonts w:ascii="Times New Roman" w:hAnsi="Times New Roman"/>
          <w:color w:val="000000"/>
          <w:sz w:val="24"/>
          <w:u w:val="single"/>
        </w:rPr>
        <w:t>Distributions</w:t>
      </w:r>
      <w:r>
        <w:rPr>
          <w:rFonts w:ascii="Times New Roman" w:hAnsi="Times New Roman"/>
          <w:color w:val="000000"/>
          <w:sz w:val="24"/>
        </w:rPr>
        <w:t xml:space="preserve">. The Borrower shall not declare or pay, directly or indirectly, any dividend or make any other distribution (whether in cash or other property) with respect to the profits, assets or capital of the Borrower or any Person’s interest therein, or </w:t>
      </w:r>
    </w:p>
    <w:p>
      <w:pPr>
        <w:pStyle w:val="TextBody"/>
        <w:bidi w:val="0"/>
        <w:jc w:val="center"/>
        <w:rPr>
          <w:rFonts w:ascii="Times New Roman" w:hAnsi="Times New Roman"/>
          <w:color w:val="000000"/>
          <w:sz w:val="24"/>
        </w:rPr>
      </w:pPr>
      <w:r>
        <w:rPr>
          <w:rFonts w:ascii="Times New Roman" w:hAnsi="Times New Roman"/>
          <w:color w:val="000000"/>
          <w:sz w:val="24"/>
        </w:rPr>
        <w:t>89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purchase, redeem or otherwise acquire for value any of its capital stock now or hereafter outstanding, except that so long as no Termination Event or Unmatured Termination Event has occurred and is continuing or would result therefrom, the Borrower may pay cash distributions on the certificates issued pursuant to the Trust Agreement with funds distributed to the Borrower pursuant to Section 2.08(x), subject to Applicable Law.</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(f)</w:t>
      </w:r>
    </w:p>
    <w:p>
      <w:pPr>
        <w:pStyle w:val="TextBody"/>
        <w:bidi w:val="0"/>
        <w:spacing w:before="0" w:after="240"/>
        <w:jc w:val="both"/>
        <w:rPr/>
      </w:pPr>
      <w:r>
        <w:rPr>
          <w:rFonts w:ascii="Times New Roman" w:hAnsi="Times New Roman"/>
          <w:color w:val="000000"/>
          <w:sz w:val="24"/>
          <w:u w:val="single"/>
        </w:rPr>
        <w:t>Change of Name or Location of Receivable Files</w:t>
      </w:r>
      <w:r>
        <w:rPr>
          <w:rFonts w:ascii="Times New Roman" w:hAnsi="Times New Roman"/>
          <w:color w:val="000000"/>
          <w:sz w:val="24"/>
        </w:rPr>
        <w:t>. The Borrower shall not (i) change its name or state of organization, move the location of its principal place of business and chief executive office, and the offices where it keeps the Records from the location referred to in Section 14.02 or (ii) move, or consent to the Custodian moving, the Receivable Files from the locations set forth on Schedule D, unless the Borrower has given at least 30 days’ written notice to the Administrative Agent and has taken all actions required under the UCC of each relevant jurisdiction in order to continue the first priority perfected security interest of the Administrative Agent in the Collateral.</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(g)</w:t>
      </w:r>
    </w:p>
    <w:p>
      <w:pPr>
        <w:pStyle w:val="TextBody"/>
        <w:bidi w:val="0"/>
        <w:spacing w:before="0" w:after="240"/>
        <w:jc w:val="both"/>
        <w:rPr/>
      </w:pPr>
      <w:r>
        <w:rPr>
          <w:rFonts w:ascii="Times New Roman" w:hAnsi="Times New Roman"/>
          <w:color w:val="000000"/>
          <w:sz w:val="24"/>
          <w:u w:val="single"/>
        </w:rPr>
        <w:t>True Sale</w:t>
      </w:r>
      <w:r>
        <w:rPr>
          <w:rFonts w:ascii="Times New Roman" w:hAnsi="Times New Roman"/>
          <w:color w:val="000000"/>
          <w:sz w:val="24"/>
        </w:rPr>
        <w:t>. Except for purposes of GAAP, the Borrower will not account for or treat the transactions contemplated by the Purchase Agreement in any manner other than as the sale, or absolute assignment, of the Receivables and other Collateral by UACC to the Borrower.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(h)</w:t>
      </w:r>
    </w:p>
    <w:p>
      <w:pPr>
        <w:pStyle w:val="TextBody"/>
        <w:bidi w:val="0"/>
        <w:spacing w:before="0" w:after="240"/>
        <w:jc w:val="both"/>
        <w:rPr/>
      </w:pPr>
      <w:r>
        <w:rPr>
          <w:rFonts w:ascii="Times New Roman" w:hAnsi="Times New Roman"/>
          <w:color w:val="000000"/>
          <w:sz w:val="24"/>
          <w:u w:val="single"/>
        </w:rPr>
        <w:t>ERISA Matters</w:t>
      </w:r>
      <w:r>
        <w:rPr>
          <w:rFonts w:ascii="Times New Roman" w:hAnsi="Times New Roman"/>
          <w:color w:val="000000"/>
          <w:sz w:val="24"/>
        </w:rPr>
        <w:t>. Without the consent of the Administrative Agent, the Borrower will not, and will not permit any ERISA Affiliate to, adopt, contribute or become required to contribute to any Pension Plan or any Multiemployer Plan.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pPr>
      <w:r>
        <w:rPr>
          <w:rFonts w:ascii="Times New Roman" w:hAnsi="Times New Roman"/>
          <w:color w:val="000000"/>
          <w:sz w:val="24"/>
          <w:u w:val="single"/>
        </w:rPr>
        <w:t>Formation Documents; Purchase Agreement</w:t>
      </w:r>
      <w:r>
        <w:rPr>
          <w:rFonts w:ascii="Times New Roman" w:hAnsi="Times New Roman"/>
          <w:color w:val="000000"/>
          <w:sz w:val="24"/>
        </w:rPr>
        <w:t>. Without the prior consent of the Administrative Agent and notice to each Agent, the Borrower will not amend, modify, waive or terminate any provision of its Formation Documents or the Purchase Agreement (including any Transfer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(j)</w:t>
      </w:r>
    </w:p>
    <w:p>
      <w:pPr>
        <w:pStyle w:val="TextBody"/>
        <w:bidi w:val="0"/>
        <w:spacing w:before="0" w:after="240"/>
        <w:jc w:val="both"/>
        <w:rPr/>
      </w:pPr>
      <w:r>
        <w:rPr>
          <w:rFonts w:ascii="Times New Roman" w:hAnsi="Times New Roman"/>
          <w:color w:val="000000"/>
          <w:sz w:val="24"/>
          <w:u w:val="single"/>
        </w:rPr>
        <w:t>Changes in Payment Instructions</w:t>
      </w:r>
      <w:r>
        <w:rPr>
          <w:rFonts w:ascii="Times New Roman" w:hAnsi="Times New Roman"/>
          <w:color w:val="000000"/>
          <w:sz w:val="24"/>
        </w:rPr>
        <w:t>. The Borrower will not add or make any change, or permit the Servicer to make any change, in its instructions to Obligors regarding payments to be made to the Borrower or the Servicer, other than in accordance with the Credit and Collection Policy, or payments to be made to the Post Office Boxes or the Local Bank Account, other than in accordance with the terms of the Intercreditor Agreement and the Intercreditor Party Supplement and unless the Administrative Agent has received duly executed copies of all documentation related thereto.</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(k)</w:t>
      </w:r>
    </w:p>
    <w:p>
      <w:pPr>
        <w:pStyle w:val="TextBody"/>
        <w:bidi w:val="0"/>
        <w:spacing w:before="0" w:after="240"/>
        <w:jc w:val="both"/>
        <w:rPr/>
      </w:pPr>
      <w:r>
        <w:rPr>
          <w:rFonts w:ascii="Times New Roman" w:hAnsi="Times New Roman"/>
          <w:color w:val="000000"/>
          <w:sz w:val="24"/>
          <w:u w:val="single"/>
        </w:rPr>
        <w:t>Extension or Amendment</w:t>
      </w:r>
      <w:r>
        <w:rPr>
          <w:rFonts w:ascii="Times New Roman" w:hAnsi="Times New Roman"/>
          <w:color w:val="000000"/>
          <w:sz w:val="24"/>
        </w:rPr>
        <w:t>. The Borrower will not, except as otherwise permitted in Section 7.03(c)(i), extend, amend or otherwise modify, or permit the Servicer to extend, amend or otherwise modify, the terms of any Contract.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(l)</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(m)</w:t>
      </w:r>
    </w:p>
    <w:p>
      <w:pPr>
        <w:pStyle w:val="TextBody"/>
        <w:bidi w:val="0"/>
        <w:spacing w:before="0" w:after="240"/>
        <w:jc w:val="both"/>
        <w:rPr/>
      </w:pPr>
      <w:r>
        <w:rPr>
          <w:rFonts w:ascii="Times New Roman" w:hAnsi="Times New Roman"/>
          <w:color w:val="000000"/>
          <w:sz w:val="24"/>
          <w:u w:val="single"/>
        </w:rPr>
        <w:t>No Assignments</w:t>
      </w:r>
      <w:r>
        <w:rPr>
          <w:rFonts w:ascii="Times New Roman" w:hAnsi="Times New Roman"/>
          <w:color w:val="000000"/>
          <w:sz w:val="24"/>
        </w:rPr>
        <w:t>. The Borrower will not assign or delegate, grant any interest in or permit any Lien to exist upon any of its rights, obligations or duties under this Agreement without the prior written consent of the Administrative Agent.</w:t>
      </w:r>
    </w:p>
    <w:p>
      <w:pPr>
        <w:pStyle w:val="TextBody"/>
        <w:bidi w:val="0"/>
        <w:jc w:val="center"/>
        <w:rPr>
          <w:rFonts w:ascii="Times New Roman" w:hAnsi="Times New Roman"/>
          <w:color w:val="000000"/>
          <w:sz w:val="24"/>
        </w:rPr>
      </w:pPr>
      <w:r>
        <w:rPr>
          <w:rFonts w:ascii="Times New Roman" w:hAnsi="Times New Roman"/>
          <w:color w:val="000000"/>
          <w:sz w:val="24"/>
        </w:rPr>
        <w:t>90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(n)</w:t>
      </w:r>
    </w:p>
    <w:p>
      <w:pPr>
        <w:pStyle w:val="TextBody"/>
        <w:bidi w:val="0"/>
        <w:spacing w:before="0" w:after="240"/>
        <w:jc w:val="both"/>
        <w:rPr/>
      </w:pPr>
      <w:r>
        <w:rPr>
          <w:rFonts w:ascii="Times New Roman" w:hAnsi="Times New Roman"/>
          <w:color w:val="000000"/>
          <w:sz w:val="24"/>
          <w:u w:val="single"/>
        </w:rPr>
        <w:t>Special Purpose Entity</w:t>
      </w:r>
      <w:r>
        <w:rPr>
          <w:rFonts w:ascii="Times New Roman" w:hAnsi="Times New Roman"/>
          <w:color w:val="000000"/>
          <w:sz w:val="24"/>
        </w:rPr>
        <w:t>. The Borrower shall not (nor has the Borrower taken any such action in the past):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engage in any business or activity other than the purchase and receipt of Receivables and related assets from UACC under the Purchase Agreement, the pledge of Receivables and other Collateral under the Basic Documents and such other activities as are incidental thereto;</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acquire or own any material assets other than (A) the Receivables and related assets from UACC under the Purchase Agreement and (B) incidental property as may be necessary for the operation of the Borrower;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merge into or consolidate with any Person or dissolve, terminate or liquidate in whole or in part, transfer or otherwise dispose of all or substantially all of its assets or change its legal structure, without in each case first obtaining the Administrative Agent’s consent;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preserve its existence as an entity duly organized, validly existing and in good standing under the laws of the jurisdiction of its organization or formation, or without the prior written consent of the Administrative Agent, amend, modify, terminate, fail to comply with the provisions of its Formation Documents or other governing documents, as applicable, or fail to observe corporate formalities;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own any Subsidiary or make any investment in any Person without the consent of the Administrative Agent;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commingle its assets with the assets of any of its Affiliates, or of any other Person, except as contemplated hereunder or under the Intercreditor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incur any debt, secured or unsecured, direct or contingent (including guaranteeing any obligation), other than Indebtedness to the Secured Parties hereunder or in conjunction with a repayment of the Aggregate Unpaids, except for trade payables in the ordinary course of its business, provided that such debt is not evidenced by a note and paid when due;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become not Solvent or fail to pay its debts and liabilities from its assets as the same shall become due;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maintain its records, books of account and bank accounts separate and apart from those of any other Person, except as contemplated hereunder or under the Intercreditor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enter into any contract or agreement with any of its principals or Affiliates or any other Person, except upon terms and conditions that are commercially reasonable and intrinsically fair and substantially similar to those that </w:t>
      </w:r>
    </w:p>
    <w:p>
      <w:pPr>
        <w:pStyle w:val="TextBody"/>
        <w:bidi w:val="0"/>
        <w:jc w:val="center"/>
        <w:rPr>
          <w:rFonts w:ascii="Times New Roman" w:hAnsi="Times New Roman"/>
          <w:color w:val="000000"/>
          <w:sz w:val="24"/>
        </w:rPr>
      </w:pPr>
      <w:r>
        <w:rPr>
          <w:rFonts w:ascii="Times New Roman" w:hAnsi="Times New Roman"/>
          <w:color w:val="000000"/>
          <w:sz w:val="24"/>
        </w:rPr>
        <w:t>91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would be available on an arm’s-length basis with third parties other than its Affiliates;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seek its dissolution or winding up in whole or in part;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correct any known misunderstandings regarding the separate identity of Borrower or UACC, as applicable, or any principal or Affiliate thereof or any other Person;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guarantee, become obligated for, or hold itself out to be responsible for the debt of another Person, except as expressly provided in the Basic Documents;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make any loan or advances to any third party, including any principal or Affiliate, or hold evidence of Indebtedness issued by any other Person (other than Permitted Investments);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either to hold itself out to the public as a legal entity separate and distinct from any other Person or to conduct its business solely in its own name in order not (A) to mislead others as to the identity with which such other party is transacting business, or (B) to suggest that it is responsible for the debts of any third party (including any of its principals or Affiliates);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maintain adequate capital for the normal obligations reasonably foreseeable in a business of its size and character and in light of its contemplated business operations;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file or consent to the filing of any petition, either voluntary or involuntary, to take advantage of any applicable Insolvency Laws, or make an assignment for the benefit of creditors;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share any common logo with or hold itself out as or be considered as a department or division of (A) any of its principals or Affiliates, (B) any Affiliate of a principal or (C) any other Person;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permit any transfer (whether in any one or more transactions) of a direct or indirect ownership interest in the Borrower (other than in accordance with the Trust Agreement), unless the Borrower delivers to the Administrative Agent an acceptable non-consolidation opinion;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pay its own liabilities and expenses only out of its own funds;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acquire the obligations or securities of its Affiliates or stockholders;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allocate fairly and reasonably any overhead expenses that are shared with an Affiliate, including paying for office space and services performed by any employee of an Affiliate;</w:t>
      </w:r>
    </w:p>
    <w:p>
      <w:pPr>
        <w:pStyle w:val="TextBody"/>
        <w:bidi w:val="0"/>
        <w:jc w:val="center"/>
        <w:rPr>
          <w:rFonts w:ascii="Times New Roman" w:hAnsi="Times New Roman"/>
          <w:color w:val="000000"/>
          <w:sz w:val="24"/>
        </w:rPr>
      </w:pPr>
      <w:r>
        <w:rPr>
          <w:rFonts w:ascii="Times New Roman" w:hAnsi="Times New Roman"/>
          <w:color w:val="000000"/>
          <w:sz w:val="24"/>
        </w:rPr>
        <w:t>92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use separate invoices and checks bearing its own name;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pledge its assets for the benefit of any other Person, other than with respect to payment of the Indebtedness to the Lenders hereunder;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provide that the consent of the Owner Trustee is required for the Borrower to (A) dissolve or liquidate, in whole or part, or institute proceedings to be adjudicated bankrupt or not Solvent, (B) institute or consent to the institution of bankruptcy or Insolvency Proceedings against it, (C) file a petition seeking or consent to reorganization or relief under any applicable federal or State law relating to bankruptcy or insolvency, (D) seek or consent to the appointment of a receiver, liquidator, assignee, trustee, sequestrator, custodian or any similar official for the Borrower, (E) make any assignment for the benefit of the Borrower’s creditors, (F) admit in writing its inability to pay its debts generally as they become due or (G) take any action in furtherance of any of the foregoing;</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amend, restate, supplement or otherwise modify its Formation Documents in any respect that would impair its ability to comply with the Basic Documents; and</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(xxvii)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 take or refrain from taking, as applicable, each of the activities specified in the non-consolidation opinion of [***], dated the Closing Date.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(o)</w:t>
      </w:r>
    </w:p>
    <w:p>
      <w:pPr>
        <w:pStyle w:val="TextBody"/>
        <w:bidi w:val="0"/>
        <w:spacing w:before="0" w:after="240"/>
        <w:jc w:val="both"/>
        <w:rPr/>
      </w:pPr>
      <w:r>
        <w:rPr>
          <w:rFonts w:ascii="Times New Roman" w:hAnsi="Times New Roman"/>
          <w:color w:val="000000"/>
          <w:sz w:val="24"/>
          <w:u w:val="single"/>
        </w:rPr>
        <w:t>Additional Lenders</w:t>
      </w:r>
      <w:r>
        <w:rPr>
          <w:rFonts w:ascii="Times New Roman" w:hAnsi="Times New Roman"/>
          <w:color w:val="000000"/>
          <w:sz w:val="24"/>
        </w:rPr>
        <w:t>. The Borrower will not add any Lender to this Agreement without the prior written consent of the Administrative Agent.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(p)</w:t>
      </w:r>
    </w:p>
    <w:p>
      <w:pPr>
        <w:pStyle w:val="TextBody"/>
        <w:bidi w:val="0"/>
        <w:spacing w:before="0" w:after="240"/>
        <w:jc w:val="both"/>
        <w:rPr/>
      </w:pPr>
      <w:r>
        <w:rPr>
          <w:rFonts w:ascii="Times New Roman" w:hAnsi="Times New Roman"/>
          <w:color w:val="000000"/>
          <w:sz w:val="24"/>
          <w:u w:val="single"/>
        </w:rPr>
        <w:t>Liens</w:t>
      </w:r>
      <w:r>
        <w:rPr>
          <w:rFonts w:ascii="Times New Roman" w:hAnsi="Times New Roman"/>
          <w:color w:val="000000"/>
          <w:sz w:val="24"/>
        </w:rPr>
        <w:t>. The Borrower will not create, or participate in the creation of, or permit to exist, any Liens (other than Permitted Liens) and will not enter into any control agreement with respect to the Post Office Boxes or the Local Bank Account other than pursuant to the Intercreditor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(q)</w:t>
      </w:r>
    </w:p>
    <w:p>
      <w:pPr>
        <w:pStyle w:val="TextBody"/>
        <w:bidi w:val="0"/>
        <w:spacing w:before="0" w:after="240"/>
        <w:jc w:val="both"/>
        <w:rPr/>
      </w:pPr>
      <w:r>
        <w:rPr>
          <w:rFonts w:ascii="Times New Roman" w:hAnsi="Times New Roman"/>
          <w:color w:val="000000"/>
          <w:sz w:val="24"/>
          <w:u w:val="single"/>
        </w:rPr>
        <w:t>Anti-Money Laundering</w:t>
      </w:r>
      <w:r>
        <w:rPr>
          <w:rFonts w:ascii="Times New Roman" w:hAnsi="Times New Roman"/>
          <w:color w:val="000000"/>
          <w:sz w:val="24"/>
        </w:rPr>
        <w:t>. Neither the Borrower nor any Affiliate of the Borrower will use all or any part of the proceeds of the Loans,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(r)</w:t>
      </w:r>
    </w:p>
    <w:p>
      <w:pPr>
        <w:pStyle w:val="TextBody"/>
        <w:bidi w:val="0"/>
        <w:spacing w:before="0" w:after="240"/>
        <w:jc w:val="both"/>
        <w:rPr/>
      </w:pPr>
      <w:r>
        <w:rPr>
          <w:rFonts w:ascii="Times New Roman" w:hAnsi="Times New Roman"/>
          <w:color w:val="000000"/>
          <w:sz w:val="24"/>
          <w:u w:val="single"/>
        </w:rPr>
        <w:t>OFAC</w:t>
      </w:r>
      <w:r>
        <w:rPr>
          <w:rFonts w:ascii="Times New Roman" w:hAnsi="Times New Roman"/>
          <w:color w:val="000000"/>
          <w:sz w:val="24"/>
        </w:rPr>
        <w:t xml:space="preserve">. The Borrower shall not, directly or indirectly, use the proceeds of any Advance, or lend, contribute or otherwise make available such proceeds to any subsidiary, joint venture partner or other person or entity (i) to fund any activities or business of or with any Designated Person, or in any country or territory, that at the time of such funding is the subject of any sanctions under any Sanctions Laws and Regulations, or (ii) in any other manner that would result in a violation of any Sanctions Laws and Regulations by any party to this Agreement. None of the funds or assets of the Borrower or UACC that are used to pay any amount due pursuant to this Agreement or the other Basic Documents shall constitute funds obtained from transactions with or relating to </w:t>
      </w:r>
    </w:p>
    <w:p>
      <w:pPr>
        <w:pStyle w:val="TextBody"/>
        <w:bidi w:val="0"/>
        <w:jc w:val="center"/>
        <w:rPr>
          <w:rFonts w:ascii="Times New Roman" w:hAnsi="Times New Roman"/>
          <w:color w:val="000000"/>
          <w:sz w:val="24"/>
        </w:rPr>
      </w:pPr>
      <w:r>
        <w:rPr>
          <w:rFonts w:ascii="Times New Roman" w:hAnsi="Times New Roman"/>
          <w:color w:val="000000"/>
          <w:sz w:val="24"/>
        </w:rPr>
        <w:t>93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Designated Persons or countries which are the subject of sanctions under any Sanctions Laws and Regulations.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6.03. </w:t>
      </w:r>
    </w:p>
    <w:p>
      <w:pPr>
        <w:pStyle w:val="TextBody"/>
        <w:bidi w:val="0"/>
        <w:spacing w:before="0" w:after="240"/>
        <w:jc w:val="both"/>
        <w:rPr/>
      </w:pPr>
      <w:r>
        <w:rPr>
          <w:rFonts w:ascii="Times New Roman" w:hAnsi="Times New Roman"/>
          <w:color w:val="000000"/>
          <w:sz w:val="24"/>
          <w:u w:val="single"/>
        </w:rPr>
        <w:t>Covenant of the Borrower Relating to Hedging</w:t>
      </w:r>
      <w:r>
        <w:rPr>
          <w:rFonts w:ascii="Times New Roman" w:hAnsi="Times New Roman"/>
          <w:color w:val="000000"/>
          <w:sz w:val="24"/>
        </w:rPr>
        <w:t xml:space="preserve">.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all times during any Required Hedging Period, the Borrower shall be Fully Hedged.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Once per calendar month not later than each Determination Date and on each Funding Date on which the amount of the Loan requested by the Borrower is greater than or equal to $[***] the Borrower (or the Servicer on behalf of the Borrower) shall obtain a quote from a Agent or Lender (or an Affiliate thereof) for the purchase price of an interest rate cap that satisfies the conditions described in clauses (i) through (iv) of the definition of Fully Hedged. Promptly following receipt of such quote, the Borrower (or the Servicer on behalf of the Borrower) shall provide notice thereof to the Administrative Agent and each Agent and such quote(s) shall be used to determine the “Hedge Reserve Account Required Amount” until the next succeeding date on which the Borrower receives quotes pursuant to this Section 6.03(b).</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(c)</w:t>
      </w:r>
    </w:p>
    <w:p>
      <w:pPr>
        <w:pStyle w:val="TextBody"/>
        <w:bidi w:val="0"/>
        <w:spacing w:before="0" w:after="240"/>
        <w:jc w:val="both"/>
        <w:rPr/>
      </w:pPr>
      <w:r>
        <w:rPr>
          <w:rFonts w:ascii="Times New Roman" w:hAnsi="Times New Roman"/>
          <w:color w:val="000000"/>
          <w:sz w:val="24"/>
        </w:rPr>
        <w:t>On or prior to May 11, 2017, the Borrower (or the Servicer on behalf of the Borrower) shall cause the segregated account in the name of the Borrower at the Account Bank known as the “Exercised Option Account” to be re-titled and thereafter maintained as the “Hedge Reserve Account for UACC Auto Financing Trust IV” and shall bear a designation clearly indicating that the funds deposited therein are held for the benefit of the Secured Parties (the “</w:t>
      </w:r>
      <w:r>
        <w:rPr>
          <w:rFonts w:ascii="Times New Roman" w:hAnsi="Times New Roman"/>
          <w:color w:val="000000"/>
          <w:sz w:val="24"/>
          <w:u w:val="single"/>
        </w:rPr>
        <w:t>Hedge Reserve Account</w:t>
      </w:r>
      <w:r>
        <w:rPr>
          <w:color w:val="000000"/>
        </w:rPr>
        <w:t>”</w:t>
      </w:r>
      <w:r>
        <w:rPr>
          <w:rFonts w:ascii="Times New Roman" w:hAnsi="Times New Roman"/>
          <w:color w:val="000000"/>
          <w:sz w:val="24"/>
        </w:rPr>
        <w:t xml:space="preserve">). The taxpayer identification number associated with the Hedge Reserve Account shall be that of the Borrower and the Borrower will report for Federal, state and local income taxes, the income, if any, represented by the Hedge Reserve Account. On or prior to May 11, 2017, the Borrower shall cause to be deposited in the Hedge Reserve Account the Hedge Reserve Account Required Amount. At the written direction of the Servicer (which may be a standing order), funds on deposit in the Hedge Reserve Account shall be invested by the Account Bank in Permitted Investments selected by the Servicer that will mature so that such funds will be available on or before the close of business on the Business Day preceding each Payment Date. All Permitted Investments shall be held in the name of the Administrative Agent for the benefit of the Secured Parties. To the extent the Servicer does not provide the written instructions described in the first sentence of this </w:t>
      </w:r>
      <w:r>
        <w:rPr>
          <w:rFonts w:ascii="Times New Roman" w:hAnsi="Times New Roman"/>
          <w:color w:val="000000"/>
          <w:sz w:val="24"/>
          <w:u w:val="single"/>
        </w:rPr>
        <w:t>Section 6.03(c)</w:t>
      </w:r>
      <w:r>
        <w:rPr>
          <w:rFonts w:ascii="Times New Roman" w:hAnsi="Times New Roman"/>
          <w:color w:val="000000"/>
          <w:sz w:val="24"/>
        </w:rPr>
        <w:t xml:space="preserve">, funds on deposit in the Hedge Reserve Account shall remain uninvested. On each Payment Date, all interest and other investment earnings (net of losses and investment expenses) on funds on deposit in the Hedge Reserve Account received prior to such Payment Date shall be treated as “Available Funds” and applied as set forth in </w:t>
      </w:r>
      <w:r>
        <w:rPr>
          <w:rFonts w:ascii="Times New Roman" w:hAnsi="Times New Roman"/>
          <w:color w:val="000000"/>
          <w:sz w:val="24"/>
          <w:u w:val="single"/>
        </w:rPr>
        <w:t>Section 2.08</w:t>
      </w:r>
      <w:r>
        <w:rPr>
          <w:color w:val="000000"/>
        </w:rPr>
        <w:t xml:space="preserve"> </w:t>
      </w:r>
      <w:r>
        <w:rPr>
          <w:rFonts w:ascii="Times New Roman" w:hAnsi="Times New Roman"/>
          <w:color w:val="000000"/>
          <w:sz w:val="24"/>
        </w:rPr>
        <w:t>of this Agreement on such Payment Date. Funds deposited in the Hedge Reserve Account on a Business Day (which immediately precedes a Payment Date) upon the maturity of any Permitted Investments are not required to be invested overnight.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Hedging Agreement which requires the posting of collateral by the Hedge Counterparty shall provide that the Servicer (on behalf of the Borrower) shall, within thirty (30) days of the execution of the Hedging Agreement, establish a hedge </w:t>
      </w:r>
    </w:p>
    <w:p>
      <w:pPr>
        <w:pStyle w:val="TextBody"/>
        <w:bidi w:val="0"/>
        <w:jc w:val="center"/>
        <w:rPr>
          <w:rFonts w:ascii="Times New Roman" w:hAnsi="Times New Roman"/>
          <w:color w:val="000000"/>
          <w:sz w:val="24"/>
        </w:rPr>
      </w:pPr>
      <w:r>
        <w:rPr>
          <w:rFonts w:ascii="Times New Roman" w:hAnsi="Times New Roman"/>
          <w:color w:val="000000"/>
          <w:sz w:val="24"/>
        </w:rPr>
        <w:t>94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collateral account in the name of the Borrower for such Hedging Agreement at a Qualified Institution that is not an Affiliate of the Borrower, and the Hedge Counterparty shall cause any collateral transferred by the Hedge Counterparty to be deposited into such hedge collateral account in accordance with the terms of such Hedging Agreement. The parties hereto acknowledge and agree that the only permitted withdrawal from, or application of funds on deposit in, or otherwise to the credit of, a hedge collateral account shall be (i) for application to obligations of the related Hedge Counterparty to the Borrower under the related Hedging Agreement (including any Hedge Transaction thereunder) in accordance with the terms of such Hedging Agreement or (ii) to return the collateral to the related Hedge Counterparty when and as required by the related Hedging Transaction.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(e)</w:t>
      </w:r>
    </w:p>
    <w:p>
      <w:pPr>
        <w:pStyle w:val="TextBody"/>
        <w:bidi w:val="0"/>
        <w:spacing w:before="0" w:after="240"/>
        <w:jc w:val="both"/>
        <w:rPr/>
      </w:pPr>
      <w:r>
        <w:rPr>
          <w:rFonts w:ascii="Times New Roman" w:hAnsi="Times New Roman"/>
          <w:color w:val="000000"/>
          <w:sz w:val="24"/>
        </w:rPr>
        <w:t>Each Hedging Agreement shall require any Hedge Counterparty other than [***] to post collateral into the hedge collateral account in such amounts and with such frequency as shall be set forth in the Hedging Agreement approved by the Administrative Agent commencing no later than thirty (30) calendar days after either (x) such Hedge Counterparty’s long-term unsecured debt rating is suspended, withdrawn or downgraded below the Long-Term Rating Requirement, or (y) such Hedge Counterparty’s short-term unsecured debt rating is suspended, withdrawn or downgraded by the Short-Term Rating Requirement (either (x) or (y) a “</w:t>
      </w:r>
      <w:r>
        <w:rPr>
          <w:rFonts w:ascii="Times New Roman" w:hAnsi="Times New Roman"/>
          <w:color w:val="000000"/>
          <w:sz w:val="24"/>
          <w:u w:val="single"/>
        </w:rPr>
        <w:t>Hedge Counterparty Downgrade</w:t>
      </w:r>
      <w:r>
        <w:rPr>
          <w:color w:val="000000"/>
        </w:rPr>
        <w:t>”</w:t>
      </w:r>
      <w:r>
        <w:rPr>
          <w:rFonts w:ascii="Times New Roman" w:hAnsi="Times New Roman"/>
          <w:color w:val="000000"/>
          <w:sz w:val="24"/>
        </w:rPr>
        <w:t>). Additionally, upon the occurrence of Hedge Counterparty Downgrade with respect to any Hedge Counterparty other than [***], the Borrower must replace the Hedge Counterparty within thirty (30) calendar days of the occurrence of the Hedge Counterparty Downgrade.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additional security hereunder, the Borrower has assigned to the Administrative Agent all right, title and interest of Borrower in the Hedge Collateral. The Borrower acknowledges that, as a result of that assignment, the Borrower may not, without the prior written consent of the Administrative Agent, exercise any rights under any Hedging Agreement or Hedge Transaction, except for the Borrower’s right under any Hedging Agreement to enter into Hedge Transactions in order to meet the Borrower’s obligations hereunder. Nothing herein shall have the effect of releasing the Borrower from any of its obligations under any Hedging Agreement or any Hedge Transaction, nor be construed as requiring the consent of the Administrative Agent or any Secured Party for the performance by the Borrower of any such obligations.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hereto acknowledge and agree that the Account Bank shall not be required to act as a “commodity pool operator” (as defined in the Commodity Exchange Act, as amended) or be required to undertake regulatory filings related to this Agreement in connection therewith.</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6.04. </w:t>
      </w:r>
    </w:p>
    <w:p>
      <w:pPr>
        <w:pStyle w:val="TextBody"/>
        <w:bidi w:val="0"/>
        <w:spacing w:before="0" w:after="240"/>
        <w:jc w:val="both"/>
        <w:rPr/>
      </w:pPr>
      <w:r>
        <w:rPr>
          <w:rFonts w:ascii="Times New Roman" w:hAnsi="Times New Roman"/>
          <w:color w:val="000000"/>
          <w:sz w:val="24"/>
          <w:u w:val="single"/>
        </w:rPr>
        <w:t>Affirmative Covenants of the Servicer</w:t>
      </w:r>
      <w:r>
        <w:rPr>
          <w:rFonts w:ascii="Times New Roman" w:hAnsi="Times New Roman"/>
          <w:color w:val="000000"/>
          <w:sz w:val="24"/>
        </w:rPr>
        <w:t>. From the date hereof until the Facility Termination Date: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(a)</w:t>
      </w:r>
    </w:p>
    <w:p>
      <w:pPr>
        <w:pStyle w:val="TextBody"/>
        <w:bidi w:val="0"/>
        <w:spacing w:before="0" w:after="240"/>
        <w:jc w:val="both"/>
        <w:rPr/>
      </w:pPr>
      <w:r>
        <w:rPr>
          <w:rFonts w:ascii="Times New Roman" w:hAnsi="Times New Roman"/>
          <w:color w:val="000000"/>
          <w:sz w:val="24"/>
          <w:u w:val="single"/>
        </w:rPr>
        <w:t>Compliance with Law</w:t>
      </w:r>
      <w:r>
        <w:rPr>
          <w:rFonts w:ascii="Times New Roman" w:hAnsi="Times New Roman"/>
          <w:color w:val="000000"/>
          <w:sz w:val="24"/>
        </w:rPr>
        <w:t>. The Servicer will comply in all material respects with all Applicable Laws, including those with respect to the Receivables, the related Contracts, Financed Vehicles and Receivable Files or any part thereof.</w:t>
      </w:r>
    </w:p>
    <w:p>
      <w:pPr>
        <w:pStyle w:val="TextBody"/>
        <w:bidi w:val="0"/>
        <w:jc w:val="center"/>
        <w:rPr>
          <w:rFonts w:ascii="Times New Roman" w:hAnsi="Times New Roman"/>
          <w:color w:val="000000"/>
          <w:sz w:val="24"/>
        </w:rPr>
      </w:pPr>
      <w:r>
        <w:rPr>
          <w:rFonts w:ascii="Times New Roman" w:hAnsi="Times New Roman"/>
          <w:color w:val="000000"/>
          <w:sz w:val="24"/>
        </w:rPr>
        <w:t>95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(b)</w:t>
      </w:r>
    </w:p>
    <w:p>
      <w:pPr>
        <w:pStyle w:val="TextBody"/>
        <w:bidi w:val="0"/>
        <w:spacing w:before="0" w:after="240"/>
        <w:jc w:val="both"/>
        <w:rPr/>
      </w:pPr>
      <w:r>
        <w:rPr>
          <w:rFonts w:ascii="Times New Roman" w:hAnsi="Times New Roman"/>
          <w:color w:val="000000"/>
          <w:sz w:val="24"/>
          <w:u w:val="single"/>
        </w:rPr>
        <w:t>Preservation of Corporate Existence</w:t>
      </w:r>
      <w:r>
        <w:rPr>
          <w:rFonts w:ascii="Times New Roman" w:hAnsi="Times New Roman"/>
          <w:color w:val="000000"/>
          <w:sz w:val="24"/>
        </w:rPr>
        <w:t>. The Servicer will preserve and maintain its corporate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(c)</w:t>
      </w:r>
    </w:p>
    <w:p>
      <w:pPr>
        <w:pStyle w:val="TextBody"/>
        <w:bidi w:val="0"/>
        <w:spacing w:before="0" w:after="240"/>
        <w:jc w:val="both"/>
        <w:rPr/>
      </w:pPr>
      <w:r>
        <w:rPr>
          <w:rFonts w:ascii="Times New Roman" w:hAnsi="Times New Roman"/>
          <w:color w:val="000000"/>
          <w:sz w:val="24"/>
          <w:u w:val="single"/>
        </w:rPr>
        <w:t>Obligations and Compliance with Receivables</w:t>
      </w:r>
      <w:r>
        <w:rPr>
          <w:rFonts w:ascii="Times New Roman" w:hAnsi="Times New Roman"/>
          <w:color w:val="000000"/>
          <w:sz w:val="24"/>
        </w:rPr>
        <w:t>. The Servicer will fulfill and comply with all obligations on the part of the Borrower to be fulfilled or complied with under or in connection with each Receivable and will do nothing to impair the rights of the Administrative Agent in, to and under the Collateral.</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(d)</w:t>
      </w:r>
    </w:p>
    <w:p>
      <w:pPr>
        <w:pStyle w:val="TextBody"/>
        <w:bidi w:val="0"/>
        <w:spacing w:before="0" w:after="240"/>
        <w:jc w:val="both"/>
        <w:rPr/>
      </w:pPr>
      <w:r>
        <w:rPr>
          <w:rFonts w:ascii="Times New Roman" w:hAnsi="Times New Roman"/>
          <w:color w:val="000000"/>
          <w:sz w:val="24"/>
          <w:u w:val="single"/>
        </w:rPr>
        <w:t>Performance and Compliance with Servicer Basic Documents</w:t>
      </w:r>
      <w:r>
        <w:rPr>
          <w:rFonts w:ascii="Times New Roman" w:hAnsi="Times New Roman"/>
          <w:color w:val="000000"/>
          <w:sz w:val="24"/>
        </w:rPr>
        <w:t>. The Servicer will timely and fully perform and comply in all material respects with all provisions, covenants and other promises required to be observed by it under the Servicer Basic Documents.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(e)</w:t>
      </w:r>
    </w:p>
    <w:p>
      <w:pPr>
        <w:pStyle w:val="TextBody"/>
        <w:bidi w:val="0"/>
        <w:spacing w:before="0" w:after="240"/>
        <w:jc w:val="both"/>
        <w:rPr/>
      </w:pPr>
      <w:r>
        <w:rPr>
          <w:rFonts w:ascii="Times New Roman" w:hAnsi="Times New Roman"/>
          <w:color w:val="000000"/>
          <w:sz w:val="24"/>
          <w:u w:val="single"/>
        </w:rPr>
        <w:t>Keeping of Records and Books of Account</w:t>
      </w:r>
      <w:r>
        <w:rPr>
          <w:rFonts w:ascii="Times New Roman" w:hAnsi="Times New Roman"/>
          <w:color w:val="000000"/>
          <w:sz w:val="24"/>
        </w:rPr>
        <w:t>. The Servicer will maintain and implement administrative and operating procedures (including an ability to recreate records evidencing Receivables, including the Servicer Files, in the event of the destruction of the originals thereof), and keep and maintain all documents, books, records and other information reasonably necessary or advisable for the collection of all Receivables, including the Servicer Files.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(f)</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The Servicer will file all tax returns required to be filed by it and pay any and all Taxes, including those required to meet the obligations of the Basic Documents.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(g)</w:t>
      </w:r>
    </w:p>
    <w:p>
      <w:pPr>
        <w:pStyle w:val="TextBody"/>
        <w:bidi w:val="0"/>
        <w:spacing w:before="0" w:after="240"/>
        <w:jc w:val="both"/>
        <w:rPr/>
      </w:pPr>
      <w:r>
        <w:rPr>
          <w:rFonts w:ascii="Times New Roman" w:hAnsi="Times New Roman"/>
          <w:color w:val="000000"/>
          <w:sz w:val="24"/>
          <w:u w:val="single"/>
        </w:rPr>
        <w:t>Preservation of Security Interest</w:t>
      </w:r>
      <w:r>
        <w:rPr>
          <w:rFonts w:ascii="Times New Roman" w:hAnsi="Times New Roman"/>
          <w:color w:val="000000"/>
          <w:sz w:val="24"/>
        </w:rPr>
        <w:t>. The Servicer will execute and file such financing and continuation statements and any other documents that may be required by any Applicable Law of any Governmental Authority to preserve and protect fully the security interest of the Administrative Agent in, to and under the Collateral.</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(h)</w:t>
      </w:r>
    </w:p>
    <w:p>
      <w:pPr>
        <w:pStyle w:val="TextBody"/>
        <w:bidi w:val="0"/>
        <w:spacing w:before="0" w:after="240"/>
        <w:jc w:val="both"/>
        <w:rPr/>
      </w:pPr>
      <w:r>
        <w:rPr>
          <w:rFonts w:ascii="Times New Roman" w:hAnsi="Times New Roman"/>
          <w:color w:val="000000"/>
          <w:sz w:val="24"/>
          <w:u w:val="single"/>
        </w:rPr>
        <w:t>Credit and Collection Policy</w:t>
      </w:r>
      <w:r>
        <w:rPr>
          <w:rFonts w:ascii="Times New Roman" w:hAnsi="Times New Roman"/>
          <w:color w:val="000000"/>
          <w:sz w:val="24"/>
        </w:rPr>
        <w:t>. The initial Servicer will (i) comply in all material respects with the Credit and Collection Policy in regard to each Receivable,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pPr>
      <w:r>
        <w:rPr>
          <w:rFonts w:ascii="Times New Roman" w:hAnsi="Times New Roman"/>
          <w:color w:val="000000"/>
          <w:sz w:val="24"/>
          <w:u w:val="single"/>
        </w:rPr>
        <w:t>Notice of Certain Events</w:t>
      </w:r>
      <w:r>
        <w:rPr>
          <w:rFonts w:ascii="Times New Roman" w:hAnsi="Times New Roman"/>
          <w:color w:val="000000"/>
          <w:sz w:val="24"/>
        </w:rPr>
        <w:t>. The Servicer will furnish to the Administrative Agent, each Agent, the Account Bank and the Backup Servicer, as soon as possible and in any event within three Business Days after the earlier of (i) knowledge by the Servicer and (ii) receipt by the Servicer from the Borrower of written notice thereof (which notice the Borrower shall be required to give promptly upon knowledge thereof) of the occurrence of each Early Amortization Event, each Termination Event and each Unmatured Termination Event, a written statement of its chief financial officer or chief accounting officer setting forth the details of such event and the action that the Servicer purposes to take with respect thereto.</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(j)</w:t>
      </w:r>
    </w:p>
    <w:p>
      <w:pPr>
        <w:pStyle w:val="TextBody"/>
        <w:bidi w:val="0"/>
        <w:spacing w:before="0" w:after="240"/>
        <w:jc w:val="both"/>
        <w:rPr/>
      </w:pPr>
      <w:r>
        <w:rPr>
          <w:rFonts w:ascii="Times New Roman" w:hAnsi="Times New Roman"/>
          <w:color w:val="000000"/>
          <w:sz w:val="24"/>
          <w:u w:val="single"/>
        </w:rPr>
        <w:t>Other</w:t>
      </w:r>
      <w:r>
        <w:rPr>
          <w:rFonts w:ascii="Times New Roman" w:hAnsi="Times New Roman"/>
          <w:color w:val="000000"/>
          <w:sz w:val="24"/>
        </w:rPr>
        <w:t xml:space="preserve">. The Servicer will furnish to the Administrative Agent, each Agent and the Backup Servicer, promptly, from time to time, such other information, documents, records or reports respecting the Collateral or the condition or operations, financial or </w:t>
      </w:r>
    </w:p>
    <w:p>
      <w:pPr>
        <w:pStyle w:val="TextBody"/>
        <w:bidi w:val="0"/>
        <w:jc w:val="center"/>
        <w:rPr>
          <w:rFonts w:ascii="Times New Roman" w:hAnsi="Times New Roman"/>
          <w:color w:val="000000"/>
          <w:sz w:val="24"/>
        </w:rPr>
      </w:pPr>
      <w:r>
        <w:rPr>
          <w:rFonts w:ascii="Times New Roman" w:hAnsi="Times New Roman"/>
          <w:color w:val="000000"/>
          <w:sz w:val="24"/>
        </w:rPr>
        <w:t>96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otherwise, of the Borrower, the Servicer or the Originator as the Administrative Agent may from time to time reasonably request in order to protect the interests of the Administrative Agent or Lenders under or as contemplated by this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(k)</w:t>
      </w:r>
    </w:p>
    <w:p>
      <w:pPr>
        <w:pStyle w:val="TextBody"/>
        <w:bidi w:val="0"/>
        <w:spacing w:before="0" w:after="240"/>
        <w:jc w:val="both"/>
        <w:rPr/>
      </w:pPr>
      <w:r>
        <w:rPr>
          <w:rFonts w:ascii="Times New Roman" w:hAnsi="Times New Roman"/>
          <w:color w:val="000000"/>
          <w:sz w:val="24"/>
          <w:u w:val="single"/>
        </w:rPr>
        <w:t>Losses, Etc</w:t>
      </w:r>
      <w:r>
        <w:rPr>
          <w:rFonts w:ascii="Times New Roman" w:hAnsi="Times New Roman"/>
          <w:color w:val="000000"/>
          <w:sz w:val="24"/>
        </w:rPr>
        <w:t>. In any suit, proceeding or action brought by the Administrative Agent, any Agent, the Custodian, Account Bank, Backup Servicer or any Secured Party for any sum owing thereto, the Servicer shall save, indemnify and keep each such entity harmless from and against all expense, loss or damage suffered by reason of any defense, setoff, counterclaim, recoupment or reduction of liability whatsoever of the Obligor under the Receivables, arising out of a breach by the Servicer of any obligation under the related Receivable or arising out of any other agreement, Indebtedness or liability at any time owing to or in favor of such Obligor or its successor from the Servicer, and all such obligations of the Servicer shall be and remain enforceable against and only against the Servicer and shall not be enforceable against each such entity.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(l)</w:t>
      </w:r>
    </w:p>
    <w:p>
      <w:pPr>
        <w:pStyle w:val="TextBody"/>
        <w:bidi w:val="0"/>
        <w:spacing w:before="0" w:after="240"/>
        <w:jc w:val="both"/>
        <w:rPr/>
      </w:pPr>
      <w:r>
        <w:rPr>
          <w:rFonts w:ascii="Times New Roman" w:hAnsi="Times New Roman"/>
          <w:color w:val="000000"/>
          <w:sz w:val="24"/>
          <w:u w:val="single"/>
        </w:rPr>
        <w:t>Notice Regarding Collateral</w:t>
      </w:r>
      <w:r>
        <w:rPr>
          <w:rFonts w:ascii="Times New Roman" w:hAnsi="Times New Roman"/>
          <w:color w:val="000000"/>
          <w:sz w:val="24"/>
        </w:rPr>
        <w:t>. The Servicer shall advise the Custodian, each Agent and the Administrative Agent in writing promptly following the earlier of (i) knowledge by the Servicer and (ii) receipt by the Servicer from the Borrower of written notice thereof (which notice the Borrower shall be required to give promptly upon knowledge thereof), in reasonable detail of (i) any Lien asserted or claim made against any portion of the Collateral, (ii) the occurrence of any material breach by the Servicer of any of its representations, warranties and covenants contained herein and (iii) the occurrence of any other event which would have a material adverse effect on the security interest of the Administrative Agent on behalf of the Secured Parties in the Collateral or the collectability of all or a material portion of the Receivables, or which would have a material adverse effect on the security interests of the Administrative Agent for the benefit of the Secured Parties.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(m)</w:t>
      </w:r>
    </w:p>
    <w:p>
      <w:pPr>
        <w:pStyle w:val="TextBody"/>
        <w:bidi w:val="0"/>
        <w:spacing w:before="0" w:after="240"/>
        <w:jc w:val="both"/>
        <w:rPr/>
      </w:pPr>
      <w:r>
        <w:rPr>
          <w:rFonts w:ascii="Times New Roman" w:hAnsi="Times New Roman"/>
          <w:color w:val="000000"/>
          <w:sz w:val="24"/>
          <w:u w:val="single"/>
        </w:rPr>
        <w:t>Realization on Receivables</w:t>
      </w:r>
      <w:r>
        <w:rPr>
          <w:rFonts w:ascii="Times New Roman" w:hAnsi="Times New Roman"/>
          <w:color w:val="000000"/>
          <w:sz w:val="24"/>
        </w:rPr>
        <w:t>. In the event that the Servicer realizes upon any Receivable, the methods utilized by the Servicer to realize upon such Receivable or otherwise enforce any provisions of such Receivable will not subject the Servicer, the Borrower, any Secured Party, any Agent or the Custodian to liability under any federal, State or local law, and any such realization or enforcement by the Servicer will be conducted in accordance with the provisions of this Agreement, the Credit and Collection Policy and Applicable Law.</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(n)</w:t>
      </w:r>
    </w:p>
    <w:p>
      <w:pPr>
        <w:pStyle w:val="TextBody"/>
        <w:bidi w:val="0"/>
        <w:spacing w:before="0" w:after="240"/>
        <w:jc w:val="both"/>
        <w:rPr/>
      </w:pPr>
      <w:r>
        <w:rPr>
          <w:rFonts w:ascii="Times New Roman" w:hAnsi="Times New Roman"/>
          <w:color w:val="000000"/>
          <w:sz w:val="24"/>
          <w:u w:val="single"/>
        </w:rPr>
        <w:t>Certificates of Title</w:t>
      </w:r>
      <w:r>
        <w:rPr>
          <w:rFonts w:ascii="Times New Roman" w:hAnsi="Times New Roman"/>
          <w:color w:val="000000"/>
          <w:sz w:val="24"/>
        </w:rPr>
        <w:t>. Within 15 days following the end of each calendar quarter, the Servicer shall deliver to the Custodian (if not UACC), each Agent and the Administrative Agent a list of all Receivables for which it does not have in its possession the related Certificate of Title.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(o)</w:t>
      </w:r>
    </w:p>
    <w:p>
      <w:pPr>
        <w:pStyle w:val="TextBody"/>
        <w:bidi w:val="0"/>
        <w:spacing w:before="0" w:after="240"/>
        <w:jc w:val="both"/>
        <w:rPr/>
      </w:pPr>
      <w:r>
        <w:rPr>
          <w:rFonts w:ascii="Times New Roman" w:hAnsi="Times New Roman"/>
          <w:color w:val="000000"/>
          <w:sz w:val="24"/>
          <w:u w:val="single"/>
        </w:rPr>
        <w:t>Interpayments</w:t>
      </w:r>
      <w:r>
        <w:rPr>
          <w:rFonts w:ascii="Times New Roman" w:hAnsi="Times New Roman"/>
          <w:color w:val="000000"/>
          <w:sz w:val="24"/>
        </w:rPr>
        <w:t>. To the extent that the Borrower makes an Interpayment pursuant to Section 2.06(d), on the related Payment Date, if required by the Administrative Agent, UACC shall deposit an amount equal to the Monthly Accrued Interest Payment Amount into the Collection Account.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(p)</w:t>
      </w:r>
    </w:p>
    <w:p>
      <w:pPr>
        <w:pStyle w:val="TextBody"/>
        <w:bidi w:val="0"/>
        <w:spacing w:before="0" w:after="240"/>
        <w:jc w:val="both"/>
        <w:rPr/>
      </w:pPr>
      <w:r>
        <w:rPr>
          <w:rFonts w:ascii="Times New Roman" w:hAnsi="Times New Roman"/>
          <w:color w:val="000000"/>
          <w:sz w:val="24"/>
          <w:u w:val="single"/>
        </w:rPr>
        <w:t>[***].</w:t>
      </w:r>
      <w:r>
        <w:rPr>
          <w:color w:val="00000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(q)</w:t>
      </w:r>
    </w:p>
    <w:p>
      <w:pPr>
        <w:pStyle w:val="TextBody"/>
        <w:bidi w:val="0"/>
        <w:spacing w:before="0" w:after="240"/>
        <w:jc w:val="both"/>
        <w:rPr/>
      </w:pPr>
      <w:r>
        <w:rPr>
          <w:rFonts w:ascii="Times New Roman" w:hAnsi="Times New Roman"/>
          <w:color w:val="000000"/>
          <w:sz w:val="24"/>
          <w:u w:val="single"/>
        </w:rPr>
        <w:t>Auditors’ Management Letters</w:t>
      </w:r>
      <w:r>
        <w:rPr>
          <w:rFonts w:ascii="Times New Roman" w:hAnsi="Times New Roman"/>
          <w:color w:val="000000"/>
          <w:sz w:val="24"/>
        </w:rPr>
        <w:t>. The Servicer will deliver to the Administrative Agent and each Agent, promptly after receipt by the Servicer or its accountants, a copy of any auditors’ management letters which refer in whole or in part to any inadequacy, defect, problem, qualification or other lack of fully satisfactory accounting controls utilized by the Servicer that resulted in a qualified audit opinion.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(r)</w:t>
      </w:r>
    </w:p>
    <w:p>
      <w:pPr>
        <w:pStyle w:val="TextBody"/>
        <w:bidi w:val="0"/>
        <w:spacing w:before="0" w:after="240"/>
        <w:jc w:val="both"/>
        <w:rPr/>
      </w:pPr>
      <w:r>
        <w:rPr>
          <w:rFonts w:ascii="Times New Roman" w:hAnsi="Times New Roman"/>
          <w:color w:val="000000"/>
          <w:sz w:val="24"/>
          <w:u w:val="single"/>
        </w:rPr>
        <w:t>Accounting Policy</w:t>
      </w:r>
      <w:r>
        <w:rPr>
          <w:rFonts w:ascii="Times New Roman" w:hAnsi="Times New Roman"/>
          <w:color w:val="000000"/>
          <w:sz w:val="24"/>
        </w:rPr>
        <w:t>. The Servicer will promptly notify the Administrative Agent and each Agent of any material change in the Servicer’s accounting policies.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6.05. </w:t>
      </w:r>
    </w:p>
    <w:p>
      <w:pPr>
        <w:pStyle w:val="TextBody"/>
        <w:bidi w:val="0"/>
        <w:spacing w:before="0" w:after="240"/>
        <w:jc w:val="both"/>
        <w:rPr/>
      </w:pPr>
      <w:r>
        <w:rPr>
          <w:rFonts w:ascii="Times New Roman" w:hAnsi="Times New Roman"/>
          <w:color w:val="000000"/>
          <w:sz w:val="24"/>
          <w:u w:val="single"/>
        </w:rPr>
        <w:t>Negative Covenants of the Servicer</w:t>
      </w:r>
      <w:r>
        <w:rPr>
          <w:rFonts w:ascii="Times New Roman" w:hAnsi="Times New Roman"/>
          <w:color w:val="000000"/>
          <w:sz w:val="24"/>
        </w:rPr>
        <w:t>. From the date hereof until the Facility Termination Date: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(a)</w:t>
      </w:r>
    </w:p>
    <w:p>
      <w:pPr>
        <w:pStyle w:val="TextBody"/>
        <w:bidi w:val="0"/>
        <w:spacing w:before="0" w:after="240"/>
        <w:jc w:val="both"/>
        <w:rPr/>
      </w:pPr>
      <w:r>
        <w:rPr>
          <w:rFonts w:ascii="Times New Roman" w:hAnsi="Times New Roman"/>
          <w:color w:val="000000"/>
          <w:sz w:val="24"/>
          <w:u w:val="single"/>
        </w:rPr>
        <w:t>Post Office Boxes; Local Bank Account</w:t>
      </w:r>
      <w:r>
        <w:rPr>
          <w:rFonts w:ascii="Times New Roman" w:hAnsi="Times New Roman"/>
          <w:color w:val="000000"/>
          <w:sz w:val="24"/>
        </w:rPr>
        <w:t>. The Servicer shall not create or participate in the creation of, or permit to exist, any Liens with respect to the Post Office Boxes or the Local Bank Account, except as permitted and pursuant to the Intercreditor Agreement and the Intercreditor Party Supplement. The Servicer shall not enter into any “control agreement” (as defined in the relevant UCC) with respect to the Post Office Boxes or the Local Bank Account other than pursuant to the Intercreditor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(b)</w:t>
      </w:r>
    </w:p>
    <w:p>
      <w:pPr>
        <w:pStyle w:val="TextBody"/>
        <w:bidi w:val="0"/>
        <w:spacing w:before="0" w:after="240"/>
        <w:jc w:val="both"/>
        <w:rPr/>
      </w:pPr>
      <w:r>
        <w:rPr>
          <w:rFonts w:ascii="Times New Roman" w:hAnsi="Times New Roman"/>
          <w:color w:val="000000"/>
          <w:sz w:val="24"/>
          <w:u w:val="single"/>
        </w:rPr>
        <w:t>Mergers, Acquisition, Sales, etc</w:t>
      </w:r>
      <w:r>
        <w:rPr>
          <w:rFonts w:ascii="Times New Roman" w:hAnsi="Times New Roman"/>
          <w:color w:val="000000"/>
          <w:sz w:val="24"/>
        </w:rPr>
        <w:t>. The Servicer will not consolidate with or merge into any other Person or convey or transfer its properties and assets substantially as an entirety to any Person, other than contemplated in Section 7.16.</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(c)</w:t>
      </w:r>
    </w:p>
    <w:p>
      <w:pPr>
        <w:pStyle w:val="TextBody"/>
        <w:bidi w:val="0"/>
        <w:spacing w:before="0" w:after="240"/>
        <w:jc w:val="both"/>
        <w:rPr/>
      </w:pPr>
      <w:r>
        <w:rPr>
          <w:rFonts w:ascii="Times New Roman" w:hAnsi="Times New Roman"/>
          <w:color w:val="000000"/>
          <w:sz w:val="24"/>
          <w:u w:val="single"/>
        </w:rPr>
        <w:t>Change of Name or Location of Servicer Files or Receivable Files</w:t>
      </w:r>
      <w:r>
        <w:rPr>
          <w:rFonts w:ascii="Times New Roman" w:hAnsi="Times New Roman"/>
          <w:color w:val="000000"/>
          <w:sz w:val="24"/>
        </w:rPr>
        <w:t>. The Servicer shall not (i) change its name or its state of organization, move the location of its principal place of business and chief executive office, and the offices where it keeps records concerning the Receivables (including the Servicer Files) from the locations set forth in Schedule D or (ii) move, or consent to the Custodian moving, the Receivable Files from the locations set forth in Schedule D, unless the Servicer has given at least 30 days’ prior written notice to the Administrative Agent and each Agent and has taken all actions required under the UCC of each relevant jurisdiction in order to continue the first priority perfected security interest of the Administrative Agent, as agent for the Secured Parties, in the Collateral.</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(d)</w:t>
      </w:r>
    </w:p>
    <w:p>
      <w:pPr>
        <w:pStyle w:val="TextBody"/>
        <w:bidi w:val="0"/>
        <w:spacing w:before="0" w:after="240"/>
        <w:jc w:val="both"/>
        <w:rPr/>
      </w:pPr>
      <w:r>
        <w:rPr>
          <w:rFonts w:ascii="Times New Roman" w:hAnsi="Times New Roman"/>
          <w:color w:val="000000"/>
          <w:sz w:val="24"/>
          <w:u w:val="single"/>
        </w:rPr>
        <w:t>Change in Payment Instructions to Obligors</w:t>
      </w:r>
      <w:r>
        <w:rPr>
          <w:rFonts w:ascii="Times New Roman" w:hAnsi="Times New Roman"/>
          <w:color w:val="000000"/>
          <w:sz w:val="24"/>
        </w:rPr>
        <w:t>. The Servicer will not make any change in its instructions to the Obligors regarding payments to be made to the Borrower or the Servicer, other than in accordance with the Credit and Collection Policy, or payments to be made to the Post Office Boxes or Local Bank Account, other than in accordance with the terms of the Intercreditor Agreement and the Intercreditor Party Supplement and unless the Administrative Agent has received duly executed copies of all documentation related thereto.</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(e)</w:t>
      </w:r>
    </w:p>
    <w:p>
      <w:pPr>
        <w:pStyle w:val="TextBody"/>
        <w:bidi w:val="0"/>
        <w:spacing w:before="0" w:after="240"/>
        <w:jc w:val="both"/>
        <w:rPr/>
      </w:pPr>
      <w:r>
        <w:rPr>
          <w:rFonts w:ascii="Times New Roman" w:hAnsi="Times New Roman"/>
          <w:color w:val="000000"/>
          <w:sz w:val="24"/>
          <w:u w:val="single"/>
        </w:rPr>
        <w:t>Extension or Amendment of Contracts</w:t>
      </w:r>
      <w:r>
        <w:rPr>
          <w:rFonts w:ascii="Times New Roman" w:hAnsi="Times New Roman"/>
          <w:color w:val="000000"/>
          <w:sz w:val="24"/>
        </w:rPr>
        <w:t>. The Servicer will not, except as otherwise permitted in Section 7.03(c)(i), extend, amend or otherwise modify the terms of any Contract.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(f)</w:t>
      </w:r>
    </w:p>
    <w:p>
      <w:pPr>
        <w:pStyle w:val="TextBody"/>
        <w:bidi w:val="0"/>
        <w:spacing w:before="0" w:after="240"/>
        <w:jc w:val="both"/>
        <w:rPr/>
      </w:pPr>
      <w:r>
        <w:rPr>
          <w:rFonts w:ascii="Times New Roman" w:hAnsi="Times New Roman"/>
          <w:color w:val="000000"/>
          <w:sz w:val="24"/>
          <w:u w:val="single"/>
        </w:rPr>
        <w:t>No Instruments</w:t>
      </w:r>
      <w:r>
        <w:rPr>
          <w:rFonts w:ascii="Times New Roman" w:hAnsi="Times New Roman"/>
          <w:color w:val="000000"/>
          <w:sz w:val="24"/>
        </w:rPr>
        <w:t>. The Servicer shall take no action to cause any Receivable to be evidenced by any Instrument (as defined in the UCC).</w:t>
      </w:r>
    </w:p>
    <w:p>
      <w:pPr>
        <w:pStyle w:val="TextBody"/>
        <w:bidi w:val="0"/>
        <w:jc w:val="center"/>
        <w:rPr>
          <w:rFonts w:ascii="Times New Roman" w:hAnsi="Times New Roman"/>
          <w:color w:val="000000"/>
          <w:sz w:val="24"/>
        </w:rPr>
      </w:pPr>
      <w:r>
        <w:rPr>
          <w:rFonts w:ascii="Times New Roman" w:hAnsi="Times New Roman"/>
          <w:color w:val="000000"/>
          <w:sz w:val="24"/>
        </w:rPr>
        <w:t>98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(g)</w:t>
      </w:r>
    </w:p>
    <w:p>
      <w:pPr>
        <w:pStyle w:val="TextBody"/>
        <w:bidi w:val="0"/>
        <w:spacing w:before="0" w:after="240"/>
        <w:jc w:val="both"/>
        <w:rPr/>
      </w:pPr>
      <w:r>
        <w:rPr>
          <w:rFonts w:ascii="Times New Roman" w:hAnsi="Times New Roman"/>
          <w:color w:val="000000"/>
          <w:sz w:val="24"/>
          <w:u w:val="single"/>
        </w:rPr>
        <w:t>No Liens</w:t>
      </w:r>
      <w:r>
        <w:rPr>
          <w:rFonts w:ascii="Times New Roman" w:hAnsi="Times New Roman"/>
          <w:color w:val="000000"/>
          <w:sz w:val="24"/>
        </w:rPr>
        <w:t>. The Servicer shall not sell, pledge, assign or transfer to any other Person, or grant, create, incur, assume or suffer to exist any Lien (other than any Permitted Lien) on the Collateral or any interest therein, the Servicer will notify the Custodian and the Administrative Agent of the existence of any Lien on any portion of the Collateral immediately upon discovery thereof, and the Servicer shall defend the right, title and interest of the Administrative Agent on behalf of the Secured Parties in, to and under the Collateral against all claims of third parties claiming through or under the Servicer.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(h)</w:t>
      </w:r>
    </w:p>
    <w:p>
      <w:pPr>
        <w:pStyle w:val="TextBody"/>
        <w:bidi w:val="0"/>
        <w:spacing w:before="0" w:after="240"/>
        <w:jc w:val="both"/>
        <w:rPr/>
      </w:pPr>
      <w:r>
        <w:rPr>
          <w:rFonts w:ascii="Times New Roman" w:hAnsi="Times New Roman"/>
          <w:color w:val="000000"/>
          <w:sz w:val="24"/>
          <w:u w:val="single"/>
        </w:rPr>
        <w:t>Release; Additional Covenants</w:t>
      </w:r>
      <w:r>
        <w:rPr>
          <w:rFonts w:ascii="Times New Roman" w:hAnsi="Times New Roman"/>
          <w:color w:val="000000"/>
          <w:sz w:val="24"/>
        </w:rPr>
        <w:t xml:space="preserve">. The Servicer shall (i) not release any Financed Vehicle securing any Receivable from the security interest granted therein by such Receivable in whole or in part except (A) in the event of payment in full by the Obligor thereunder or upon transfer of such Financed Vehicle to a purchaser following repossession by the Servicer or (B) to an insurer in exchange for Insurance Proceeds paid by such insurer resulting from a claim for the total insured value of a Financed Vehicle, (ii) not impair the rights of the Borrower, the Secured Parties or the Custodian in the Collateral, (iii) not increase the number of Scheduled Payments due under a Receivable except as permitted herein or in the Credit and Collection Policy, (iv) prior to the payment in full of any Receivable, not sell, pledge, assign, or transfer to any other Person, or grant, create, incur, assume or suffer to exist any Lien on such Receivable or any interest therein, (v) immediately notify the Borrower, the Administrative Agent, each Agent, the Backup Servicer and the Custodian (if other than UACC) of the existence of any Lien on any portion of the Collateral (other than any Permitted Lien) if the Servicer has actual knowledge thereof, (vi) defend the right, title and interest of the Borrower, the Secured Parties, the Administrative Agent, each Agent and the Custodian in, to and under the Collateral against all claims of third parties claiming through or under the Servicer, (vii) transfer to the Local Bank Account for deposit into the Collection Account, all payments received by the Servicer with respect to the Receivables in accordance with this Agreement, the Intercreditor Agreement and the Intercreditor Party Agreement, (viii) comply with the terms and conditions of this Agreement relating to the obligation of the Borrower to remove Receivables from the Collateral pursuant to this Agreement and the obligation of the Seller to reacquire Receivables from the Borrower pursuant to the Purchase Agreement, (ix) promptly notify the Borrower, the Administrative Agent, each Agent, the Backup Servicer, the Account Bank, each Hedge Counterparty and the Custodian of the occurrence of any Servicer Termination Event and any breach, in any material respect, by the Servicer of any of its covenants or representations and warranties contained herein, (x) promptly notify the Borrower, the Administrative Agent, each Agent, the Backup Servicer, the Account Bank and the Custodian of the occurrence of any event which, to the knowledge of the Servicer, would require that the Borrower make or cause to be made any filings, reports, notices or applications or seek any consents or authorizations from any and all Government Authorities in accordance with the relevant UCC and any State vehicle license or registration authority as may be necessary or advisable to create, maintain and protect a first priority security interest of the Administrative Agent in, to and on the Financed Vehicles and a first priority security interest of the Administrative Agent in, to and on the Collateral, (xi) take all reasonable action necessary to maximize the returns pursuant to the Insurance Policies, (xii) deliver or cause to be delivered to the Borrower no later than one Business Day preceding the Cutoff Date or any Funding Date, as the case may be, the current Schedule of Receivables, (xiii) with respect to any Receivable, deliver </w:t>
      </w:r>
    </w:p>
    <w:p>
      <w:pPr>
        <w:pStyle w:val="TextBody"/>
        <w:bidi w:val="0"/>
        <w:jc w:val="center"/>
        <w:rPr>
          <w:rFonts w:ascii="Times New Roman" w:hAnsi="Times New Roman"/>
          <w:color w:val="000000"/>
          <w:sz w:val="24"/>
        </w:rPr>
      </w:pPr>
      <w:r>
        <w:rPr>
          <w:rFonts w:ascii="Times New Roman" w:hAnsi="Times New Roman"/>
          <w:color w:val="000000"/>
          <w:sz w:val="24"/>
        </w:rPr>
        <w:t>99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cause to be delivered to the Custodian within one Business Day preceding the Closing Date or the date of such Subsequent Loan, as the case may be, the documents to be included in the Receivable Files with respect to those Receivables, as the case may be, (xiv) not impair the rights of the Borrower or the Secured Parties in the Collateral or (xv) not sell, pledge, assign, or transfer to any other Person, or grant, create, incur, assume or suffer to exist any Lien (other than any Permitted Lien) on the Collateral or any interest therein. Notwithstanding any other provision of this Agreement, the Servicer may release any Financed Vehicle from the security interest created by the related Receivable when the Servicer deposits into the Collection Account an amount equal to the related Release Price or the entire amount of Insurance Proceeds, Recoveries and other Collections it has received or expects to receive with respect to such Receivable and such Financed Vehicle.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shall, within two Business Days of its receipt thereof, respond to reasonable written directions or written requests for information that the Borrower, the Administrative Agent, the Backup Servicer or the Custodian (if other than UACC) might have with respect to the administration of the Receivables.</w:t>
      </w:r>
    </w:p>
    <w:p>
      <w:pPr>
        <w:pStyle w:val="TextBody"/>
        <w:bidi w:val="0"/>
        <w:jc w:val="center"/>
        <w:rPr>
          <w:rFonts w:ascii="Times New Roman" w:hAnsi="Times New Roman"/>
          <w:color w:val="000000"/>
          <w:sz w:val="24"/>
        </w:rPr>
      </w:pPr>
      <w:r>
        <w:rPr>
          <w:rFonts w:ascii="Times New Roman" w:hAnsi="Times New Roman"/>
          <w:color w:val="000000"/>
          <w:sz w:val="24"/>
        </w:rPr>
        <w:t>100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caps/>
          <w:color w:val="2F5496"/>
          <w:sz w:val="24"/>
        </w:rPr>
      </w:pPr>
      <w:r>
        <w:rPr>
          <w:rFonts w:ascii="Times New Roman" w:hAnsi="Times New Roman"/>
          <w:caps/>
          <w:color w:val="2F5496"/>
          <w:sz w:val="24"/>
        </w:rPr>
        <w:t>ARTICLE 7</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ADMINISTRATION AND SERVICING OF RECEIVABLES</w:t>
      </w:r>
    </w:p>
    <w:p>
      <w:pPr>
        <w:pStyle w:val="TextBody"/>
        <w:bidi w:val="0"/>
        <w:spacing w:before="0" w:after="240"/>
        <w:jc w:val="left"/>
        <w:rPr>
          <w:rFonts w:ascii="Times New Roman" w:hAnsi="Times New Roman"/>
          <w:color w:val="2F5496"/>
          <w:sz w:val="24"/>
        </w:rPr>
      </w:pPr>
      <w:r>
        <w:rPr>
          <w:rFonts w:ascii="Times New Roman" w:hAnsi="Times New Roman"/>
          <w:color w:val="2F5496"/>
          <w:sz w:val="24"/>
        </w:rPr>
        <w:t xml:space="preserve">Section 7.01. </w:t>
      </w:r>
    </w:p>
    <w:p>
      <w:pPr>
        <w:pStyle w:val="TextBody"/>
        <w:bidi w:val="0"/>
        <w:spacing w:before="0" w:after="240"/>
        <w:jc w:val="left"/>
        <w:rPr/>
      </w:pPr>
      <w:r>
        <w:rPr>
          <w:rFonts w:ascii="Times New Roman" w:hAnsi="Times New Roman"/>
          <w:color w:val="000000"/>
          <w:sz w:val="24"/>
          <w:u w:val="single"/>
        </w:rPr>
        <w:t>Designation of Servicing</w:t>
      </w:r>
      <w:r>
        <w:rPr>
          <w:rFonts w:ascii="Times New Roman" w:hAnsi="Times New Roman"/>
          <w:color w:val="000000"/>
          <w:sz w:val="24"/>
        </w:rPr>
        <w:t>. The Administrative Agent, each Agent and the Borrower, at the direction of and on behalf of the Administrative Agent, hereby appoint UACC, as Servicer to manage, collect and administer each of the Receivables and the other Collateral, and to enforce its respective rights and interests in and under the Collateral and UACC hereby accepts such appointment and agrees to perform the duties and responsibilities of the Servicer pursuant to the terms hereof.</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7.02. </w:t>
      </w:r>
    </w:p>
    <w:p>
      <w:pPr>
        <w:pStyle w:val="TextBody"/>
        <w:bidi w:val="0"/>
        <w:spacing w:before="0" w:after="240"/>
        <w:jc w:val="both"/>
        <w:rPr/>
      </w:pPr>
      <w:r>
        <w:rPr>
          <w:rFonts w:ascii="Times New Roman" w:hAnsi="Times New Roman"/>
          <w:color w:val="000000"/>
          <w:sz w:val="24"/>
          <w:u w:val="single"/>
        </w:rPr>
        <w:t>Servicing Compensation</w:t>
      </w:r>
      <w:r>
        <w:rPr>
          <w:rFonts w:ascii="Times New Roman" w:hAnsi="Times New Roman"/>
          <w:color w:val="000000"/>
          <w:sz w:val="24"/>
        </w:rPr>
        <w:t>. As compensation for its servicing activities hereunder and reimbursement for its expenses, the Servicer shall be entitled to receive the Servicing Fee to the extent of funds available therefor pursuant to Section 2.08(i). The Servicer shall further be entitled to retain as additional servicing compensation any and all ancillary fees, extension fees and payments from Obligors, including late fees, administrative fees and similar charges allowed by Applicable Law.</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7.03. </w:t>
      </w:r>
    </w:p>
    <w:p>
      <w:pPr>
        <w:pStyle w:val="TextBody"/>
        <w:bidi w:val="0"/>
        <w:spacing w:before="0" w:after="240"/>
        <w:jc w:val="both"/>
        <w:rPr/>
      </w:pPr>
      <w:r>
        <w:rPr>
          <w:rFonts w:ascii="Times New Roman" w:hAnsi="Times New Roman"/>
          <w:color w:val="000000"/>
          <w:sz w:val="24"/>
          <w:u w:val="single"/>
        </w:rPr>
        <w:t>Duties of the Servicer</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u w:val="single"/>
        </w:rPr>
        <w:t>Standard of Care</w:t>
      </w:r>
      <w:r>
        <w:rPr>
          <w:rFonts w:ascii="Times New Roman" w:hAnsi="Times New Roman"/>
          <w:color w:val="000000"/>
          <w:sz w:val="24"/>
        </w:rPr>
        <w:t xml:space="preserve">. The Servicer agrees that its servicing and collection of the Receivables shall be carried out in accordance with the Credit and Collection Policy, Applicable Law and customary and usual procedures of institutions which service motor vehicle retail installment sales contracts and, to the extent more exacting, the degree of skill and attention that the Servicer exercises with respect to all comparable motor vehicle receivables that it services for itself or others.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Records Held in Trust</w:t>
      </w:r>
      <w:r>
        <w:rPr>
          <w:rFonts w:ascii="Times New Roman" w:hAnsi="Times New Roman"/>
          <w:color w:val="000000"/>
          <w:sz w:val="24"/>
        </w:rPr>
        <w:t>. The Servicer shall hold in trust for the Secured Parties all records which evidence or relate to all or any part of the Collateral. In the event that the Backup Servicer assumes servicing responsibilities or a Successor Servicer, as applicable, is appointed, the outgoing Servicer shall promptly deliver to the Backup Servicer or the Successor Servicer, as applicable, and the Backup Servicer or the Successor Servicer, as applicable, shall hold in trust for the Borrower and the Secured Parties all records which evidence or relate to all or any part of the Collateral, other than the Receivable Files which shall be delivered to the successor Custodian.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pPr>
      <w:r>
        <w:rPr>
          <w:rFonts w:ascii="Times New Roman" w:hAnsi="Times New Roman"/>
          <w:color w:val="000000"/>
          <w:sz w:val="24"/>
          <w:u w:val="single"/>
        </w:rPr>
        <w:t>Collection Practices</w:t>
      </w: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Servicer shall be responsible for collection of payments called for under the terms and provisions of the Contracts related to the Receivables, as and when the same shall become due. The Servicer, in making collection of Receivable payments pursuant to this Agreement, shall be acting as agent for the Secured Parties, and shall be deemed to be holding such funds in trust on behalf of and as agent for the Administrative Agent and the Secured Parties. The Servicer, consistent with the Credit and Collection Policy in effect at the time of acting, shall service, manage, administer and make collections on the Receivables on behalf of the Borrower and shall have full power and authority to do any and all things which it may deem necessary or desirable in connection therewith which are consistent with this Agreement. The Servicer may in its discretion grant extensions, rebates </w:t>
      </w:r>
    </w:p>
    <w:p>
      <w:pPr>
        <w:pStyle w:val="TextBody"/>
        <w:bidi w:val="0"/>
        <w:jc w:val="center"/>
        <w:rPr>
          <w:rFonts w:ascii="Times New Roman" w:hAnsi="Times New Roman"/>
          <w:color w:val="000000"/>
          <w:sz w:val="24"/>
        </w:rPr>
      </w:pPr>
      <w:r>
        <w:rPr>
          <w:rFonts w:ascii="Times New Roman" w:hAnsi="Times New Roman"/>
          <w:color w:val="000000"/>
          <w:sz w:val="24"/>
        </w:rPr>
        <w:t>101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adjustments on a Contract as permitted by the Credit and Collection Policy then in effect, and amend or modify any Contract but [***]. The Servicer may in its discretion waive any late payment charge or any other fees, not including interest on the Principal Balance, that may be collected in the ordinary course of servicing a Receivable. The Servicer shall also enforce all rights of the Borrower under the Purchase Agreement (including each Transfer Agreement) including the right to require UACC to repurchase Receivables for breaches of representations and warranties made by UACC. Receivables in respect of which the Servicer has breached the foregoing provisions shall be repurchased by the Servicer pursuant to Section 5.04(c).</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Consistent with the Credit and Collection Policy, if at least [***]% of a Scheduled Payment due under a Receivable is not received by the end of the day on its due date, the Servicer will make reasonable and customary efforts to contact the Obligor. The Servicer shall continue its efforts to obtain payment from such Obligor who has not paid at least [***]% of a Scheduled Payment until the related Financed Vehicle has been repossessed and sold or the Servicer has determined that all amounts collectable on the Receivable have been collected. The Servicer shall use its best efforts, consistent with the Credit and Collection Policy, to collect funds on a Defaulted Receivable and by the close of business on the second Business Day following receipt of such Collections and deposit thereof into the Local Bank Account, such Collections shall be deposited into the Collection Account.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a Receivable becomes a Defaulted Receivable, the Servicer, itself or through the use of independent contractors or agents shall, consistent with the Credit and Collection Policy, repossess or otherwise convert the ownership of the Financed Vehicle securing any such Receivable as to which the Servicer shall have determined eventual payment in full is unlikely. All costs and expenses incurred by the Servicer in connection with the repossession of the Financed Vehicles securing such Receivables shall be reimbursed to the Servicer (other than overhead), to the extent not previously recouped by the Servicer from Recoveries on the Payment Date immediately succeeding the Collection Period in which the Servicer delivered to the Administrative Agent an itemized statement of such costs and expenses. Notwithstanding the foregoing and consistent with the terms of this Agreement, the Servicer shall not be obligated to repossess or take any action with respect to a Defaulted Receivable if, in its reasonable judgment consistent with the Credit and Collection Policy, the Recoveries would not be increased.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shall deposit or cause to be deposited by electronic funds transfer all Collections to the Collection Account no later than two Business Days after deposit into the Local Bank Account or otherwise.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pPr>
      <w:r>
        <w:rPr>
          <w:rFonts w:ascii="Times New Roman" w:hAnsi="Times New Roman"/>
          <w:color w:val="000000"/>
          <w:sz w:val="24"/>
          <w:u w:val="single"/>
        </w:rPr>
        <w:t>Collection; Recourse; Sales of Financed Vehicles</w:t>
      </w:r>
      <w:r>
        <w:rPr>
          <w:rFonts w:ascii="Times New Roman" w:hAnsi="Times New Roman"/>
          <w:color w:val="000000"/>
          <w:sz w:val="24"/>
        </w:rPr>
        <w:t xml:space="preserve">. The Servicer, itself or through the use of independent contractors or agents, shall follow practices consistent with the Credit and Collection Policy, in its servicing of automotive receivables, which may include reasonable efforts to realize rights of recourse against any Dealer, selling a Financed Vehicle, or requesting a Subservicer to sell a Financed Vehicle, at public or private sale; provided, however, that the Servicer, itself or through the use of independent contractor or agents shall, in accordance with the Credit and Collection Policy, maximize the sales proceeds for each repossessed Financed Vehicle. </w:t>
      </w:r>
    </w:p>
    <w:p>
      <w:pPr>
        <w:pStyle w:val="TextBody"/>
        <w:bidi w:val="0"/>
        <w:jc w:val="center"/>
        <w:rPr>
          <w:rFonts w:ascii="Times New Roman" w:hAnsi="Times New Roman"/>
          <w:color w:val="000000"/>
          <w:sz w:val="24"/>
        </w:rPr>
      </w:pPr>
      <w:r>
        <w:rPr>
          <w:rFonts w:ascii="Times New Roman" w:hAnsi="Times New Roman"/>
          <w:color w:val="000000"/>
          <w:sz w:val="24"/>
        </w:rPr>
        <w:t>102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foregoing shall be subject to the provision that, in any case in which a Financed Vehicle shall have suffered damage, the Servicer shall not expend funds for the repair or the repossession of such Financed Vehicle unless the Servicer shall determine in its discretion that such repair or repossession would increase the Recoveries in an amount greater than the cost of repairs.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pPr>
      <w:r>
        <w:rPr>
          <w:rFonts w:ascii="Times New Roman" w:hAnsi="Times New Roman"/>
          <w:color w:val="000000"/>
          <w:sz w:val="24"/>
          <w:u w:val="single"/>
        </w:rPr>
        <w:t>Subservicers</w:t>
      </w:r>
      <w:r>
        <w:rPr>
          <w:rFonts w:ascii="Times New Roman" w:hAnsi="Times New Roman"/>
          <w:color w:val="000000"/>
          <w:sz w:val="24"/>
        </w:rPr>
        <w:t>. The Servicer may delegate in the ordinary course of business any or all of its duties and obligations hereunder to one or more Subservicers; provided, however, that the Servicer shall at all times remain responsible for the performance of such duties and obligations.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pPr>
      <w:r>
        <w:rPr>
          <w:rFonts w:ascii="Times New Roman" w:hAnsi="Times New Roman"/>
          <w:color w:val="000000"/>
          <w:sz w:val="24"/>
          <w:u w:val="single"/>
        </w:rPr>
        <w:t>Insurance</w:t>
      </w:r>
      <w:r>
        <w:rPr>
          <w:rFonts w:ascii="Times New Roman" w:hAnsi="Times New Roman"/>
          <w:color w:val="000000"/>
          <w:sz w:val="24"/>
        </w:rPr>
        <w:t>. The Servicer shall:</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behalf of the Borrower, administer and enforce all rights and responsibilities of the Borrower, as owner of the Receivables, provided for in the Insurance Policies relating to the Receivables; and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in accordance with customary servicing procedures and the Credit and Collection Policy, require that each Obligor shall have obtained physical damage insurance covering the Financed Vehicle as of the date of execution of the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any inconsistency between this Agreement and the terms of any Insurance Policy, the Servicer shall comply with the latter.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pPr>
      <w:r>
        <w:rPr>
          <w:rFonts w:ascii="Times New Roman" w:hAnsi="Times New Roman"/>
          <w:color w:val="000000"/>
          <w:sz w:val="24"/>
          <w:u w:val="single"/>
        </w:rPr>
        <w:t>Obligation to Restore</w:t>
      </w:r>
      <w:r>
        <w:rPr>
          <w:rFonts w:ascii="Times New Roman" w:hAnsi="Times New Roman"/>
          <w:color w:val="000000"/>
          <w:sz w:val="24"/>
        </w:rPr>
        <w:t>. In the event of any physical loss or damage to a Financed Vehicle related to a Receivable from any cause, whether through accidental means or otherwise, the Servicer shall have no obligation to cause the affected Financed Vehicle to be restored or repaired. However, the Servicer shall comply with the provisions of any insurance policy or policies directly or indirectly related to any physical loss or damage to a Financed Vehicle.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pPr>
      <w:r>
        <w:rPr>
          <w:rFonts w:ascii="Times New Roman" w:hAnsi="Times New Roman"/>
          <w:color w:val="000000"/>
          <w:sz w:val="24"/>
          <w:u w:val="single"/>
        </w:rPr>
        <w:t>Fidelity Bond</w:t>
      </w:r>
      <w:r>
        <w:rPr>
          <w:rFonts w:ascii="Times New Roman" w:hAnsi="Times New Roman"/>
          <w:color w:val="000000"/>
          <w:sz w:val="24"/>
        </w:rPr>
        <w:t xml:space="preserve">. The Servicer represents, warrants and covenants that it has obtained and shall continue to maintain in full force and effect a fidelity bond in such form and amount as is customary for prudent servicers acting as custodian of funds and documents in respect of consumer contracts similar to the Receivables on behalf of institutional investors.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pPr>
      <w:r>
        <w:rPr>
          <w:rFonts w:ascii="Times New Roman" w:hAnsi="Times New Roman"/>
          <w:color w:val="000000"/>
          <w:sz w:val="24"/>
          <w:u w:val="single"/>
        </w:rPr>
        <w:t>Security Interests</w:t>
      </w:r>
      <w:r>
        <w:rPr>
          <w:rFonts w:ascii="Times New Roman" w:hAnsi="Times New Roman"/>
          <w:color w:val="000000"/>
          <w:sz w:val="24"/>
        </w:rPr>
        <w:t>. The Borrower hereby directs the Servicer to take or cause to be taken such steps as are necessary, to maintain perfection of the security interest created by each such Receivable in the related Financed Vehicle. The Servicer shall, at the direction of the Borrower, the Administrative Agent or the Custodian, take any action necessary to preserve and protect the security interests of the Borrower, the Administrative Agent, the Secured Parties and the Custodian in the Receivables, including any action specified in any Opinion of Counsel delivered to the Servicer.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(j)</w:t>
      </w:r>
    </w:p>
    <w:p>
      <w:pPr>
        <w:pStyle w:val="TextBody"/>
        <w:bidi w:val="0"/>
        <w:spacing w:before="0" w:after="240"/>
        <w:jc w:val="both"/>
        <w:rPr/>
      </w:pPr>
      <w:r>
        <w:rPr>
          <w:rFonts w:ascii="Times New Roman" w:hAnsi="Times New Roman"/>
          <w:color w:val="000000"/>
          <w:sz w:val="24"/>
          <w:u w:val="single"/>
        </w:rPr>
        <w:t>Realization on Financed Vehicles</w:t>
      </w:r>
      <w:r>
        <w:rPr>
          <w:rFonts w:ascii="Times New Roman" w:hAnsi="Times New Roman"/>
          <w:color w:val="000000"/>
          <w:sz w:val="24"/>
        </w:rPr>
        <w:t xml:space="preserve">. The Servicer warrants, represents and covenants that in the event that the Servicer realizes upon any Financed Vehicle, the methods utilized by the Servicer to realize upon such Receivable or otherwise enforce any provisions of such Receivable, will not subject the Servicer, the Borrower, the Administrative Agent, any Agent, the Backup Servicer, the Account Bank or the Custodian to liability under any federal, State or local law, and </w:t>
      </w:r>
    </w:p>
    <w:p>
      <w:pPr>
        <w:pStyle w:val="TextBody"/>
        <w:bidi w:val="0"/>
        <w:jc w:val="center"/>
        <w:rPr>
          <w:rFonts w:ascii="Times New Roman" w:hAnsi="Times New Roman"/>
          <w:color w:val="000000"/>
          <w:sz w:val="24"/>
        </w:rPr>
      </w:pPr>
      <w:r>
        <w:rPr>
          <w:rFonts w:ascii="Times New Roman" w:hAnsi="Times New Roman"/>
          <w:color w:val="000000"/>
          <w:sz w:val="24"/>
        </w:rPr>
        <w:t>103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that such enforcement by the Servicer will be conducted in accordance with the provisions of this Agreement, the Credit and Collection Policy and Applicable Law.</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(k)</w:t>
      </w:r>
    </w:p>
    <w:p>
      <w:pPr>
        <w:pStyle w:val="TextBody"/>
        <w:bidi w:val="0"/>
        <w:spacing w:before="0" w:after="240"/>
        <w:jc w:val="both"/>
        <w:rPr/>
      </w:pPr>
      <w:r>
        <w:rPr>
          <w:rFonts w:ascii="Times New Roman" w:hAnsi="Times New Roman"/>
          <w:color w:val="000000"/>
          <w:sz w:val="24"/>
          <w:u w:val="single"/>
        </w:rPr>
        <w:t>Recordkeeping</w:t>
      </w:r>
      <w:r>
        <w:rPr>
          <w:rFonts w:ascii="Times New Roman" w:hAnsi="Times New Roman"/>
          <w:color w:val="000000"/>
          <w:sz w:val="24"/>
        </w:rPr>
        <w:t>. The Servicer shall:</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maintain legible copies (in electronic or hard-copy form, in the discretion of the Servicer) or originals of all documents in its Servicer File with respect to each Receivable and the Financed Vehicle related thereto; and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keep books and records, satisfactory to the Administrative Agent, pertaining to each Receivable and shall make periodic reports in accordance with this Agreement; such records may not be destroyed or otherwise disposed of except as provided herein and as allowed by Applicable Law, all documents, whether developed or originated by the Servicer or not, reasonably required to document or to properly administer any Receivable shall remain at all times the property of the Borrower and shall be held in trust by the Servicer; the Servicer shall not acquire any property rights with respect to such records, and shall not have the right to possession of them except as subject to the conditions stated in this Agreement; and the Servicer shall bear the entire cost of restoration in the event any Servicer File shall become damaged, lost or destroyed while in the Servicer’s possession or control.</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7.04. </w:t>
      </w:r>
    </w:p>
    <w:p>
      <w:pPr>
        <w:pStyle w:val="TextBody"/>
        <w:bidi w:val="0"/>
        <w:spacing w:before="0" w:after="240"/>
        <w:jc w:val="both"/>
        <w:rPr/>
      </w:pPr>
      <w:r>
        <w:rPr>
          <w:rFonts w:ascii="Times New Roman" w:hAnsi="Times New Roman"/>
          <w:color w:val="000000"/>
          <w:sz w:val="24"/>
          <w:u w:val="single"/>
        </w:rPr>
        <w:t>Collection of Payments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u w:val="single"/>
        </w:rPr>
        <w:t>Payments to the Post Office Boxes</w:t>
      </w:r>
      <w:r>
        <w:rPr>
          <w:rFonts w:ascii="Times New Roman" w:hAnsi="Times New Roman"/>
          <w:color w:val="000000"/>
          <w:sz w:val="24"/>
        </w:rPr>
        <w:t>. On or before the Closing Date with respect to the Existing Receivables, and on or before the relevant Funding Date with respect to the Subsequent Receivables, the Servicer shall have instructed all related Obligors to make all payments in respect of the related Receivables directly to the Post Office Boxes, and all such payments will be deposited into the Collection Account within two Business Days of receipt.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Establishment of the Collection Account and the Local Bank Account</w:t>
      </w:r>
      <w:r>
        <w:rPr>
          <w:rFonts w:ascii="Times New Roman" w:hAnsi="Times New Roman"/>
          <w:color w:val="000000"/>
          <w:sz w:val="24"/>
        </w:rPr>
        <w:t xml:space="preserve">. The Servicer shall cause to be established, on or before the Closing Date, and maintain in the name of the Borrower, for the benefit of the Secured Parties, with a Qualified Institution which shall initially be the Account Bank, the Collection Account over which the Administrative Agent shall have sole dominion and control and from which neither UACC nor the Borrower shall have any right of withdrawal, except as otherwise set forth in the Account Control Agreement. The Borrower will be required to pay all reasonable fees and expenses owing to any bank or trust company in connection with the maintenance of the Collection Account for its own account and shall not be entitled to any payment therefor. The Servicer shall maintain in its name for the benefit of the Secured Parties the Local Bank Account which shall be under the dominion and control of [***] under, and shall be subject to, the Intercreditor Agreement and the Intercreditor Party Supplement.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pPr>
      <w:r>
        <w:rPr>
          <w:rFonts w:ascii="Times New Roman" w:hAnsi="Times New Roman"/>
          <w:color w:val="000000"/>
          <w:sz w:val="24"/>
          <w:u w:val="single"/>
        </w:rPr>
        <w:t>Adjustments</w:t>
      </w:r>
      <w:r>
        <w:rPr>
          <w:rFonts w:ascii="Times New Roman" w:hAnsi="Times New Roman"/>
          <w:color w:val="000000"/>
          <w:sz w:val="24"/>
        </w:rPr>
        <w:t xml:space="preserve">. If the Servicer makes (i) a deposit into the Collection Account in respect of a collection of a Receivable and such collection was received by the Servicer in the form of a check that is not honored for any reason, (ii) a mistake with respect to the amount of any collection and deposits an amount that is less than or more than the actual amount of such collection or (iii) is entitled to reimbursement of any ancillary fees in accordance with Section </w:t>
      </w:r>
    </w:p>
    <w:p>
      <w:pPr>
        <w:pStyle w:val="TextBody"/>
        <w:bidi w:val="0"/>
        <w:jc w:val="center"/>
        <w:rPr>
          <w:rFonts w:ascii="Times New Roman" w:hAnsi="Times New Roman"/>
          <w:color w:val="000000"/>
          <w:sz w:val="24"/>
        </w:rPr>
      </w:pPr>
      <w:r>
        <w:rPr>
          <w:rFonts w:ascii="Times New Roman" w:hAnsi="Times New Roman"/>
          <w:color w:val="000000"/>
          <w:sz w:val="24"/>
        </w:rPr>
        <w:t>104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7.02, the Servicer shall appropriately adjust the amount subsequently deposited into the Collection Account to reflect such dishonored check, mistake or reimbursement. Any Scheduled Payment in respect of which a dishonored check is received shall be deemed not to have been paid.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7.05. </w:t>
      </w:r>
    </w:p>
    <w:p>
      <w:pPr>
        <w:pStyle w:val="TextBody"/>
        <w:bidi w:val="0"/>
        <w:spacing w:before="0" w:after="240"/>
        <w:jc w:val="both"/>
        <w:rPr/>
      </w:pPr>
      <w:r>
        <w:rPr>
          <w:rFonts w:ascii="Times New Roman" w:hAnsi="Times New Roman"/>
          <w:color w:val="000000"/>
          <w:sz w:val="24"/>
          <w:u w:val="single"/>
        </w:rPr>
        <w:t>Payment of Certain Expenses by Servicer</w:t>
      </w:r>
      <w:r>
        <w:rPr>
          <w:rFonts w:ascii="Times New Roman" w:hAnsi="Times New Roman"/>
          <w:color w:val="000000"/>
          <w:sz w:val="24"/>
        </w:rPr>
        <w:t>. Except for such amounts and expenses the Servicer is entitled to reimbursement as provided for herein, the initial Servicer will be required to pay all expenses incurred by it in connection with its activities under this Agreement, including the fees and disbursements of independent certified public accountants, Taxes imposed on the Servicer, expenses incurred in connection with payments and reports pursuant to this Agreement, fees and expenses of subservicers and agents of the Servicer and all other fees and expenses not expressly stated under this Agreement for the account of the Borrower. The initial Servicer will be required to pay all reasonable fees and expenses owing to any bank or trust company in connection with the maintenance of the Collection Account. The initial Servicer shall be required to pay such expenses for its own account and shall not be entitled to any payment therefor other than the Servicing Fee.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7.06. </w:t>
      </w:r>
    </w:p>
    <w:p>
      <w:pPr>
        <w:pStyle w:val="TextBody"/>
        <w:bidi w:val="0"/>
        <w:spacing w:before="0" w:after="240"/>
        <w:jc w:val="both"/>
        <w:rPr/>
      </w:pPr>
      <w:r>
        <w:rPr>
          <w:rFonts w:ascii="Times New Roman" w:hAnsi="Times New Roman"/>
          <w:color w:val="000000"/>
          <w:sz w:val="24"/>
          <w:u w:val="single"/>
        </w:rPr>
        <w:t>Reports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u w:val="single"/>
        </w:rPr>
        <w:t>Monthly Reports</w:t>
      </w:r>
      <w:r>
        <w:rPr>
          <w:rFonts w:ascii="Times New Roman" w:hAnsi="Times New Roman"/>
          <w:color w:val="000000"/>
          <w:sz w:val="24"/>
        </w:rPr>
        <w:t>. On each Reporting Date, the Servicer will provide to the Borrower, the Administrative Agent, each Agent, the Backup Servicer, the Account Bank and each Hedge Counterparty a Monthly Report.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Quarterly Report</w:t>
      </w:r>
      <w:r>
        <w:rPr>
          <w:rFonts w:ascii="Times New Roman" w:hAnsi="Times New Roman"/>
          <w:color w:val="000000"/>
          <w:sz w:val="24"/>
        </w:rPr>
        <w:t xml:space="preserve">. At the request of the Administrative Agent for purposes of achieving favorable capital treatment under Basel II or Basel III, the Servicer will provide to the Administrative Agent upon request, but in no event less frequently than upon the Determination Dates occurring in February, May, August and November, a Quarterly Report. Additionally, no more frequently than once every fiscal quarter of the Servicer, at the request of the Administrative Agent and solely to the extent such data is available to the Servicer, the Servicer will provide to the Administrative Agent a report with data regarding the characteristics of the Receivables, in form and substance reasonably acceptable to the Administrative Agent, including (i) delinquencies, (ii) loss-to-liquidation ratios and (iii) annualized losses on the Serviced Portfolio, presented on a quarterly basis.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7.07. </w:t>
      </w:r>
    </w:p>
    <w:p>
      <w:pPr>
        <w:pStyle w:val="TextBody"/>
        <w:bidi w:val="0"/>
        <w:spacing w:before="0" w:after="240"/>
        <w:jc w:val="both"/>
        <w:rPr/>
      </w:pPr>
      <w:r>
        <w:rPr>
          <w:rFonts w:ascii="Times New Roman" w:hAnsi="Times New Roman"/>
          <w:color w:val="000000"/>
          <w:sz w:val="24"/>
          <w:u w:val="single"/>
        </w:rPr>
        <w:t>Due Diligence</w:t>
      </w:r>
      <w:r>
        <w:rPr>
          <w:rFonts w:ascii="Times New Roman" w:hAnsi="Times New Roman"/>
          <w:color w:val="000000"/>
          <w:sz w:val="24"/>
        </w:rPr>
        <w:t xml:space="preserve">. Twice each calendar year, beginning with 2014, at such times during normal business hours as are reasonably convenient to the Borrower or the Servicer, as the case may be, at the sole cost and expense of the Servicer (provided that such costs and expenses shall be limited to $[***] per annum) and upon reasonable request of the Administrative Agent and prior written notice to the Borrower or the Servicer, as the case may be, the Borrower or the Servicer, as the case may be, shall permit such Person or Persons as the Administrative Agent may designate to conduct, on behalf of all of them, audits or to visit and inspect any of the properties of the Borrower or the Servicer (including any Subservicer) where the Receivable Files are located, as the case may be, to examine the Receivable Files, internal controls and procedures maintained by the Borrower or Servicer, as the case may be, and take copies and extracts therefrom, and to discuss the affairs of the Borrower and the Servicer (including any Subservicer) with their respective officers and employees (which employees, except after the occurrence and during the continuation of a Termination Event, Unmatured Termination Event or Servicer Termination Event, shall be designated by the Borrower or the Servicer, as the case may be) and, </w:t>
      </w:r>
    </w:p>
    <w:p>
      <w:pPr>
        <w:pStyle w:val="TextBody"/>
        <w:bidi w:val="0"/>
        <w:jc w:val="center"/>
        <w:rPr>
          <w:rFonts w:ascii="Times New Roman" w:hAnsi="Times New Roman"/>
          <w:color w:val="000000"/>
          <w:sz w:val="24"/>
        </w:rPr>
      </w:pPr>
      <w:r>
        <w:rPr>
          <w:rFonts w:ascii="Times New Roman" w:hAnsi="Times New Roman"/>
          <w:color w:val="000000"/>
          <w:sz w:val="24"/>
        </w:rPr>
        <w:t>105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 xml:space="preserve">upon written notice to the Borrower or the Servicer, as the case may be, independent accountants; </w:t>
      </w:r>
      <w:r>
        <w:rPr>
          <w:rFonts w:ascii="Times New Roman" w:hAnsi="Times New Roman"/>
          <w:color w:val="000000"/>
          <w:sz w:val="24"/>
          <w:u w:val="single"/>
        </w:rPr>
        <w:t>provided</w:t>
      </w:r>
      <w:r>
        <w:rPr>
          <w:rFonts w:ascii="Times New Roman" w:hAnsi="Times New Roman"/>
          <w:color w:val="000000"/>
          <w:sz w:val="24"/>
        </w:rPr>
        <w:t>, further, that after the occurrence and during the continuation of a Termination Event, Unmatured Termination Event or Servicer Termination Event, the Administrative Agent or its representatives shall be permitted to take the foregoing actions without being subject to any limitation on the number of audits, visits or inspections that may be conducted during a calendar year and such audits, visits or inspections shall be at the sole cost and expense of the Servicer; provided, that the Administrative Agent and its representatives shall make reasonable efforts to coordinate, and provide 30 days’ prior written notice of, such audits, visits and inspections. The Borrower or the Servicer, as the case may be, hereby authorizes such officers, employees and independent accountants (and the Servicer shall cause each Subservicer to authorize such officers, employees and independent accountants) to discuss with the Administrative Agent and its representatives, the affairs of the Borrower or the Servicer, as the case may be. The Servicer shall reimburse the Administrative Agent for all reasonable fees, costs and expenses incurred by or on behalf of the Administrative Agent and the Secured Parties in connection with the foregoing actions promptly upon receipt of a written invoice therefor. Any audit provided for herein shall be conducted in accordance with the rules of the Borrower and Servicer respecting safety and security on its premises and without materially disrupting operations. Nothing in this subsection shall affect the obligation of the Servicer to observe any Applicable Law prohibiting the disclosure of information regarding the Obligors, and the failure of the Servicer to provide access to information as a result of such obligation shall not constitute a breach of this subsection. In addition to the due diligence reviews specified above, the Backup Servicer may, subject to all terms and conditions specified in this subsection, conduct its own periodic due diligence reviews, at the sole cost and expense of the Servicer (provided that such costs and expenses shall be limited to a maximum of $[***] per visit in the case of any due diligence review done at the request of the Backup Servicer prior to the occurrence and continuance of a Servicer Termination Event or the Termination Date, and thereafter, without such cost and expense cap).</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7.08. </w:t>
      </w:r>
    </w:p>
    <w:p>
      <w:pPr>
        <w:pStyle w:val="TextBody"/>
        <w:bidi w:val="0"/>
        <w:spacing w:before="0" w:after="240"/>
        <w:jc w:val="both"/>
        <w:rPr/>
      </w:pPr>
      <w:r>
        <w:rPr>
          <w:rFonts w:ascii="Times New Roman" w:hAnsi="Times New Roman"/>
          <w:color w:val="000000"/>
          <w:sz w:val="24"/>
          <w:u w:val="single"/>
        </w:rPr>
        <w:t>Annual Statement as to Compliance</w:t>
      </w:r>
      <w:r>
        <w:rPr>
          <w:rFonts w:ascii="Times New Roman" w:hAnsi="Times New Roman"/>
          <w:color w:val="000000"/>
          <w:sz w:val="24"/>
        </w:rPr>
        <w:t>. The Servicer shall deliver to the Administrative Agent and each Agent, on or before April 30</w:t>
      </w:r>
      <w:r>
        <w:rPr>
          <w:rFonts w:ascii="Times New Roman" w:hAnsi="Times New Roman"/>
          <w:color w:val="000000"/>
          <w:sz w:val="16"/>
        </w:rPr>
        <w:t>th</w:t>
      </w:r>
      <w:r>
        <w:rPr>
          <w:color w:val="000000"/>
        </w:rPr>
        <w:t xml:space="preserve"> </w:t>
      </w:r>
      <w:r>
        <w:rPr>
          <w:rFonts w:ascii="Times New Roman" w:hAnsi="Times New Roman"/>
          <w:color w:val="000000"/>
          <w:sz w:val="24"/>
        </w:rPr>
        <w:t>of each year, beginning in 2014, an Officer’s Certificate, dated as of the preceding December 31</w:t>
      </w:r>
      <w:r>
        <w:rPr>
          <w:rFonts w:ascii="Times New Roman" w:hAnsi="Times New Roman"/>
          <w:color w:val="000000"/>
          <w:sz w:val="16"/>
        </w:rPr>
        <w:t>st</w:t>
      </w:r>
      <w:r>
        <w:rPr>
          <w:rFonts w:ascii="Times New Roman" w:hAnsi="Times New Roman"/>
          <w:color w:val="000000"/>
          <w:sz w:val="24"/>
        </w:rPr>
        <w:t>, stating that (i) a review of the activities of the Servicer during the preceding 12-month period (or since the Closing Date in the case of the first such Officer’s Certificate) and of its performance under this Agreement has been made under such officer’s supervision and (ii) to the best of such officer’s knowledge, based on such review, the Servicer has fulfilled all its obligations under this Agreement throughout such year (or such shorter period in the case of the first such Officer’s Certificate), or, if there has been a default in the fulfillment of any such obligation, specifying each such default known to such officer and the nature and status thereof. Notwithstanding the foregoing, to the extent that in connection with public or private offerings of automobile receivable-backed securities by UACC or any Affiliate thereof, Regulation AB under the Securities Act requires the delivery by servicers of an annual report on an assessment of servicing compliance on the basis of detailed servicing criteria or other report, the delivery of a copy of such report by the Servicer to the Administrative Agent shall be deemed to satisfy the provisions of this subsection.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7.09. </w:t>
      </w:r>
    </w:p>
    <w:p>
      <w:pPr>
        <w:pStyle w:val="TextBody"/>
        <w:bidi w:val="0"/>
        <w:spacing w:before="0" w:after="240"/>
        <w:jc w:val="both"/>
        <w:rPr/>
      </w:pPr>
      <w:r>
        <w:rPr>
          <w:rFonts w:ascii="Times New Roman" w:hAnsi="Times New Roman"/>
          <w:color w:val="000000"/>
          <w:sz w:val="24"/>
          <w:u w:val="single"/>
        </w:rPr>
        <w:t>Annual Independent Public Accountant’s Reports</w:t>
      </w:r>
      <w:r>
        <w:rPr>
          <w:rFonts w:ascii="Times New Roman" w:hAnsi="Times New Roman"/>
          <w:color w:val="000000"/>
          <w:sz w:val="24"/>
        </w:rPr>
        <w:t>. To the extent prepared on behalf of the Servicer in connection with the public offering of securities backed by or relating to automobile receivables, the Servicer will deliver to the Administrative Agent and each Agent, on or before April 30</w:t>
      </w:r>
      <w:r>
        <w:rPr>
          <w:rFonts w:ascii="Times New Roman" w:hAnsi="Times New Roman"/>
          <w:color w:val="000000"/>
          <w:sz w:val="16"/>
        </w:rPr>
        <w:t>th</w:t>
      </w:r>
      <w:r>
        <w:rPr>
          <w:color w:val="000000"/>
        </w:rPr>
        <w:t xml:space="preserve"> </w:t>
      </w:r>
      <w:r>
        <w:rPr>
          <w:rFonts w:ascii="Times New Roman" w:hAnsi="Times New Roman"/>
          <w:color w:val="000000"/>
          <w:sz w:val="24"/>
        </w:rPr>
        <w:t xml:space="preserve">of each year beginning in 2014, a copy of a report prepared by a firm of </w:t>
      </w:r>
    </w:p>
    <w:p>
      <w:pPr>
        <w:pStyle w:val="TextBody"/>
        <w:bidi w:val="0"/>
        <w:jc w:val="center"/>
        <w:rPr>
          <w:rFonts w:ascii="Times New Roman" w:hAnsi="Times New Roman"/>
          <w:color w:val="000000"/>
          <w:sz w:val="24"/>
        </w:rPr>
      </w:pPr>
      <w:r>
        <w:rPr>
          <w:rFonts w:ascii="Times New Roman" w:hAnsi="Times New Roman"/>
          <w:color w:val="000000"/>
          <w:sz w:val="24"/>
        </w:rPr>
        <w:t>106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independent certified public accountants, who may also render other services to the Servicer or any of its Affiliates, addressed to the Board of Directors of the Servicer or any of its Affiliates, and the Administrative Agent and dated during the current year, to the effect that such firm has examined the Servicer’s policies and procedures and issued its report thereon and expressing a summary of findings (based on certain procedures performed on the documents, records and accounting records that such accountants considered appropriate under the circumstances) relating to the servicing of the Receivables and the administration of the Receivables (including the preparation of the Monthly Reports) during the preceding calendar year (or such longer period in the case of the first sale report) and that such servicing and administration was conducted in compliance with the terms of this Agreement, except for (i) such exceptions as such firm shall believe to be immaterial and (ii) such other exceptions as shall be set forth in such report and that such examination (a) was performed in accordance with standards established by the American Institute of Certified Public Accountants, and (b) included tests relating to auto loans serviced for others in accordance with the requirements of the Uniform Single Attestation Program for Mortgage Bankers, to the extent the procedures in such program are applicable to the servicing obligations set forth in this Agreement. Notwithstanding the foregoing, to the extent that in connection with public offerings by UACC or any Affiliate thereof, Regulation AB under the Securities Act requires the delivery of an annual attestation of a firm of independent public accountants with respect to the assessment of servicing compliance with specified servicing criteria of the Servicer stating, among other things, that the Servicer’s assertion of compliance with the specified servicing criteria is fairly stated in all material respects, or the reason why such an opinion cannot be expressed, the delivery of a copy of such an attestation to the Administrative Agent shall be deemed to satisfy the provisions of this 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such independent certified public accountants require the Custodian, the Account Bank or the Backup Servicer to agree to the procedures to be performed by such firm in any of the reports required to be prepared pursuant to this Section, the Servicer shall direct the Custodian, the Account Bank or the Backup Servicer in writing to so agree; it being understood and agreed that the Custodian, the Account Bank or the Backup Servicer will deliver such letter of agreement in conclusive reliance upon the direction of the Servicer, and the Custodian, the Account Bank and the Backup Servicer have not made any independent inquiry or investigation as to, and shall have no obligation or liability in respect of, the sufficiency, validity or correctness of such procedures.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report shall also indicate that the firm is “Independent” of the Servicer and its Affiliates within the meaning of the Code of Professional Ethics of the American Institute of Certified Public Accountants.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7.10. </w:t>
      </w:r>
    </w:p>
    <w:p>
      <w:pPr>
        <w:pStyle w:val="TextBody"/>
        <w:bidi w:val="0"/>
        <w:spacing w:before="0" w:after="240"/>
        <w:jc w:val="both"/>
        <w:rPr/>
      </w:pPr>
      <w:r>
        <w:rPr>
          <w:rFonts w:ascii="Times New Roman" w:hAnsi="Times New Roman"/>
          <w:color w:val="000000"/>
          <w:sz w:val="24"/>
          <w:u w:val="single"/>
        </w:rPr>
        <w:t>Rights Prior to Assumption of Duties by the Backup Servicer or Designation of Successor Servicer</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or before each Reporting Date, the Servicer shall deliver to the Backup Servicer an electronic file containing all information necessary to carry out any servicing obligations under this Agreement, sufficient to allow the Backup Servicer to review the Monthly Report related thereto and determine (i) that such Monthly Report is in readable form (ii) based solely on a recalculation of the Monthly Report, the Borrowing Base as of the related Reporting Date (calculated as of the related Determination Date, or, with respect to Receivables added to the </w:t>
      </w:r>
    </w:p>
    <w:p>
      <w:pPr>
        <w:pStyle w:val="TextBody"/>
        <w:bidi w:val="0"/>
        <w:jc w:val="center"/>
        <w:rPr>
          <w:rFonts w:ascii="Times New Roman" w:hAnsi="Times New Roman"/>
          <w:color w:val="000000"/>
          <w:sz w:val="24"/>
        </w:rPr>
      </w:pPr>
      <w:r>
        <w:rPr>
          <w:rFonts w:ascii="Times New Roman" w:hAnsi="Times New Roman"/>
          <w:color w:val="000000"/>
          <w:sz w:val="24"/>
        </w:rPr>
        <w:t>107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Collateral following such Determination Date, but prior to the date of such Monthly Report, the related Cutoff Date), and (iii) based on the records of the Account Bank, confirm (A) that the amounts to be withdrawn pursuant to Section 2.08 from the Collection Account for the related Payment Date and (B) the balance of the Collection Account as of the related Determination Date are the same as the amounts set forth in the Monthly Report. The Backup Servicer shall, within five Business Days of each Reporting Date, load the electronic file received from the Servicer, confirm such computer tape or diskette is in readable form and use the electronic file to verify (i) the aggregate Principal Balance of all Receivables as of the related Determination Date, and (ii) the Excess Concentration Amount, as set forth in the Monthly Report. In the event of any discrepancy between the information set forth in the two foregoing sentences, as calculated by the Servicer, from that determined or calculated by the Backup Servicer, the Backup Servicer shall promptly notify the Servicer. Notwithstanding the foregoing, if the electronic file or the Monthly Report does not contain sufficient information for the Backup Servicer to perform any action hereunder, the Backup Servicer shall promptly notify the Servicer of any additional information to be delivered by the Servicer to the Backup Servicer, and the Backup Servicer and the Servicer shall mutually agree upon the form thereof; provided, however, that the Backup Servicer shall not be liable for any delay in the performance of any action hereunder resulting from its failure to receive in a timely manner such additional information from the Servicer.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may request in writing, up to four times per calendar year, that the Servicer use commercially reasonable efforts to promptly deliver to the Backup Servicer the Test Data File, in a format acceptable to the Backup Servicer; provided, that if a Level II Overcollateralization Increase Event or Level III Overcollateralization Increase Event shall have occurred and is continuing, the Administrative Agent may make such request at any time. The Backup Servicer and the Servicer will agree upon the file layout and electronic medium to transfer such data to the Backup Servicer. The Backup Servicer shall confirm to the Servicer and the Administrative Agent in writing that the Test Data File is in the correct format or if any changes or modifications are necessary. The Backup Servicer shall convert the Test Data File to its internal servicing system, and confirm in writing to the Servicer and the Administrative Agent that it has received and verified the completeness of the Test Data File within 90 days of receipt of such Test Data File; provided, however, that such confirmation shall not be deemed to apply to the accuracy of the Test Data File data as provided by the Servicer, but shall be deemed only to apply to the accuracy of the conversion of the Test Data Files to the Backup Servicer’s internal systems. The cost of loading the Test Data File will be paid by the Servicer and, to the extent not paid, will be paid in accordance with Section 2.08(ii).</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than as specifically set forth elsewhere in this Agreement, the Backup Servicer shall have no obligation to supervise, verify, monitor or administer the performance of the Servicer and shall have no duty, responsibility, obligation or liability for any action taken or omitted by the Servicer.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Backup Servicer shall consult with the Servicer as may be necessary from time to time to perform or carry out the Backup Servicer’s obligations hereunder, including the obligation, if requested in writing by the Administrative Agent, to succeed to the duties and obligations of the Servicer pursuant hereto.</w:t>
      </w:r>
    </w:p>
    <w:p>
      <w:pPr>
        <w:pStyle w:val="TextBody"/>
        <w:bidi w:val="0"/>
        <w:jc w:val="center"/>
        <w:rPr>
          <w:rFonts w:ascii="Times New Roman" w:hAnsi="Times New Roman"/>
          <w:color w:val="000000"/>
          <w:sz w:val="24"/>
        </w:rPr>
      </w:pPr>
      <w:r>
        <w:rPr>
          <w:rFonts w:ascii="Times New Roman" w:hAnsi="Times New Roman"/>
          <w:color w:val="000000"/>
          <w:sz w:val="24"/>
        </w:rPr>
        <w:t>108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pPr>
      <w:r>
        <w:rPr>
          <w:rFonts w:ascii="Times New Roman" w:hAnsi="Times New Roman"/>
          <w:color w:val="000000"/>
          <w:sz w:val="24"/>
        </w:rPr>
        <w:t>Except as provided in this Agreement, the Backup Servicer may accept and reasonably rely on all accounting, records and work of the Servicer without audit, and the Backup Servicer shall have no duty, responsibility, obligation or liability for the acts or omissions of the Servicer. If any error, inaccuracy or omission (collectively, “</w:t>
      </w:r>
      <w:r>
        <w:rPr>
          <w:rFonts w:ascii="Times New Roman" w:hAnsi="Times New Roman"/>
          <w:color w:val="000000"/>
          <w:sz w:val="24"/>
          <w:u w:val="single"/>
        </w:rPr>
        <w:t>Errors</w:t>
      </w:r>
      <w:r>
        <w:rPr>
          <w:color w:val="000000"/>
        </w:rPr>
        <w:t>”</w:t>
      </w:r>
      <w:r>
        <w:rPr>
          <w:rFonts w:ascii="Times New Roman" w:hAnsi="Times New Roman"/>
          <w:color w:val="000000"/>
          <w:sz w:val="24"/>
        </w:rPr>
        <w:t>) exists in any information received from the Servicer, and such Errors should cause or materially contribute to the Backup Servicer making or continuing any Errors (collectively, “</w:t>
      </w:r>
      <w:r>
        <w:rPr>
          <w:rFonts w:ascii="Times New Roman" w:hAnsi="Times New Roman"/>
          <w:color w:val="000000"/>
          <w:sz w:val="24"/>
          <w:u w:val="single"/>
        </w:rPr>
        <w:t>Continued Errors</w:t>
      </w:r>
      <w:r>
        <w:rPr>
          <w:color w:val="000000"/>
        </w:rPr>
        <w:t>”</w:t>
      </w:r>
      <w:r>
        <w:rPr>
          <w:rFonts w:ascii="Times New Roman" w:hAnsi="Times New Roman"/>
          <w:color w:val="000000"/>
          <w:sz w:val="24"/>
        </w:rPr>
        <w:t>), the Backup Servicer shall have no duty, responsibility, obligation or liability for such Continued Errors; provided, however, that this provision shall not protect the Backup Servicer against any duty, responsibility, obligation or liability which would otherwise be imposed by reason of willful misconduct, bad faith or gross negligence in discovering or correcting any Error or in the performance of its or their duties under this Agreement. In the event the Backup Servicer becomes aware of Errors or Continued Errors, the Backup Servicer shall, with the prior consent of the Administrative Agent, use its best efforts to reconstruct and reconcile such data as is commercially reasonable to correct such Errors and Continued Errors and prevent future Continued Errors. The Backup Servicer shall be entitled to recover its costs thereby expended from the Servicer (or, to the extent not paid by the Servicer, in accordance with Section 2.08).</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Backup Servicer shall be indemnified by the Servicer and the Borrower from and against all claims, damages, losses or expenses reasonably incurred by the Backup Servicer (including reasonable attorneys’ fees) arising out of claims asserted against the Backup Servicer by third parties on any matter arising out of this Agreement to the extent the act or omission giving rise to the claim accrues before the date on which the Backup Servicer assumes the duties of Servicer hereunder, except for any claims, damages, losses or expenses arising from the Backup Servicer’s own gross negligence, bad faith or willful misconduct. Payments in respect of any indemnity by the Borrower shall be paid, to the extent of funds available therefor, in accordance with the priorities set forth in Section 2.08. Notwithstanding the foregoing, if a successor to the Backup Servicer is appointed hereunder, then the Servicer and the Borrower shall have no obligations to indemnify the successor Backup Servicer except to the extent that the Servicer and the Borrower have consented, in their reasonable discretion, to the selection of the successor Backup Servicer.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7.11. </w:t>
      </w:r>
    </w:p>
    <w:p>
      <w:pPr>
        <w:pStyle w:val="TextBody"/>
        <w:bidi w:val="0"/>
        <w:spacing w:before="0" w:after="240"/>
        <w:jc w:val="both"/>
        <w:rPr/>
      </w:pPr>
      <w:r>
        <w:rPr>
          <w:rFonts w:ascii="Times New Roman" w:hAnsi="Times New Roman"/>
          <w:color w:val="000000"/>
          <w:sz w:val="24"/>
          <w:u w:val="single"/>
        </w:rPr>
        <w:t>Rights After Assumption of Duties by Backup Servicer or Designation of Successor Servicer; Liability</w:t>
      </w:r>
      <w:r>
        <w:rPr>
          <w:rFonts w:ascii="Times New Roman" w:hAnsi="Times New Roman"/>
          <w:color w:val="000000"/>
          <w:sz w:val="24"/>
        </w:rPr>
        <w:t>. At any time following the assumption of the duties of the Servicer by a Backup Servicer or the designation of a Successor Servicer pursuant to Section 7.14 as a result of the occurrence of a Servicer Termination Event: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on behalf of the Borrower, shall, at the Administrative Agent’s request, (i) assemble all of the records relating to the Collateral, including all Receivable Files, and shall make the same available to the Administrative Agent, the Backup Servicer or any other Successor Servicer at a place selected by the Administrative Agent or, with the Administrative Agent’s prior written consent, by the Backup Servicer or such other Successor Servicer, and (ii) segregate all cash, checks and other instruments received by it from time to time constituting collections of Collateral in a manner acceptable to the Administrative Agent and shall, promptly upon receipt but no later than two Business Days after receipt, remit all such cash, checks and instruments, duly endorsed or with duly executed instruments of transfer to, or at the direction of, the Administrative Agent.</w:t>
      </w:r>
    </w:p>
    <w:p>
      <w:pPr>
        <w:pStyle w:val="TextBody"/>
        <w:bidi w:val="0"/>
        <w:jc w:val="center"/>
        <w:rPr>
          <w:rFonts w:ascii="Times New Roman" w:hAnsi="Times New Roman"/>
          <w:color w:val="000000"/>
          <w:sz w:val="24"/>
        </w:rPr>
      </w:pPr>
      <w:r>
        <w:rPr>
          <w:rFonts w:ascii="Times New Roman" w:hAnsi="Times New Roman"/>
          <w:color w:val="000000"/>
          <w:sz w:val="24"/>
        </w:rPr>
        <w:t>109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authorizes the Administrative Agent to take or cause to be taken any and all steps in the Borrower’s name and on behalf of the Borrower necessary or desirable, in the determination of the Administrative Agent, to collect all amounts due under the Collateral, including endorsing the Borrower’s name on checks and other instruments representing Collections and enforcing the Receivables.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Backup Servicer shall be liable in accordance herewith only to the extent of the obligations specifically undertaken by the Backup Servicer in such capacity herein. Such liability is limited to only those actions taken or omitted to be taken by the Backup Servicer and caused through its gross negligence, bad faith or willful misconduct. No implied covenants or obligations shall be read into this Agreement against the Backup Servicer and, in the absence of bad faith on its part, the Backup Servicer may conclusively rely on the truth of the statements and the correctness of the opinions expressed in any certificates or opinions furnished to the Backup Servicer and conforming to the requirements of this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Backup Servicer shall not be charged with knowledge of any Termination Event or Unmatured Termination Event unless an officer of the Backup Servicer obtains actual knowledge of such event or the Backup Servicer receives written notice of such event from the Borrower, the Servicer or the Administrative Agent.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Backup Servicer shall not be required to expend or risk its own funds or otherwise incur financial liability in the performance of its duties hereunder, or in the exercise of any of its rights or powers, if the repayment of such funds or adequate indemnity against such risks or liability is not reasonably assured to it in writing prior to the expenditure of such funds or the incurrence of financial liability. Notwithstanding any provision to the contrary, the Backup Servicer, so long as it is not the Successor Servicer, shall not be liable for any obligation of the Servicer contained in this Agreement, and the parties shall look only to the Servicer to perform such obligations.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7.12. </w:t>
      </w:r>
    </w:p>
    <w:p>
      <w:pPr>
        <w:pStyle w:val="TextBody"/>
        <w:bidi w:val="0"/>
        <w:spacing w:before="0" w:after="240"/>
        <w:jc w:val="both"/>
        <w:rPr/>
      </w:pPr>
      <w:r>
        <w:rPr>
          <w:rFonts w:ascii="Times New Roman" w:hAnsi="Times New Roman"/>
          <w:color w:val="000000"/>
          <w:sz w:val="24"/>
          <w:u w:val="single"/>
        </w:rPr>
        <w:t>Limitation on Liability of the Servicer and Others</w:t>
      </w:r>
      <w:r>
        <w:rPr>
          <w:rFonts w:ascii="Times New Roman" w:hAnsi="Times New Roman"/>
          <w:color w:val="000000"/>
          <w:sz w:val="24"/>
        </w:rPr>
        <w:t>. Except as expressly provided herein, neither the Servicer nor any of its directors or officers or employees or agents shall be under any liability to the Secured Parties or any other Person for any action taken or for refraining from the taking of any action pursuant to this Agreement; provided, however, that this provision shall not protect the Servicer or any such Person against any liability that would otherwise be imposed by reason of its willful misfeasance, bad faith or negligence in the performance of duties or by reason of its willful misconduct hereunder.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7.13. </w:t>
      </w:r>
    </w:p>
    <w:p>
      <w:pPr>
        <w:pStyle w:val="TextBody"/>
        <w:bidi w:val="0"/>
        <w:spacing w:before="0" w:after="240"/>
        <w:jc w:val="both"/>
        <w:rPr/>
      </w:pPr>
      <w:r>
        <w:rPr>
          <w:rFonts w:ascii="Times New Roman" w:hAnsi="Times New Roman"/>
          <w:color w:val="000000"/>
          <w:sz w:val="24"/>
          <w:u w:val="single"/>
        </w:rPr>
        <w:t>The Servicer Not to Resign</w:t>
      </w:r>
      <w:r>
        <w:rPr>
          <w:rFonts w:ascii="Times New Roman" w:hAnsi="Times New Roman"/>
          <w:color w:val="000000"/>
          <w:sz w:val="24"/>
        </w:rPr>
        <w:t>. The Servicer shall resign only with the prior written consent of the Administrative Agent or if the Servicer provides an Opinion of Counsel to the Administrative Agent to the effect that such Servicer is no longer permitted by Applicable Law to act as Servicer hereunder. No termination or resignation of the Servicer hereunder shall be effective until a Successor Servicer, acceptable to the Administrative Agent has accepted its appointment as Successor Servicer hereunder and has agreed to be bound by the terms of this Agreement and the Receivable Files shall have been delivered to a successor Custodian.</w:t>
      </w:r>
    </w:p>
    <w:p>
      <w:pPr>
        <w:pStyle w:val="TextBody"/>
        <w:bidi w:val="0"/>
        <w:jc w:val="center"/>
        <w:rPr>
          <w:rFonts w:ascii="Times New Roman" w:hAnsi="Times New Roman"/>
          <w:color w:val="000000"/>
          <w:sz w:val="24"/>
        </w:rPr>
      </w:pPr>
      <w:r>
        <w:rPr>
          <w:rFonts w:ascii="Times New Roman" w:hAnsi="Times New Roman"/>
          <w:color w:val="000000"/>
          <w:sz w:val="24"/>
        </w:rPr>
        <w:t>110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7.14. </w:t>
      </w:r>
    </w:p>
    <w:p>
      <w:pPr>
        <w:pStyle w:val="TextBody"/>
        <w:bidi w:val="0"/>
        <w:spacing w:before="0" w:after="240"/>
        <w:jc w:val="both"/>
        <w:rPr/>
      </w:pPr>
      <w:r>
        <w:rPr>
          <w:rFonts w:ascii="Times New Roman" w:hAnsi="Times New Roman"/>
          <w:color w:val="000000"/>
          <w:sz w:val="24"/>
          <w:u w:val="single"/>
        </w:rPr>
        <w:t>Servicer Termination Events</w:t>
      </w:r>
      <w:r>
        <w:rPr>
          <w:rFonts w:ascii="Times New Roman" w:hAnsi="Times New Roman"/>
          <w:color w:val="000000"/>
          <w:sz w:val="24"/>
        </w:rPr>
        <w:t>. The occurrence and continuance of any one of the following events shall constitute a “Servicer Termination Event” hereunder: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Upon the occurrence of any of the foregoing, notwithstanding anything herein to the contrary, so long as any such Servicer Termination Event shall not have been remedied within any applicable cure period or waived in writing by the Administrative Agent, the Administrative Agent, by written notice to the Servicer (with a copy to each Hedge Counterparty, the Backup Servicer and the Custodian) (each, a “</w:t>
      </w:r>
      <w:r>
        <w:rPr>
          <w:rFonts w:ascii="Times New Roman" w:hAnsi="Times New Roman"/>
          <w:color w:val="000000"/>
          <w:sz w:val="24"/>
          <w:u w:val="single"/>
        </w:rPr>
        <w:t>Servicer Termination Notice</w:t>
      </w:r>
      <w:r>
        <w:rPr>
          <w:rFonts w:ascii="Times New Roman" w:hAnsi="Times New Roman"/>
          <w:color w:val="000000"/>
          <w:sz w:val="20"/>
        </w:rPr>
        <w:t>”</w:t>
      </w:r>
      <w:r>
        <w:rPr>
          <w:rFonts w:ascii="Times New Roman" w:hAnsi="Times New Roman"/>
          <w:color w:val="000000"/>
          <w:sz w:val="24"/>
        </w:rPr>
        <w:t>), may terminate all of the rights and obligations of the Servicer as Servicer under this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7.15. </w:t>
      </w:r>
    </w:p>
    <w:p>
      <w:pPr>
        <w:pStyle w:val="TextBody"/>
        <w:bidi w:val="0"/>
        <w:spacing w:before="0" w:after="240"/>
        <w:jc w:val="both"/>
        <w:rPr/>
      </w:pPr>
      <w:r>
        <w:rPr>
          <w:rFonts w:ascii="Times New Roman" w:hAnsi="Times New Roman"/>
          <w:color w:val="000000"/>
          <w:sz w:val="24"/>
          <w:u w:val="single"/>
        </w:rPr>
        <w:t>Appointment of Successor Servicer</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and after the receipt by the Servicer of a Servicer Termination Notice, the Servicer shall continue to perform all servicing functions under this Agreement until the date specified in the Servicer Termination Notice or otherwise specified by the Administrative Agent in writing or, if no such date is specified in such Servicer Termination Notice or otherwise specified by the Administrative Agent, until a date mutually agreed upon by the Servicer, the Backup Servicer and the Administrative Agent. The Administrative Agent may, in its discretion, at the time described in the immediately preceding sentence, appoint the Backup Servicer as the Successor Servicer hereunder, and the Backup Servicer shall on such date assume all duties and obligations of the Servicer hereunder, and all authority and power of the Servicer under this Agreement shall pass to and be vested in the Backup Servicer, except to the extent otherwise set forth herein.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rPr>
        <w:t>In the event that the Administrative Agent does not so appoint the Backup Servicer to succeed the Servicer as Servicer hereunder or the Backup Servicer is unable to assume such obligations on such date, the Administrative Agent shall as promptly as possible appoint a successor servicer (the “</w:t>
      </w:r>
      <w:r>
        <w:rPr>
          <w:rFonts w:ascii="Times New Roman" w:hAnsi="Times New Roman"/>
          <w:color w:val="000000"/>
          <w:sz w:val="24"/>
          <w:u w:val="single"/>
        </w:rPr>
        <w:t>Successor Servicer</w:t>
      </w:r>
      <w:r>
        <w:rPr>
          <w:color w:val="000000"/>
        </w:rPr>
        <w:t>”</w:t>
      </w:r>
      <w:r>
        <w:rPr>
          <w:rFonts w:ascii="Times New Roman" w:hAnsi="Times New Roman"/>
          <w:color w:val="000000"/>
          <w:sz w:val="24"/>
        </w:rPr>
        <w:t xml:space="preserve">), and such Successor Servicer shall accept its appointment by a written assumption in a form acceptable to the Administrative Agent. In the event that a Successor Servicer has not accepted its appointment at the time when the Servicer </w:t>
      </w:r>
    </w:p>
    <w:p>
      <w:pPr>
        <w:pStyle w:val="TextBody"/>
        <w:bidi w:val="0"/>
        <w:jc w:val="center"/>
        <w:rPr>
          <w:rFonts w:ascii="Times New Roman" w:hAnsi="Times New Roman"/>
          <w:color w:val="000000"/>
          <w:sz w:val="24"/>
        </w:rPr>
      </w:pPr>
      <w:r>
        <w:rPr>
          <w:rFonts w:ascii="Times New Roman" w:hAnsi="Times New Roman"/>
          <w:color w:val="000000"/>
          <w:sz w:val="24"/>
        </w:rPr>
        <w:t>111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ceases to act as Servicer, the Administrative Agent shall petition a court of competent jurisdiction to appoint any established financial institution having a net worth of not less than $50,000,000 and whose regular business includes the servicing of subprime automobile receivables as the Successor Servicer hereunder.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termination and removal of the Servicer, the predecessor Servicer shall cooperate with the Successor Servicer or the Backup Servicer, as applicable, in effecting the termination of the rights and responsibilities of the predecessor Servicer under this Agreement, including the transfer to the Backup Servicer or the Successor Servicer, as applicable, for administration by it of all cash amounts that shall at the time be held by the predecessor Servicer for deposit, or shall thereafter be received, with respect to a Receivable, and the related accounts and records maintained by the Servicer. In the case that the Backup Servicer or any other Successor Servicer shall not agree to perform any duties or obligations of the Servicer hereunder, such duties or obligations may be performed or delegated by the Administrative Agent.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have the same rights of removal and termination for cause with respect to the Backup Servicer or any other Successor Servicer as with respect to UACC as the Servicer.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pPr>
      <w:r>
        <w:rPr>
          <w:rFonts w:ascii="Times New Roman" w:hAnsi="Times New Roman"/>
          <w:color w:val="000000"/>
          <w:sz w:val="24"/>
        </w:rPr>
        <w:t>All reasonable out-of-pocket costs and expenses (including attorneys’ fees and disbursements) incurred in connection with the transferring of Receivables from the Servicer to the Successor Servicer or the Backup Servicer, as the case may be, converting the Servicer’s data to the computer system of the Successor Servicer or the Backup Servicer, as the case may be, and amending this Agreement to reflect such succession as Servicer pursuant to this Section shall be paid by the predecessor Servicer upon presentation of reasonable transition expenses not exceeding $[***] (the “</w:t>
      </w:r>
      <w:r>
        <w:rPr>
          <w:rFonts w:ascii="Times New Roman" w:hAnsi="Times New Roman"/>
          <w:color w:val="000000"/>
          <w:sz w:val="24"/>
          <w:u w:val="single"/>
        </w:rPr>
        <w:t>Transition Expenses</w:t>
      </w:r>
      <w:r>
        <w:rPr>
          <w:color w:val="000000"/>
        </w:rPr>
        <w:t>”</w:t>
      </w:r>
      <w:r>
        <w:rPr>
          <w:rFonts w:ascii="Times New Roman" w:hAnsi="Times New Roman"/>
          <w:color w:val="000000"/>
          <w:sz w:val="24"/>
        </w:rPr>
        <w:t xml:space="preserve">). In no event shall the Backup Servicer, if it becomes the Successor Servicer, be responsible for any Transition Expenses. If the predecessor Servicer fails to pay the Transition Expenses, the Transition Expenses shall be payable pursuant to Section 2.08(ii).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Upon its appointment and acceptance, the Backup Servicer (subject to Section 7.15(a)) or the Successor Servicer, as applicable, shall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to the Servicer shall be deemed to refer to the Backup Servicer or the Successor Servicer, as applicable; provided, however, that any Successor Servicer (including the Backup Servicer) shall have (i) no liability with respect to any obligation which was required to be performed by the predecessor Servicer prior to the date that the successor becomes the Successor Servicer or any claim of a third party based on any alleged action or inaction of the predecessor Servicer, (ii) no obligation to perform any repurchase, retransfer or advancing obligations, if any, of the Servicer, (iii) no obligation to pay any taxes required to be paid by the Servicer, (iv) no obligation to pay any of the fees and expenses of any other party and (v) no liability or obligation with respect to any Servicer indemnification obligations of any prior Servicer, including UACC. The indemnification obligations of the Backup Servicer, upon becoming a successor Servicer are expressly limited to those instances of gross negligence or willful misconduct of the Backup Servicer in its role as Successor Servicer. </w:t>
      </w:r>
    </w:p>
    <w:p>
      <w:pPr>
        <w:pStyle w:val="TextBody"/>
        <w:bidi w:val="0"/>
        <w:jc w:val="center"/>
        <w:rPr>
          <w:rFonts w:ascii="Times New Roman" w:hAnsi="Times New Roman"/>
          <w:color w:val="000000"/>
          <w:sz w:val="24"/>
        </w:rPr>
      </w:pPr>
      <w:r>
        <w:rPr>
          <w:rFonts w:ascii="Times New Roman" w:hAnsi="Times New Roman"/>
          <w:color w:val="000000"/>
          <w:sz w:val="24"/>
        </w:rPr>
        <w:t>112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authority and power granted to the Servicer under this Agreement shall automatically cease and terminate upon termination of this Agreement and shall pass to and be vested in the Borrower and the Borrower is hereby authorized and empowered to execute and deliver, on behalf of the Servicer, as attorney-in-fact or otherwise, all documents and other instruments, and to do and accomplish all other acts or things necessary or appropriate to effect the purposes of such transfer of servicing rights. The Servicer agrees to cooperate with the Borrower in effecting the termination of the responsibilities and rights of the Servicer to conduct servicing of the Receivables.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Successor Servicer shall act as Servicer hereunder and shall, subject to the availability of sufficient funds in the Collection Account pursuant to Section 2.08(i) (up to the Servicing Fee), receive as compensation therefor the Servicing Fee pursuant to Section 2.12(b).</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7.16. </w:t>
      </w:r>
    </w:p>
    <w:p>
      <w:pPr>
        <w:pStyle w:val="TextBody"/>
        <w:bidi w:val="0"/>
        <w:spacing w:before="0" w:after="240"/>
        <w:jc w:val="both"/>
        <w:rPr/>
      </w:pPr>
      <w:r>
        <w:rPr>
          <w:rFonts w:ascii="Times New Roman" w:hAnsi="Times New Roman"/>
          <w:color w:val="000000"/>
          <w:sz w:val="24"/>
          <w:u w:val="single"/>
        </w:rPr>
        <w:t>Merger or Consolidation, Assumption of Obligations or Resignation of the Servicer</w:t>
      </w:r>
      <w:r>
        <w:rPr>
          <w:rFonts w:ascii="Times New Roman" w:hAnsi="Times New Roman"/>
          <w:color w:val="000000"/>
          <w:sz w:val="24"/>
        </w:rPr>
        <w:t>. Any Person (a) into which the Servicer may be merged or consolidated, (b) which may result from any merger or consolidation to which the Servicer may be a party, (c) which may succeed to the properties and assets of the Servicer substantially as a whole or (d) which may succeed to the duties and obligations of the Servicer under this Agreement following the resignation of the Servicer, which Person executes an agreement of assumption (which, in the case of UACC, is acceptable to the Administrative Agent) to perform every obligation of the Servicer hereunder, shall, with the prior written consent of the Administrative Agent (which consent shall not be unreasonably withheld, conditioned or delayed), be the successor to the Servicer under this Agreement without further act on the part of any of the parties to this Agreement; provided, however, that: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written notice of such consolidation, merger, succession or resignation shall be delivered by the Servicer to the Administrative Agent and the Custodian;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immediately after giving effect to such consolidation, merger, succession or resignation, no Servicer Termination Event and no event which after notice or lapse of time, or both, would become a Servicer Termination Event shall have occurred and be continuing;</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Early Amortization Event, Termination Event or Unmatured Termination Event would occur as result of such consolidation, merger, succession or resignation;</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 long as UACC is the Servicer, the Servicer shall have delivered to the Administrative Agent, the Backup Servicer and the Custodian (if other than UACC) an Officer’s Certificate and an Opinion of Counsel, each stating that such consolidation, merger, succession or resignation and such agreement of assumption comply with this Section and that all conditions precedent provided for in this Agreement and the other Servicer Basic Documents relating to such transaction have been complied with; and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so long as UACC is the Servicer, the Servicer shall have delivered to the Borrower, the Administrative Agent, the Backup Servicer and the Custodian (if other than UACC) an Opinion of Counsel to the effect that either: (A) in the opinion of such counsel, </w:t>
      </w:r>
    </w:p>
    <w:p>
      <w:pPr>
        <w:pStyle w:val="TextBody"/>
        <w:bidi w:val="0"/>
        <w:jc w:val="center"/>
        <w:rPr>
          <w:rFonts w:ascii="Times New Roman" w:hAnsi="Times New Roman"/>
          <w:color w:val="000000"/>
          <w:sz w:val="24"/>
        </w:rPr>
      </w:pPr>
      <w:r>
        <w:rPr>
          <w:rFonts w:ascii="Times New Roman" w:hAnsi="Times New Roman"/>
          <w:color w:val="000000"/>
          <w:sz w:val="24"/>
        </w:rPr>
        <w:t>113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financing statements, continuation statements and amendments and notations on Certificates of Title thereto have been executed and filed that are necessary to preserve and protect the interest of the Borrower, the Secured Parties and the Custodian in the Receivables and reciting the details of such filings or (B) no such action shall be necessary to preserve and protect such interest.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7.17. </w:t>
      </w:r>
    </w:p>
    <w:p>
      <w:pPr>
        <w:pStyle w:val="TextBody"/>
        <w:bidi w:val="0"/>
        <w:spacing w:before="0" w:after="240"/>
        <w:jc w:val="both"/>
        <w:rPr/>
      </w:pPr>
      <w:r>
        <w:rPr>
          <w:rFonts w:ascii="Times New Roman" w:hAnsi="Times New Roman"/>
          <w:color w:val="000000"/>
          <w:sz w:val="24"/>
          <w:u w:val="single"/>
        </w:rPr>
        <w:t>Responsibilities of the Borrower</w:t>
      </w:r>
      <w:r>
        <w:rPr>
          <w:rFonts w:ascii="Times New Roman" w:hAnsi="Times New Roman"/>
          <w:color w:val="000000"/>
          <w:sz w:val="24"/>
        </w:rPr>
        <w:t>. Anything herein to the contrary notwithstanding, the Borrower shall (i) perform or cause the Servicer to perform all of its obligations under the Receivables to the same extent as if a security interest in such Receivables had not been granted hereunder, and the exercise by the Administrative Agent of its rights hereunder shall not relieve the Borrower from such obligations and (ii) pay when due, from funds available to the Borrower under Section 2.08(x), any Taxes, including any sales taxes payable in connection with the Receivables and their creation and satisfaction. Neither the Administrative Agent nor any Secured Party shall have any obligation or liability with respect to any Receivable, nor shall any of them be obligated to perform any of the obligations of the Borrower thereunder.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7.18. </w:t>
      </w:r>
    </w:p>
    <w:p>
      <w:pPr>
        <w:pStyle w:val="TextBody"/>
        <w:bidi w:val="0"/>
        <w:spacing w:before="0" w:after="240"/>
        <w:jc w:val="both"/>
        <w:rPr/>
      </w:pPr>
      <w:r>
        <w:rPr>
          <w:rFonts w:ascii="Times New Roman" w:hAnsi="Times New Roman"/>
          <w:color w:val="000000"/>
          <w:sz w:val="24"/>
          <w:u w:val="single"/>
        </w:rPr>
        <w:t>Custody of Receivable Files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assure uniform quality in servicing the Receivables and to reduce administrative costs, the Administrative Agent, on behalf of the Secured Parties, hereby revocably appoints the Servicer as its agent, and the Servicer hereby accepts such appointment, to act as Custodian, on behalf of the Secured Parties, of the Receivables and the Receivable Files.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Closing Date, the Custodian shall deliver an Officer’s Certificate to the Administrative Agent, on behalf of the Secured Parties, confirming that it has received, on behalf of the Secured Parties, all the documents and instruments necessary for it to act as the agent of the Secured Parties for the purposes set forth in this Section, including the documents referred to herein, and the Secured Parties are hereby authorized to rely on such Officer’s Certificate.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7.19. </w:t>
      </w:r>
    </w:p>
    <w:p>
      <w:pPr>
        <w:pStyle w:val="TextBody"/>
        <w:bidi w:val="0"/>
        <w:spacing w:before="0" w:after="240"/>
        <w:jc w:val="both"/>
        <w:rPr/>
      </w:pPr>
      <w:r>
        <w:rPr>
          <w:rFonts w:ascii="Times New Roman" w:hAnsi="Times New Roman"/>
          <w:color w:val="000000"/>
          <w:sz w:val="24"/>
          <w:u w:val="single"/>
        </w:rPr>
        <w:t>Duties of Custodian</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u w:val="single"/>
        </w:rPr>
        <w:t>Safekeeping</w:t>
      </w:r>
      <w:r>
        <w:rPr>
          <w:rFonts w:ascii="Times New Roman" w:hAnsi="Times New Roman"/>
          <w:color w:val="000000"/>
          <w:sz w:val="24"/>
        </w:rPr>
        <w:t xml:space="preserve">. The Servicer, in its capacity as Custodian, shall hold the Receivable Files for the benefit of the Secured Parties and maintain such accurate and complete accounts, records and computer systems pertaining to each Receivable File as shall enable the Servicer and the Borrower to comply with this Agreement; provided, however, UACC may convert a Receivable that is “tangible chattel paper” to “electronic chattel paper.” In performing its duties, the Custodian shall act with reasonable care, using that degree of skill and attention that it exercises with respect to the files of comparable motor vehicle installment sale contracts and installment loans that it holds for itself or others. The Custodian shall conduct, or cause to be conducted, in accordance with its customary practices and procedures, periodic examinations of the files of all receivables owned or serviced by it which shall include the Receivable Files held by it under this Agreement, and of the related accounts, records and computer systems, in such a manner as shall enable the Administrative Agent or its representatives to verify the accuracy of the Servicer’s record keeping. The Custodian shall promptly report to the Administrative Agent any failure on its part to hold the Receivable Files and to maintain its accounts, records and computer systems as herein provided and promptly take appropriate action to remedy any such failure. Nothing herein shall be deemed to require an initial review or any periodic review of the Receivable Files by any </w:t>
      </w:r>
    </w:p>
    <w:p>
      <w:pPr>
        <w:pStyle w:val="TextBody"/>
        <w:bidi w:val="0"/>
        <w:jc w:val="center"/>
        <w:rPr>
          <w:rFonts w:ascii="Times New Roman" w:hAnsi="Times New Roman"/>
          <w:color w:val="000000"/>
          <w:sz w:val="24"/>
        </w:rPr>
      </w:pPr>
      <w:r>
        <w:rPr>
          <w:rFonts w:ascii="Times New Roman" w:hAnsi="Times New Roman"/>
          <w:color w:val="000000"/>
          <w:sz w:val="24"/>
        </w:rPr>
        <w:t>114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Secured Party, and no Secured Party shall be liable or responsible for any action or failure to act by the Servicer in its capacity as Custodian hereunder.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Maintenance of and Access to Records</w:t>
      </w:r>
      <w:r>
        <w:rPr>
          <w:rFonts w:ascii="Times New Roman" w:hAnsi="Times New Roman"/>
          <w:color w:val="000000"/>
          <w:sz w:val="24"/>
        </w:rPr>
        <w:t>. The Custodian shall maintain each Receivable File at one of the locations specified in Schedule D or at such other location as shall be specified to the Administrative Agent by 30 days’ prior written notice. The Custodian may temporarily move individual Receivable Files or any portion thereof without notice as necessary to conduct collection and other servicing activities in accordance with its customary practices and procedures. The Custodian shall once per calendar year (commencing with the fourth quarter in 2013) make available to the Secured Parties or their duly authorized representatives, attorneys or auditors a list of locations of the Receivable Files, the Receivable Files and the related accounts, records and computer systems maintained by the Custodian at such times during normal business hours as any Secured Party shall reasonably request; provided, that if a Termination Event or Unmatured Termination Event shall have occurred and is continuing, the Custodian shall make such information available at any time as requested by any Secured Party.</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pPr>
      <w:r>
        <w:rPr>
          <w:rFonts w:ascii="Times New Roman" w:hAnsi="Times New Roman"/>
          <w:color w:val="000000"/>
          <w:sz w:val="24"/>
          <w:u w:val="single"/>
        </w:rPr>
        <w:t>Release of Documents</w:t>
      </w:r>
      <w:r>
        <w:rPr>
          <w:rFonts w:ascii="Times New Roman" w:hAnsi="Times New Roman"/>
          <w:color w:val="000000"/>
          <w:sz w:val="24"/>
        </w:rPr>
        <w:t>. As soon as practicable after receiving written instructions from the Administrative Agent, the Custodian shall release any document in the Receivable Files to the Administrative Agent or its agent or designee, as the case may be, at such place or places as the Administrative Agent may reasonably designate. The Custodian shall not be responsible for any loss occasioned by the failure of the Administrative Agent to return any document or any delay in so doing.</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pPr>
      <w:r>
        <w:rPr>
          <w:rFonts w:ascii="Times New Roman" w:hAnsi="Times New Roman"/>
          <w:color w:val="000000"/>
          <w:sz w:val="24"/>
          <w:u w:val="single"/>
        </w:rPr>
        <w:t>Title to Receivables</w:t>
      </w:r>
      <w:r>
        <w:rPr>
          <w:rFonts w:ascii="Times New Roman" w:hAnsi="Times New Roman"/>
          <w:color w:val="000000"/>
          <w:sz w:val="24"/>
        </w:rPr>
        <w:t>. The Custodian shall not at any time have, or in any way attempt to assert, any interest in any Receivable held by it as Custodian hereunder or in the related Receivable File, other than for collecting or enforcing such Receivable for the benefit of the Administrative Agent on behalf of the Secured Parties. The entire equitable interest in each Receivable and the related Receivable File shall at all times be vested in the Administrative Agent on behalf of the Secured Parties.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pPr>
      <w:r>
        <w:rPr>
          <w:rFonts w:ascii="Times New Roman" w:hAnsi="Times New Roman"/>
          <w:color w:val="000000"/>
          <w:sz w:val="24"/>
          <w:u w:val="single"/>
        </w:rPr>
        <w:t>Instructions; Authority to Act</w:t>
      </w:r>
      <w:r>
        <w:rPr>
          <w:rFonts w:ascii="Times New Roman" w:hAnsi="Times New Roman"/>
          <w:color w:val="000000"/>
          <w:sz w:val="24"/>
        </w:rPr>
        <w:t>. The Custodian shall be deemed to have received proper instructions with respect to the Receivable Files upon its receipt of written instructions signed by a Responsible Officer of the Administrative Agent.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pPr>
      <w:r>
        <w:rPr>
          <w:rFonts w:ascii="Times New Roman" w:hAnsi="Times New Roman"/>
          <w:color w:val="000000"/>
          <w:sz w:val="24"/>
          <w:u w:val="single"/>
        </w:rPr>
        <w:t>Indemnification by Custodian</w:t>
      </w:r>
      <w:r>
        <w:rPr>
          <w:rFonts w:ascii="Times New Roman" w:hAnsi="Times New Roman"/>
          <w:color w:val="000000"/>
          <w:sz w:val="24"/>
        </w:rPr>
        <w:t>. The Servicer, in its capacity as Custodian of the Receivable Files, shall indemnify and hold harmless the Secured Parties and each of their respective officers, directors, employees and agents from and against any and all loss, liability or expense that may be imposed on, incurred or asserted against the Secured Parties and each of their respective officers, directors, employees and agents as the result of any improper act or omission in any way relating to the maintenance and custody of the Receivable Files by the Servicer, as Custodian; provided, however, that the Servicer shall not be liable for any portion of any such loss, liability or expense resulting from the willful misfeasance, bad faith or negligence of any Secured Party.</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pPr>
      <w:r>
        <w:rPr>
          <w:rFonts w:ascii="Times New Roman" w:hAnsi="Times New Roman"/>
          <w:color w:val="000000"/>
          <w:sz w:val="24"/>
          <w:u w:val="single"/>
        </w:rPr>
        <w:t>Effective Period and Termination</w:t>
      </w:r>
      <w:r>
        <w:rPr>
          <w:rFonts w:ascii="Times New Roman" w:hAnsi="Times New Roman"/>
          <w:color w:val="000000"/>
          <w:sz w:val="24"/>
        </w:rPr>
        <w:t xml:space="preserve">. The Servicer’s appointment as Custodian shall become effective as of the Closing Date and shall continue in full force and effect until the occurrence of a Custodian Termination Event. If a Custodian Termination Event occurs, the </w:t>
      </w:r>
    </w:p>
    <w:p>
      <w:pPr>
        <w:pStyle w:val="TextBody"/>
        <w:bidi w:val="0"/>
        <w:jc w:val="center"/>
        <w:rPr>
          <w:rFonts w:ascii="Times New Roman" w:hAnsi="Times New Roman"/>
          <w:color w:val="000000"/>
          <w:sz w:val="24"/>
        </w:rPr>
      </w:pPr>
      <w:r>
        <w:rPr>
          <w:rFonts w:ascii="Times New Roman" w:hAnsi="Times New Roman"/>
          <w:color w:val="000000"/>
          <w:sz w:val="24"/>
        </w:rPr>
        <w:t>115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appointment of the Servicer as Custodian hereunder may be terminated by the Administrative Agent. As soon as practicable after any such Custodian Termination Event, the Administrative Agent shall appoint [***] or another entity selected by the Administrative Agent as Custodian and the Servicer shall (i) at its sole cost and expense, deliver, or cause to be delivered, the Receivable Files and the related accounts and records maintained by the Servicer to the successor Custodian, or its agent or designee, as the case may be, at such place as the successor Custodian may reasonably designate and (ii) otherwise cooperate with the successor Custodian in effecting the termination of the rights and responsibilities of the predecessor Custodian under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pPr>
      <w:r>
        <w:rPr>
          <w:rFonts w:ascii="Times New Roman" w:hAnsi="Times New Roman"/>
          <w:color w:val="000000"/>
          <w:sz w:val="24"/>
          <w:u w:val="single"/>
        </w:rPr>
        <w:t>Chattel Paper</w:t>
      </w:r>
      <w:r>
        <w:rPr>
          <w:rFonts w:ascii="Times New Roman" w:hAnsi="Times New Roman"/>
          <w:color w:val="000000"/>
          <w:sz w:val="24"/>
        </w:rPr>
        <w:t>. In carrying out its duties, the Servicer as Custodian shall (i) hold and maintain, for the benefit of the Secured Parties, physical possession of the original fully executed and “signed” (within the meaning of the UCC) by the related Obligor tangible record constituting or forming a part of each Receivable that is “tangible chattel paper” (as such term is defined in the UCC),; provided, however, this shall not apply to a Receivable that has been converted from “tangible chattel paper” to “electronic chattel paper”, and (ii) have and maintain, for the benefit of the Secured Parties, “control” within the meaning of Section 9-105 of the applicable UCC of every Receivable that is “electronic chattel paper” (as such term is defined in the UCC), and shall not relinquish such control or transfer such control to any other Person.</w:t>
      </w:r>
    </w:p>
    <w:p>
      <w:pPr>
        <w:pStyle w:val="TextBody"/>
        <w:bidi w:val="0"/>
        <w:spacing w:before="0" w:after="240"/>
        <w:jc w:val="center"/>
        <w:rPr>
          <w:rFonts w:ascii="Times New Roman" w:hAnsi="Times New Roman"/>
          <w:caps/>
          <w:color w:val="2F5496"/>
          <w:sz w:val="24"/>
        </w:rPr>
      </w:pPr>
      <w:r>
        <w:rPr>
          <w:rFonts w:ascii="Times New Roman" w:hAnsi="Times New Roman"/>
          <w:caps/>
          <w:color w:val="2F5496"/>
          <w:sz w:val="24"/>
        </w:rPr>
        <w:t>ARTICLE 8</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THE BACKUP SERVICER</w:t>
      </w:r>
    </w:p>
    <w:p>
      <w:pPr>
        <w:pStyle w:val="TextBody"/>
        <w:bidi w:val="0"/>
        <w:spacing w:before="0" w:after="240"/>
        <w:jc w:val="left"/>
        <w:rPr>
          <w:rFonts w:ascii="Times New Roman" w:hAnsi="Times New Roman"/>
          <w:color w:val="2F5496"/>
          <w:sz w:val="24"/>
        </w:rPr>
      </w:pPr>
      <w:r>
        <w:rPr>
          <w:rFonts w:ascii="Times New Roman" w:hAnsi="Times New Roman"/>
          <w:color w:val="2F5496"/>
          <w:sz w:val="24"/>
        </w:rPr>
        <w:t xml:space="preserve">Section 8.01. </w:t>
      </w:r>
    </w:p>
    <w:p>
      <w:pPr>
        <w:pStyle w:val="TextBody"/>
        <w:bidi w:val="0"/>
        <w:spacing w:before="0" w:after="240"/>
        <w:jc w:val="left"/>
        <w:rPr/>
      </w:pPr>
      <w:r>
        <w:rPr>
          <w:rFonts w:ascii="Times New Roman" w:hAnsi="Times New Roman"/>
          <w:color w:val="000000"/>
          <w:sz w:val="24"/>
          <w:u w:val="single"/>
        </w:rPr>
        <w:t>Designation of the Backup Servicer</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occurrence of a Servicer Termination Event, the Administrative Agent may designate the Backup Servicer to act as Servicer for the benefit of the Administrative Agent and the Secured Parties. The Backup Servicer shall accept such appointment and agree to perform the duties and obligations with respect thereto set forth herein.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Until the receipt by the Backup Servicer of a notice from the Administrative Agent of the designation of a new Backup Servicer pursuant to Section 8.04, the Backup Servicer will not terminate its activities as Backup Servicer hereunder.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8.02. </w:t>
      </w:r>
    </w:p>
    <w:p>
      <w:pPr>
        <w:pStyle w:val="TextBody"/>
        <w:bidi w:val="0"/>
        <w:spacing w:before="0" w:after="240"/>
        <w:jc w:val="both"/>
        <w:rPr/>
      </w:pPr>
      <w:r>
        <w:rPr>
          <w:rFonts w:ascii="Times New Roman" w:hAnsi="Times New Roman"/>
          <w:color w:val="000000"/>
          <w:sz w:val="24"/>
          <w:u w:val="single"/>
        </w:rPr>
        <w:t>Duties of the Backup Servicer</w:t>
      </w:r>
      <w:r>
        <w:rPr>
          <w:rFonts w:ascii="Times New Roman" w:hAnsi="Times New Roman"/>
          <w:color w:val="000000"/>
          <w:sz w:val="24"/>
        </w:rPr>
        <w:t>. From the Closing Date until the earlier of (i) its removal pursuant to Section 8.04 or its resignation pursuant to Section 8.05 or (ii) the Facility Termination Date, the Backup Servicer shall perform, on behalf of the Secured Parties, the duties and obligations set forth in Sections 7.10 and 7.11.</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8.03. </w:t>
      </w:r>
    </w:p>
    <w:p>
      <w:pPr>
        <w:pStyle w:val="TextBody"/>
        <w:bidi w:val="0"/>
        <w:spacing w:before="0" w:after="240"/>
        <w:jc w:val="both"/>
        <w:rPr/>
      </w:pPr>
      <w:r>
        <w:rPr>
          <w:rFonts w:ascii="Times New Roman" w:hAnsi="Times New Roman"/>
          <w:color w:val="000000"/>
          <w:sz w:val="24"/>
          <w:u w:val="single"/>
        </w:rPr>
        <w:t>Backup Servicing Compensation</w:t>
      </w:r>
      <w:r>
        <w:rPr>
          <w:rFonts w:ascii="Times New Roman" w:hAnsi="Times New Roman"/>
          <w:color w:val="000000"/>
          <w:sz w:val="24"/>
        </w:rPr>
        <w:t>. As compensation for its backup servicing activities hereunder, the Backup Servicer shall be entitled to receive a monthly fee up to an amount equal to the Backup Servicing Fee in accordance with the priorities set forth in Section 2.08 or, at the option of UACC, the Backup Servicing Fee may be paid directly to the Backup Servicer by UACC. The Backup Servicer’s entitlement to receive such fee shall cease on the earliest to occur of (i) it becoming the Successor Servicer, (ii) its removal as Backup Servicer pursuant to Section 8.04 or its resignation pursuant to Section 8.05 or (iii) the termination of this Agreement.</w:t>
      </w:r>
    </w:p>
    <w:p>
      <w:pPr>
        <w:pStyle w:val="TextBody"/>
        <w:bidi w:val="0"/>
        <w:jc w:val="center"/>
        <w:rPr>
          <w:rFonts w:ascii="Times New Roman" w:hAnsi="Times New Roman"/>
          <w:color w:val="000000"/>
          <w:sz w:val="24"/>
        </w:rPr>
      </w:pPr>
      <w:r>
        <w:rPr>
          <w:rFonts w:ascii="Times New Roman" w:hAnsi="Times New Roman"/>
          <w:color w:val="000000"/>
          <w:sz w:val="24"/>
        </w:rPr>
        <w:t>116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8.04. </w:t>
      </w:r>
    </w:p>
    <w:p>
      <w:pPr>
        <w:pStyle w:val="TextBody"/>
        <w:bidi w:val="0"/>
        <w:spacing w:before="0" w:after="240"/>
        <w:jc w:val="both"/>
        <w:rPr/>
      </w:pPr>
      <w:r>
        <w:rPr>
          <w:rFonts w:ascii="Times New Roman" w:hAnsi="Times New Roman"/>
          <w:color w:val="000000"/>
          <w:sz w:val="24"/>
          <w:u w:val="single"/>
        </w:rPr>
        <w:t>Backup Servicer Removal</w:t>
      </w:r>
      <w:r>
        <w:rPr>
          <w:rFonts w:ascii="Times New Roman" w:hAnsi="Times New Roman"/>
          <w:color w:val="000000"/>
          <w:sz w:val="24"/>
        </w:rPr>
        <w:t>. The Backup Servicer may be removed in connection with a breach by the Backup Servicer of any representation, warranty or covenant of the Backup Servicer under this Agreement, or otherwise in the discretion of the Administrative Agent and, so long as no Termination Event or Servicer Termination Event has occurred, the Borrower, by notice given in writing and delivered to the Backup Servicer from the Administrative Agent or, so long as no Termination Event or Servicer Termination Event has occurred, the Borrower (the “</w:t>
      </w:r>
      <w:r>
        <w:rPr>
          <w:rFonts w:ascii="Times New Roman" w:hAnsi="Times New Roman"/>
          <w:color w:val="000000"/>
          <w:sz w:val="24"/>
          <w:u w:val="single"/>
        </w:rPr>
        <w:t>Backup Servicer Termination Notice</w:t>
      </w:r>
      <w:r>
        <w:rPr>
          <w:color w:val="000000"/>
        </w:rPr>
        <w:t>”</w:t>
      </w:r>
      <w:r>
        <w:rPr>
          <w:rFonts w:ascii="Times New Roman" w:hAnsi="Times New Roman"/>
          <w:color w:val="000000"/>
          <w:sz w:val="24"/>
        </w:rPr>
        <w:t>). On and after the receipt by the Backup Servicer of the Backup Servicer Termination Notice, the Backup Servicer shall continue to perform all backup servicing functions under this Agreement until the date specified in the Backup Servicer Termination Notice or otherwise specified by the Administrative Agent in writing or, if no such date is specified in the Backup Servicer Termination Notice or otherwise specified by the Administrative Agent, until a date mutually agreed upon by the Backup Servicer and the Administrative Agent.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8.05. </w:t>
      </w:r>
    </w:p>
    <w:p>
      <w:pPr>
        <w:pStyle w:val="TextBody"/>
        <w:bidi w:val="0"/>
        <w:spacing w:before="0" w:after="240"/>
        <w:jc w:val="both"/>
        <w:rPr/>
      </w:pPr>
      <w:r>
        <w:rPr>
          <w:rFonts w:ascii="Times New Roman" w:hAnsi="Times New Roman"/>
          <w:color w:val="000000"/>
          <w:sz w:val="24"/>
          <w:u w:val="single"/>
        </w:rPr>
        <w:t>Backup Servicer Not to Resign</w:t>
      </w:r>
      <w:r>
        <w:rPr>
          <w:rFonts w:ascii="Times New Roman" w:hAnsi="Times New Roman"/>
          <w:color w:val="000000"/>
          <w:sz w:val="24"/>
        </w:rPr>
        <w:t>. The Backup Servicer shall resign only with the prior written consent of the Administrative Agent and the Required Agents and, so long as no Termination Event or Servicer Termination Event has occurred, the Borrower or if the Backup Servicer provides an Opinion of Counsel to the Administrative Agent to the effect that the Backup Servicer is no longer permitted by Applicable Law to act as Backup Servicer hereunder. No termination or resignation of the Backup Servicer hereunder shall be effective until a successor Backup Servicer, acceptable to the Administrative Agent and, so long as no Termination Event or Servicer Termination Event has occurred, the Borrower, has accepted its appointment as successor Backup Servicer hereunder and has agreed to be bound by the terms of this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8.06. </w:t>
      </w:r>
    </w:p>
    <w:p>
      <w:pPr>
        <w:pStyle w:val="TextBody"/>
        <w:bidi w:val="0"/>
        <w:spacing w:before="0" w:after="240"/>
        <w:jc w:val="both"/>
        <w:rPr/>
      </w:pPr>
      <w:r>
        <w:rPr>
          <w:rFonts w:ascii="Times New Roman" w:hAnsi="Times New Roman"/>
          <w:color w:val="000000"/>
          <w:sz w:val="24"/>
          <w:u w:val="single"/>
        </w:rPr>
        <w:t>Monthly Backup Servicer Certificate</w:t>
      </w:r>
      <w:r>
        <w:rPr>
          <w:rFonts w:ascii="Times New Roman" w:hAnsi="Times New Roman"/>
          <w:color w:val="000000"/>
          <w:sz w:val="24"/>
        </w:rPr>
        <w:t>. The Backup Servicer shall provide a Monthly Backup Servicer Certificate to the Administrative Agent and the Borrower, on or before the close of business on the fifth Business Day following the related Reporting Date. The Backup Servicer, in its capacity as such, shall not be responsible for delays attributable to the Servicer’s failure to deliver information, defects in the information supplied by the Servicer or other circumstances beyond the control of the Backup Servicer.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8.07. </w:t>
      </w:r>
    </w:p>
    <w:p>
      <w:pPr>
        <w:pStyle w:val="TextBody"/>
        <w:bidi w:val="0"/>
        <w:spacing w:before="0" w:after="240"/>
        <w:jc w:val="both"/>
        <w:rPr/>
      </w:pPr>
      <w:r>
        <w:rPr>
          <w:rFonts w:ascii="Times New Roman" w:hAnsi="Times New Roman"/>
          <w:color w:val="000000"/>
          <w:sz w:val="24"/>
          <w:u w:val="single"/>
        </w:rPr>
        <w:t>Covenants of the Backup Servicer</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pPr>
      <w:r>
        <w:rPr>
          <w:rFonts w:ascii="Times New Roman" w:hAnsi="Times New Roman"/>
          <w:color w:val="000000"/>
          <w:sz w:val="24"/>
          <w:u w:val="single"/>
        </w:rPr>
        <w:t>Affirmative Covenants</w:t>
      </w:r>
      <w:r>
        <w:rPr>
          <w:rFonts w:ascii="Times New Roman" w:hAnsi="Times New Roman"/>
          <w:color w:val="000000"/>
          <w:sz w:val="24"/>
        </w:rPr>
        <w:t>. From the date of its appointment until the Facility Termination Date: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pPr>
      <w:r>
        <w:rPr>
          <w:rFonts w:ascii="Times New Roman" w:hAnsi="Times New Roman"/>
          <w:color w:val="000000"/>
          <w:sz w:val="24"/>
          <w:u w:val="single"/>
        </w:rPr>
        <w:t>Compliance with Law</w:t>
      </w:r>
      <w:r>
        <w:rPr>
          <w:rFonts w:ascii="Times New Roman" w:hAnsi="Times New Roman"/>
          <w:color w:val="000000"/>
          <w:sz w:val="24"/>
        </w:rPr>
        <w:t>. The Backup Servicer will comply in all material respects with all Applicable Laws.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pPr>
      <w:r>
        <w:rPr>
          <w:rFonts w:ascii="Times New Roman" w:hAnsi="Times New Roman"/>
          <w:color w:val="000000"/>
          <w:sz w:val="24"/>
          <w:u w:val="single"/>
        </w:rPr>
        <w:t>Preservation of Existence</w:t>
      </w:r>
      <w:r>
        <w:rPr>
          <w:rFonts w:ascii="Times New Roman" w:hAnsi="Times New Roman"/>
          <w:color w:val="000000"/>
          <w:sz w:val="24"/>
        </w:rPr>
        <w:t>. The Backup Servicer will preserve and maintain its existence, rights, franchises and privileges in the jurisdiction of its formation, and qualify and remain qualified in good standing in each jurisdiction where the failure to preserve and maintain such existence, rights, franchises, privileges and qualification has had, or could reasonably be expected to have, a Material Adverse Effect.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pPr>
      <w:r>
        <w:rPr>
          <w:rFonts w:ascii="Times New Roman" w:hAnsi="Times New Roman"/>
          <w:color w:val="000000"/>
          <w:sz w:val="24"/>
          <w:u w:val="single"/>
        </w:rPr>
        <w:t>Negative Covenant</w:t>
      </w:r>
      <w:r>
        <w:rPr>
          <w:rFonts w:ascii="Times New Roman" w:hAnsi="Times New Roman"/>
          <w:color w:val="000000"/>
          <w:sz w:val="24"/>
        </w:rPr>
        <w:t xml:space="preserve">. From the date of its appointment until the Facility Termination Date, the Backup Servicer will not make any changes to the Backup Servicing Fee without the </w:t>
      </w:r>
    </w:p>
    <w:p>
      <w:pPr>
        <w:pStyle w:val="TextBody"/>
        <w:bidi w:val="0"/>
        <w:jc w:val="center"/>
        <w:rPr>
          <w:rFonts w:ascii="Times New Roman" w:hAnsi="Times New Roman"/>
          <w:color w:val="000000"/>
          <w:sz w:val="24"/>
        </w:rPr>
      </w:pPr>
      <w:r>
        <w:rPr>
          <w:rFonts w:ascii="Times New Roman" w:hAnsi="Times New Roman"/>
          <w:color w:val="000000"/>
          <w:sz w:val="24"/>
        </w:rPr>
        <w:t>117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written approval of the Administrative Agent and, so long as no Termination Event or Servicer Termination Event has occurred, the Borrower.</w:t>
      </w:r>
    </w:p>
    <w:p>
      <w:pPr>
        <w:pStyle w:val="TextBody"/>
        <w:bidi w:val="0"/>
        <w:spacing w:before="0" w:after="240"/>
        <w:jc w:val="center"/>
        <w:rPr>
          <w:rFonts w:ascii="Times New Roman" w:hAnsi="Times New Roman"/>
          <w:caps/>
          <w:color w:val="2F5496"/>
          <w:sz w:val="24"/>
        </w:rPr>
      </w:pPr>
      <w:r>
        <w:rPr>
          <w:rFonts w:ascii="Times New Roman" w:hAnsi="Times New Roman"/>
          <w:caps/>
          <w:color w:val="2F5496"/>
          <w:sz w:val="24"/>
        </w:rPr>
        <w:t>ARTICLE 9</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TERMINATION EVENTS</w:t>
      </w:r>
    </w:p>
    <w:p>
      <w:pPr>
        <w:pStyle w:val="TextBody"/>
        <w:bidi w:val="0"/>
        <w:spacing w:before="0" w:after="240"/>
        <w:jc w:val="left"/>
        <w:rPr>
          <w:rFonts w:ascii="Times New Roman" w:hAnsi="Times New Roman"/>
          <w:color w:val="2F5496"/>
          <w:sz w:val="24"/>
        </w:rPr>
      </w:pPr>
      <w:r>
        <w:rPr>
          <w:rFonts w:ascii="Times New Roman" w:hAnsi="Times New Roman"/>
          <w:color w:val="2F5496"/>
          <w:sz w:val="24"/>
        </w:rPr>
        <w:t xml:space="preserve">Section 9.01. </w:t>
      </w:r>
    </w:p>
    <w:p>
      <w:pPr>
        <w:pStyle w:val="TextBody"/>
        <w:bidi w:val="0"/>
        <w:spacing w:before="0" w:after="240"/>
        <w:jc w:val="left"/>
        <w:rPr/>
      </w:pPr>
      <w:r>
        <w:rPr>
          <w:rFonts w:ascii="Times New Roman" w:hAnsi="Times New Roman"/>
          <w:color w:val="000000"/>
          <w:sz w:val="24"/>
          <w:u w:val="single"/>
        </w:rPr>
        <w:t>Termination Events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following events shall constitute a “Termination Event”: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Without demand, protest or any notice of any kind, all of which are hereby expressly waived by the Borrower (with a copy to each Hedge Counterparty), (i) in the event that </w:t>
      </w:r>
    </w:p>
    <w:p>
      <w:pPr>
        <w:pStyle w:val="TextBody"/>
        <w:bidi w:val="0"/>
        <w:jc w:val="center"/>
        <w:rPr>
          <w:rFonts w:ascii="Times New Roman" w:hAnsi="Times New Roman"/>
          <w:color w:val="000000"/>
          <w:sz w:val="24"/>
        </w:rPr>
      </w:pPr>
      <w:r>
        <w:rPr>
          <w:rFonts w:ascii="Times New Roman" w:hAnsi="Times New Roman"/>
          <w:color w:val="000000"/>
          <w:sz w:val="24"/>
        </w:rPr>
        <w:t>118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a Termination Event described in Section 9.01(a)(iv) has occurred, the Termination Date shall automatically occur and (ii) upon the occurrence of any other Termination Event or any Early Amortization Event, the Administrative Agent shall, at the written request, or may with the written consent, of the Required Agents, by notice to the Borrower, declare the Termination Date to have occurred. Upon the occurrence of a Foreclosure Event, the Administrative Agent may, or at the direction of the Required Agents, shall declare the Loans Outstanding and all other Obligations to be immediately due and payable.</w:t>
      </w:r>
      <w:r>
        <w:rPr>
          <w:color w:val="000000"/>
        </w:rPr>
        <w:t xml:space="preserve">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9.02. </w:t>
      </w:r>
    </w:p>
    <w:p>
      <w:pPr>
        <w:pStyle w:val="TextBody"/>
        <w:bidi w:val="0"/>
        <w:spacing w:before="0" w:after="240"/>
        <w:jc w:val="both"/>
        <w:rPr/>
      </w:pPr>
      <w:r>
        <w:rPr>
          <w:rFonts w:ascii="Times New Roman" w:hAnsi="Times New Roman"/>
          <w:color w:val="000000"/>
          <w:sz w:val="24"/>
          <w:u w:val="single"/>
        </w:rPr>
        <w:t>Actions Upon Occurrence of the Termination Date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automatic occurrence, or the declaration of the occurrence, of the Termination Date pursuant to Section 9.01(b), the following shall immediately occur without further action: (i) the Revolving Period shall terminate and no further Loans will be made and (ii) all Available Funds after item (iv) of Section 2.08 will be used to reduce the Loans Outstanding and (iii) Interest on all Loans Outstanding will accrue at an interest rate equal to the Default Rate.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Following the occurrence of a Foreclosure Event, the Administrative Agent may, or at the direction of the Required Agents, shall, exercise in respect of the Collateral, in addition to any and all other rights and remedies otherwise available to it, including rights available hereunder and all of the rights and remedies of a secured party upon default under the UCC (such rights and remedies to be cumulative and nonexclusive), and, in addition, upon direction of the Required Agents, may, or at the direction of the Required Agents, shall, subject to the terms of this Section 9.02, take the following remedial actions: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may, without notice to the Borrower except as required by Applicable Law and at any time or from time to time, charge, set-off and otherwise apply all or any part of the Loans Outstanding, any Interest accrued thereon and or any other amount due and owing to any Secured Party against amounts payable to the Borrower from the Collection Account or any part of such accounts in accordance with the priorities required by Section 2.08.</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may take any action permitted under the Basic Documents, including exercising any rights available to it under the Intercreditor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Consistent with the rights and remedies of a secured party under the UCC (and except as otherwise required by the UCC), the Administrative Agent may, without notice except as specified below, solicit and accept bids for and sell the Collateral or any part of the Collateral in one or more parcels at public or private sale, at any exchange, broker’s board or at the Administrative Agent’s offices or elsewhere, for cash, on credit or for future delivery, and upon such other terms as the Administrative Agent may deem commercially reasonable. The Borrower agrees that, to the extent notice of sale shall be required by Applicable Law, at least ten Business Days’ notice to the Borrower (with a copy to each Secured Party)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w:t>
      </w:r>
    </w:p>
    <w:p>
      <w:pPr>
        <w:pStyle w:val="TextBody"/>
        <w:bidi w:val="0"/>
        <w:jc w:val="center"/>
        <w:rPr>
          <w:rFonts w:ascii="Times New Roman" w:hAnsi="Times New Roman"/>
          <w:color w:val="000000"/>
          <w:sz w:val="24"/>
        </w:rPr>
      </w:pPr>
      <w:r>
        <w:rPr>
          <w:rFonts w:ascii="Times New Roman" w:hAnsi="Times New Roman"/>
          <w:color w:val="000000"/>
          <w:sz w:val="24"/>
        </w:rPr>
        <w:t>119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time to time by announcement at the time and place fixed for such sale, and such sale may, without further notice, be made at the time and place to which it was so adjourned. Every such sale shall operate to divest all right, title, interest, claim and demand whatsoever of the Borrower in and to the Collateral so sold, and shall be a perpetual bar, both at law and in equity, against the Borrower or any Person claiming the Collateral sold through the Borrower and its successors or assigns.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completion of any sale under Section 9.02(b)(iii), the Borrower will deliver or cause to be delivered all of the Collateral sold to the purchaser or purchasers at such sale on the date of sale, or within a reasonable time thereafter if it shall be impractical to make immediate delivery, but in any event full title and right of possession to such property shall pass to such purchaser or purchasers forthwith upon the completion of such sale. Nevertheless, if so requested by the Administrative Agent or by any purchaser, the Borrower shall confirm any such sale or transfer by executing and delivering to such purchaser all proper instruments of conveyance and transfer and release as may be designated in any such request.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any sale under Section 9.02(b)(iii), UACC or any Secured Party may bid for and purchase the property offered for sale and, upon compliance with the terms of sale, may hold, retain and dispose of such property without further accountability therefor. Any Secured Party purchasing property at a sale under Section 9.02(b)(iii) may set off the purchase price of such property against amounts owing to such Secured Party in full payment of such purchase price.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may exercise at the Borrower’s sole expense any and all rights and remedies of the Borrower under or in connection with the Collateral, including directing that Collections be deposited into an account specified by the Administrative Agent.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9.03. </w:t>
      </w:r>
    </w:p>
    <w:p>
      <w:pPr>
        <w:pStyle w:val="TextBody"/>
        <w:bidi w:val="0"/>
        <w:spacing w:before="0" w:after="240"/>
        <w:jc w:val="both"/>
        <w:rPr/>
      </w:pPr>
      <w:r>
        <w:rPr>
          <w:rFonts w:ascii="Times New Roman" w:hAnsi="Times New Roman"/>
          <w:color w:val="000000"/>
          <w:sz w:val="24"/>
          <w:u w:val="single"/>
        </w:rPr>
        <w:t>Exercise of Remedies</w:t>
      </w:r>
      <w:r>
        <w:rPr>
          <w:rFonts w:ascii="Times New Roman" w:hAnsi="Times New Roman"/>
          <w:color w:val="000000"/>
          <w:sz w:val="24"/>
        </w:rPr>
        <w:t>. No failure or delay on the part of the Administrative Agent to exercise any right, power or privilege under this Agreement and no course of dealing between the Borrower, the Secured Parties, any Agent or the Administrative Agent, on the one hand, and the Administrative Agent or one or more Agents, on the other hand, shall operate as a waiver of such right, power or privilege, nor shall any single or partial exercise of any right, power or privilege under this Agreement preclude any other or further exercise of such right, power or privilege or the exercise of any other right, power or privilege. The rights and remedies expressly provided in this Agreement are cumulative and not exclusive of any rights or remedies which the Secured Parties would otherwise have pursuant to Applicable Law or equity. No notice to or demand on any party in any case shall entitle such party to any other or further notice or demand in similar or other circumstances, or constitute a waiver of the right of the other party to any other or further action in any circumstances without notice or demand.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9.04. </w:t>
      </w:r>
    </w:p>
    <w:p>
      <w:pPr>
        <w:pStyle w:val="TextBody"/>
        <w:bidi w:val="0"/>
        <w:spacing w:before="0" w:after="240"/>
        <w:jc w:val="both"/>
        <w:rPr/>
      </w:pPr>
      <w:r>
        <w:rPr>
          <w:rFonts w:ascii="Times New Roman" w:hAnsi="Times New Roman"/>
          <w:color w:val="000000"/>
          <w:sz w:val="24"/>
          <w:u w:val="single"/>
        </w:rPr>
        <w:t>Waiver of Certain Laws</w:t>
      </w:r>
      <w:r>
        <w:rPr>
          <w:rFonts w:ascii="Times New Roman" w:hAnsi="Times New Roman"/>
          <w:color w:val="000000"/>
          <w:sz w:val="24"/>
        </w:rPr>
        <w:t xml:space="preserve">. The Borrower agrees, to the full extent that it may lawfully so agree, that neither it nor anyone claiming through or under it will set up, claim or seek to take advantage of any appraisal, valuation, stay, extension or redemption law now or hereafter in force in any locality where any Collateral may be situated in order to prevent, hinder or delay the enforcement or foreclosure of this Agreement, or the absolute sale of any of the Collateral or </w:t>
      </w:r>
    </w:p>
    <w:p>
      <w:pPr>
        <w:pStyle w:val="TextBody"/>
        <w:bidi w:val="0"/>
        <w:jc w:val="center"/>
        <w:rPr>
          <w:rFonts w:ascii="Times New Roman" w:hAnsi="Times New Roman"/>
          <w:color w:val="000000"/>
          <w:sz w:val="24"/>
        </w:rPr>
      </w:pPr>
      <w:r>
        <w:rPr>
          <w:rFonts w:ascii="Times New Roman" w:hAnsi="Times New Roman"/>
          <w:color w:val="000000"/>
          <w:sz w:val="24"/>
        </w:rPr>
        <w:t>120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part thereof, or the final and absolute putting into possession thereof, immediately after such sale, of the purchasers thereof, and the Borrower, for itself and all who may at any time claim through or under it, hereby waives, to the full extent that it may be lawful so to do, the benefit of all such Applicable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such parcels as the Administrative Agent or such court may determine.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9.05. </w:t>
      </w:r>
    </w:p>
    <w:p>
      <w:pPr>
        <w:pStyle w:val="TextBody"/>
        <w:bidi w:val="0"/>
        <w:spacing w:before="0" w:after="240"/>
        <w:jc w:val="both"/>
        <w:rPr/>
      </w:pPr>
      <w:r>
        <w:rPr>
          <w:rFonts w:ascii="Times New Roman" w:hAnsi="Times New Roman"/>
          <w:color w:val="000000"/>
          <w:sz w:val="24"/>
          <w:u w:val="single"/>
        </w:rPr>
        <w:t>Power of Attorney</w:t>
      </w:r>
      <w:r>
        <w:rPr>
          <w:rFonts w:ascii="Times New Roman" w:hAnsi="Times New Roman"/>
          <w:color w:val="000000"/>
          <w:sz w:val="24"/>
        </w:rPr>
        <w:t>. The Borrower hereby irrevocably appoints the Administrative Agent its true and lawful attorney (with full power of substitution) in its name, place and stead and at its expense, in connection with the enforcement of the rights and remedies provided for in this Article, including: (i) to give any necessary receipts or acquittance for amounts collected or received hereunder, (ii) to make all necessary transfers of the Collateral in connection with any sale or other disposition made pursuant hereto, (iii) to execute and deliver for value all necessary or appropriate bills of sale, assignments and other instruments in connection with any such sale or other disposition, the Borrower thereby ratifying and confirming all that such attorney (or any substitute) shall lawfully do hereunder and pursuant hereto and (iv) to sign any agreements, orders or other documents in connection with or pursuant to any Basic Document. Nevertheless, if so requested by the Administrative Agent, directly or through a purchaser of any of the Collateral, the Borrower shall ratify and confirm any such sale or other disposition by executing and delivering to the Administrative Agent or such purchaser all proper bills of sale, assignments, releases and other instruments as may be designated in any such request.</w:t>
      </w:r>
    </w:p>
    <w:p>
      <w:pPr>
        <w:pStyle w:val="TextBody"/>
        <w:bidi w:val="0"/>
        <w:spacing w:before="0" w:after="240"/>
        <w:jc w:val="center"/>
        <w:rPr>
          <w:rFonts w:ascii="Times New Roman" w:hAnsi="Times New Roman"/>
          <w:caps/>
          <w:color w:val="2F5496"/>
          <w:sz w:val="24"/>
        </w:rPr>
      </w:pPr>
      <w:r>
        <w:rPr>
          <w:rFonts w:ascii="Times New Roman" w:hAnsi="Times New Roman"/>
          <w:caps/>
          <w:color w:val="2F5496"/>
          <w:sz w:val="24"/>
        </w:rPr>
        <w:t>ARTICLE 10</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INDEMNIFICATION</w:t>
      </w:r>
    </w:p>
    <w:p>
      <w:pPr>
        <w:pStyle w:val="TextBody"/>
        <w:bidi w:val="0"/>
        <w:spacing w:before="0" w:after="240"/>
        <w:jc w:val="left"/>
        <w:rPr>
          <w:rFonts w:ascii="Times New Roman" w:hAnsi="Times New Roman"/>
          <w:color w:val="2F5496"/>
          <w:sz w:val="24"/>
        </w:rPr>
      </w:pPr>
      <w:r>
        <w:rPr>
          <w:rFonts w:ascii="Times New Roman" w:hAnsi="Times New Roman"/>
          <w:color w:val="2F5496"/>
          <w:sz w:val="24"/>
        </w:rPr>
        <w:t xml:space="preserve">Section 10.01. </w:t>
      </w:r>
    </w:p>
    <w:p>
      <w:pPr>
        <w:pStyle w:val="TextBody"/>
        <w:bidi w:val="0"/>
        <w:spacing w:before="0" w:after="240"/>
        <w:jc w:val="left"/>
        <w:rPr/>
      </w:pPr>
      <w:r>
        <w:rPr>
          <w:rFonts w:ascii="Times New Roman" w:hAnsi="Times New Roman"/>
          <w:color w:val="000000"/>
          <w:sz w:val="24"/>
          <w:u w:val="single"/>
        </w:rPr>
        <w:t>Indemnities by the Borrower and UACC</w:t>
      </w:r>
      <w:r>
        <w:rPr>
          <w:rFonts w:ascii="Times New Roman" w:hAnsi="Times New Roman"/>
          <w:color w:val="000000"/>
          <w:sz w:val="24"/>
        </w:rPr>
        <w:t xml:space="preserve">.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in no event shall any Indemnified Party (i) be indemnified against any Indemnified Amounts to the extent such Indemnified Amounts are or result from taxes asserted with respect to taxes on, or measured by, the net income of the applicable Indemnified Party or (ii) indemnified twice for the same UACC Indemnified Amount by reason of application of the indemnity provided under Section 5.07 of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amounts subject to the indemnification provisions of this Section and payable by the Borrower shall be paid by the Borrower solely pursuant to the provisions of Section 2.08 in the order and priority set forth therein.</w:t>
      </w:r>
    </w:p>
    <w:p>
      <w:pPr>
        <w:pStyle w:val="TextBody"/>
        <w:bidi w:val="0"/>
        <w:jc w:val="center"/>
        <w:rPr>
          <w:rFonts w:ascii="Times New Roman" w:hAnsi="Times New Roman"/>
          <w:color w:val="000000"/>
          <w:sz w:val="24"/>
        </w:rPr>
      </w:pPr>
      <w:r>
        <w:rPr>
          <w:rFonts w:ascii="Times New Roman" w:hAnsi="Times New Roman"/>
          <w:color w:val="000000"/>
          <w:sz w:val="24"/>
        </w:rPr>
        <w:t>122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indemnity obligations in this Section 10.01 shall be cumulative and in addition to any obligation that the Borrower and UACC may otherwise have and shall survive the termination of this Agreement.</w:t>
      </w:r>
    </w:p>
    <w:p>
      <w:pPr>
        <w:pStyle w:val="TextBody"/>
        <w:bidi w:val="0"/>
        <w:spacing w:before="0" w:after="240"/>
        <w:jc w:val="center"/>
        <w:rPr>
          <w:rFonts w:ascii="Times New Roman" w:hAnsi="Times New Roman"/>
          <w:caps/>
          <w:color w:val="2F5496"/>
          <w:sz w:val="24"/>
        </w:rPr>
      </w:pPr>
      <w:r>
        <w:rPr>
          <w:rFonts w:ascii="Times New Roman" w:hAnsi="Times New Roman"/>
          <w:caps/>
          <w:color w:val="2F5496"/>
          <w:sz w:val="24"/>
        </w:rPr>
        <w:t>ARTICLE 11</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THE ADMINISTRATIVE AGENT AND THE AGENTS</w:t>
      </w:r>
    </w:p>
    <w:p>
      <w:pPr>
        <w:pStyle w:val="TextBody"/>
        <w:bidi w:val="0"/>
        <w:spacing w:before="0" w:after="240"/>
        <w:jc w:val="left"/>
        <w:rPr>
          <w:rFonts w:ascii="Times New Roman" w:hAnsi="Times New Roman"/>
          <w:color w:val="2F5496"/>
          <w:sz w:val="24"/>
        </w:rPr>
      </w:pPr>
      <w:r>
        <w:rPr>
          <w:rFonts w:ascii="Times New Roman" w:hAnsi="Times New Roman"/>
          <w:color w:val="2F5496"/>
          <w:sz w:val="24"/>
        </w:rPr>
        <w:t xml:space="preserve">Section 11.01. </w:t>
      </w:r>
    </w:p>
    <w:p>
      <w:pPr>
        <w:pStyle w:val="TextBody"/>
        <w:bidi w:val="0"/>
        <w:spacing w:before="0" w:after="240"/>
        <w:jc w:val="left"/>
        <w:rPr/>
      </w:pPr>
      <w:r>
        <w:rPr>
          <w:rFonts w:ascii="Times New Roman" w:hAnsi="Times New Roman"/>
          <w:color w:val="000000"/>
          <w:sz w:val="24"/>
          <w:u w:val="single"/>
        </w:rPr>
        <w:t>Authorization and Action</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and each Secured Party hereby designates and appoints [***] (and [***] accepts such designation and appointment) as Administrative Agent hereunder, and authorizes the Administrative Agent to take such actions as agent on its behalf and to exercise such powers as are delegated to the Administrative Agent by the terms of this Agreement together with such powers as are reasonably incidental thereto. In performing its functions and duties hereunder, the Administrative Agent shall act solely as agent for the Secured Parties and does not assume nor shall be deemed to have assumed any obligation or relationship of trust or agency with or for the Borrower or any of its successors or assigns. The Administrative Agent shall not be required to take any action which exposes it to personal liability or which is contrary to this Agreement or Applicable Law. The appointment and authority of the Administrative Agent hereunder shall terminate at the indefeasible payment in full of the Aggregate Unpaids.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hereby irrevocably designates and appoints the related Agent as the agent of such Lender under this Agreement, and each such Lender irrevocably authorizes such Agent, as the agent for such Lender, to take such action on its behalf under the provisions of the Basic Documents and to exercise such powers and perform such duties thereunder as are expressly delegated to such Agent by the terms of this Agreement, together with such other powers as are reasonably incidental thereto.</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provision to the contrary elsewhere in this Agreement, neither the Administrative Agent nor any Agent (the Administrative Agent and each Agent being referred to in this Article as an “Agent”) shall have any duties or responsibilities, except those expressly set forth herein, or any fiduciary relationship with any Lender, and no implied covenants, functions, responsibilities, duties, obligations or liabilities shall be read into this Agreement or otherwise exist against any Agent.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promptly distribute to each Agent (if such Agent is not otherwise required to receive such notice), who shall promptly distribute to each related Lender all notices, requests for consent and other information received by the Administrative Agent under this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11.02. </w:t>
      </w:r>
    </w:p>
    <w:p>
      <w:pPr>
        <w:pStyle w:val="TextBody"/>
        <w:bidi w:val="0"/>
        <w:spacing w:before="0" w:after="240"/>
        <w:jc w:val="both"/>
        <w:rPr/>
      </w:pPr>
      <w:r>
        <w:rPr>
          <w:rFonts w:ascii="Times New Roman" w:hAnsi="Times New Roman"/>
          <w:color w:val="000000"/>
          <w:sz w:val="24"/>
          <w:u w:val="single"/>
        </w:rPr>
        <w:t>Delegation of Duties</w:t>
      </w:r>
      <w:r>
        <w:rPr>
          <w:rFonts w:ascii="Times New Roman" w:hAnsi="Times New Roman"/>
          <w:color w:val="000000"/>
          <w:sz w:val="24"/>
        </w:rPr>
        <w:t>. Each Agent may execute any of its duties under any of the Basic Documents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pStyle w:val="TextBody"/>
        <w:bidi w:val="0"/>
        <w:jc w:val="center"/>
        <w:rPr>
          <w:rFonts w:ascii="Times New Roman" w:hAnsi="Times New Roman"/>
          <w:color w:val="000000"/>
          <w:sz w:val="24"/>
        </w:rPr>
      </w:pPr>
      <w:r>
        <w:rPr>
          <w:rFonts w:ascii="Times New Roman" w:hAnsi="Times New Roman"/>
          <w:color w:val="000000"/>
          <w:sz w:val="24"/>
        </w:rPr>
        <w:t>123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11.03. </w:t>
      </w:r>
    </w:p>
    <w:p>
      <w:pPr>
        <w:pStyle w:val="TextBody"/>
        <w:bidi w:val="0"/>
        <w:spacing w:before="0" w:after="240"/>
        <w:jc w:val="both"/>
        <w:rPr/>
      </w:pPr>
      <w:r>
        <w:rPr>
          <w:rFonts w:ascii="Times New Roman" w:hAnsi="Times New Roman"/>
          <w:color w:val="000000"/>
          <w:sz w:val="24"/>
          <w:u w:val="single"/>
        </w:rPr>
        <w:t>Exculpatory Provisions</w:t>
      </w:r>
      <w:r>
        <w:rPr>
          <w:rFonts w:ascii="Times New Roman" w:hAnsi="Times New Roman"/>
          <w:color w:val="000000"/>
          <w:sz w:val="24"/>
        </w:rPr>
        <w:t>. Neither any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any Agent, the breach of its obligations expressly set forth in this Agreement) or (ii) responsible in any manner to any of the Secured Parties for any recitals, statements, representations or warranties made by the Borrower, the Servicer, UACC, the Backup Servicer, the Account Bank or the Custodian contained in this Agreement or in any certificate, report, statement or other document referred to or provided for in, or received under or in connection with, this Agreement or any other Basic Document to which it is a party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Four. No Agent shall be under any obligation to any Secured Party to ascertain or to inquire as to the observance or performance of any of the agreements or covenants contained in, or conditions of, this Agreement, or to inspect the properties, books or records of the Borrower. No Agent shall be deemed to have knowledge of any Termination Event or Servicer Termination Event unless it has received written notice thereof from the Borrower, the Servicer or a Secured Party.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11.04. </w:t>
      </w:r>
    </w:p>
    <w:p>
      <w:pPr>
        <w:pStyle w:val="TextBody"/>
        <w:bidi w:val="0"/>
        <w:spacing w:before="0" w:after="240"/>
        <w:jc w:val="both"/>
        <w:rPr/>
      </w:pPr>
      <w:r>
        <w:rPr>
          <w:rFonts w:ascii="Times New Roman" w:hAnsi="Times New Roman"/>
          <w:color w:val="000000"/>
          <w:sz w:val="24"/>
          <w:u w:val="single"/>
        </w:rPr>
        <w:t>Reliance</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Agent shall be entitled to rely, and shall be fully protected in relying, upon any writing, resolution, notice, consent, certificate, affidavit, letter, cablegram, telegram, telecopy, telex or teletype message, written statement, order or other document or conversation believed by it to be genuine and correct and to have been signed, sent or made by the proper Person or Persons and upon advice and statements of legal counsel (including counsel to the Agent), independent accountants and other experts selected by such Agent.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Agent shall be fully justified in failing or refusing to take any action under any of the Basic Documents unless it shall first receive such advice or concurrence of the Required Agents as it deems appropriate or it shall first be indemnified to its satisfaction by, in the case of (i) the Administrative Agent, the Lenders or by the Committed Lenders or (ii) an Agent, the Lenders or by the Committed Lenders in its Lender Group, against any and all liability and expense which may be incurred by it by reason of taking or continuing to take any such action.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Agent shall in all cases be fully protected in acting, or in refraining from acting, under any of the Basic Documents in accordance with a request of the Required Agents, and such request and any action taken or failure to act pursuant thereto shall be binding upon all present and future Lenders.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Agent shall in all cases be fully protected in acting, or in refraining from acting, under any of the Basic Documents in accordance with a request of (i) Owners in its Lender Group having Invested Percentages aggregating greater than 50.0% of the aggregate Invested Percentages of all Owners in such Lender Group and (ii) Committed Lenders and Liquidity Providers in its Lender Group having Commitments aggregating greater than 50.0% of the aggregate Commitments of all Committed Lenders and Liquidity Providers in such Lender Group, </w:t>
      </w:r>
    </w:p>
    <w:p>
      <w:pPr>
        <w:pStyle w:val="TextBody"/>
        <w:bidi w:val="0"/>
        <w:jc w:val="center"/>
        <w:rPr>
          <w:rFonts w:ascii="Times New Roman" w:hAnsi="Times New Roman"/>
          <w:color w:val="000000"/>
          <w:sz w:val="24"/>
        </w:rPr>
      </w:pPr>
      <w:r>
        <w:rPr>
          <w:rFonts w:ascii="Times New Roman" w:hAnsi="Times New Roman"/>
          <w:color w:val="000000"/>
          <w:sz w:val="24"/>
        </w:rPr>
        <w:t>124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such request and any action taken or failure to act pursuant thereto shall be binding upon all present and future Lender in such Lender Group.</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Agent shall be deemed to have knowledge or notice of the occurrence of any breach of this Agreement or the occurrence of any Termination Event or Servicer Termination Event unless it has received notice from the Borrower, the Servicer, the Backup Servicer or any Lender, referring to this Agreement and describing such event. In the event that the Administrative Agent receives such a notice, it shall promptly give notice thereof to each Agent, and in the event any Agent receives such a notice, it shall promptly give notice thereof to the Lenders in its Lender Group. The Administrative Agent shall take such action with respect to such event as shall be reasonably directed by the Required Agents, and each Agent shall take such action with respect to such event as shall be reasonably directed by (i) Owners in its Lender Group having Invested Percentages aggregating greater than 50.0% of the aggregate Invested Percentages of all Owners in such Lender Group and (ii) Committed Lenders and Liquidity Providers in its Lender Group having Commitments aggregating greater than 50.0% of the aggregate Commitments of all Committed Lenders and Liquidity Providers in such Lender Group; provided that unless and until such Agent shall have received such directions, such Agent may (but shall not be obligated to) take such action, or refrain from taking such action, with respect to such event as it shall deem advisable in the best interests of the Lenders or of the Lenders in its Lender Group, as applicable.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11.05. </w:t>
      </w:r>
    </w:p>
    <w:p>
      <w:pPr>
        <w:pStyle w:val="TextBody"/>
        <w:bidi w:val="0"/>
        <w:spacing w:before="0" w:after="240"/>
        <w:jc w:val="both"/>
        <w:rPr/>
      </w:pPr>
      <w:r>
        <w:rPr>
          <w:rFonts w:ascii="Times New Roman" w:hAnsi="Times New Roman"/>
          <w:color w:val="000000"/>
          <w:sz w:val="24"/>
          <w:u w:val="single"/>
        </w:rPr>
        <w:t>Non-Reliance on Agents and Other Lenders</w:t>
      </w:r>
      <w:r>
        <w:rPr>
          <w:rFonts w:ascii="Times New Roman" w:hAnsi="Times New Roman"/>
          <w:color w:val="000000"/>
          <w:sz w:val="24"/>
        </w:rPr>
        <w:t>. Each Lender expressly acknowledges that no Agent nor any of its officers, directors, employees, agents, attorneys-in-fact or Affiliates has made any representations or warranties to it and that no act by any Agent hereafter taken, including any review of the affairs of the Borrower, UACC, the Servicer, the Backup Servicer, the Account Bank and the Custodian shall be deemed to constitute any representation or warranty by any Agent to any Lender. Each Lender represents to each Agent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Borrower, the Servicer, UACC, the Backup Servicer, the Account Bank or the Custodian and the Receivables and made its own decision to purchase its interest in the Notes hereunder and enter into this Agreement. Each Lender also represents that it will, independently and without reliance upon any Agent or any other Lender, and based on such documents and information as it shall deem appropriate at the time, continue to make its own analysis, appraisals and decisions in taking or not taking action under any of the Basic Documents, and to make such investigation as it deems necessary to inform itself as to the business, operations, property, financial and other condition and creditworthiness of the Borrower, the Servicer, UACC, the Backup Servicer, the Account Bank or the Custodian and the Receivables. Except for notices, reports and other documents received by an Agent hereunder, no Agent shall have any duty or responsibility to provide any Lender with any credit or other information concerning the business, operations, property, condition (financial or otherwise), prospects or creditworthiness of the Borrower, the Servicer, UACC, the Backup Servicer, the Account Bank or the Custodian or the Receivables which may come into the possession of such Agent or any of its officers, directors, employees, agents, attorneys-in-fact or Affiliates.</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11.06. </w:t>
      </w:r>
    </w:p>
    <w:p>
      <w:pPr>
        <w:pStyle w:val="TextBody"/>
        <w:bidi w:val="0"/>
        <w:spacing w:before="0" w:after="240"/>
        <w:jc w:val="both"/>
        <w:rPr/>
      </w:pPr>
      <w:r>
        <w:rPr>
          <w:rFonts w:ascii="Times New Roman" w:hAnsi="Times New Roman"/>
          <w:color w:val="000000"/>
          <w:sz w:val="24"/>
          <w:u w:val="single"/>
        </w:rPr>
        <w:t>Indemnification</w:t>
      </w:r>
      <w:r>
        <w:rPr>
          <w:rFonts w:ascii="Times New Roman" w:hAnsi="Times New Roman"/>
          <w:color w:val="000000"/>
          <w:sz w:val="24"/>
        </w:rPr>
        <w:t xml:space="preserve">. The Committed Lenders (or, in the case of a Lender Group as to which any Committed Lender is also a Conduit Lender, the related Agent for </w:t>
      </w:r>
    </w:p>
    <w:p>
      <w:pPr>
        <w:pStyle w:val="TextBody"/>
        <w:bidi w:val="0"/>
        <w:jc w:val="center"/>
        <w:rPr>
          <w:rFonts w:ascii="Times New Roman" w:hAnsi="Times New Roman"/>
          <w:color w:val="000000"/>
          <w:sz w:val="24"/>
        </w:rPr>
      </w:pPr>
      <w:r>
        <w:rPr>
          <w:rFonts w:ascii="Times New Roman" w:hAnsi="Times New Roman"/>
          <w:color w:val="000000"/>
          <w:sz w:val="24"/>
        </w:rPr>
        <w:t>125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Lender Group) (i) agree to indemnify the Administrative Agent in its capacity as such (without limiting the obligation (if any) of the Borrower or the Servicer to reimburse the Administrative Agent for any such amounts), ratably according to their respective Commitments (or, if the Commitments have terminated, Invested Percentages) and (ii) in each Lender Group agree to indemnify the Agent for such Lender Group in its capacity as such (without limiting the obligation (if any) of the Borrower and the Servicer to reimburse such Agent for any such amounts), ratably according to their respective Commitments (or, if the Commitments have terminated, Invested Percentages), in each case from and against any and all liabilities, obligations, losses, damages, penalties, actions, judgments, suits, costs, expenses or disbursements of any kind whatsoever which may at any time (including at any time following the payment of the obligations under this Agreement, including the Loans Outstanding) be imposed on, incurred by or asserted against such Agent in any way relating to or arising out of this Agreement, or any documents contemplated by or referred to herein or the transactions contemplated hereby or any action taken or omitted by the Agent under or in connection with any of the foregoing; provided that no Lender shall be liable for the payment of any portion of such liabilities, obligations, losses, damages, penalties, actions, judgments, suits, costs, expenses or disbursements of an Agent resulting from its own gross negligence or willful misconduct. The provisions of this Section shall survive the payment of the obligations under this Agreement, including the Loans Outstanding, the termination of this Agreement, and any resignation or removal of the applicable Agent.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11.07. </w:t>
      </w:r>
    </w:p>
    <w:p>
      <w:pPr>
        <w:pStyle w:val="TextBody"/>
        <w:bidi w:val="0"/>
        <w:spacing w:before="0" w:after="240"/>
        <w:jc w:val="both"/>
        <w:rPr/>
      </w:pPr>
      <w:r>
        <w:rPr>
          <w:rFonts w:ascii="Times New Roman" w:hAnsi="Times New Roman"/>
          <w:color w:val="000000"/>
          <w:sz w:val="24"/>
          <w:u w:val="single"/>
        </w:rPr>
        <w:t>Agents in their Individual Capacity</w:t>
      </w:r>
      <w:r>
        <w:rPr>
          <w:rFonts w:ascii="Times New Roman" w:hAnsi="Times New Roman"/>
          <w:color w:val="000000"/>
          <w:sz w:val="24"/>
        </w:rPr>
        <w:t>. Each Agent and its Affiliates may make loans to, accept deposits from and generally engage in any kind of business with the Borrower and any other party to a Basic Document as though it were not an Agent hereunder. In addition, the Lenders acknowledge that one or more Persons which are Agents may act (i) as administrator, sponsor or agent for one or more Conduit Lenders and in such capacity act and may continue to act on behalf of each such Conduit Lender in connection with its business, and (ii) as the agent for certain financial institutions under the liquidity and credit enhancement agreements relating to this Agreement to which any one or more Conduit Lenders is party and in various other capacities relating to the business of any such Conduit Lender under various agreements. Any such Person, in its capacity as Agent, shall not, by virtue of its acting in any such other capacities, be deemed to have duties or responsibilities hereunder or be held to a standard of care in connection with the performance of its duties as an Agent other than as expressly provided in this Agreement. Any Person which is an Agent may act as an Agent without regard to and without additional duties or liabilities arising from its role as such administrator or agent or arising from its acting in any such other capacity. None of the provisions to this Agreement shall require the Administrative Agent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11.08. </w:t>
      </w:r>
    </w:p>
    <w:p>
      <w:pPr>
        <w:pStyle w:val="TextBody"/>
        <w:bidi w:val="0"/>
        <w:spacing w:before="0" w:after="240"/>
        <w:jc w:val="both"/>
        <w:rPr/>
      </w:pPr>
      <w:r>
        <w:rPr>
          <w:rFonts w:ascii="Times New Roman" w:hAnsi="Times New Roman"/>
          <w:color w:val="000000"/>
          <w:sz w:val="24"/>
          <w:u w:val="single"/>
        </w:rPr>
        <w:t>Successor Agents</w:t>
      </w:r>
      <w:r>
        <w:rPr>
          <w:rFonts w:ascii="Times New Roman" w:hAnsi="Times New Roman"/>
          <w:color w:val="000000"/>
          <w:sz w:val="24"/>
        </w:rPr>
        <w:t xml:space="preserve">. The Administrative Agent may freely assign its rights and obligations hereunder upon ten days’ notice to each Agent, the Lenders and the Borrower. The Administrative Agent may resign as Administrative Agent upon ten days’ notice to the Lenders, each Agent and the Borrower with such resignation becoming effective upon a successor agent succeeding to the rights, powers and duties of the Agent pursuant to this Section. If the Administrative Agent shall resign as Administrative Agent under this Agreement, then the Required Agents shall appoint a successor administrative agent. Any Agent may resign as Agent </w:t>
      </w:r>
    </w:p>
    <w:p>
      <w:pPr>
        <w:pStyle w:val="TextBody"/>
        <w:bidi w:val="0"/>
        <w:jc w:val="center"/>
        <w:rPr>
          <w:rFonts w:ascii="Times New Roman" w:hAnsi="Times New Roman"/>
          <w:color w:val="000000"/>
          <w:sz w:val="24"/>
        </w:rPr>
      </w:pPr>
      <w:r>
        <w:rPr>
          <w:rFonts w:ascii="Times New Roman" w:hAnsi="Times New Roman"/>
          <w:color w:val="000000"/>
          <w:sz w:val="24"/>
        </w:rPr>
        <w:t>126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ten days’ notice to the Lenders in its Lender Group, the Administrative Agent and each other Agent and the Borrower with such resignation becoming effective upon a successor agent succeeding to the rights, powers and duties of the Agent pursuant to this Section. If an Agent shall resign as Agent under this Agreement, then (i) Owners in its Lender Group having Invested Percentages aggregating greater than 50.0% of the aggregate Invested Percentages of all Owners in such Lender Group, and (ii) Committed Lenders and Liquidity Providers in its Lender Group having Commitments aggregating greater than 50.0% of the aggregate Commitments of all Committed Lenders and Liquidity Providers in such Lender Group shall appoint from among the Committed Lenders (other than the Conduit Lenders) in such Lender Group a successor agent for such Lender Group. Any successor administrative agent or agent shall succeed to the rights, powers and duties of resigning Agent, and the term “Administrative Agent” or “Agent,” as applicable, shall mean such successor administrative agent or agent effective upon its appointment, and the former Agent’s rights, powers and duties as Agent shall be terminated, without any other or further act or deed on the part of such former Agent or any of the parties to this Agreement. After the retiring Agent’s resignation as Agent, the provisions of this Article shall inure to its benefit as to any actions taken or omitted to be taken by it while it was Agent under this Agreement.</w:t>
      </w:r>
    </w:p>
    <w:p>
      <w:pPr>
        <w:pStyle w:val="TextBody"/>
        <w:bidi w:val="0"/>
        <w:spacing w:before="0" w:after="240"/>
        <w:jc w:val="center"/>
        <w:rPr>
          <w:rFonts w:ascii="Times New Roman" w:hAnsi="Times New Roman"/>
          <w:caps/>
          <w:color w:val="2F5496"/>
          <w:sz w:val="24"/>
        </w:rPr>
      </w:pPr>
      <w:r>
        <w:rPr>
          <w:rFonts w:ascii="Times New Roman" w:hAnsi="Times New Roman"/>
          <w:caps/>
          <w:color w:val="2F5496"/>
          <w:sz w:val="24"/>
        </w:rPr>
        <w:t>ARTICLE 12</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ASSIGNMENTS; PARTICIPATIONS</w:t>
      </w:r>
    </w:p>
    <w:p>
      <w:pPr>
        <w:pStyle w:val="TextBody"/>
        <w:bidi w:val="0"/>
        <w:spacing w:before="0" w:after="240"/>
        <w:jc w:val="left"/>
        <w:rPr>
          <w:rFonts w:ascii="Times New Roman" w:hAnsi="Times New Roman"/>
          <w:color w:val="2F5496"/>
          <w:sz w:val="24"/>
        </w:rPr>
      </w:pPr>
      <w:r>
        <w:rPr>
          <w:rFonts w:ascii="Times New Roman" w:hAnsi="Times New Roman"/>
          <w:color w:val="2F5496"/>
          <w:sz w:val="24"/>
        </w:rPr>
        <w:t xml:space="preserve">Section 12.01. </w:t>
      </w:r>
    </w:p>
    <w:p>
      <w:pPr>
        <w:pStyle w:val="TextBody"/>
        <w:bidi w:val="0"/>
        <w:spacing w:before="0" w:after="240"/>
        <w:jc w:val="left"/>
        <w:rPr/>
      </w:pPr>
      <w:r>
        <w:rPr>
          <w:rFonts w:ascii="Times New Roman" w:hAnsi="Times New Roman"/>
          <w:color w:val="000000"/>
          <w:sz w:val="24"/>
          <w:u w:val="single"/>
        </w:rPr>
        <w:t>Assignments and Participations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agrees that the Notes or interest therein owned by such Lender pursuant to this Agreement will be acquired for investment only and not with a view to any public distribution thereof, and that such Lender will not offer to sell or otherwise dispose of the Notes or the interest therein so acquired by it (or any interest therein) in violation of any of the registration requirements of the Securities Act or any applicable State securities laws. Each Lender hereby confirms and agrees that, in connection with any syndication, offering, transfer or sale by it of any interest in the Notes, such Lender has not engaged and will not engage in a general solicitation or general advertising.</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Lender may upon at least 30 days’ notice to the Borrower, the Administrative Agent and each Agent, assign to one or more banks or other entities all or a portion of its rights and obligations under this Agreement; provided, however, that (i) each such assignment shall be of a constant, and not a varying percentage of all of the assigning Lender’s rights and obligations under this Agreement, (ii) the amount of the Commitment of the assigning Lender being assigned pursuant to each such assignment (determined as of the date of the Assignment and Acceptance with respect to such assignment) shall in no event be less than the lesser of (A) $[***] or an integral multiple of $ [***] in excess of that amount and (B) the full amount of the assigning Lender’s Commitment, (iii) each such assignment shall be to an Eligible Assignee, (iv) the parties to each such assignment shall execute and deliver to the Administrative Agent (with a copy to the Borrower), for its acceptance and recording in the Lender Register, an Assignment and Acceptance, together with a processing and recordation fee of $[***] or such lesser amount as shall be approved by the Administrative Agent, (v) the parties to each such assignment shall have agreed to reimburse the Administrative Agent for all reasonable fees, costs and expenses (including the reasonable fees and disbursements of counsel for the Administrative Agent) </w:t>
      </w:r>
    </w:p>
    <w:p>
      <w:pPr>
        <w:pStyle w:val="TextBody"/>
        <w:bidi w:val="0"/>
        <w:jc w:val="center"/>
        <w:rPr>
          <w:rFonts w:ascii="Times New Roman" w:hAnsi="Times New Roman"/>
          <w:color w:val="000000"/>
          <w:sz w:val="24"/>
        </w:rPr>
      </w:pPr>
      <w:r>
        <w:rPr>
          <w:rFonts w:ascii="Times New Roman" w:hAnsi="Times New Roman"/>
          <w:color w:val="000000"/>
          <w:sz w:val="24"/>
        </w:rPr>
        <w:t>127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incurred by the Administrative Agent in connection with such assignment, (vi) each Person that becomes a Lender under an Assignment and Acceptance shall agree to be bound by the confidentiality provisions of Article Thirteen and (vii) there shall be no increased costs, expenses or taxes incurred by the Administrative Agent or any Lender Group upon assignment or participation. Upon such execution, delivery, acceptance and recording by the Administrative Agent, from and after the effective date specified in each Assignment and Acceptance, which effective date shall be the date of acceptance thereof by the Administrative Agent, unless a later date is specified therein, (i) the assignee thereunder shall be a party hereto and, to the extent that rights and obligations hereunder have been assigned to it pursuant to such Assignment and Acceptance, have the rights and obligations of a Lender hereunder and (ii)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assignee confirms that it has received a copy of this Agreement, together with copies of such financial statements and other documents and information as it has deemed appropriate to make its own credit analysis and decision to enter into such Assignment and Acceptance; (iii) such assignee will, independently and without reliance upon the Administrative Agent, such assigning Lender or any other Lender and based on such documents and information as it shall deem appropriate at the time, continue to make its own credit decisions in taking or not taking action under this Agreement; (iv) such assigning Lender and such assignee confirm that such assignee is an Eligible Assignee; (v) such assignee appoints and authorizes the Administrative Agent to take such action as agent on its behalf and to exercise such powers under this Agreement as are delegated to such agent by the terms hereof, together with such powers as are reasonably incidental thereto; and (vi) such assignee agrees that it will perform in accordance with their terms all of the obligations which by the terms of this Agreement are required to be performed by it as a Lender.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maintain at its address referred to herein a copy of each Assignment and Acceptance delivered to and accepted by it and a register for the recordation of the names, addresses and Commitment of each Lender and the Principal Amount of each Loan made by each Lender from time to time (the “Lender Register”). The entries in the Lender Register shall be conclusive and binding for all purposes, absent manifest error, and the Borrower and the Lenders may treat each Person whose name is recorded in the Lender Register as a Lender hereunder for all purposes of this Agreement. The Lender Register shall be available for inspection by any Agent or Lender at any reasonable time and from time to time upon reasonable prior notice.</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Subject to the provisions of Sections 12.01(a) and 12.01(b), upon its receipt of an Assignment and Acceptance executed by an assigning Lender and an assignee, the Administrative </w:t>
      </w:r>
    </w:p>
    <w:p>
      <w:pPr>
        <w:pStyle w:val="TextBody"/>
        <w:bidi w:val="0"/>
        <w:jc w:val="center"/>
        <w:rPr>
          <w:rFonts w:ascii="Times New Roman" w:hAnsi="Times New Roman"/>
          <w:color w:val="000000"/>
          <w:sz w:val="24"/>
        </w:rPr>
      </w:pPr>
      <w:r>
        <w:rPr>
          <w:rFonts w:ascii="Times New Roman" w:hAnsi="Times New Roman"/>
          <w:color w:val="000000"/>
          <w:sz w:val="24"/>
        </w:rPr>
        <w:t>128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Agent shall, if such Assignment and Acceptance has been completed, accept such Assignment and Acceptance, and the Administrative Agent shall then record the information contained therein in the Lender Register.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may sell participations to one or more banks or other entities in or to all or a portion of its rights and obligations under this Agreement (including all or a portion of its Commitment and each Loan owned by it); provided, however, that (i) such Lender’s obligations under this Agreement (including its Commitment hereunder) shall remain unchanged, (ii) such Lender shall remain solely responsible to the other parties hereto for the performance of such obligations and (iii) the Administrative Agent and the other Lenders shall continue to deal solely and directly with such Lender in connection with such Lender’s rights and obligations under this Agreement. Notwithstanding anything herein to the contrary, each participant shall have the rights of a Lender (including any right to receive payment) under Sections 2.13 and 2.14; provided, however, that no participant shall be entitled to receive payment under either such Section in excess of the amount that would have been payable under such Section by the Borrower to the Lender granting its participation had such participation not been granted, and no Lender granting a participation shall be entitled to receive payment under either such Section in an amount which exceeds the sum of (i) the amount to which such Lender is entitled under such Section with respect to any portion of any Loan owned by such Lender which is not subject to any participation plus (ii) the aggregate amount to which its participants are entitled under such Sections with respect to the amounts of their respective participations. With respect to any participation described in this Section, the participant’s rights as set forth in the agreement between such participant and the applicable Lender to agree to or to restrict such Lender’s ability to agree to any modification, waiver or release of any of the terms of this Agreement or to exercise or refrain from exercising any powers or rights which such Lender may have under or in respect of this Agreement shall be limited to the right to consent to any of the matters set forth in Section 12.01.</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may, in connection with any assignment or participation or proposed assignment or participation pursuant to this Section, disclose to the assignee or participant or proposed assignee or participant any information, including Confidential Information, relating to the Borrower furnished to such Lender by or on behalf of the Borrower.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herein shall prohibit (x) any Lender from pledging or assigning as collateral any of its rights under this Agreement to any Federal Reserve Bank or any other Governmental Authority in accordance with Applicable Law or (y) any Conduit Lender from pledging or granting a security interest in all or any portion of its rights (including, without limitation, any Loans and any rights to payment of principal and Interest) under this Agreement to a collateral trustee in order to comply with Rule 3a-7 under the Investment Company Act; and any such pledge or collateral assignment under this clause (h) may be made without compliance with Section 12.01(a) or 12.01(b).</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herein shall prohibit any Conduit Lender from transferring or pledging as collateral to any Support Party pursuant to a Support Facility or otherwise in connection with its commercial paper program any of its rights under this Agreement and any such transfer or pledge as collateral may be made without compliance with Section 12.01(a) or 12.01(b).</w:t>
      </w:r>
    </w:p>
    <w:p>
      <w:pPr>
        <w:pStyle w:val="TextBody"/>
        <w:bidi w:val="0"/>
        <w:jc w:val="center"/>
        <w:rPr>
          <w:rFonts w:ascii="Times New Roman" w:hAnsi="Times New Roman"/>
          <w:color w:val="000000"/>
          <w:sz w:val="24"/>
        </w:rPr>
      </w:pPr>
      <w:r>
        <w:rPr>
          <w:rFonts w:ascii="Times New Roman" w:hAnsi="Times New Roman"/>
          <w:color w:val="000000"/>
          <w:sz w:val="24"/>
        </w:rPr>
        <w:t>129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caps/>
          <w:color w:val="2F5496"/>
          <w:sz w:val="24"/>
        </w:rPr>
      </w:pPr>
      <w:r>
        <w:rPr>
          <w:rFonts w:ascii="Times New Roman" w:hAnsi="Times New Roman"/>
          <w:caps/>
          <w:color w:val="2F5496"/>
          <w:sz w:val="24"/>
        </w:rPr>
        <w:t>ARTICLE 13</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MUTUAL COVENANTS REGARDING CONFIDENTIALITY</w:t>
      </w:r>
    </w:p>
    <w:p>
      <w:pPr>
        <w:pStyle w:val="TextBody"/>
        <w:bidi w:val="0"/>
        <w:spacing w:before="0" w:after="240"/>
        <w:jc w:val="left"/>
        <w:rPr>
          <w:rFonts w:ascii="Times New Roman" w:hAnsi="Times New Roman"/>
          <w:color w:val="2F5496"/>
          <w:sz w:val="24"/>
        </w:rPr>
      </w:pPr>
      <w:r>
        <w:rPr>
          <w:rFonts w:ascii="Times New Roman" w:hAnsi="Times New Roman"/>
          <w:color w:val="2F5496"/>
          <w:sz w:val="24"/>
        </w:rPr>
        <w:t xml:space="preserve">Section 13.01. </w:t>
      </w:r>
    </w:p>
    <w:p>
      <w:pPr>
        <w:pStyle w:val="TextBody"/>
        <w:bidi w:val="0"/>
        <w:spacing w:before="0" w:after="240"/>
        <w:jc w:val="left"/>
        <w:rPr/>
      </w:pPr>
      <w:r>
        <w:rPr>
          <w:rFonts w:ascii="Times New Roman" w:hAnsi="Times New Roman"/>
          <w:color w:val="000000"/>
          <w:sz w:val="24"/>
          <w:u w:val="single"/>
        </w:rPr>
        <w:t>Covenants of the Borrower, the Servicer, the Backup Servicer, the Account Bank and the Custodian</w:t>
      </w:r>
      <w:r>
        <w:rPr>
          <w:rFonts w:ascii="Times New Roman" w:hAnsi="Times New Roman"/>
          <w:color w:val="000000"/>
          <w:sz w:val="24"/>
        </w:rPr>
        <w:t>. Each of the Borrower, the Servicer, the Backup Servicer, the Account Bank and the Custodian severally and with respect to itself only, covenants and agrees to hold in confidence, and not disclose to any Person, the terms of this Agreement (including any fees payable in connection with this Agreement or the identity of a Lender under this Agreement), except as the Administrative Agent, the related Agent or any such Lender may have consented to in writing prior to any proposed disclosure and except it may disclose such information (i) to its Advisors, officers, directors, employees, agents, counsel, accountants, subservicers, auditors, advisors or representatives, (ii) to the extent such information has become available to the public other than as a result of a disclosure by or through the Borrower, the Servicer, the Backup Servicer, the Account Bank or the Custodian, (iii) to [***] or their respective Affiliates, or (iv) to the extent it is (a) required by Applicable Law (including filing a copy of this Agreement and the other Basic Documents (other than the Fee Letter and excluding from any such copy the identity of each Lender)) as exhibits to filings required to be made with the Securities and Exchange Commission, or in connection with any legal or regulatory proceeding, (b) requested by any Governmental Authority to disclose such information or (c) requested by any Rating Agency; provided, that, in the case of clause (iv)(a), the Borrower, the Servicer, the Backup Servicer, the Account Bank and the Custodian, as applicable, will use all reasonable efforts to maintain confidentiality and will (unless otherwise prohibited by Applicable Law) notify the Agent or Lender of its intention to make any such disclosure prior to making such disclosure.</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13.02. </w:t>
      </w:r>
    </w:p>
    <w:p>
      <w:pPr>
        <w:pStyle w:val="TextBody"/>
        <w:bidi w:val="0"/>
        <w:spacing w:before="0" w:after="240"/>
        <w:jc w:val="both"/>
        <w:rPr/>
      </w:pPr>
      <w:r>
        <w:rPr>
          <w:rFonts w:ascii="Times New Roman" w:hAnsi="Times New Roman"/>
          <w:color w:val="000000"/>
          <w:sz w:val="24"/>
          <w:u w:val="single"/>
        </w:rPr>
        <w:t>Covenants of the Administrative Agent, the Agents and the Lenders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Administrative Agent, each Agent and each Lender covenants and agrees that it will not disclose any of the Confidential Information now or hereafter received or obtained by it without the Borrower’s prior written consent; provided, however, that (i) it may disclose any such Confidential Information to those of its employees or Affiliates directly involved in the transactions contemplated by the Basic Documents or to the Rating Agencies and (ii) any Conduit Lender (or any administrative agent on its behalf) and its officers and employees may disclose any Confidential Information to any collateral trustee appointed by such Conduit Lender to comply with Rule 3a-7 under the Investment Company Act, provided that such collateral trustee is informed of the confidential nature of such information.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Administrative Agent, each Agent and each Lender may also disclose any such Confidential Information to its Advisors who need to know such information for the purpose of assisting it in connection with the transactions contemplated by the Basic Documents. Each of the Administrative Agent, each Agent and each Lender agrees to be responsible for any breach of this Agreement by its Affiliates and Advisors, and it agrees that its Affiliates and Advisors will be advised by it of the confidential nature of such information and that it shall cause its Affiliates to be bound by this Agreement.</w:t>
      </w:r>
    </w:p>
    <w:p>
      <w:pPr>
        <w:pStyle w:val="TextBody"/>
        <w:bidi w:val="0"/>
        <w:jc w:val="center"/>
        <w:rPr>
          <w:rFonts w:ascii="Times New Roman" w:hAnsi="Times New Roman"/>
          <w:color w:val="000000"/>
          <w:sz w:val="24"/>
        </w:rPr>
      </w:pPr>
      <w:r>
        <w:rPr>
          <w:rFonts w:ascii="Times New Roman" w:hAnsi="Times New Roman"/>
          <w:color w:val="000000"/>
          <w:sz w:val="24"/>
        </w:rPr>
        <w:t>130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Administrative Agent, any Agent, any Lender nor any of their respective Affiliates, employees, agents or Advisors, without the prior written consent of the Borrower, will disclose to any person the fact that Confidential Information has been provided to it or them, that discussions or negotiations have taken place with respect to the transactions contemplated by the Basic Documents, or the existence, terms, conditions or other facts of the transactions contemplated by the Basic Documents, including the status thereof.</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Administrative Agent, each Agent and each Lender acknowledges and agrees that any Confidential Information provided to it, in whatever form, is the sole property of the Borrower and UACC. Neither such Person nor its Affiliates or Advisors shall use any of the Confidential Information now or hereafter received or obtained from or through the Borrower, UACC or any of their respective Affiliates for any purpose other than for purposes of engaging in, or as otherwise contemplated by, the transactions contemplated by the Basic Documents. The Administrative Agent and each Lender agree that if the Borrower and/or UACC should request that it destroy or return the Confidential Information, it shall return or destroy such Confidential Information as so directed; provided that it shall be permitted to retain only that portion of the Confidential Information, in accordance with the confidentiality obligations specified in this Agreement, that is necessary for purposes of documenting any due diligence review performed by it in connection with the Transaction.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Administrative Agent, each Agent and each Lender acknowledges that all Confidential Information is considered to be proprietary and of competitive value, and in many instances trade secrets. Each of the Administrative Agent, each Agent and each Lender agrees that because of the unique nature of the Confidential Information any breach of this Agreement would cause the Borrower, UACC and their respective Affiliates irreparable harm and money damages and other remedies available at law in the event of a breach would not be adequate to compensate the Borrower, UACC and their Affiliates for any such breach. Accordingly, each of the Administrative Agent, each Agent and each Lender acknowledges and agrees that the Borrower, UACC and their respective Affiliates shall be entitled, without the requirement of posting a bond or other security, to equitable relief, including injunctive relief and specific performance, as a remedy for any such breach. Such relief shall be in addition to, and not in lieu of, all other remedies available to the Borrower, UACC and their respective Affiliates whether at law or in equity.</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the Administrative Agent, any Agent, a Lender or any of their respective Affiliates or Advisors are legally compelled (whether by deposition, interrogatory, request for documents, subpoena, civil investigation, demand or similar process) to disclose any of the Confidential Information (including the fact that discussions or negotiations took place with respect to the transactions contemplated by the Basic Documents), the related entity shall promptly notify the Borrower and UACC in writing (unless it has been advised by an Opinion of Counsel that such notification is prohibited by Applicable Law or regulation) of such requirement so that the Borrower and/or UACC, at their sole cost and expense, may seek a protective order or other appropriate remedy and/or waive compliance with the provisions hereof. The Administrative Agent, each Agent and each Lender agrees to use its reasonable efforts, upon the written request of the Borrower or UACC, to obtain or assist the Borrower or the Servicer in obtaining any such protective order. Failing the reasonably timely entry of a protective order or the reasonably timely receipt of a waiver hereunder, it may disclose, without liability hereunder, that portion (and only that portion) of the Confidential Information that it has been advised by an Opinion of Counsel </w:t>
      </w:r>
    </w:p>
    <w:p>
      <w:pPr>
        <w:pStyle w:val="TextBody"/>
        <w:bidi w:val="0"/>
        <w:jc w:val="center"/>
        <w:rPr>
          <w:rFonts w:ascii="Times New Roman" w:hAnsi="Times New Roman"/>
          <w:color w:val="000000"/>
          <w:sz w:val="24"/>
        </w:rPr>
      </w:pPr>
      <w:r>
        <w:rPr>
          <w:rFonts w:ascii="Times New Roman" w:hAnsi="Times New Roman"/>
          <w:color w:val="000000"/>
          <w:sz w:val="24"/>
        </w:rPr>
        <w:t>131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that it is legally compelled to disclose; provided that it agrees to use reasonable efforts to obtain assurance that confidential treatment will be accorded such Confidential Information by the person or persons to whom it was disclosed.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it is understood that the Administrative Agent, each Agent and each Lender or its Affiliates may be required to disclose (and may so disclose, without liability hereunder, provided that it complies with the following sentence) the Confidential Information or portions thereof at the request of a bank examiner or other regulatory authority or in connection with an examination of it or its Affiliates by a bank examiner or other regulatory authority, including in connection with the regulator compliance policy of Administrative Agent, any Agent or any Lender. Under such circumstances, the related entity agrees to provide notice to the Borrower and UACC as soon as practicable in connection with (and, if possible, before) releasing the Confidential Information to the bank examiner or other regulatory authority pursuant to such request or examination.</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understood and agreed that no failure or delay by the Borrower, the Servicer, the Backup Servicer, the Account Bank, the Custodian, the Administrative Agent, each Agent or any Lender in exercising any right, power or privilege hereunder shall operate as a waiver thereof, nor shall any single or partial exercise thereof preclude any other or further exercise thereof or the exercise of any right, power or privilege hereunder.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13.03. </w:t>
      </w:r>
    </w:p>
    <w:p>
      <w:pPr>
        <w:pStyle w:val="TextBody"/>
        <w:bidi w:val="0"/>
        <w:spacing w:before="0" w:after="240"/>
        <w:jc w:val="both"/>
        <w:rPr/>
      </w:pPr>
      <w:r>
        <w:rPr>
          <w:rFonts w:ascii="Times New Roman" w:hAnsi="Times New Roman"/>
          <w:color w:val="000000"/>
          <w:sz w:val="24"/>
          <w:u w:val="single"/>
        </w:rPr>
        <w:t>Non-Confidentiality of Tax Treatment and Tax Structure</w:t>
      </w:r>
      <w:r>
        <w:rPr>
          <w:rFonts w:ascii="Times New Roman" w:hAnsi="Times New Roman"/>
          <w:color w:val="000000"/>
          <w:sz w:val="24"/>
        </w:rPr>
        <w:t>. Notwithstanding anything to the contrary contained herein or in any document related to the transactions contemplated hereby, in connection with Treasury Regulations Section 1.6011-4T, Section 301.6111-1T and Section 301.6112-1T of the Code, the parties hereby agree that, from the commencement of discussions with respect to the transactions described herein, each party hereto (and each of its employees, representatives, Advisors, Affiliates or agents) is permitted to disclose to any and all persons of any kind (other than limitations imposed by State or federal securities laws), the structure and tax aspects of the transactions, and all materials of any kind (including opinions or other tax analyses) that are provided to each such party related to such structure and tax aspects. In this regard, each party hereto acknowledges and agrees that this disclosure of the structure or tax aspects of the transactions is not limited in any way by an express or implied understanding or agreement, oral or written (whether or not such understanding or agreement is legally binding) except as is reasonably necessary to comply with state and federal securities laws. Furthermore, each party hereto acknowledges and agrees that it does not know or have reason to know that it use or disclosure of information relating to the structure or tax aspects of the transactions is limited in any other manner (such as where the transactions are claimed to be proprietary or exclusive) for the benefit of any other Person (other than as it may be limited by State or federal securities laws).</w:t>
      </w:r>
    </w:p>
    <w:p>
      <w:pPr>
        <w:pStyle w:val="TextBody"/>
        <w:bidi w:val="0"/>
        <w:spacing w:before="0" w:after="240"/>
        <w:jc w:val="center"/>
        <w:rPr>
          <w:rFonts w:ascii="Times New Roman" w:hAnsi="Times New Roman"/>
          <w:caps/>
          <w:color w:val="2F5496"/>
          <w:sz w:val="24"/>
        </w:rPr>
      </w:pPr>
      <w:r>
        <w:rPr>
          <w:rFonts w:ascii="Times New Roman" w:hAnsi="Times New Roman"/>
          <w:caps/>
          <w:color w:val="2F5496"/>
          <w:sz w:val="24"/>
        </w:rPr>
        <w:t>ARTICLE 14</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MISCELLANEOUS</w:t>
      </w:r>
    </w:p>
    <w:p>
      <w:pPr>
        <w:pStyle w:val="TextBody"/>
        <w:bidi w:val="0"/>
        <w:spacing w:before="0" w:after="240"/>
        <w:jc w:val="left"/>
        <w:rPr>
          <w:rFonts w:ascii="Times New Roman" w:hAnsi="Times New Roman"/>
          <w:color w:val="2F5496"/>
          <w:sz w:val="24"/>
        </w:rPr>
      </w:pPr>
      <w:r>
        <w:rPr>
          <w:rFonts w:ascii="Times New Roman" w:hAnsi="Times New Roman"/>
          <w:color w:val="2F5496"/>
          <w:sz w:val="24"/>
        </w:rPr>
        <w:t xml:space="preserve">Section 14.01. </w:t>
      </w:r>
    </w:p>
    <w:p>
      <w:pPr>
        <w:pStyle w:val="TextBody"/>
        <w:bidi w:val="0"/>
        <w:spacing w:before="0" w:after="240"/>
        <w:jc w:val="left"/>
        <w:rPr/>
      </w:pPr>
      <w:r>
        <w:rPr>
          <w:rFonts w:ascii="Times New Roman" w:hAnsi="Times New Roman"/>
          <w:color w:val="000000"/>
          <w:sz w:val="24"/>
          <w:u w:val="single"/>
        </w:rPr>
        <w:t>Amendments and Waivers</w:t>
      </w:r>
      <w:r>
        <w:rPr>
          <w:rFonts w:ascii="Times New Roman" w:hAnsi="Times New Roman"/>
          <w:color w:val="000000"/>
          <w:sz w:val="24"/>
        </w:rPr>
        <w:t xml:space="preserve">. Except as otherwise provided in this Section and in Section 2.17, no amendment, waiver or other modification of any provision of this Agreement or any schedule or exhibit hereto shall be effective without the written agreement of </w:t>
      </w:r>
    </w:p>
    <w:p>
      <w:pPr>
        <w:pStyle w:val="TextBody"/>
        <w:bidi w:val="0"/>
        <w:jc w:val="center"/>
        <w:rPr>
          <w:rFonts w:ascii="Times New Roman" w:hAnsi="Times New Roman"/>
          <w:color w:val="000000"/>
          <w:sz w:val="24"/>
        </w:rPr>
      </w:pPr>
      <w:r>
        <w:rPr>
          <w:rFonts w:ascii="Times New Roman" w:hAnsi="Times New Roman"/>
          <w:color w:val="000000"/>
          <w:sz w:val="24"/>
        </w:rPr>
        <w:t>132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parties hereto. The Administrative Agent shall provide a copy of each such proposed amendment, waiver or other modification to each Hedge Counterparty. Notwithstanding the foregoing, no such amendment, waiver, or consent shall, without the written consent of (i) the Required Agents, (a) waive any condition set forth in Section 4.02, (b) amend any provision of Section 2.08, (c) amend any provision of Schedule B or (d) reduce the principal or the rate of Interest on any Loans Outstanding or any fees or other amounts payable hereunder or under any other Basic Documents or (ii) all Lenders, (a) change any provision of this Section or the definition of “Required Agents”, “Termination Event” or “Servicer Termination Event” or any other provision hereof specifying the number or percentage of Lenders required to amend, waive, or otherwise modify any rights hereunder or make any determination or grant any consent hereunder or (b) amend or change the definition of “Receivables Advance Rate,” “Permitted Modifications Advance Rate,” “Net Loss-to-Liquidation Ratio,” “Portfolio Purchase Receivables Advance Rate,” “Weighted Average Advance Rate”, “Borrowing Base”, “Maximum Borrowing Base”, “Excess Concentration Amount”, “Delinquency Ratio”, “Level I Overcollateralization Increase Event”, “Level II Overcollateralization Increase Event,” “Level III Overcollateralization Increase Event,” “Receivables Advance Rate,” “Serviced Portfolio Net Loss-to-Liquidation Ratio,” “Serviced Portfolio Delinquency Ratio”, “Serviced Portfolio Extension Ratio” or any provision of this Agreement that uses any of the foregoing terms; provided, that (1) no amendment, waiver or consent shall, unless in writing and signed by the Administrative Agent in addition to the Lenders required above, affect the rights or duties of the Administrative Agent under this Agreement or any other Basic Document and (2) the Fee Letter may only be amended, or rights or privileges thereunder waived, in a writing executed by the parties thereto and with the consent of the Required Agents.</w:t>
      </w:r>
    </w:p>
    <w:p>
      <w:pPr>
        <w:pStyle w:val="TextBody"/>
        <w:bidi w:val="0"/>
        <w:spacing w:before="0" w:after="240"/>
        <w:jc w:val="both"/>
        <w:rPr>
          <w:rFonts w:ascii="Times New Roman" w:hAnsi="Times New Roman"/>
          <w:sz w:val="20"/>
        </w:rPr>
      </w:pPr>
      <w:r>
        <w:rPr>
          <w:rFonts w:ascii="Times New Roman" w:hAnsi="Times New Roman"/>
          <w:color w:val="000000"/>
          <w:sz w:val="24"/>
        </w:rPr>
        <w:t>No amendment, waiver or other modification which could have a material adverse effect on the rights or obligations of any Hedge Counterparty shall be effective against such Hedge Counterparty without the prior written agreement of such Hedge Counterparty.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14.02. </w:t>
      </w:r>
    </w:p>
    <w:p>
      <w:pPr>
        <w:pStyle w:val="TextBody"/>
        <w:bidi w:val="0"/>
        <w:spacing w:before="0" w:after="240"/>
        <w:jc w:val="both"/>
        <w:rPr/>
      </w:pPr>
      <w:r>
        <w:rPr>
          <w:rFonts w:ascii="Times New Roman" w:hAnsi="Times New Roman"/>
          <w:color w:val="000000"/>
          <w:sz w:val="24"/>
          <w:u w:val="single"/>
        </w:rPr>
        <w:t>Notices, Etc.</w:t>
      </w:r>
      <w:r>
        <w:rPr>
          <w:color w:val="000000"/>
        </w:rPr>
        <w:t xml:space="preserve"> </w:t>
      </w:r>
      <w:r>
        <w:rPr>
          <w:rFonts w:ascii="Times New Roman" w:hAnsi="Times New Roman"/>
          <w:color w:val="000000"/>
          <w:sz w:val="24"/>
        </w:rPr>
        <w:t>All notices and other communications provided for hereunder shall, unless otherwise stated herein, be in writing (including telex communication and communication by facsimile copy) and e-mailed, mailed, telexed, transmitted or delivered, as to each party hereto, at its address set forth under its name on the signature pages hereof or specified in such party’s Assignment and Acceptance or at such other address as shall be designated by such party in a written notice to the other parties hereto. All such notices and communications shall be effective, upon receipt, or in the case of notice by (i) mail, five days after being deposited in the United States mail, first class postage prepaid, (ii) telex, when telexed against receipt of answer back, (iii) facsimile copy, when verbal communication of receipt is obtained or (iv) e-mail, when receipt is confirmed by telephone or by reply e-mail from the recipient, except that notices and communications pursuant to Article Two shall not be effective until received with respect to any notice sent by mail or telex.</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14.03. </w:t>
      </w:r>
    </w:p>
    <w:p>
      <w:pPr>
        <w:pStyle w:val="TextBody"/>
        <w:bidi w:val="0"/>
        <w:spacing w:before="0" w:after="240"/>
        <w:jc w:val="both"/>
        <w:rPr/>
      </w:pPr>
      <w:r>
        <w:rPr>
          <w:rFonts w:ascii="Times New Roman" w:hAnsi="Times New Roman"/>
          <w:color w:val="000000"/>
          <w:sz w:val="24"/>
          <w:u w:val="single"/>
        </w:rPr>
        <w:t>No Waiver, Rights and Remedies</w:t>
      </w:r>
      <w:r>
        <w:rPr>
          <w:rFonts w:ascii="Times New Roman" w:hAnsi="Times New Roman"/>
          <w:color w:val="000000"/>
          <w:sz w:val="24"/>
        </w:rPr>
        <w:t>. No failure on the part of each Agent or any Secured Party or any assignee of any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Applicable Law.</w:t>
      </w:r>
    </w:p>
    <w:p>
      <w:pPr>
        <w:pStyle w:val="TextBody"/>
        <w:bidi w:val="0"/>
        <w:jc w:val="center"/>
        <w:rPr>
          <w:rFonts w:ascii="Times New Roman" w:hAnsi="Times New Roman"/>
          <w:color w:val="000000"/>
          <w:sz w:val="24"/>
        </w:rPr>
      </w:pPr>
      <w:r>
        <w:rPr>
          <w:rFonts w:ascii="Times New Roman" w:hAnsi="Times New Roman"/>
          <w:color w:val="000000"/>
          <w:sz w:val="24"/>
        </w:rPr>
        <w:t>133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14.04. </w:t>
      </w:r>
    </w:p>
    <w:p>
      <w:pPr>
        <w:pStyle w:val="TextBody"/>
        <w:bidi w:val="0"/>
        <w:spacing w:before="0" w:after="240"/>
        <w:jc w:val="both"/>
        <w:rPr/>
      </w:pPr>
      <w:r>
        <w:rPr>
          <w:rFonts w:ascii="Times New Roman" w:hAnsi="Times New Roman"/>
          <w:color w:val="000000"/>
          <w:sz w:val="24"/>
          <w:u w:val="single"/>
        </w:rPr>
        <w:t>Binding Effect</w:t>
      </w:r>
      <w:r>
        <w:rPr>
          <w:rFonts w:ascii="Times New Roman" w:hAnsi="Times New Roman"/>
          <w:color w:val="000000"/>
          <w:sz w:val="24"/>
        </w:rPr>
        <w:t>. This Agreement shall be binding upon and inure to the benefit of the Borrower, the Servicer, the Backup Servicer, the Account Bank, the Custodian, each Agent, the Secured Parties and their respective successors and permitted assigns and each Hedge Counterparty shall be an express third-party beneficiary of this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14.05. </w:t>
      </w:r>
    </w:p>
    <w:p>
      <w:pPr>
        <w:pStyle w:val="TextBody"/>
        <w:bidi w:val="0"/>
        <w:spacing w:before="0" w:after="240"/>
        <w:jc w:val="both"/>
        <w:rPr/>
      </w:pPr>
      <w:r>
        <w:rPr>
          <w:rFonts w:ascii="Times New Roman" w:hAnsi="Times New Roman"/>
          <w:color w:val="000000"/>
          <w:sz w:val="24"/>
          <w:u w:val="single"/>
        </w:rPr>
        <w:t>Term of this Agreement</w:t>
      </w:r>
      <w:r>
        <w:rPr>
          <w:rFonts w:ascii="Times New Roman" w:hAnsi="Times New Roman"/>
          <w:color w:val="000000"/>
          <w:sz w:val="24"/>
        </w:rPr>
        <w:t>. This Agreement shall remain in full force and effect until the Facility Termination Date; provided, however, that the rights and remedies with respect to any breach of any representation and warranty made or deemed made by the Borrower pursuant to Article Five and the indemnification and payment provisions of Article Ten, the confidentiality provisions of Article Thirteen, the provisions of Section 14.10 and any other provision of this Agreement expressly stated to survive, shall be continuing and shall survive any termination of this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14.06. </w:t>
      </w:r>
    </w:p>
    <w:p>
      <w:pPr>
        <w:pStyle w:val="TextBody"/>
        <w:bidi w:val="0"/>
        <w:spacing w:before="0" w:after="240"/>
        <w:jc w:val="both"/>
        <w:rPr/>
      </w:pPr>
      <w:r>
        <w:rPr>
          <w:rFonts w:ascii="Times New Roman" w:hAnsi="Times New Roman"/>
          <w:b/>
          <w:color w:val="000000"/>
          <w:sz w:val="24"/>
          <w:u w:val="single"/>
        </w:rPr>
        <w:t>GOVERNING LAW; CONSENT TO JURISDICTION; WAIVER OF OBJECTION TO VENUE</w:t>
      </w:r>
      <w:r>
        <w:rPr>
          <w:rFonts w:ascii="Times New Roman" w:hAnsi="Times New Roman"/>
          <w:b/>
          <w:color w:val="000000"/>
          <w:sz w:val="24"/>
        </w:rPr>
        <w:t>. THIS AGREEMENT SHALL BE GOVERNED BY, AND CONSTRUED IN ACCORDANCE WITH, THE LAWS OF THE STATE OF NEW YORK WITHOUT REFERENCE TO ITS CONFLICTS OF LAW PROVISIONS (OTHER THAN § 5</w:t>
        <w:noBreakHyphen/>
        <w:t>1401 AND § 5</w:t>
        <w:noBreakHyphen/>
        <w:t>1402 OF THE NEW YORK GENERAL OBLIGATIONS LAW). EACH OF THE PARTIES HERETO HEREBY AGREES TO THE NON-EXCLUSIVE JURISDICTION OF ANY FEDERAL COURT LOCATED WITHIN THE STATE OF NEW YORK.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14.07. </w:t>
      </w:r>
    </w:p>
    <w:p>
      <w:pPr>
        <w:pStyle w:val="TextBody"/>
        <w:bidi w:val="0"/>
        <w:spacing w:before="0" w:after="240"/>
        <w:jc w:val="both"/>
        <w:rPr/>
      </w:pPr>
      <w:r>
        <w:rPr>
          <w:rFonts w:ascii="Times New Roman" w:hAnsi="Times New Roman"/>
          <w:b/>
          <w:color w:val="000000"/>
          <w:sz w:val="24"/>
          <w:u w:val="single"/>
        </w:rPr>
        <w:t>WAIVER OF JURY TRIAL</w:t>
      </w:r>
      <w:r>
        <w:rPr>
          <w:rFonts w:ascii="Times New Roman" w:hAnsi="Times New Roman"/>
          <w:b/>
          <w:color w:val="000000"/>
          <w:sz w:val="24"/>
        </w:rPr>
        <w:t>. 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14.08. </w:t>
      </w:r>
    </w:p>
    <w:p>
      <w:pPr>
        <w:pStyle w:val="TextBody"/>
        <w:bidi w:val="0"/>
        <w:spacing w:before="0" w:after="240"/>
        <w:jc w:val="both"/>
        <w:rPr/>
      </w:pPr>
      <w:r>
        <w:rPr>
          <w:rFonts w:ascii="Times New Roman" w:hAnsi="Times New Roman"/>
          <w:color w:val="000000"/>
          <w:sz w:val="24"/>
          <w:u w:val="single"/>
        </w:rPr>
        <w:t>Costs, Expenses and Taxes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addition to the rights of indemnification granted to the Administrative Agent, each Agent, the Backup Servicer, the Account Bank, the Secured Parties and its or their Affiliates and officers, directors, employees and agents thereof under Article Ten, the Borrower agrees to pay on demand all reasonable costs and expenses of each Agent, the Backup Servicer, the Account Bank and the Secured Parties incurred in connection with the administration (including periodic auditing), amendment or modification of, or any waiver or consent issued in connection with, this Agreement and the other documents to be delivered hereunder or in connection herewith, including, subject to Section 2.12(d), the reasonable fees and out-of-pocket expenses of counsel for the Backup Servicer, the Account Bank, each Agent and the Secured Parties with respect </w:t>
      </w:r>
    </w:p>
    <w:p>
      <w:pPr>
        <w:pStyle w:val="TextBody"/>
        <w:bidi w:val="0"/>
        <w:jc w:val="center"/>
        <w:rPr>
          <w:rFonts w:ascii="Times New Roman" w:hAnsi="Times New Roman"/>
          <w:color w:val="000000"/>
          <w:sz w:val="24"/>
        </w:rPr>
      </w:pPr>
      <w:r>
        <w:rPr>
          <w:rFonts w:ascii="Times New Roman" w:hAnsi="Times New Roman"/>
          <w:color w:val="000000"/>
          <w:sz w:val="24"/>
        </w:rPr>
        <w:t>134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thereto and with respect to advising such entities as to their respective rights and remedies under this Agreement and the other documents to be delivered hereunder or in connection herewith, and all costs and expenses, if any (including reasonable counsel fees and expenses), incurred by such entities in connection with the enforcement of this Agreement and the other documents to be delivered hereunder or in connection herewith.</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shall promptly pay on demand any and all stamp, sales, excise and other taxes and fees payable or determined to be payable in connection with the execution, delivery, filing and recording of this Agreement, the other documents to be delivered hereunder or any agreement or other document providing liquidity support, credit enhancement or other similar support to a Lender in connection with this Agreement or the funding or maintenance of Loans hereunder.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14.09. </w:t>
      </w:r>
    </w:p>
    <w:p>
      <w:pPr>
        <w:pStyle w:val="TextBody"/>
        <w:bidi w:val="0"/>
        <w:spacing w:before="0" w:after="240"/>
        <w:jc w:val="both"/>
        <w:rPr/>
      </w:pPr>
      <w:r>
        <w:rPr>
          <w:rFonts w:ascii="Times New Roman" w:hAnsi="Times New Roman"/>
          <w:color w:val="000000"/>
          <w:sz w:val="24"/>
          <w:u w:val="single"/>
        </w:rPr>
        <w:t>No Insolvency Proceedings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prior termination of this Agreement, no Lender shall, prior to the date which is one year and one day after the final payment of the Aggregate Unpaids, petition, cooperate with or encourage any other Person in petitioning or otherwise invoke the process of any Governmental Authority for the purpose of commencing or sustaining an Insolvency Proceeding against the Borrower under any United States federal or State Insolvency Laws or appointing a receiver, liquidator, assignee, trustee, custodian, sequestrator or other similar official of the Borrower or any substantial part of its property or ordering the winding up or liquidation of the affairs of the Borrower.</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prior termination of this Agreement, each of the Borrower and the Servicer hereby agrees that it shall not institute against, or join any other person in instituting against, any Conduit Lender any Insolvency Proceeding, for one year and a day after the latest maturing Commercial Paper Note or other debt security issued by such Conduit Lender is paid.</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14.10. </w:t>
      </w:r>
    </w:p>
    <w:p>
      <w:pPr>
        <w:pStyle w:val="TextBody"/>
        <w:bidi w:val="0"/>
        <w:spacing w:before="0" w:after="240"/>
        <w:jc w:val="both"/>
        <w:rPr/>
      </w:pPr>
      <w:r>
        <w:rPr>
          <w:rFonts w:ascii="Times New Roman" w:hAnsi="Times New Roman"/>
          <w:color w:val="000000"/>
          <w:sz w:val="24"/>
          <w:u w:val="single"/>
        </w:rPr>
        <w:t>Recourse Against Certain Parties</w:t>
      </w:r>
      <w:r>
        <w:rPr>
          <w:rFonts w:ascii="Times New Roman" w:hAnsi="Times New Roman"/>
          <w:color w:val="000000"/>
          <w:sz w:val="24"/>
        </w:rPr>
        <w: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recourse under or with respect to any obligation, covenant or agreement (including the payment of any fees or any other obligations) of each Agent or any Secured Party as contained in this Agreement or any other agreement, instrument or document entered into by it pursuant hereto or in connection herewith shall be had against any such Person or any manager or administrator of such Person or any incorporator, affiliate, stockholder, officer, employee or director of such Person or of the Borrower or of any such manager or administrator, as such, by the enforcement of any assessment or by any legal or equitable proceeding, by virtue of any statute or otherwise; it being expressly agreed and understood that the agreements of the Administrative Agent, the Agents and any Secured Party contained in this Agreement and all of the other agreements, instruments and documents entered into by it pursuant hereto or in connection herewith are, in each case, solely the corporate obligations of such Person, and that no personal liability whatsoever shall attach to or be incurred by any administrator of any such Person or any incorporator, stockholder, affiliate, officer, employee or director of such Person or of any such administrator, as such, or any other of them, under or by reason of any of the obligations, covenants or agreements of such Person contained in this Agreement or in any other such instruments, documents or agreements, or that are implied therefrom, and that any and all personal liability of </w:t>
      </w:r>
    </w:p>
    <w:p>
      <w:pPr>
        <w:pStyle w:val="TextBody"/>
        <w:bidi w:val="0"/>
        <w:jc w:val="center"/>
        <w:rPr>
          <w:rFonts w:ascii="Times New Roman" w:hAnsi="Times New Roman"/>
          <w:color w:val="000000"/>
          <w:sz w:val="24"/>
        </w:rPr>
      </w:pPr>
      <w:r>
        <w:rPr>
          <w:rFonts w:ascii="Times New Roman" w:hAnsi="Times New Roman"/>
          <w:color w:val="000000"/>
          <w:sz w:val="24"/>
        </w:rPr>
        <w:t>135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every such administrator of such Person and each incorporator, stockholder, affiliate, officer, employee or director of such Person or of any such administrator, or any of them, for breaches by such Person of any such obligations, covenants or agreements, which liability may arise either at common law or at equity, by statute or constitution, or otherwise, is hereby expressly waived as a condition of and in consideration for the execution of this Agreement. The provisions of this Section shall survive the termination of this Agreement.</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in this Agreement or any other Basic Document to the contrary, no Conduit Lender shall have any obligation to pay any amount required to be paid by it hereunder or thereunder in excess of any amount available to such Conduit Lender after paying or making provision for the payment of its Commercial Paper Notes. All payment obligations of any Conduit Lender hereunder are contingent upon the availability of funds in excess of the amounts necessary to pay Commercial Paper Notes; and each of the Borrower, the Servicer, the Administrative Agent, each Agent and the Secured Parties agrees that they shall not have a claim under Section 101(5) of the Bankruptcy Code if and to the extent that any such payment obligation exceeds the amount available to any Conduit Lender to pay such amounts after paying or making provision for the payment of its Commercial Paper Notes.</w:t>
      </w:r>
    </w:p>
    <w:p>
      <w:pPr>
        <w:pStyle w:val="TextBody"/>
        <w:bidi w:val="0"/>
        <w:spacing w:before="0" w:after="240"/>
        <w:jc w:val="both"/>
        <w:rPr>
          <w:rFonts w:ascii="Times New Roman" w:hAnsi="Times New Roman"/>
          <w:color w:val="1F3763"/>
          <w:sz w:val="24"/>
        </w:rPr>
      </w:pPr>
      <w:r>
        <w:rPr>
          <w:rFonts w:ascii="Times New Roman" w:hAnsi="Times New Roman"/>
          <w:color w:val="1F3763"/>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provisions of this Section shall survive the termination of this Agreement.</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14.11. </w:t>
      </w:r>
    </w:p>
    <w:p>
      <w:pPr>
        <w:pStyle w:val="TextBody"/>
        <w:bidi w:val="0"/>
        <w:spacing w:before="0" w:after="240"/>
        <w:jc w:val="both"/>
        <w:rPr/>
      </w:pPr>
      <w:r>
        <w:rPr>
          <w:rFonts w:ascii="Times New Roman" w:hAnsi="Times New Roman"/>
          <w:color w:val="000000"/>
          <w:sz w:val="24"/>
          <w:u w:val="single"/>
        </w:rPr>
        <w:t>Limitations on Consequential, Indirect and Certain Other Damages</w:t>
      </w:r>
      <w:r>
        <w:rPr>
          <w:rFonts w:ascii="Times New Roman" w:hAnsi="Times New Roman"/>
          <w:color w:val="000000"/>
          <w:sz w:val="24"/>
        </w:rPr>
        <w:t>. No claim can be made by the Borrower, UACC or any of their respective Affiliates against any Agent, any Secured Party, the Account Bank, the Backup Servicer or any of their respective Affiliates, directors, officers, employees, attorneys or agents for any special, indirect, consequential or punitive damages arising out of or related to the transactions contemplated by this Agreement or the other Basic Documents, or any act, omission or event occurring in connection therewith, and each of the Borrower and UACC, to the extent permitted by Applicable Law, hereby waives, releases and agrees not to bring any such claim for any such damages, whether or not accrued and whether or not known or suspected to exist in its favor.</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14.12. </w:t>
      </w:r>
    </w:p>
    <w:p>
      <w:pPr>
        <w:pStyle w:val="TextBody"/>
        <w:bidi w:val="0"/>
        <w:spacing w:before="0" w:after="240"/>
        <w:jc w:val="both"/>
        <w:rPr/>
      </w:pPr>
      <w:r>
        <w:rPr>
          <w:rFonts w:ascii="Times New Roman" w:hAnsi="Times New Roman"/>
          <w:color w:val="000000"/>
          <w:sz w:val="24"/>
          <w:u w:val="single"/>
        </w:rPr>
        <w:t>Patriot Act Compliance</w:t>
      </w:r>
      <w:r>
        <w:rPr>
          <w:rFonts w:ascii="Times New Roman" w:hAnsi="Times New Roman"/>
          <w:color w:val="000000"/>
          <w:sz w:val="24"/>
        </w:rPr>
        <w:t>. Each of the Administrative Agent, each Agent and the Account Bank hereby notifies the Borrower that pursuant to the requirements of the Patriot Act, it, and each other Lender, may be required to obtain, verify and record information that identifies the Borrower, which information includes the name and address of the Borrower, organizational documentation, director and shareholder information, and other information that will allow the Administrative Agent, such Agent, the Account Bank and each Lender to identify the Borrower in accordance with the Patriot Act. This notice is given in accordance with the requirements of the Patriot Act and is effective for the Administrative Agent, each Agent, each Lender and the Account Bank.</w:t>
      </w:r>
    </w:p>
    <w:p>
      <w:pPr>
        <w:pStyle w:val="TextBody"/>
        <w:bidi w:val="0"/>
        <w:spacing w:before="0" w:after="120"/>
        <w:jc w:val="both"/>
        <w:rPr>
          <w:rFonts w:ascii="Times New Roman" w:hAnsi="Times New Roman"/>
          <w:color w:val="2F5496"/>
          <w:sz w:val="24"/>
        </w:rPr>
      </w:pPr>
      <w:r>
        <w:rPr>
          <w:rFonts w:ascii="Times New Roman" w:hAnsi="Times New Roman"/>
          <w:color w:val="2F5496"/>
          <w:sz w:val="24"/>
        </w:rPr>
        <w:t xml:space="preserve">Section 14.13. </w:t>
      </w:r>
    </w:p>
    <w:p>
      <w:pPr>
        <w:pStyle w:val="TextBody"/>
        <w:bidi w:val="0"/>
        <w:spacing w:before="0" w:after="120"/>
        <w:jc w:val="both"/>
        <w:rPr/>
      </w:pPr>
      <w:r>
        <w:rPr>
          <w:rFonts w:ascii="Times New Roman" w:hAnsi="Times New Roman"/>
          <w:color w:val="000000"/>
          <w:sz w:val="24"/>
          <w:u w:val="single"/>
        </w:rPr>
        <w:t>Execution in Counterparts; Severability; Integration</w:t>
      </w:r>
      <w:r>
        <w:rPr>
          <w:rFonts w:ascii="Times New Roman" w:hAnsi="Times New Roman"/>
          <w:color w:val="000000"/>
          <w:sz w:val="24"/>
        </w:rPr>
        <w:t xml:space="preserve">. This Agreement may be executed in any number of counterparts and by different parties hereto in separate counterparts, each of which when so executed shall be deemed to be an original and all of which when taken together shall constitute one and the same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w:t>
      </w:r>
    </w:p>
    <w:p>
      <w:pPr>
        <w:pStyle w:val="TextBody"/>
        <w:bidi w:val="0"/>
        <w:jc w:val="center"/>
        <w:rPr>
          <w:rFonts w:ascii="Times New Roman" w:hAnsi="Times New Roman"/>
          <w:color w:val="000000"/>
          <w:sz w:val="24"/>
        </w:rPr>
      </w:pPr>
      <w:r>
        <w:rPr>
          <w:rFonts w:ascii="Times New Roman" w:hAnsi="Times New Roman"/>
          <w:color w:val="000000"/>
          <w:sz w:val="24"/>
        </w:rPr>
        <w:t>136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thereby. 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 contemplated hereby.</w:t>
      </w:r>
    </w:p>
    <w:p>
      <w:pPr>
        <w:pStyle w:val="TextBody"/>
        <w:bidi w:val="0"/>
        <w:spacing w:before="0" w:after="240"/>
        <w:jc w:val="both"/>
        <w:rPr>
          <w:rFonts w:ascii="Times New Roman" w:hAnsi="Times New Roman"/>
          <w:color w:val="2F5496"/>
          <w:sz w:val="24"/>
        </w:rPr>
      </w:pPr>
      <w:r>
        <w:rPr>
          <w:rFonts w:ascii="Times New Roman" w:hAnsi="Times New Roman"/>
          <w:color w:val="2F5496"/>
          <w:sz w:val="24"/>
        </w:rPr>
        <w:t xml:space="preserve">Section 14.14. </w:t>
      </w:r>
    </w:p>
    <w:p>
      <w:pPr>
        <w:pStyle w:val="TextBody"/>
        <w:bidi w:val="0"/>
        <w:spacing w:before="0" w:after="240"/>
        <w:jc w:val="both"/>
        <w:rPr/>
      </w:pPr>
      <w:r>
        <w:rPr>
          <w:rFonts w:ascii="Times New Roman" w:hAnsi="Times New Roman"/>
          <w:color w:val="000000"/>
          <w:sz w:val="24"/>
          <w:u w:val="single"/>
        </w:rPr>
        <w:t>Limitation of Liability of Owner Trustee</w:t>
      </w:r>
      <w:r>
        <w:rPr>
          <w:rFonts w:ascii="Times New Roman" w:hAnsi="Times New Roman"/>
          <w:color w:val="000000"/>
          <w:sz w:val="24"/>
        </w:rPr>
        <w:t>. It is expressly understood and agreed by the parties hereto that (i) this Agreement is executed and delivered by [***], not individually or personally but solely as Owner Trustee of the Borrower, in the exercise of the powers and authority conferred and vested in it, (ii) each of the representations, covenants, undertakings and agreements herein made on the part of the Borrower is made and intended not as personal representations, covenants, undertakings and agreements by [***], but is made and intended for the purpose for binding only the Borrower, (iii) nothing herein contained shall be construed as creating any liability on [***], individually or personally, to perform any covenant either expressed or implied contained herein, all such liability, if any, being expressly waived by the parties hereto and by any Person claiming by, through or under the parties hereto, (iv) [***] has made no investigation into the accuracy or completeness of any representations and warranties made by the Borrower in this Agreement and (v) under no circumstances shall[***], be personally liable for the payment of any indebtedness or expenses of the Borrower or be liable for the breach or failure of any obligation, duty (including fiduciary duty, if any), representation, warranty or covenant made or undertaken by the Borrower under this Agreement or any other Basic Document.</w:t>
      </w:r>
    </w:p>
    <w:p>
      <w:pPr>
        <w:pStyle w:val="TextBody"/>
        <w:bidi w:val="0"/>
        <w:jc w:val="center"/>
        <w:rPr>
          <w:rFonts w:ascii="Times New Roman" w:hAnsi="Times New Roman"/>
          <w:color w:val="000000"/>
          <w:sz w:val="24"/>
        </w:rPr>
      </w:pPr>
      <w:r>
        <w:rPr>
          <w:rFonts w:ascii="Times New Roman" w:hAnsi="Times New Roman"/>
          <w:color w:val="000000"/>
          <w:sz w:val="24"/>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parties have caused this Agreement to be executed by their respective officers thereunto duly authorized, as of the date first above written.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8612" w:type="dxa"/>
        <w:jc w:val="left"/>
        <w:tblInd w:w="0" w:type="dxa"/>
        <w:tblLayout w:type="fixed"/>
        <w:tblCellMar>
          <w:top w:w="28" w:type="dxa"/>
          <w:left w:w="28" w:type="dxa"/>
          <w:bottom w:w="28" w:type="dxa"/>
          <w:right w:w="28" w:type="dxa"/>
        </w:tblCellMar>
      </w:tblPr>
      <w:tblGrid>
        <w:gridCol w:w="2116"/>
        <w:gridCol w:w="6496"/>
      </w:tblGrid>
      <w:tr>
        <w:trPr/>
        <w:tc>
          <w:tcPr>
            <w:tcW w:w="2116" w:type="dxa"/>
            <w:tcBorders/>
            <w:vAlign w:val="center"/>
          </w:tcPr>
          <w:p>
            <w:pPr>
              <w:pStyle w:val="TableContents"/>
              <w:bidi w:val="0"/>
              <w:spacing w:before="0" w:after="283"/>
              <w:jc w:val="left"/>
              <w:rPr>
                <w:sz w:val="4"/>
                <w:szCs w:val="4"/>
              </w:rPr>
            </w:pPr>
            <w:r>
              <w:rPr>
                <w:sz w:val="4"/>
                <w:szCs w:val="4"/>
              </w:rPr>
            </w:r>
          </w:p>
        </w:tc>
        <w:tc>
          <w:tcPr>
            <w:tcW w:w="649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BORROWER:</w:t>
            </w:r>
          </w:p>
        </w:tc>
        <w:tc>
          <w:tcPr>
            <w:tcW w:w="649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UACC AUTO FINANCING TRUST IV</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By: [***] not in its individual capacity but solely as Owner Trustee</w:t>
            </w:r>
          </w:p>
          <w:p>
            <w:pPr>
              <w:pStyle w:val="TableContents"/>
              <w:bidi w:val="0"/>
              <w:spacing w:before="480" w:after="283"/>
              <w:jc w:val="left"/>
              <w:rPr>
                <w:rFonts w:ascii="Times New Roman" w:hAnsi="Times New Roman"/>
                <w:color w:val="000000"/>
                <w:sz w:val="24"/>
              </w:rPr>
            </w:pPr>
            <w:r>
              <w:rPr>
                <w:rFonts w:ascii="Times New Roman" w:hAnsi="Times New Roman"/>
                <w:color w:val="000000"/>
                <w:sz w:val="24"/>
              </w:rPr>
              <w:t>By: /s/[***]</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 [***]</w:t>
              <w:br/>
              <w:t>Title: [***]</w:t>
            </w:r>
          </w:p>
          <w:p>
            <w:pPr>
              <w:pStyle w:val="TableContents"/>
              <w:bidi w:val="0"/>
              <w:spacing w:before="0" w:after="240"/>
              <w:jc w:val="left"/>
              <w:rPr>
                <w:rFonts w:ascii="Times New Roman" w:hAnsi="Times New Roman"/>
                <w:sz w:val="24"/>
              </w:rPr>
            </w:pPr>
            <w:r>
              <w:rPr>
                <w:rFonts w:ascii="Times New Roman" w:hAnsi="Times New Roman"/>
                <w:color w:val="000000"/>
                <w:sz w:val="24"/>
                <w:u w:val="single"/>
              </w:rPr>
              <w:t>Address for Notices</w:t>
            </w:r>
            <w:r>
              <w:rPr>
                <w:rFonts w:ascii="Times New Roman" w:hAnsi="Times New Roman"/>
                <w:color w:val="000000"/>
                <w:sz w:val="24"/>
              </w:rPr>
              <w:t>:</w:t>
            </w:r>
          </w:p>
          <w:p>
            <w:pPr>
              <w:pStyle w:val="TableContents"/>
              <w:bidi w:val="0"/>
              <w:spacing w:before="0" w:after="240"/>
              <w:jc w:val="left"/>
              <w:rPr>
                <w:rFonts w:ascii="Times New Roman" w:hAnsi="Times New Roman"/>
                <w:sz w:val="24"/>
              </w:rPr>
            </w:pPr>
            <w:r>
              <w:rPr>
                <w:rFonts w:ascii="Times New Roman" w:hAnsi="Times New Roman"/>
                <w:color w:val="000000"/>
                <w:sz w:val="24"/>
              </w:rPr>
              <w:t>UACC Auto Financing Trust [***]</w:t>
              <w:br/>
              <w:br/>
              <w:br/>
              <w:br/>
              <w:br/>
              <w:br/>
              <w:br/>
              <w:br/>
              <w:br/>
            </w:r>
            <w:r>
              <w:rPr>
                <w:rFonts w:ascii="Times New Roman" w:hAnsi="Times New Roman"/>
                <w:color w:val="000000"/>
                <w:sz w:val="24"/>
                <w:u w:val="single"/>
              </w:rPr>
              <w:t> a copy to</w:t>
            </w:r>
            <w:r>
              <w:rPr>
                <w:rFonts w:ascii="Times New Roman" w:hAnsi="Times New Roman"/>
                <w:color w:val="000000"/>
                <w:sz w:val="24"/>
              </w:rPr>
              <w:t xml:space="preserve">: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United Auto Credit Corporation</w:t>
              <w:br/>
              <w:t>1071 Camelback Street</w:t>
              <w:br/>
              <w:t>Newport Beach, California 92660</w:t>
              <w:br/>
              <w:t>Attention: [***]</w:t>
              <w:br/>
              <w:t>Telephone No.: [***]</w:t>
              <w:br/>
              <w:t>Facsimile No.: [***]</w:t>
              <w:br/>
              <w:t>E-mail: [***]</w:t>
            </w:r>
          </w:p>
        </w:tc>
      </w:tr>
    </w:tbl>
    <w:p>
      <w:pPr>
        <w:pStyle w:val="TextBody"/>
        <w:bidi w:val="0"/>
        <w:jc w:val="right"/>
        <w:rPr>
          <w:rFonts w:ascii="Times New Roman" w:hAnsi="Times New Roman"/>
          <w:i/>
          <w:color w:val="000000"/>
          <w:sz w:val="16"/>
        </w:rPr>
      </w:pPr>
      <w:r>
        <w:rPr>
          <w:rFonts w:ascii="Times New Roman" w:hAnsi="Times New Roman"/>
          <w:i/>
          <w:color w:val="000000"/>
          <w:sz w:val="16"/>
        </w:rPr>
        <w:t>Signature Page to Warehouse Agreement</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6782" w:type="dxa"/>
        <w:jc w:val="left"/>
        <w:tblInd w:w="0" w:type="dxa"/>
        <w:tblLayout w:type="fixed"/>
        <w:tblCellMar>
          <w:top w:w="28" w:type="dxa"/>
          <w:left w:w="28" w:type="dxa"/>
          <w:bottom w:w="28" w:type="dxa"/>
          <w:right w:w="28" w:type="dxa"/>
        </w:tblCellMar>
      </w:tblPr>
      <w:tblGrid>
        <w:gridCol w:w="2206"/>
        <w:gridCol w:w="4576"/>
      </w:tblGrid>
      <w:tr>
        <w:trPr/>
        <w:tc>
          <w:tcPr>
            <w:tcW w:w="2206" w:type="dxa"/>
            <w:tcBorders/>
            <w:vAlign w:val="center"/>
          </w:tcPr>
          <w:p>
            <w:pPr>
              <w:pStyle w:val="TableContents"/>
              <w:bidi w:val="0"/>
              <w:spacing w:before="0" w:after="283"/>
              <w:jc w:val="left"/>
              <w:rPr>
                <w:sz w:val="4"/>
                <w:szCs w:val="4"/>
              </w:rPr>
            </w:pPr>
            <w:r>
              <w:rPr>
                <w:sz w:val="4"/>
                <w:szCs w:val="4"/>
              </w:rPr>
            </w:r>
          </w:p>
        </w:tc>
        <w:tc>
          <w:tcPr>
            <w:tcW w:w="457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SERVICER</w:t>
              <w:br/>
              <w:t>AND CUSTODIAN:</w:t>
            </w:r>
          </w:p>
        </w:tc>
        <w:tc>
          <w:tcPr>
            <w:tcW w:w="45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UNITED AUTO CREDIT CORPORATION</w:t>
            </w:r>
          </w:p>
          <w:p>
            <w:pPr>
              <w:pStyle w:val="TableContents"/>
              <w:bidi w:val="0"/>
              <w:spacing w:before="720" w:after="283"/>
              <w:jc w:val="left"/>
              <w:rPr>
                <w:rFonts w:ascii="Times New Roman" w:hAnsi="Times New Roman"/>
                <w:color w:val="000000"/>
                <w:sz w:val="24"/>
              </w:rPr>
            </w:pPr>
            <w:r>
              <w:rPr>
                <w:rFonts w:ascii="Times New Roman" w:hAnsi="Times New Roman"/>
                <w:color w:val="000000"/>
                <w:sz w:val="24"/>
              </w:rPr>
              <w:t>By: /s/[***]</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 [***]</w:t>
              <w:br/>
              <w:t>Title: [***]</w:t>
            </w:r>
          </w:p>
          <w:p>
            <w:pPr>
              <w:pStyle w:val="TableContents"/>
              <w:bidi w:val="0"/>
              <w:spacing w:before="0" w:after="240"/>
              <w:jc w:val="left"/>
              <w:rPr>
                <w:rFonts w:ascii="Times New Roman" w:hAnsi="Times New Roman"/>
                <w:sz w:val="24"/>
              </w:rPr>
            </w:pPr>
            <w:r>
              <w:rPr>
                <w:rFonts w:ascii="Times New Roman" w:hAnsi="Times New Roman"/>
                <w:color w:val="000000"/>
                <w:sz w:val="24"/>
                <w:u w:val="single"/>
              </w:rPr>
              <w:t>Address for Notices</w:t>
            </w: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United Auto Credit Corporation</w:t>
              <w:br/>
              <w:t>1071 Camelback Street</w:t>
            </w:r>
          </w:p>
          <w:p>
            <w:pPr>
              <w:pStyle w:val="TableContents"/>
              <w:bidi w:val="0"/>
              <w:spacing w:before="0" w:after="480"/>
              <w:jc w:val="left"/>
              <w:rPr>
                <w:rFonts w:ascii="Times New Roman" w:hAnsi="Times New Roman"/>
                <w:color w:val="000000"/>
                <w:sz w:val="24"/>
              </w:rPr>
            </w:pPr>
            <w:r>
              <w:rPr>
                <w:rFonts w:ascii="Times New Roman" w:hAnsi="Times New Roman"/>
                <w:color w:val="000000"/>
                <w:sz w:val="24"/>
              </w:rPr>
              <w:t>Newport Beach, California 92660</w:t>
              <w:br/>
              <w:t>Attention: [***]</w:t>
              <w:br/>
              <w:t>Telephone No.: [***]</w:t>
              <w:br/>
              <w:t>Facsimile No.: [***]</w:t>
              <w:br/>
              <w:t>E-mail: [***]</w:t>
            </w:r>
          </w:p>
        </w:tc>
      </w:tr>
    </w:tbl>
    <w:p>
      <w:pPr>
        <w:pStyle w:val="TextBody"/>
        <w:bidi w:val="0"/>
        <w:spacing w:before="0" w:after="240"/>
        <w:jc w:val="left"/>
        <w:rPr/>
      </w:pPr>
      <w:r>
        <w:rPr/>
        <w:t> </w:t>
      </w:r>
    </w:p>
    <w:p>
      <w:pPr>
        <w:pStyle w:val="TextBody"/>
        <w:bidi w:val="0"/>
        <w:jc w:val="right"/>
        <w:rPr>
          <w:rFonts w:ascii="Times New Roman" w:hAnsi="Times New Roman"/>
          <w:i/>
          <w:color w:val="000000"/>
          <w:sz w:val="16"/>
        </w:rPr>
      </w:pPr>
      <w:r>
        <w:rPr>
          <w:rFonts w:ascii="Times New Roman" w:hAnsi="Times New Roman"/>
          <w:i/>
          <w:color w:val="000000"/>
          <w:sz w:val="16"/>
        </w:rPr>
        <w:t>Signature Page to Warehouse Agreement</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7367" w:type="dxa"/>
        <w:jc w:val="left"/>
        <w:tblInd w:w="0" w:type="dxa"/>
        <w:tblLayout w:type="fixed"/>
        <w:tblCellMar>
          <w:top w:w="28" w:type="dxa"/>
          <w:left w:w="28" w:type="dxa"/>
          <w:bottom w:w="28" w:type="dxa"/>
          <w:right w:w="28" w:type="dxa"/>
        </w:tblCellMar>
      </w:tblPr>
      <w:tblGrid>
        <w:gridCol w:w="2911"/>
        <w:gridCol w:w="4456"/>
      </w:tblGrid>
      <w:tr>
        <w:trPr/>
        <w:tc>
          <w:tcPr>
            <w:tcW w:w="2911"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BACKUP SERVICER</w:t>
              <w:br/>
              <w:t>AND ACCOUNT BANK:</w:t>
            </w:r>
          </w:p>
        </w:tc>
        <w:tc>
          <w:tcPr>
            <w:tcW w:w="44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as Backup Servicer and Account Bank</w:t>
            </w:r>
          </w:p>
          <w:p>
            <w:pPr>
              <w:pStyle w:val="TableContents"/>
              <w:bidi w:val="0"/>
              <w:spacing w:before="720" w:after="283"/>
              <w:jc w:val="left"/>
              <w:rPr>
                <w:rFonts w:ascii="Times New Roman" w:hAnsi="Times New Roman"/>
                <w:color w:val="000000"/>
                <w:sz w:val="24"/>
              </w:rPr>
            </w:pPr>
            <w:r>
              <w:rPr>
                <w:rFonts w:ascii="Times New Roman" w:hAnsi="Times New Roman"/>
                <w:color w:val="000000"/>
                <w:sz w:val="24"/>
              </w:rPr>
              <w:t>By: /s/[***]</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 [***]</w:t>
              <w:br/>
              <w:t>Title: [***]</w:t>
            </w:r>
          </w:p>
          <w:p>
            <w:pPr>
              <w:pStyle w:val="TableContents"/>
              <w:bidi w:val="0"/>
              <w:spacing w:before="0" w:after="240"/>
              <w:jc w:val="left"/>
              <w:rPr>
                <w:rFonts w:ascii="Times New Roman" w:hAnsi="Times New Roman"/>
                <w:sz w:val="24"/>
              </w:rPr>
            </w:pPr>
            <w:r>
              <w:rPr>
                <w:rFonts w:ascii="Times New Roman" w:hAnsi="Times New Roman"/>
                <w:color w:val="000000"/>
                <w:sz w:val="24"/>
                <w:u w:val="single"/>
              </w:rPr>
              <w:t>Address for Notices</w:t>
            </w: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b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br/>
              <w:br/>
              <w:br/>
              <w:t> </w:t>
            </w:r>
          </w:p>
        </w:tc>
      </w:tr>
    </w:tbl>
    <w:p>
      <w:pPr>
        <w:pStyle w:val="TextBody"/>
        <w:bidi w:val="0"/>
        <w:spacing w:before="0" w:after="240"/>
        <w:jc w:val="left"/>
        <w:rPr/>
      </w:pPr>
      <w:r>
        <w:rPr/>
        <w:t> </w:t>
      </w:r>
    </w:p>
    <w:p>
      <w:pPr>
        <w:pStyle w:val="TextBody"/>
        <w:bidi w:val="0"/>
        <w:jc w:val="right"/>
        <w:rPr>
          <w:rFonts w:ascii="Times New Roman" w:hAnsi="Times New Roman"/>
          <w:i/>
          <w:color w:val="000000"/>
          <w:sz w:val="16"/>
        </w:rPr>
      </w:pPr>
      <w:r>
        <w:rPr>
          <w:rFonts w:ascii="Times New Roman" w:hAnsi="Times New Roman"/>
          <w:i/>
          <w:color w:val="000000"/>
          <w:sz w:val="16"/>
        </w:rPr>
        <w:t>Signature Page to Warehouse Agreement</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8657" w:type="dxa"/>
        <w:jc w:val="left"/>
        <w:tblInd w:w="0" w:type="dxa"/>
        <w:tblLayout w:type="fixed"/>
        <w:tblCellMar>
          <w:top w:w="28" w:type="dxa"/>
          <w:left w:w="28" w:type="dxa"/>
          <w:bottom w:w="28" w:type="dxa"/>
          <w:right w:w="28" w:type="dxa"/>
        </w:tblCellMar>
      </w:tblPr>
      <w:tblGrid>
        <w:gridCol w:w="3706"/>
        <w:gridCol w:w="4951"/>
      </w:tblGrid>
      <w:tr>
        <w:trPr/>
        <w:tc>
          <w:tcPr>
            <w:tcW w:w="3706"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ADMINISTRATIVE AGENT:</w:t>
            </w:r>
          </w:p>
        </w:tc>
        <w:tc>
          <w:tcPr>
            <w:tcW w:w="49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as Administrative Agent</w:t>
            </w:r>
          </w:p>
          <w:p>
            <w:pPr>
              <w:pStyle w:val="TableContents"/>
              <w:bidi w:val="0"/>
              <w:spacing w:before="720" w:after="283"/>
              <w:jc w:val="left"/>
              <w:rPr>
                <w:rFonts w:ascii="Times New Roman" w:hAnsi="Times New Roman"/>
                <w:color w:val="000000"/>
                <w:sz w:val="24"/>
              </w:rPr>
            </w:pPr>
            <w:r>
              <w:rPr>
                <w:rFonts w:ascii="Times New Roman" w:hAnsi="Times New Roman"/>
                <w:color w:val="000000"/>
                <w:sz w:val="24"/>
              </w:rPr>
              <w:t>By: /s/[***]</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 [***]</w:t>
              <w:br/>
              <w:t>Title: [***]</w:t>
            </w:r>
          </w:p>
          <w:p>
            <w:pPr>
              <w:pStyle w:val="TableContents"/>
              <w:bidi w:val="0"/>
              <w:jc w:val="left"/>
              <w:rPr>
                <w:rFonts w:ascii="Times New Roman" w:hAnsi="Times New Roman"/>
                <w:sz w:val="24"/>
              </w:rPr>
            </w:pPr>
            <w:r>
              <w:rPr>
                <w:rFonts w:ascii="Times New Roman" w:hAnsi="Times New Roman"/>
                <w:color w:val="000000"/>
                <w:sz w:val="24"/>
                <w:u w:val="single"/>
              </w:rPr>
              <w:t>Address for Notices</w:t>
            </w:r>
            <w:r>
              <w:rPr>
                <w:rFonts w:ascii="Times New Roman" w:hAnsi="Times New Roman"/>
                <w:color w:val="000000"/>
                <w:sz w:val="24"/>
              </w:rPr>
              <w:t>:</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Attention: Asset-Backed Securities Conduit Group</w:t>
            </w:r>
          </w:p>
          <w:p>
            <w:pPr>
              <w:pStyle w:val="TableContents"/>
              <w:bidi w:val="0"/>
              <w:jc w:val="left"/>
              <w:rPr>
                <w:rFonts w:ascii="Times New Roman" w:hAnsi="Times New Roman"/>
                <w:color w:val="000000"/>
                <w:sz w:val="24"/>
              </w:rPr>
            </w:pPr>
            <w:r>
              <w:rPr>
                <w:rFonts w:ascii="Times New Roman" w:hAnsi="Times New Roman"/>
                <w:color w:val="000000"/>
                <w:sz w:val="24"/>
              </w:rPr>
              <w:t>Tel: [***]</w:t>
            </w:r>
          </w:p>
          <w:p>
            <w:pPr>
              <w:pStyle w:val="TableContents"/>
              <w:bidi w:val="0"/>
              <w:jc w:val="left"/>
              <w:rPr>
                <w:rFonts w:ascii="Times New Roman" w:hAnsi="Times New Roman"/>
                <w:color w:val="000000"/>
                <w:sz w:val="24"/>
              </w:rPr>
            </w:pPr>
            <w:r>
              <w:rPr>
                <w:rFonts w:ascii="Times New Roman" w:hAnsi="Times New Roman"/>
                <w:color w:val="000000"/>
                <w:sz w:val="24"/>
              </w:rPr>
              <w:t>Fax: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w:t>
            </w:r>
          </w:p>
        </w:tc>
      </w:tr>
    </w:tbl>
    <w:p>
      <w:pPr>
        <w:pStyle w:val="TextBody"/>
        <w:bidi w:val="0"/>
        <w:spacing w:before="0" w:after="240"/>
        <w:jc w:val="left"/>
        <w:rPr/>
      </w:pPr>
      <w:r>
        <w:rPr/>
        <w:t> </w:t>
      </w:r>
    </w:p>
    <w:p>
      <w:pPr>
        <w:pStyle w:val="TextBody"/>
        <w:bidi w:val="0"/>
        <w:jc w:val="right"/>
        <w:rPr>
          <w:rFonts w:ascii="Times New Roman" w:hAnsi="Times New Roman"/>
          <w:i/>
          <w:color w:val="000000"/>
          <w:sz w:val="16"/>
        </w:rPr>
      </w:pPr>
      <w:r>
        <w:rPr>
          <w:rFonts w:ascii="Times New Roman" w:hAnsi="Times New Roman"/>
          <w:i/>
          <w:color w:val="000000"/>
          <w:sz w:val="16"/>
        </w:rPr>
        <w:t>Signature Page to Warehouse Agreement</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4382" w:type="dxa"/>
        <w:jc w:val="left"/>
        <w:tblInd w:w="0" w:type="dxa"/>
        <w:tblLayout w:type="fixed"/>
        <w:tblCellMar>
          <w:top w:w="28" w:type="dxa"/>
          <w:left w:w="28" w:type="dxa"/>
          <w:bottom w:w="28" w:type="dxa"/>
          <w:right w:w="28" w:type="dxa"/>
        </w:tblCellMar>
      </w:tblPr>
      <w:tblGrid>
        <w:gridCol w:w="2206"/>
        <w:gridCol w:w="2176"/>
      </w:tblGrid>
      <w:tr>
        <w:trPr/>
        <w:tc>
          <w:tcPr>
            <w:tcW w:w="22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TYPE OF LENDER:</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Committed Lender</w:t>
            </w:r>
          </w:p>
          <w:p>
            <w:pPr>
              <w:pStyle w:val="TableContents"/>
              <w:bidi w:val="0"/>
              <w:spacing w:before="0" w:after="240"/>
              <w:jc w:val="left"/>
              <w:rPr/>
            </w:pPr>
            <w:r>
              <w:rPr/>
              <w:t> </w:t>
            </w:r>
          </w:p>
        </w:tc>
        <w:tc>
          <w:tcPr>
            <w:tcW w:w="21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 [***],</w:t>
            </w:r>
          </w:p>
          <w:p>
            <w:pPr>
              <w:pStyle w:val="TableContents"/>
              <w:bidi w:val="0"/>
              <w:jc w:val="left"/>
              <w:rPr>
                <w:color w:val="000000"/>
              </w:rPr>
            </w:pPr>
            <w:r>
              <w:rPr>
                <w:color w:val="000000"/>
              </w:rPr>
              <w:t> </w:t>
            </w:r>
            <w:r>
              <w:rPr>
                <w:rFonts w:ascii="Times New Roman" w:hAnsi="Times New Roman"/>
                <w:color w:val="000000"/>
                <w:sz w:val="24"/>
              </w:rPr>
              <w:t>as its attorney-in-fact</w:t>
            </w:r>
          </w:p>
          <w:p>
            <w:pPr>
              <w:pStyle w:val="TableContents"/>
              <w:bidi w:val="0"/>
              <w:jc w:val="left"/>
              <w:rPr/>
            </w:pPr>
            <w:r>
              <w:rPr/>
              <w:t> </w:t>
            </w:r>
          </w:p>
          <w:p>
            <w:pPr>
              <w:pStyle w:val="TableContents"/>
              <w:bidi w:val="0"/>
              <w:spacing w:before="720" w:after="283"/>
              <w:jc w:val="left"/>
              <w:rPr>
                <w:rFonts w:ascii="Times New Roman" w:hAnsi="Times New Roman"/>
                <w:color w:val="000000"/>
                <w:sz w:val="24"/>
              </w:rPr>
            </w:pPr>
            <w:r>
              <w:rPr>
                <w:rFonts w:ascii="Times New Roman" w:hAnsi="Times New Roman"/>
                <w:color w:val="000000"/>
                <w:sz w:val="24"/>
              </w:rPr>
              <w:t>By: /s/[***]</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 [***]</w:t>
              <w:br/>
              <w:t>Title: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Commitment: $[***]</w:t>
            </w:r>
          </w:p>
          <w:p>
            <w:pPr>
              <w:pStyle w:val="TableContents"/>
              <w:bidi w:val="0"/>
              <w:spacing w:before="0" w:after="240"/>
              <w:jc w:val="left"/>
              <w:rPr>
                <w:rFonts w:ascii="Times New Roman" w:hAnsi="Times New Roman"/>
                <w:sz w:val="24"/>
              </w:rPr>
            </w:pPr>
            <w:r>
              <w:rPr>
                <w:rFonts w:ascii="Times New Roman" w:hAnsi="Times New Roman"/>
                <w:color w:val="000000"/>
                <w:sz w:val="24"/>
              </w:rPr>
              <w:br/>
            </w:r>
            <w:r>
              <w:rPr>
                <w:rFonts w:ascii="Times New Roman" w:hAnsi="Times New Roman"/>
                <w:color w:val="000000"/>
                <w:sz w:val="24"/>
                <w:u w:val="single"/>
              </w:rPr>
              <w:t>Address for Notices</w:t>
            </w: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sz w:val="24"/>
              </w:rPr>
            </w:pPr>
            <w:r>
              <w:rPr>
                <w:rFonts w:ascii="Times New Roman" w:hAnsi="Times New Roman"/>
                <w:sz w:val="24"/>
              </w:rPr>
              <w:t>[***]@[***].com</w:t>
            </w:r>
          </w:p>
        </w:tc>
      </w:tr>
    </w:tbl>
    <w:p>
      <w:pPr>
        <w:pStyle w:val="TextBody"/>
        <w:bidi w:val="0"/>
        <w:spacing w:before="0" w:after="240"/>
        <w:jc w:val="left"/>
        <w:rPr/>
      </w:pPr>
      <w:r>
        <w:rPr/>
        <w:t> </w:t>
      </w:r>
    </w:p>
    <w:p>
      <w:pPr>
        <w:pStyle w:val="TextBody"/>
        <w:bidi w:val="0"/>
        <w:jc w:val="right"/>
        <w:rPr>
          <w:rFonts w:ascii="Times New Roman" w:hAnsi="Times New Roman"/>
          <w:i/>
          <w:color w:val="000000"/>
          <w:sz w:val="16"/>
        </w:rPr>
      </w:pPr>
      <w:r>
        <w:rPr>
          <w:rFonts w:ascii="Times New Roman" w:hAnsi="Times New Roman"/>
          <w:i/>
          <w:color w:val="000000"/>
          <w:sz w:val="16"/>
        </w:rPr>
        <w:t>Signature Page to Warehouse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4382" w:type="dxa"/>
        <w:jc w:val="left"/>
        <w:tblInd w:w="0" w:type="dxa"/>
        <w:tblLayout w:type="fixed"/>
        <w:tblCellMar>
          <w:top w:w="28" w:type="dxa"/>
          <w:left w:w="28" w:type="dxa"/>
          <w:bottom w:w="28" w:type="dxa"/>
          <w:right w:w="28" w:type="dxa"/>
        </w:tblCellMar>
      </w:tblPr>
      <w:tblGrid>
        <w:gridCol w:w="2206"/>
        <w:gridCol w:w="2176"/>
      </w:tblGrid>
      <w:tr>
        <w:trPr/>
        <w:tc>
          <w:tcPr>
            <w:tcW w:w="22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TYPE OF LENDER:</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Conduit Lender</w:t>
            </w:r>
          </w:p>
          <w:p>
            <w:pPr>
              <w:pStyle w:val="TableContents"/>
              <w:bidi w:val="0"/>
              <w:spacing w:before="0" w:after="240"/>
              <w:jc w:val="left"/>
              <w:rPr/>
            </w:pPr>
            <w:r>
              <w:rPr/>
              <w:t> </w:t>
            </w:r>
          </w:p>
        </w:tc>
        <w:tc>
          <w:tcPr>
            <w:tcW w:w="21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 [***],</w:t>
            </w:r>
          </w:p>
          <w:p>
            <w:pPr>
              <w:pStyle w:val="TableContents"/>
              <w:bidi w:val="0"/>
              <w:jc w:val="left"/>
              <w:rPr>
                <w:color w:val="000000"/>
              </w:rPr>
            </w:pPr>
            <w:r>
              <w:rPr>
                <w:color w:val="000000"/>
              </w:rPr>
              <w:t> </w:t>
            </w:r>
            <w:r>
              <w:rPr>
                <w:rFonts w:ascii="Times New Roman" w:hAnsi="Times New Roman"/>
                <w:color w:val="000000"/>
                <w:sz w:val="24"/>
              </w:rPr>
              <w:t>as its attorney-in-fact</w:t>
            </w:r>
          </w:p>
          <w:p>
            <w:pPr>
              <w:pStyle w:val="TableContents"/>
              <w:bidi w:val="0"/>
              <w:spacing w:before="720" w:after="283"/>
              <w:jc w:val="left"/>
              <w:rPr>
                <w:rFonts w:ascii="Times New Roman" w:hAnsi="Times New Roman"/>
                <w:color w:val="000000"/>
                <w:sz w:val="24"/>
              </w:rPr>
            </w:pPr>
            <w:r>
              <w:rPr>
                <w:rFonts w:ascii="Times New Roman" w:hAnsi="Times New Roman"/>
                <w:color w:val="000000"/>
                <w:sz w:val="24"/>
              </w:rPr>
              <w:t>By: /s/[***]</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 [***]</w:t>
              <w:br/>
              <w:t>Title: [***]</w:t>
            </w:r>
          </w:p>
          <w:p>
            <w:pPr>
              <w:pStyle w:val="TableContents"/>
              <w:bidi w:val="0"/>
              <w:spacing w:before="0" w:after="240"/>
              <w:jc w:val="left"/>
              <w:rPr>
                <w:rFonts w:ascii="Times New Roman" w:hAnsi="Times New Roman"/>
                <w:sz w:val="24"/>
              </w:rPr>
            </w:pPr>
            <w:r>
              <w:rPr>
                <w:rFonts w:ascii="Times New Roman" w:hAnsi="Times New Roman"/>
                <w:color w:val="000000"/>
                <w:sz w:val="24"/>
              </w:rPr>
              <w:br/>
            </w:r>
            <w:r>
              <w:rPr>
                <w:rFonts w:ascii="Times New Roman" w:hAnsi="Times New Roman"/>
                <w:color w:val="000000"/>
                <w:sz w:val="24"/>
                <w:u w:val="single"/>
              </w:rPr>
              <w:t>Address for Notices</w:t>
            </w: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sz w:val="24"/>
              </w:rPr>
            </w:pPr>
            <w:r>
              <w:rPr>
                <w:rFonts w:ascii="Times New Roman" w:hAnsi="Times New Roman"/>
                <w:sz w:val="24"/>
              </w:rPr>
              <w:t>[***]@[***].com</w:t>
            </w:r>
          </w:p>
        </w:tc>
      </w:tr>
    </w:tbl>
    <w:p>
      <w:pPr>
        <w:pStyle w:val="TextBody"/>
        <w:bidi w:val="0"/>
        <w:jc w:val="left"/>
        <w:rPr/>
      </w:pPr>
      <w:r>
        <w:rPr/>
        <w:t> </w:t>
      </w:r>
    </w:p>
    <w:p>
      <w:pPr>
        <w:pStyle w:val="TextBody"/>
        <w:bidi w:val="0"/>
        <w:jc w:val="right"/>
        <w:rPr>
          <w:rFonts w:ascii="Times New Roman" w:hAnsi="Times New Roman"/>
          <w:i/>
          <w:color w:val="000000"/>
          <w:sz w:val="16"/>
        </w:rPr>
      </w:pPr>
      <w:r>
        <w:rPr>
          <w:rFonts w:ascii="Times New Roman" w:hAnsi="Times New Roman"/>
          <w:i/>
          <w:color w:val="000000"/>
          <w:sz w:val="16"/>
        </w:rPr>
        <w:t>Signature Page to Warehouse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A</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CONDUIT SUPPLEMENT</w:t>
      </w:r>
    </w:p>
    <w:tbl>
      <w:tblPr>
        <w:tblW w:w="5537" w:type="dxa"/>
        <w:jc w:val="left"/>
        <w:tblInd w:w="0" w:type="dxa"/>
        <w:tblLayout w:type="fixed"/>
        <w:tblCellMar>
          <w:top w:w="28" w:type="dxa"/>
          <w:left w:w="28" w:type="dxa"/>
          <w:bottom w:w="28" w:type="dxa"/>
          <w:right w:w="28" w:type="dxa"/>
        </w:tblCellMar>
      </w:tblPr>
      <w:tblGrid>
        <w:gridCol w:w="4066"/>
        <w:gridCol w:w="1471"/>
      </w:tblGrid>
      <w:tr>
        <w:trPr/>
        <w:tc>
          <w:tcPr>
            <w:tcW w:w="406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Lender Group:</w:t>
            </w:r>
          </w:p>
        </w:tc>
        <w:tc>
          <w:tcPr>
            <w:tcW w:w="1471"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Agent:</w:t>
            </w:r>
          </w:p>
        </w:tc>
        <w:tc>
          <w:tcPr>
            <w:tcW w:w="1471"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Address for Notices:</w:t>
            </w:r>
          </w:p>
        </w:tc>
        <w:tc>
          <w:tcPr>
            <w:tcW w:w="147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4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Wire Information:</w:t>
            </w:r>
          </w:p>
        </w:tc>
        <w:tc>
          <w:tcPr>
            <w:tcW w:w="147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4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Conduit Lender:</w:t>
            </w:r>
          </w:p>
        </w:tc>
        <w:tc>
          <w:tcPr>
            <w:tcW w:w="1471"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Maximum Loan Amount:</w:t>
            </w:r>
          </w:p>
        </w:tc>
        <w:tc>
          <w:tcPr>
            <w:tcW w:w="1471"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$200,000,000</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Address for Notices and Investing Office:</w:t>
            </w:r>
          </w:p>
        </w:tc>
        <w:tc>
          <w:tcPr>
            <w:tcW w:w="147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4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Wire Information:</w:t>
            </w:r>
          </w:p>
        </w:tc>
        <w:tc>
          <w:tcPr>
            <w:tcW w:w="147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4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Committed Lender:</w:t>
            </w:r>
          </w:p>
        </w:tc>
        <w:tc>
          <w:tcPr>
            <w:tcW w:w="1471"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725"/>
        <w:gridCol w:w="8480"/>
      </w:tblGrid>
      <w:tr>
        <w:trPr/>
        <w:tc>
          <w:tcPr>
            <w:tcW w:w="1725" w:type="dxa"/>
            <w:tcBorders/>
            <w:vAlign w:val="center"/>
          </w:tcPr>
          <w:p>
            <w:pPr>
              <w:pStyle w:val="TableContents"/>
              <w:bidi w:val="0"/>
              <w:spacing w:before="0" w:after="283"/>
              <w:jc w:val="left"/>
              <w:rPr>
                <w:sz w:val="4"/>
                <w:szCs w:val="4"/>
              </w:rPr>
            </w:pPr>
            <w:r>
              <w:rPr>
                <w:sz w:val="4"/>
                <w:szCs w:val="4"/>
              </w:rPr>
            </w:r>
          </w:p>
        </w:tc>
        <w:tc>
          <w:tcPr>
            <w:tcW w:w="8480" w:type="dxa"/>
            <w:tcBorders/>
            <w:vAlign w:val="center"/>
          </w:tcPr>
          <w:p>
            <w:pPr>
              <w:pStyle w:val="TableContents"/>
              <w:bidi w:val="0"/>
              <w:spacing w:before="0" w:after="283"/>
              <w:jc w:val="left"/>
              <w:rPr>
                <w:sz w:val="4"/>
                <w:szCs w:val="4"/>
              </w:rPr>
            </w:pPr>
            <w:r>
              <w:rPr>
                <w:sz w:val="4"/>
                <w:szCs w:val="4"/>
              </w:rPr>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Commitment:</w:t>
            </w:r>
          </w:p>
        </w:tc>
        <w:tc>
          <w:tcPr>
            <w:tcW w:w="8480"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$200,000,000</w:t>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Address for Notices and Investing Office:</w:t>
            </w:r>
          </w:p>
        </w:tc>
        <w:tc>
          <w:tcPr>
            <w:tcW w:w="8480"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40"/>
              <w:jc w:val="left"/>
              <w:rPr/>
            </w:pPr>
            <w:r>
              <w:rPr/>
              <w:t> </w:t>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Wire Information:</w:t>
            </w:r>
          </w:p>
        </w:tc>
        <w:tc>
          <w:tcPr>
            <w:tcW w:w="8480"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40"/>
              <w:jc w:val="left"/>
              <w:rPr/>
            </w:pPr>
            <w:r>
              <w:rPr/>
              <w:t> </w:t>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Liquidity Provider:</w:t>
            </w:r>
          </w:p>
        </w:tc>
        <w:tc>
          <w:tcPr>
            <w:tcW w:w="8480"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Address for Notices and Investing Office:</w:t>
            </w:r>
          </w:p>
        </w:tc>
        <w:tc>
          <w:tcPr>
            <w:tcW w:w="8480"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40"/>
              <w:jc w:val="left"/>
              <w:rPr>
                <w:rFonts w:ascii="Times New Roman" w:hAnsi="Times New Roman"/>
                <w:sz w:val="24"/>
              </w:rPr>
            </w:pPr>
            <w:r>
              <w:rPr>
                <w:rFonts w:ascii="Times New Roman" w:hAnsi="Times New Roman"/>
                <w:sz w:val="24"/>
              </w:rPr>
              <w:t>[***]@[***].com</w:t>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Wire Information:</w:t>
            </w:r>
          </w:p>
        </w:tc>
        <w:tc>
          <w:tcPr>
            <w:tcW w:w="8480"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40"/>
              <w:jc w:val="left"/>
              <w:rPr/>
            </w:pPr>
            <w:r>
              <w:rPr/>
              <w:t> </w:t>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4"/>
              </w:rPr>
              <w:t>Cost of Funds Rate”:</w:t>
            </w:r>
          </w:p>
        </w:tc>
        <w:tc>
          <w:tcPr>
            <w:tcW w:w="8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With respect to any Interest Period (or portion thereof), the per annum rate calculated to yield the “weighted average cost” (as defined below) for such Interest Period (or portion thereof) in respect to Commercial Paper Notes issued by such Conduit Lender on or after March 31, 2020; </w:t>
            </w:r>
            <w:r>
              <w:rPr>
                <w:rFonts w:ascii="Times New Roman" w:hAnsi="Times New Roman"/>
                <w:i/>
                <w:color w:val="000000"/>
                <w:sz w:val="24"/>
              </w:rPr>
              <w:t>provided, however</w:t>
            </w:r>
            <w:r>
              <w:rPr>
                <w:rFonts w:ascii="Times New Roman" w:hAnsi="Times New Roman"/>
                <w:color w:val="000000"/>
                <w:sz w:val="24"/>
              </w:rPr>
              <w:t xml:space="preserve">, that if any component of such rate is a discount rate, in calculating the Cost of Funds Rate for such Interest Period (or portion thereof), the rate resulting from converting such discount rate to an interest bearing equivalent rate per annum shall be used </w:t>
            </w:r>
          </w:p>
        </w:tc>
      </w:tr>
    </w:tbl>
    <w:p>
      <w:pPr>
        <w:pStyle w:val="TextBody"/>
        <w:bidi w:val="0"/>
        <w:jc w:val="center"/>
        <w:rPr>
          <w:rFonts w:ascii="Times New Roman" w:hAnsi="Times New Roman"/>
          <w:color w:val="000000"/>
          <w:sz w:val="24"/>
        </w:rPr>
      </w:pPr>
      <w:r>
        <w:rPr>
          <w:rFonts w:ascii="Times New Roman" w:hAnsi="Times New Roman"/>
          <w:color w:val="000000"/>
          <w:sz w:val="24"/>
        </w:rPr>
        <w:t>SA-146</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in calculating such component. As used in this definition, “weighted average cost” for any Interest Period (or portion thereof) means the sum (without duplication) of (i) the actual interest accrued during such Interest Period (or portion thereof) on outstanding Commercial Paper Notes issued by such Conduit Lender on or after March 31, 2020 (excluding any Commercial Paper Notes issued to and held by [***] or any affiliate thereof, other than such Commercial Paper Note held as part of the market making activities of Conduit Lender’s Commercial Paper Note dealer), (ii) the commissions of placement agents and dealers in respect of such Commercial Paper Notes, (iii) any note issuance costs attributable to such Commercial Paper Note not constituting dealer fees or commissions, expressed as an annualized percentage of the aggregate principal component thereof, (iv) the actual interest accrued during such Interest Period (or portion thereof) on other borrowings by such Conduit Lender (as determined by its Managing Agent), including to fund small or odd dollar amounts that are not easily accommodated in the commercial paper market, which may include loans from Conduit Lender’s Managing Agent or its affiliates (such interest rate not to exceed, on any day, the Federal Funds Effective Rate in effect on such day plus 0.50%), and (v) incremental carrying costs incurred with respect to Commercial Paper Notes maturing on dates other than those on which corresponding funds are received by such Conduit Lender, minus any accrual of income net of expenses received from investment of collections received under all receivable purchase facilities funded substantially with Commercial Paper Notes.</w:t>
            </w:r>
          </w:p>
        </w:tc>
      </w:tr>
    </w:tbl>
    <w:p>
      <w:pPr>
        <w:pStyle w:val="TextBody"/>
        <w:bidi w:val="0"/>
        <w:jc w:val="center"/>
        <w:rPr>
          <w:rFonts w:ascii="Times New Roman" w:hAnsi="Times New Roman"/>
          <w:color w:val="000000"/>
          <w:sz w:val="24"/>
        </w:rPr>
      </w:pPr>
      <w:r>
        <w:rPr>
          <w:rFonts w:ascii="Times New Roman" w:hAnsi="Times New Roman"/>
          <w:color w:val="000000"/>
          <w:sz w:val="24"/>
        </w:rPr>
        <w:t>SA-147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B</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ELIGIBLE RECEIVABLE CRITERIA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 “Eligible Receivable” means a Receivable as to which all of the following conditions are satisfied: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is payable in Dollars in the United States and with respect to which, at the time of origination, the related Obligor provided as its most recent billing address an address located in the United States or one of its territories;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 respect to which the related Obligor is not the Originator, an Affiliate of the Originator, an employee of the Originator or any Affiliate of the Originator, the U.S. government or any State or any agency, department or instrumentality of the U.S. government or any State or other government entity;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if the primary Obligor has a credit bureau score obtained from Fair-Isaacs Corporation, Experian, Equifax of TransUnion LLC, the score is at least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which (i) if a Vroom Receivable, had an original Principal Balance of not less than $[***] and not more than $[***] or (ii) if not a Vroom Receivable, had an original Principal Balance of not less than $[***] and not more than $[***], and the related Obligor is required to make payments to the Post Office Boxes or the Local Bank Account under the control of the Servicer;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had a first Scheduled Payment due no more than 60 days after the date of origination of the related Contract and, at the time of inclusion in the Collateral, the first Scheduled Payment was not past due; provided, that no funds have been advanced by the Originator, the Borrower, the related Dealer, any of their respective Affiliates or any other Person in respect of making such first Scheduled 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is not a Defaulted Receivable (a) at the time such Receivable first becomes part of the Collateral or (b) as of the related Cutoff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no more than [***]% of any related Scheduled Payment is more than [***] days past due at the time such Receivable first becomes part of the Collateral and, in the case of any Portfolio Purchase Receivables, on the date of any Securitization prepayment;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was sold and originated in the United States in the ordinary course of the Originator’s business pursuant to a transaction constituting a bona fide sale, which was created as a result of an advance by the Originator in the ordinary course of its business, directly to or for the benefit of an Obligor for the retail purchase or refinancing of the Financed Vehicle and which, to the best of the Borrower’s knowledge, was originated without fraud or misrepresentation;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related Contract satisfies in all material respects the requirements of the Credit and Collection Policy as in effect as of the related Cutoff Date, was underwritten by the Originator in accordance with the Credit and Collection Policy, which shall have complied with, at the time of its origination, and shall remain in compliance with, all Requirements of Law, including all consumer protection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to which the Borrower will have good and marketable title thereto and as to which there is no Lien (other than Liens arising pursuant to the related Receivable) against the related Financed Vehicle, and as to which at any time, the Administrative Agent, for the benefit of the Secured Parties, shall have a valid and perfected first priority security interest, free and clear of all Liens and rights of others;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provides for level monthly payments (provided that the payment in the first and last months of the Receivable may be minimally different from the level payment) that fully amortize the Amount Financed and yield interest, calculated in accordance with the Simple Interest Method, at the related APR over its original term of no fewer than [***] months and no more than [***] months;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when taken together with all other Receivables that are Eligible Receivables, does not cause the weighted average APR of all Receivables that are Eligible Receivables to be less than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which, except in the case of a Portfolio Purchase Receivable, has a C-Score;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 if not a Portfolio Purchase Receivable, has a maximum original term to maturity of [***] months or less, or (ii) if a Portfolio Purchase Receivable, has a maximum original term to maturity of [***] months or less;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provides for, in the event that such Receivable is prepaid by the Obligor, a prepayment that fully pays the Principal Balance of such Receivable and any interest accrued at the related APR through the date of prepayment;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was originated in the United States by the Originator a Dealer approved by the Originator and which was sold to the Originator pursuant to a Dealer Agreement and sold to the Borrower by the Originator pursuant to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(a) the related Financed Vehicle was purchased with the proceeds of such Receivable, (b) to the knowledge of the Borrower, all accessories and optional equipment are described in the related Contract and (c) at the time of origination of the related Contract, such Financed Vehicle was not designated for racing or use as a vehicle for hire or, except in the case of an Eligible Commercial Vehicle, any other commercial 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provides the Borrower with a clear right of repossession on the Financed Vehicle securing such Receivable and contains customary and enforceable provisions such that the rights and remedies of the holder thereof shall be adequate for realization against the collateral of the benefits of the security;</w:t>
      </w:r>
    </w:p>
    <w:p>
      <w:pPr>
        <w:pStyle w:val="TextBody"/>
        <w:bidi w:val="0"/>
        <w:jc w:val="center"/>
        <w:rPr>
          <w:rFonts w:ascii="Times New Roman" w:hAnsi="Times New Roman"/>
          <w:color w:val="000000"/>
          <w:sz w:val="24"/>
        </w:rPr>
      </w:pPr>
      <w:r>
        <w:rPr>
          <w:rFonts w:ascii="Times New Roman" w:hAnsi="Times New Roman"/>
          <w:color w:val="000000"/>
          <w:sz w:val="24"/>
        </w:rPr>
        <w:t>SB-149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is not subject to any right of rescission, cancellation, set-off, claim, counterclaim or defense (including the defense of usury) of the Obligor or any proceedings pending or, to the best of the Borrower’s knowledge threatened, wherein the Obligor or any Governmental Authority has alleged the related Contract is illegal or unenforceable;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arises pursuant to a Contract with respect to which each of the Originator and the Borrower has performed all obligations required to be performed by it thereunder, including shipment of the related Financed Vehicle in good repair, without defects and in satisfactory order and/or the performance of the services purchased thereunder and, at the time such Receivable first became part of the Collateral, neither the Originator or the Borrower had done anything to impair the rights of the Secured Parties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is secured by a valid, subsisting and enforceable first priority perfected security interest in favor of the Borrower in the related Financed Vehicle with respect to which all filings have been made, which security interest has been validly assigned by the Borrower to the Administrative Agent and with respect to which all filings necessary in any jurisdiction to give the Administrative Agent a first priority perfected security interest in such Receivable and Financed Vehicle have been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arises under a Contract which has been properly executed by the parties thereto and which represents the genuine, legal, valid and binding payment obligation in writing of the Obligor, in full force and effect, enforceable by the holder thereof in accordance with its terms, subject to the effect of Insolvency Laws affecting the enforcement of creditors’ rights generally;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there is only one original Contract related thereto and such Contract has not been sold, transferred, assigned or pledged by the Originator to any Person other than the Borrower; and with respect to which the Originator has fulfilled all obligations to be fulfilled on its part under or in connection with the origination, acquisition and assignment of such Receivable, including giving notices or consents necessary to effect the acquisition of the Receivable and which, at the time such Receivable first became part of the Collateral, the related Contract has not been waived or modified, except in accordance with the Credit and Collection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at the time of origination, the related Financed Vehicle is required by the terms of the related Contract to be covered by an individual physical damage insurance policy in an amount equal to the maximum insurable value of the related Financed Vehicle or the Amount Financed and the related Contract (a) if required by applicable State law, requires such Obligor to pay all sales, use, property, excise and other similar taxes imposed on or with respect to the related Financed Vehicle and (b) makes such Obligor liable for all payments required to be made thereunder, without any setoff, counterclaim or defense for any reason whatsoever, subject only to such Obligor’s right of quiet enjoyment;</w:t>
      </w:r>
    </w:p>
    <w:p>
      <w:pPr>
        <w:pStyle w:val="TextBody"/>
        <w:bidi w:val="0"/>
        <w:jc w:val="center"/>
        <w:rPr>
          <w:rFonts w:ascii="Times New Roman" w:hAnsi="Times New Roman"/>
          <w:color w:val="000000"/>
          <w:sz w:val="24"/>
        </w:rPr>
      </w:pPr>
      <w:r>
        <w:rPr>
          <w:rFonts w:ascii="Times New Roman" w:hAnsi="Times New Roman"/>
          <w:color w:val="000000"/>
          <w:sz w:val="24"/>
        </w:rPr>
        <w:t>SB-150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constitutes “chattel paper” (including “tangible chattel paper” and “electronic chattel paper”) under and as defined in Article 9 of the UCC as then in effect in the UCC;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Contract evidencing such Receivable, including the description of the motor vehicle and/or services contained therein, is in all respects complete, accurate and represents the entire agreement between the Originator and the Obligor;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Custodian is holding the related Receivable File for the benefit of the Secured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any compromise, extension, rebate, adjustment, amendment or modification (including by the extension of time for payment or the granting of any discounts, allowances or credits) was made as permitted by the Credit and Collection Policy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information set forth in the Schedule of Receivables is true and correct in all material respects as of the opening of business on the related Cutoff Date and with respect to which the Originator used no selection procedures (other than as expressly set forth in this Schedule) (a) that identified such Receivable as being less desirable or valuable than other comparable motor vehicle loans originated or acquired by the Originator or (b) for which no selection procedures adverse to the interests of the Secured Parties have been utilized;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related Financed Vehicle has not been repossessed from the Obligor on or prior to the related Cutoff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sale, transfer, assignment and conveyance of by the Originator is not subject to and will not result in any Tax payable by the Originator or the Borrower to any federal, State or local government, other than those Taxes which have or will be paid by the Originator as due;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at the time of origination, all proceeds on the related Contract were fully disbursed and there is no requirement for future advances thereunder and all fees and expenses in connection with the origination of the Receivable have been paid;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which does not provide for the substitution, exchange or addition of any Financed Vehicle to such Receivable and with respect to which the related Financed Vehicle was properly delivered to the related Obligor in good repair, without defects and in satisfactory order;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Servicer holds the Certificate of Title or the application for a Certificate of Title for the related Financed Vehicle or the Servicer will obtain within 180 days of the related Cutoff Date a Certificate of Title with respect to the Financed Vehicle as to which the Servicer holds only such application;</w:t>
      </w:r>
    </w:p>
    <w:p>
      <w:pPr>
        <w:pStyle w:val="TextBody"/>
        <w:bidi w:val="0"/>
        <w:jc w:val="center"/>
        <w:rPr>
          <w:rFonts w:ascii="Times New Roman" w:hAnsi="Times New Roman"/>
          <w:color w:val="000000"/>
          <w:sz w:val="24"/>
        </w:rPr>
      </w:pPr>
      <w:r>
        <w:rPr>
          <w:rFonts w:ascii="Times New Roman" w:hAnsi="Times New Roman"/>
          <w:color w:val="000000"/>
          <w:sz w:val="24"/>
        </w:rPr>
        <w:t>SB-151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related Dealer (a) was selected by the Originator based on the Credit and Collection Policy, the Dealer’s financial operating history and record of compliance with requirements under applicable United States federal and State law, (b) is authorized to originate such Receivable for sale to the Originator and (c) has not engaged in any conduct constituting fraud or misrepresentation with respect to such Receivable;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at the time of origination of the related Contract, (a) the related Dealer that sold the related Contract to the Originator has entered into a Dealer Agreement and such Dealer Agreement constitutes the entire agreement between the Originator and such Dealer with respect to the sale of such Contract to the Originator, (b) such Dealer Agreement is in full force and effect and is the legal, valid and binding obligation of the Originator, (c) there have been no material defaults by the Originator under such Dealer Agreement, (d) the Originator has fully performed all of its obligations under such Dealer Agreement, (e) the Originator has not made any written statements or representations to such Dealer inconsistent with any term of such Dealer Agreement, (f) the purchase price (as specified in such Dealer Agreement, if any) for such Contract has been paid in full by the Originator, (g) there is no other payment due to such Dealer from the Originator for the purchase of such Contract, (h) such Dealer has no right, title or interest in or to such Contract, (i) there is no prior course of dealing between such Dealer and the Originator which will affect the terms of such Dealer Agreement and (j) any payment owed to such Dealer by the Originator is a corporate obligation of the Originator in the nature of a bonus for amounts collected by the Originator in excess of the purchase price for such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if the related Financed Vehicle is titled in the State of Texas, such Financed Vehicle is a “motor vehicle” as defined in Section 501.002 of the Texas Transportation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related Contract has not been stamped or otherwise marked to show any interest or Lien of any other Person or any such stamp or other mark has been cancelled;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which meets such other reasonable criteria mutually agreed upon by the Borrower and the Administrative Agent from time to time;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is secured by a Financed Vehicle with a model year of [***] or later;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Receivable was not noted in the records of the Originator or the Servicer as being the subject of any pending Insolvency Proceeding;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assignment of such Receivable pursuant to the Purchase Agreement is valid and enforceable and does not require the consent of, or notice to, the related Obligor;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procedures that could reasonably be expected to be adverse to the interests of the Borrower or the Lenders were utilized by the Originator in selecting such Receivable for transfer to the Borrower pursuant to the Purchase Agreement;</w:t>
      </w:r>
    </w:p>
    <w:p>
      <w:pPr>
        <w:pStyle w:val="TextBody"/>
        <w:bidi w:val="0"/>
        <w:jc w:val="center"/>
        <w:rPr>
          <w:rFonts w:ascii="Times New Roman" w:hAnsi="Times New Roman"/>
          <w:color w:val="000000"/>
          <w:sz w:val="24"/>
        </w:rPr>
      </w:pPr>
      <w:r>
        <w:rPr>
          <w:rFonts w:ascii="Times New Roman" w:hAnsi="Times New Roman"/>
          <w:color w:val="000000"/>
          <w:sz w:val="24"/>
        </w:rPr>
        <w:t>SB-152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until such time as the Borrower has provided the Administrative Agent with copies of all required licenses under (a) the Maryland Vehicle Sales Finance Act, Maryland Code Annotated, Financial Institutions Sections 11-401 et seq., such Receivable may not have been originated in the State of Maryland or have an Obligor with a billing address in the State of Maryland or (b) the Pennsylvania Motor Vehicle Sales Finance Act, 69 P.S. Section 601 et seq., such Receivable may not have been originated in the State of Pennsylvania or have an Obligor with a billing address in the State of Pennsylvania;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Receivables that constitute tangible chattel paper, such tangible chattel paper is in the possession of the Servicer, and the Servicer (in its capacity as Custodian) is holding such tangible chattel paper solely on behalf and for the benefit of the Secured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Receivables that constitute electronic chattel paper, (A) the Servicer has “control” of such electronic chattel paper within the meaning of Section 9-105 of the applicable UCC and the Servicer (in its capacity as Custodian) is maintaining control of such electronic chattel paper solely on behalf and for the benefit of the Secured Parties; (B) (i) only one authoritative copy of each contract that constitutes or evidences the Receivable exists, and each such authoritative copy (a) is unique, identifiable and unalterable (other than with the participation of UACC on behalf of the Secured Parties, in the case of an addition or change of an identified assignee and other than a revision that is readily identifiable as an authorized or unauthorized revision) and (b) has been communicated to and is maintained by the Servicer or a third party provider acting on behalf of UACC, (ii) the authoritative copy of the related Contract identifies only UACC as the assignee thereof, (iii) each copy of the authoritative copy of the related Contract and any copy of a copy are readily identifiable as copies that are not the authoritative copy and (iv) the Receivable has been established in a manner such that (a) all copies or revisions that add or change an identified assignee of the authoritative copy of each Contract that constitutes or evidences the Receivable must be made with the participation of UACC on behalf of the Secured Parties and (b) all revisions of the authoritative copy of each Contract that constitute or evidence the Receivable must be readily identifiable as to an authorized or unauthorized revision and (C) the Administrative Agent and the Lenders shall have received an opinion of [***], in form and substance acceptable to the Administrative Agent, regarding UACC’s “control” (within the meaning of Section 9-105 of the UCC) of Contracts that constitute “electronic chattel paper” (as defined in the UCC).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that any Receivable that constitutes electronic chattel paper has been converted from tangible chattel paper, each of the following is true: (a) prior to such conversion to an electronic chattel paper, UACC or its agents had sole possession of such tangible chattel paper; (b) upon conversion or within 30 days after such conversion, each such tangible chattel paper was destroyed; (c) the destruction of such tangible chattel paper was conducted by UACC or a third party on behalf of UACC; (d) the destruction of such tangible chattel paper is evidenced in a manner that is satisfactory to the Administrative Agent, whether by visual recording or certification of such third party or by any other means, and that such evidence is delivered to or made available to the Administrative </w:t>
      </w:r>
    </w:p>
    <w:p>
      <w:pPr>
        <w:pStyle w:val="TextBody"/>
        <w:bidi w:val="0"/>
        <w:jc w:val="center"/>
        <w:rPr>
          <w:rFonts w:ascii="Times New Roman" w:hAnsi="Times New Roman"/>
          <w:color w:val="000000"/>
          <w:sz w:val="24"/>
        </w:rPr>
      </w:pPr>
      <w:r>
        <w:rPr>
          <w:rFonts w:ascii="Times New Roman" w:hAnsi="Times New Roman"/>
          <w:color w:val="000000"/>
          <w:sz w:val="24"/>
        </w:rPr>
        <w:t>SB-153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Agent; and (e) at the time of or before such destruction of the tangible chattel paper, the applicable electronic chattel paper satisfied all of the requirements of paragraph 46 above.</w:t>
      </w:r>
    </w:p>
    <w:p>
      <w:pPr>
        <w:pStyle w:val="TextBody"/>
        <w:bidi w:val="0"/>
        <w:jc w:val="center"/>
        <w:rPr>
          <w:rFonts w:ascii="Times New Roman" w:hAnsi="Times New Roman"/>
          <w:color w:val="000000"/>
          <w:sz w:val="24"/>
        </w:rPr>
      </w:pPr>
      <w:r>
        <w:rPr>
          <w:rFonts w:ascii="Times New Roman" w:hAnsi="Times New Roman"/>
          <w:color w:val="000000"/>
          <w:sz w:val="24"/>
        </w:rPr>
        <w:t>SB-154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C</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SCHEDULE OF RECEIVABLES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(Original delivered to the Administrative Agent)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D</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LOCATION OF RECEIVABLE FILES</w:t>
      </w:r>
    </w:p>
    <w:p>
      <w:pPr>
        <w:pStyle w:val="TextBody"/>
        <w:bidi w:val="0"/>
        <w:jc w:val="left"/>
        <w:rPr>
          <w:rFonts w:ascii="Times New Roman" w:hAnsi="Times New Roman"/>
          <w:color w:val="000000"/>
          <w:sz w:val="24"/>
        </w:rPr>
      </w:pPr>
      <w:r>
        <w:rPr>
          <w:rFonts w:ascii="Times New Roman" w:hAnsi="Times New Roman"/>
          <w:color w:val="000000"/>
          <w:sz w:val="24"/>
        </w:rPr>
        <w:t>United Auto Credit Corporation</w:t>
      </w:r>
    </w:p>
    <w:p>
      <w:pPr>
        <w:pStyle w:val="TextBody"/>
        <w:bidi w:val="0"/>
        <w:jc w:val="left"/>
        <w:rPr>
          <w:rFonts w:ascii="Times New Roman" w:hAnsi="Times New Roman"/>
          <w:color w:val="000000"/>
          <w:sz w:val="24"/>
        </w:rPr>
      </w:pPr>
      <w:r>
        <w:rPr>
          <w:rFonts w:ascii="Times New Roman" w:hAnsi="Times New Roman"/>
          <w:color w:val="000000"/>
          <w:sz w:val="24"/>
        </w:rPr>
        <w:t>1071 Camelback Street</w:t>
      </w:r>
    </w:p>
    <w:p>
      <w:pPr>
        <w:pStyle w:val="TextBody"/>
        <w:bidi w:val="0"/>
        <w:jc w:val="left"/>
        <w:rPr>
          <w:rFonts w:ascii="Times New Roman" w:hAnsi="Times New Roman"/>
          <w:color w:val="000000"/>
          <w:sz w:val="24"/>
        </w:rPr>
      </w:pPr>
      <w:r>
        <w:rPr>
          <w:rFonts w:ascii="Times New Roman" w:hAnsi="Times New Roman"/>
          <w:color w:val="000000"/>
          <w:sz w:val="24"/>
        </w:rPr>
        <w:t>Newport Beach, California 92660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w:t>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E</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SCHEDULE OF DOCUMENTS</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[Closing Checklist to be Attached]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F</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ELIGIBLE COMMERCIAL VEHICLE CRITERIA</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iii.</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G</w:t>
      </w:r>
    </w:p>
    <w:p>
      <w:pPr>
        <w:pStyle w:val="TextBody"/>
        <w:bidi w:val="0"/>
        <w:jc w:val="center"/>
        <w:rPr>
          <w:rFonts w:ascii="Times New Roman" w:hAnsi="Times New Roman"/>
          <w:color w:val="000000"/>
          <w:sz w:val="24"/>
        </w:rPr>
      </w:pPr>
      <w:r>
        <w:rPr>
          <w:rFonts w:ascii="Times New Roman" w:hAnsi="Times New Roman"/>
          <w:color w:val="000000"/>
          <w:sz w:val="24"/>
        </w:rPr>
        <w:t>PORTFOLIO PURCHASE RECEIVABLES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A</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Funding Request</w:t>
      </w:r>
    </w:p>
    <w:p>
      <w:pPr>
        <w:pStyle w:val="TextBody"/>
        <w:bidi w:val="0"/>
        <w:jc w:val="right"/>
        <w:rPr>
          <w:rFonts w:ascii="Times New Roman" w:hAnsi="Times New Roman"/>
          <w:color w:val="000000"/>
          <w:sz w:val="24"/>
        </w:rPr>
      </w:pPr>
      <w:r>
        <w:rPr>
          <w:rFonts w:ascii="Times New Roman" w:hAnsi="Times New Roman"/>
          <w:color w:val="000000"/>
          <w:sz w:val="24"/>
        </w:rPr>
        <w:t>____________, 201_</w:t>
      </w:r>
    </w:p>
    <w:p>
      <w:pPr>
        <w:pStyle w:val="TextBody"/>
        <w:bidi w:val="0"/>
        <w:spacing w:before="0" w:after="24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Attention: Asset-Backed Securities Conduit Group</w:t>
      </w:r>
    </w:p>
    <w:p>
      <w:pPr>
        <w:pStyle w:val="TextBody"/>
        <w:bidi w:val="0"/>
        <w:jc w:val="left"/>
        <w:rPr>
          <w:rFonts w:ascii="Times New Roman" w:hAnsi="Times New Roman"/>
          <w:sz w:val="20"/>
        </w:rPr>
      </w:pPr>
      <w:r>
        <w:rPr>
          <w:rFonts w:ascii="Times New Roman" w:hAnsi="Times New Roman"/>
          <w:color w:val="000000"/>
          <w:sz w:val="24"/>
        </w:rPr>
        <w:t>[***]</w:t>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Re: </w:t>
      </w:r>
      <w:r>
        <w:rPr>
          <w:rFonts w:ascii="Times New Roman" w:hAnsi="Times New Roman"/>
          <w:color w:val="000000"/>
          <w:sz w:val="24"/>
          <w:u w:val="single"/>
        </w:rPr>
        <w:t>UACC Auto Financing Trust IV Warehouse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is a Responsible Officer of UACC Auto Financing Trust IV (the “Borrower”) and is authorized to execute and deliver this Funding Request on behalf of the Borrower pursuant to the Warehouse Agreement, dated as of November 19, 2013 (as amended, restated, supplemented or otherwise modified from time to time, the “Warehouse Agreement”), among the Borrower, United Auto Credit Corporation, as servicer and as custodian, [***], as backup servicer and account bank, the Lenders from time to time party thereto, the Agents from time to time party thereto, and [***], as administrative agent. Capitalized terms not otherwise defined herein have the meanings ascribed thereto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requests that a Loan be made under the Warehouse Agreement on __________, ____ in the amount of $__________.</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the foregoing, the undersigned hereby certifies, on behalf of the Borrower,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date hereof, the Borrowing Base and the Maximum Borrowing Base (each calculated as of the previous Determination Date, or the later of, with respect to Receivables added to the Collateral following such Determination Date, but prior to or on such date of determination, the related Cutoff Date) is __________ and _________, respectively. Attached to this Funding Request is a true, complete and correct calculation of each of the Borrowing Base and the Maximum Borrowing Base and all components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of the conditions applicable to the requested Loan as set forth in the Warehouse Agreement have been satisfied as of the date hereof and will remain satisfied to the date of such Loan, including: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representations and warranties contained in Article Five of the Warehouse Agreement are true and correct in all respects on and as of the date hereof, before and after giving effect to the Loan and to the application of the proceeds therefrom as though made on and as of the date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event has occurred, or would result from such Loan or from the application of the proceeds therefrom, which constitutes a Termination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is in material compliance with each of its covenants set forth in the Warehouse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best of the Borrower’s knowledge, no event has occurred which constitutes a Servicer Termination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requested Loan will not, on the Funding Date, exceed the Available Amount and the requested Loan, together with the Loans Outstanding, will not, on the Funding Date, exceed the Maximum Borrowing Base.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Collateral Coverage Ratio, (a) on any Funding Date, after giving effect to the inclusion of the Receivables being added to the Collateral on such Funding Date, is equal to ____%, which is equal to or less than the Weighted Average Advance Rate on such Funding Date, or (b) on the date of any Reborrowing, is equal to ___%, which is equal to or less than the Weighted Average Advance Rate on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Attached hereto is a true, correct and complete Schedule A to the Purchase Agreement, reflecting all Receivables which will become part of the Collateral on the Funding Date, each Receivable reflected thereon being an Eligible Receivable.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rPr>
        <w:t>The Cutoff Date with respect to the Receivables is , 201</w:t>
      </w:r>
      <w:r>
        <w:rPr>
          <w:color w:val="000000"/>
          <w:u w:val="single"/>
        </w:rPr>
        <w:t xml:space="preserve"> </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to and after giving effect to the requested Loan, the Borrower is Solvent.</w:t>
      </w:r>
    </w:p>
    <w:p>
      <w:pPr>
        <w:pStyle w:val="TextBody"/>
        <w:bidi w:val="0"/>
        <w:jc w:val="left"/>
        <w:rPr>
          <w:rFonts w:ascii="Times New Roman" w:hAnsi="Times New Roman"/>
          <w:color w:val="000000"/>
          <w:sz w:val="24"/>
        </w:rPr>
      </w:pPr>
      <w:r>
        <w:rPr>
          <w:rFonts w:ascii="Times New Roman" w:hAnsi="Times New Roman"/>
          <w:color w:val="000000"/>
          <w:sz w:val="24"/>
        </w:rPr>
        <w:t>UACC AUTO FINANCING TRUST IV</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UNITED AUTO CREDIT CORPORATION, as Attorney-In-Fact</w:t>
      </w:r>
    </w:p>
    <w:p>
      <w:pPr>
        <w:pStyle w:val="TextBody"/>
        <w:bidi w:val="0"/>
        <w:jc w:val="left"/>
        <w:rPr/>
      </w:pPr>
      <w:r>
        <w:rPr/>
        <w:t> </w:t>
      </w:r>
    </w:p>
    <w:p>
      <w:pPr>
        <w:pStyle w:val="TextBody"/>
        <w:bidi w:val="0"/>
        <w:spacing w:before="7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 xml:space="preserve">Name: </w:t>
        <w:br/>
        <w:t>Title:</w:t>
      </w:r>
    </w:p>
    <w:p>
      <w:pPr>
        <w:pStyle w:val="TextBody"/>
        <w:bidi w:val="0"/>
        <w:jc w:val="center"/>
        <w:rPr>
          <w:rFonts w:ascii="Times New Roman" w:hAnsi="Times New Roman"/>
          <w:color w:val="000000"/>
          <w:sz w:val="24"/>
        </w:rPr>
      </w:pPr>
      <w:r>
        <w:rPr>
          <w:rFonts w:ascii="Times New Roman" w:hAnsi="Times New Roman"/>
          <w:color w:val="000000"/>
          <w:sz w:val="24"/>
        </w:rPr>
        <w:t>A-161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B</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NOTE</w:t>
      </w:r>
    </w:p>
    <w:p>
      <w:pPr>
        <w:pStyle w:val="TextBody"/>
        <w:bidi w:val="0"/>
        <w:spacing w:before="0" w:after="240"/>
        <w:jc w:val="right"/>
        <w:rPr>
          <w:rFonts w:ascii="Times New Roman" w:hAnsi="Times New Roman"/>
          <w:color w:val="000000"/>
          <w:sz w:val="24"/>
        </w:rPr>
      </w:pPr>
      <w:r>
        <w:rPr>
          <w:rFonts w:ascii="Times New Roman" w:hAnsi="Times New Roman"/>
          <w:color w:val="000000"/>
          <w:sz w:val="24"/>
        </w:rPr>
        <w:t>[Date]</w:t>
      </w:r>
    </w:p>
    <w:p>
      <w:pPr>
        <w:pStyle w:val="TextBody"/>
        <w:bidi w:val="0"/>
        <w:spacing w:before="0" w:after="240"/>
        <w:jc w:val="both"/>
        <w:rPr>
          <w:rFonts w:ascii="Times New Roman" w:hAnsi="Times New Roman"/>
          <w:sz w:val="20"/>
        </w:rPr>
      </w:pPr>
      <w:r>
        <w:rPr>
          <w:rFonts w:ascii="Times New Roman" w:hAnsi="Times New Roman"/>
          <w:color w:val="000000"/>
          <w:sz w:val="24"/>
        </w:rPr>
        <w:t>FOR VALUE RECEIVED, the undersigned, UACC AUTO FINANCING TRUST IV, a Delaware statutory trust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promises to pay to the order of [***], as agent for the Lenders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at the office of the Administrative Agent set forth in the Warehouse Agreement, dated as of November 19, 2013 (as amended, restated, supplemented or otherwise modified from time to time, the “</w:t>
      </w:r>
      <w:r>
        <w:rPr>
          <w:rFonts w:ascii="Times New Roman" w:hAnsi="Times New Roman"/>
          <w:color w:val="000000"/>
          <w:sz w:val="24"/>
          <w:u w:val="single"/>
        </w:rPr>
        <w:t>Warehouse Agreement</w:t>
      </w:r>
      <w:r>
        <w:rPr>
          <w:rFonts w:ascii="Times New Roman" w:hAnsi="Times New Roman"/>
          <w:color w:val="000000"/>
          <w:sz w:val="20"/>
        </w:rPr>
        <w:t>”</w:t>
      </w:r>
      <w:r>
        <w:rPr>
          <w:rFonts w:ascii="Times New Roman" w:hAnsi="Times New Roman"/>
          <w:color w:val="000000"/>
          <w:sz w:val="24"/>
        </w:rPr>
        <w:t>) among the Borrower, United Auto Credit Corporation, as servicer and as custodian, [***], as backup servicer and account bank, the Lenders named therein, the Agents named therein and the Administrative Agent, on the Termination Date, in lawful money of the United States of America and in immediately available funds, the principal amount of [***] Dollars ($[***]), or, if less, such Lender’s Invested Percentage of the Loans Outstanding under the Warehouse Agreement, and to pay interest at such office, in like money, from the date hereof on the unpaid principal amount of such Lender’s Invested Percentage of the Loans from time to time outstanding at the rates and on the dates specified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is authorized to record, on the schedules annexed hereto and made a part hereof or on other appropriate records, the date and the amount each Lender’s Invested Percentage of each Loan made under the Warehouse Agreement, each continuation thereof, the funding period for such Loan and the date and amount of each payment or prepayment of principal thereof. Any such recordation shall constitute prima facie evidence of the accuracy of the information so recorded; provided that the failure of the Administrative Agent to make any such recordation (or any error in such recordation) shall not affect the obligations of the Borrower hereunder or under the Warehouse Agreement in respect of the Loans or each Lender’s Invested Percentage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Note is one of the Notes referred to in the Warehouse Agreement, and is entitled to the benefits thereof. Capitalized terms used herein and defined herein have the meanings given them in the Warehouse Agreement. This Note is subject to periodic pay-downs, and optional and mandatory prepayment as provided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occurrence of a Termination Event, the Administrative Agent, on behalf of the Secured Parties, shall have all of the remedies specified in the Warehouse Agreement. The Borrower hereby waives presentment, demand, protest and all notices of any kind.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THIS NOTE SHALL BE GOVERNED BY, AND CONSTRUED AND INTERPRETED IN ACCORDANCE WITH, THE LAWS OF THE STATE OF NEW YORK WITHOUT REGARD TO PRINCIPLES OF CONFLICTS OF LAW (OTHER THAN SECTIONS 5-1401 AND 5-1402 OF THE NEW YORK GENERAL OBLIGATIONS LAW).</w:t>
      </w:r>
    </w:p>
    <w:p>
      <w:pPr>
        <w:pStyle w:val="TextBody"/>
        <w:bidi w:val="0"/>
        <w:jc w:val="left"/>
        <w:rPr>
          <w:rFonts w:ascii="Times New Roman" w:hAnsi="Times New Roman"/>
          <w:color w:val="000000"/>
          <w:sz w:val="24"/>
        </w:rPr>
      </w:pPr>
      <w:r>
        <w:rPr>
          <w:rFonts w:ascii="Times New Roman" w:hAnsi="Times New Roman"/>
          <w:color w:val="000000"/>
          <w:sz w:val="24"/>
        </w:rPr>
        <w:t>UACC AUTO FINANCING TRUST IV,</w:t>
      </w:r>
    </w:p>
    <w:p>
      <w:pPr>
        <w:pStyle w:val="TextBody"/>
        <w:bidi w:val="0"/>
        <w:jc w:val="left"/>
        <w:rPr>
          <w:rFonts w:ascii="Times New Roman" w:hAnsi="Times New Roman"/>
          <w:color w:val="000000"/>
          <w:sz w:val="24"/>
        </w:rPr>
      </w:pPr>
      <w:r>
        <w:rPr>
          <w:rFonts w:ascii="Times New Roman" w:hAnsi="Times New Roman"/>
          <w:color w:val="000000"/>
          <w:sz w:val="24"/>
        </w:rPr>
        <w:t>as Borrower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 not in its individual capacity but solely as Owner Trustee</w:t>
      </w:r>
    </w:p>
    <w:p>
      <w:pPr>
        <w:pStyle w:val="TextBody"/>
        <w:bidi w:val="0"/>
        <w:spacing w:before="240" w:after="283"/>
        <w:jc w:val="left"/>
        <w:rPr/>
      </w:pPr>
      <w:r>
        <w:rPr/>
        <w:t> </w:t>
      </w:r>
    </w:p>
    <w:p>
      <w:pPr>
        <w:pStyle w:val="TextBody"/>
        <w:bidi w:val="0"/>
        <w:spacing w:before="720" w:after="283"/>
        <w:jc w:val="left"/>
        <w:rPr>
          <w:rFonts w:ascii="Times New Roman" w:hAnsi="Times New Roman"/>
          <w:sz w:val="20"/>
        </w:rPr>
      </w:pPr>
      <w:r>
        <w:rPr>
          <w:rFonts w:ascii="Times New Roman" w:hAnsi="Times New Roman"/>
          <w:color w:val="000000"/>
          <w:sz w:val="24"/>
        </w:rPr>
        <w:t>By: /s/[***]</w:t>
      </w:r>
      <w:r>
        <w:rPr>
          <w:rFonts w:ascii="Times New Roman" w:hAnsi="Times New Roman"/>
          <w:color w:val="000000"/>
          <w:sz w:val="20"/>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 [***]</w:t>
        <w:br/>
        <w:t>Title: [***]</w:t>
      </w:r>
    </w:p>
    <w:p>
      <w:pPr>
        <w:pStyle w:val="TextBody"/>
        <w:bidi w:val="0"/>
        <w:jc w:val="center"/>
        <w:rPr>
          <w:rFonts w:ascii="Times New Roman" w:hAnsi="Times New Roman"/>
          <w:color w:val="000000"/>
          <w:sz w:val="24"/>
        </w:rPr>
      </w:pPr>
      <w:r>
        <w:rPr>
          <w:rFonts w:ascii="Times New Roman" w:hAnsi="Times New Roman"/>
          <w:color w:val="000000"/>
          <w:sz w:val="24"/>
        </w:rPr>
        <w:t>B-163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 1 to</w:t>
        <w:br/>
        <w:t>Note</w:t>
      </w:r>
    </w:p>
    <w:tbl>
      <w:tblPr>
        <w:tblW w:w="8404" w:type="dxa"/>
        <w:jc w:val="left"/>
        <w:tblInd w:w="0" w:type="dxa"/>
        <w:tblLayout w:type="fixed"/>
        <w:tblCellMar>
          <w:top w:w="28" w:type="dxa"/>
          <w:left w:w="28" w:type="dxa"/>
          <w:bottom w:w="28" w:type="dxa"/>
          <w:right w:w="28" w:type="dxa"/>
        </w:tblCellMar>
      </w:tblPr>
      <w:tblGrid>
        <w:gridCol w:w="2911"/>
        <w:gridCol w:w="1741"/>
        <w:gridCol w:w="1966"/>
        <w:gridCol w:w="1786"/>
      </w:tblGrid>
      <w:tr>
        <w:trPr/>
        <w:tc>
          <w:tcPr>
            <w:tcW w:w="291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4"/>
              </w:rPr>
            </w:pPr>
            <w:r>
              <w:rPr>
                <w:rFonts w:ascii="Times New Roman" w:hAnsi="Times New Roman"/>
                <w:color w:val="000000"/>
                <w:sz w:val="24"/>
              </w:rPr>
              <w:t>Invested Percentage of Loans</w:t>
            </w:r>
          </w:p>
        </w:tc>
        <w:tc>
          <w:tcPr>
            <w:tcW w:w="174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4"/>
              </w:rPr>
            </w:pPr>
            <w:r>
              <w:rPr>
                <w:rFonts w:ascii="Times New Roman" w:hAnsi="Times New Roman"/>
                <w:color w:val="000000"/>
                <w:sz w:val="24"/>
              </w:rPr>
              <w:t>Interest on Loans</w:t>
            </w:r>
          </w:p>
        </w:tc>
        <w:tc>
          <w:tcPr>
            <w:tcW w:w="196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4"/>
              </w:rPr>
            </w:pPr>
            <w:r>
              <w:rPr>
                <w:rFonts w:ascii="Times New Roman" w:hAnsi="Times New Roman"/>
                <w:color w:val="000000"/>
                <w:sz w:val="24"/>
              </w:rPr>
              <w:t>Payments on Loans</w:t>
            </w:r>
          </w:p>
        </w:tc>
        <w:tc>
          <w:tcPr>
            <w:tcW w:w="178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4"/>
              </w:rPr>
            </w:pPr>
            <w:r>
              <w:rPr>
                <w:rFonts w:ascii="Times New Roman" w:hAnsi="Times New Roman"/>
                <w:color w:val="000000"/>
                <w:sz w:val="24"/>
              </w:rPr>
              <w:t>Notation by Date</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B-164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C</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ASSIGNMENT AND ACCEPTANCE</w:t>
      </w:r>
    </w:p>
    <w:p>
      <w:pPr>
        <w:pStyle w:val="TextBody"/>
        <w:bidi w:val="0"/>
        <w:spacing w:before="0" w:after="240"/>
        <w:jc w:val="center"/>
        <w:rPr>
          <w:rFonts w:ascii="Times New Roman" w:hAnsi="Times New Roman"/>
          <w:sz w:val="20"/>
        </w:rPr>
      </w:pPr>
      <w:r>
        <w:rPr>
          <w:rFonts w:ascii="Times New Roman" w:hAnsi="Times New Roman"/>
          <w:color w:val="000000"/>
          <w:sz w:val="24"/>
        </w:rPr>
        <w:t>Dated __________, 201</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Reference is made to the Warehouse Agreement, dated as of November 19, 2013 (as amended, restated, supplemented or otherwise modified from time to time, the “</w:t>
      </w:r>
      <w:r>
        <w:rPr>
          <w:rFonts w:ascii="Times New Roman" w:hAnsi="Times New Roman"/>
          <w:color w:val="000000"/>
          <w:sz w:val="24"/>
          <w:u w:val="single"/>
        </w:rPr>
        <w:t>Warehouse Agreement</w:t>
      </w:r>
      <w:r>
        <w:rPr>
          <w:rFonts w:ascii="Times New Roman" w:hAnsi="Times New Roman"/>
          <w:color w:val="000000"/>
          <w:sz w:val="20"/>
        </w:rPr>
        <w:t>”</w:t>
      </w:r>
      <w:r>
        <w:rPr>
          <w:rFonts w:ascii="Times New Roman" w:hAnsi="Times New Roman"/>
          <w:color w:val="000000"/>
          <w:sz w:val="24"/>
        </w:rPr>
        <w:t>), among UACC Auto Financing Trust IV, as borrower, United Auto Credit Corporation, as servicer and as custodian, [***], as backup servicer and account bank, the lenders from time to time parties thereto and the agents from time to time parties thereto, and [***], as administrative agent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Capitalized terms used but not otherwise defined herein shall have the meaning given to them in the Warehouse Agreement.</w:t>
      </w:r>
    </w:p>
    <w:p>
      <w:pPr>
        <w:pStyle w:val="TextBody"/>
        <w:bidi w:val="0"/>
        <w:spacing w:before="0" w:after="240"/>
        <w:jc w:val="both"/>
        <w:rPr>
          <w:rFonts w:ascii="Times New Roman" w:hAnsi="Times New Roman"/>
          <w:sz w:val="20"/>
        </w:rPr>
      </w:pPr>
      <w:r>
        <w:rPr>
          <w:rFonts w:ascii="Times New Roman" w:hAnsi="Times New Roman"/>
          <w:color w:val="000000"/>
          <w:sz w:val="24"/>
        </w:rPr>
        <w:t>__________________ (the “</w:t>
      </w:r>
      <w:r>
        <w:rPr>
          <w:rFonts w:ascii="Times New Roman" w:hAnsi="Times New Roman"/>
          <w:color w:val="000000"/>
          <w:sz w:val="24"/>
          <w:u w:val="single"/>
        </w:rPr>
        <w:t>Assignor</w:t>
      </w:r>
      <w:r>
        <w:rPr>
          <w:rFonts w:ascii="Times New Roman" w:hAnsi="Times New Roman"/>
          <w:color w:val="000000"/>
          <w:sz w:val="20"/>
        </w:rPr>
        <w:t>”</w:t>
      </w:r>
      <w:r>
        <w:rPr>
          <w:rFonts w:ascii="Times New Roman" w:hAnsi="Times New Roman"/>
          <w:color w:val="000000"/>
          <w:sz w:val="24"/>
        </w:rPr>
        <w:t>) and ___________________ (the “</w:t>
      </w:r>
      <w:r>
        <w:rPr>
          <w:rFonts w:ascii="Times New Roman" w:hAnsi="Times New Roman"/>
          <w:color w:val="000000"/>
          <w:sz w:val="24"/>
          <w:u w:val="single"/>
        </w:rPr>
        <w:t>Assignee</w:t>
      </w:r>
      <w:r>
        <w:rPr>
          <w:rFonts w:ascii="Times New Roman" w:hAnsi="Times New Roman"/>
          <w:color w:val="000000"/>
          <w:sz w:val="20"/>
        </w:rPr>
        <w:t>”</w:t>
      </w:r>
      <w:r>
        <w:rPr>
          <w:rFonts w:ascii="Times New Roman" w:hAnsi="Times New Roman"/>
          <w:color w:val="000000"/>
          <w:sz w:val="24"/>
        </w:rPr>
        <w:t>)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Assignor hereby sells and assigns to the Assignee, and the Assignee hereby purchases and assumes from the Assignor, that interest in and to all of the Assignor’s rights and obligations under the Warehouse Agreement as of the date hereof which represents the percentage interest specified in Section 1 of Schedule 1 of all outstanding rights and obligations of the Assignor under the Warehouse Agreement, including such interest in the Commitment of the Assignor and the Lender Advances made by the Assignor. After giving effect to such sale and assignment, the Commitment and the amount of Lender Advances made by the Assignee will be as set forth in Section 2 of Schedule 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Assignor represents and warrants that it is the legal and beneficial owner of the interest being assigned by it hereunder and that such interest is free and clear of any Lien.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Assignor and the Assignee confirm to and agree with each other and the other parties to Warehouse Agreement that: (i) other than as provided herein, the Assignor makes no representation or warranty and assumes no responsibility with respect to any statements, warranties or representations made in or in connection with the Warehouse Agreement or the execution, legality, validity, enforceability, genuineness, sufficiency or value of the Warehouse Agreement or any other instrument or document furnished pursuant thereto; (ii) the Assignee confirms that it has received a copy of the Warehouse Agreement, together with copies of such financial statements and other documents and information as it has deemed appropriate to make its own credit analysis and decision to enter into such Assignment and Acceptance; (iii) the Assignee will, independently and without reliance upon the Administrative Agent, the Assignor or any other Lender party to the Warehouse Agreement and based on such documents and information as it shall deem appropriate at the time, continue to make its own credit decisions in taking or not taking action under the Warehouse Agreement; (iv) the Assignor and the Assignee confirm that the Assignee is an Eligible Assignee; (v) the Assignee appoints and authorizes the Administrative Agent to take such action as agent on its behalf and to exercise such powers under this Agreement as are delegated to such agent by the terms hereof, together with such powers as are reasonably incidental thereto; (vi) the Assignee agrees that it will perform in accordance with their terms all of the obligations which by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terms of the Warehouse Agreement are required to be performed by it as a Lender, including the confidentiality provisions of Article Thirteen; and (vii) this Assignment and Acceptance meets all other requirements for such an Assignment and Acceptance set forth in Article Thirteen of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rPr>
        <w:t>Following the execution of this Assignment and Acceptance by the Assignor and the Assignee, it will be delivered to the Administrative Agent for acceptance. The effective date of this Assignment and Acceptance (the “</w:t>
      </w:r>
      <w:r>
        <w:rPr>
          <w:rFonts w:ascii="Times New Roman" w:hAnsi="Times New Roman"/>
          <w:color w:val="000000"/>
          <w:sz w:val="24"/>
          <w:u w:val="single"/>
        </w:rPr>
        <w:t>Assignment Date</w:t>
      </w:r>
      <w:r>
        <w:rPr>
          <w:color w:val="000000"/>
        </w:rPr>
        <w:t>”</w:t>
      </w:r>
      <w:r>
        <w:rPr>
          <w:rFonts w:ascii="Times New Roman" w:hAnsi="Times New Roman"/>
          <w:color w:val="000000"/>
          <w:sz w:val="24"/>
        </w:rPr>
        <w:t>) shall be the date of acceptance thereof by the Administrative Agent, unless a later date is specified in Section 3 of Schedule 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Assignor and the Assignee agree to reimburse the Administrative Agent for all reasonable fees, costs and expenses (including reasonable fees and out-of-pocket expenses of counsel for the Administrative Agent) incurred by the Administrative Agent in connection with this Assignment and Acceptance.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such acceptance by the Administrative Agent, the Assignee shall be a party to the Warehouse Agreement and, to the extent provided in this Assignment and Acceptance, have the rights and obligations of a Lender thereunder, provided, however, that the Assignor shall, to the extent such rights have been assigned by it under this Assignment and Acceptance, relinquish its assigned rights and be released from its assigned obligations under the Warehouse Agreement (and, in the case of an Assignment and Acceptance coving all or the remaining portion of an assigning Assignor’s rights and obligations under the Warehouse Agreement, Assignor shall cease to be a party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such acceptance by the Administrative Agent, from and after the Assignment Date, the Administrative Agent shall make, or cause to be made, all payments under the Warehouse Agreement in respect of the interest assigned hereby (including, without limitation, all payments of principal, interest and fees with respect thereto) to the Assignee. The Assignor and Assignee shall make all appropriate adjustments in payments under the Warehouse Agreement for periods prior to the Assignment Date directly between themselves.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THIS ASSIGNMENT AND ACCEPTANCE SHALL BE GOVERNED BY, AND CONSTRUED IN ACCORDANCE WITH, THE LAWS OF THE STATE OF NEW YORK.</w:t>
      </w:r>
    </w:p>
    <w:p>
      <w:pPr>
        <w:pStyle w:val="TextBody"/>
        <w:bidi w:val="0"/>
        <w:spacing w:before="0" w:after="240"/>
        <w:jc w:val="left"/>
        <w:rPr>
          <w:rFonts w:ascii="Times New Roman" w:hAnsi="Times New Roman"/>
          <w:sz w:val="20"/>
        </w:rPr>
      </w:pPr>
      <w:r>
        <w:rPr>
          <w:rFonts w:ascii="Times New Roman" w:hAnsi="Times New Roman"/>
          <w:color w:val="000000"/>
          <w:sz w:val="24"/>
        </w:rPr>
        <w:t>IN WITNESS WHEREOF, the Assignor and the Assignee have executed this Acceptance and Assignment as of the __ day of ________, 201</w:t>
      </w:r>
      <w:r>
        <w:rPr>
          <w:rFonts w:ascii="Times New Roman" w:hAnsi="Times New Roman"/>
          <w:color w:val="000000"/>
          <w:sz w:val="20"/>
          <w:u w:val="single"/>
        </w:rPr>
        <w:t xml:space="preserve"> </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_______________, as Assignor</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center"/>
        <w:rPr>
          <w:rFonts w:ascii="Times New Roman" w:hAnsi="Times New Roman"/>
          <w:color w:val="000000"/>
          <w:sz w:val="24"/>
        </w:rPr>
      </w:pPr>
      <w:r>
        <w:rPr>
          <w:rFonts w:ascii="Times New Roman" w:hAnsi="Times New Roman"/>
          <w:color w:val="000000"/>
          <w:sz w:val="24"/>
        </w:rPr>
        <w:t>C-166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 as Assignee</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spacing w:before="0" w:after="480"/>
        <w:jc w:val="center"/>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cc:</w:t>
        <w:br/>
        <w:br/>
        <w:t>UACC Auto Financing Trust [***]</w:t>
        <w:br/>
        <w:br/>
        <w:br/>
        <w:br/>
        <w:br/>
        <w:br/>
        <w:br/>
        <w:br/>
        <w:br/>
        <w:t xml:space="preserve">a copy to: </w:t>
        <w:br/>
        <w:t>United Auto Credit Corporation</w:t>
        <w:br/>
        <w:t>1071 Camelback Street</w:t>
        <w:br/>
        <w:t>Newport Beach, California 92660</w:t>
        <w:br/>
        <w:t>Attention: [***]</w:t>
        <w:br/>
        <w:t>Telephone No.: [***]</w:t>
        <w:br/>
        <w:t>Email: [***]</w:t>
      </w:r>
    </w:p>
    <w:p>
      <w:pPr>
        <w:pStyle w:val="TextBody"/>
        <w:bidi w:val="0"/>
        <w:jc w:val="center"/>
        <w:rPr>
          <w:rFonts w:ascii="Times New Roman" w:hAnsi="Times New Roman"/>
          <w:color w:val="000000"/>
          <w:sz w:val="24"/>
        </w:rPr>
      </w:pPr>
      <w:r>
        <w:rPr>
          <w:rFonts w:ascii="Times New Roman" w:hAnsi="Times New Roman"/>
          <w:color w:val="000000"/>
          <w:sz w:val="24"/>
        </w:rPr>
        <w:t>C-167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480"/>
        <w:jc w:val="center"/>
        <w:rPr>
          <w:rFonts w:ascii="Times New Roman" w:hAnsi="Times New Roman"/>
          <w:sz w:val="20"/>
        </w:rPr>
      </w:pPr>
      <w:r>
        <w:rPr>
          <w:rFonts w:ascii="Times New Roman" w:hAnsi="Times New Roman"/>
          <w:color w:val="000000"/>
          <w:sz w:val="24"/>
        </w:rPr>
        <w:t>Schedule 1</w:t>
        <w:br/>
        <w:t>to</w:t>
        <w:br/>
        <w:t>Assignment and Acceptance</w:t>
        <w:br/>
        <w:t>Dated _________, 201</w:t>
      </w:r>
      <w:r>
        <w:rPr>
          <w:rFonts w:ascii="Times New Roman" w:hAnsi="Times New Roman"/>
          <w:color w:val="000000"/>
          <w:sz w:val="20"/>
        </w:rPr>
        <w:t xml:space="preserve"> </w:t>
      </w:r>
    </w:p>
    <w:tbl>
      <w:tblPr>
        <w:tblW w:w="7697" w:type="dxa"/>
        <w:jc w:val="left"/>
        <w:tblInd w:w="0" w:type="dxa"/>
        <w:tblLayout w:type="fixed"/>
        <w:tblCellMar>
          <w:top w:w="28" w:type="dxa"/>
          <w:left w:w="28" w:type="dxa"/>
          <w:bottom w:w="28" w:type="dxa"/>
          <w:right w:w="28" w:type="dxa"/>
        </w:tblCellMar>
      </w:tblPr>
      <w:tblGrid>
        <w:gridCol w:w="5506"/>
        <w:gridCol w:w="2191"/>
      </w:tblGrid>
      <w:tr>
        <w:trPr/>
        <w:tc>
          <w:tcPr>
            <w:tcW w:w="550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55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u w:val="single"/>
              </w:rPr>
              <w:t>Section 1</w:t>
            </w:r>
            <w:r>
              <w:rPr>
                <w:rFonts w:ascii="Times New Roman" w:hAnsi="Times New Roman"/>
                <w:color w:val="000000"/>
                <w:sz w:val="24"/>
              </w:rPr>
              <w:t>.</w:t>
            </w:r>
          </w:p>
        </w:tc>
        <w:tc>
          <w:tcPr>
            <w:tcW w:w="2191" w:type="dxa"/>
            <w:tcBorders/>
            <w:tcMar>
              <w:top w:w="0" w:type="dxa"/>
              <w:left w:w="0" w:type="dxa"/>
              <w:bottom w:w="0" w:type="dxa"/>
              <w:right w:w="0" w:type="dxa"/>
            </w:tcMar>
            <w:vAlign w:val="center"/>
          </w:tcPr>
          <w:p>
            <w:pPr>
              <w:pStyle w:val="TableContents"/>
              <w:bidi w:val="0"/>
              <w:spacing w:before="0" w:after="240"/>
              <w:ind w:left="0" w:right="0" w:firstLine="360"/>
              <w:jc w:val="left"/>
              <w:rPr/>
            </w:pPr>
            <w:r>
              <w:rPr/>
              <w:t> </w:t>
            </w:r>
          </w:p>
        </w:tc>
      </w:tr>
      <w:tr>
        <w:trPr/>
        <w:tc>
          <w:tcPr>
            <w:tcW w:w="5506" w:type="dxa"/>
            <w:tcBorders/>
            <w:tcMar>
              <w:top w:w="0" w:type="dxa"/>
              <w:left w:w="0" w:type="dxa"/>
              <w:bottom w:w="0" w:type="dxa"/>
              <w:right w:w="0" w:type="dxa"/>
            </w:tcMar>
            <w:vAlign w:val="center"/>
          </w:tcPr>
          <w:p>
            <w:pPr>
              <w:pStyle w:val="TableContents"/>
              <w:bidi w:val="0"/>
              <w:spacing w:before="0" w:after="360"/>
              <w:ind w:left="0" w:right="0" w:firstLine="360"/>
              <w:jc w:val="left"/>
              <w:rPr>
                <w:rFonts w:ascii="Times New Roman" w:hAnsi="Times New Roman"/>
                <w:color w:val="000000"/>
                <w:sz w:val="24"/>
              </w:rPr>
            </w:pPr>
            <w:r>
              <w:rPr>
                <w:rFonts w:ascii="Times New Roman" w:hAnsi="Times New Roman"/>
                <w:color w:val="000000"/>
                <w:sz w:val="24"/>
              </w:rPr>
              <w:t>Percentage Interest:</w:t>
            </w:r>
          </w:p>
        </w:tc>
        <w:tc>
          <w:tcPr>
            <w:tcW w:w="2191" w:type="dxa"/>
            <w:tcBorders/>
            <w:tcMar>
              <w:top w:w="0" w:type="dxa"/>
              <w:left w:w="0" w:type="dxa"/>
              <w:bottom w:w="0" w:type="dxa"/>
              <w:right w:w="0" w:type="dxa"/>
            </w:tcMar>
            <w:vAlign w:val="center"/>
          </w:tcPr>
          <w:p>
            <w:pPr>
              <w:pStyle w:val="TableContents"/>
              <w:bidi w:val="0"/>
              <w:spacing w:before="0" w:after="360"/>
              <w:jc w:val="left"/>
              <w:rPr>
                <w:rFonts w:ascii="Times New Roman" w:hAnsi="Times New Roman"/>
                <w:color w:val="000000"/>
                <w:sz w:val="24"/>
              </w:rPr>
            </w:pPr>
            <w:r>
              <w:rPr>
                <w:rFonts w:ascii="Times New Roman" w:hAnsi="Times New Roman"/>
                <w:color w:val="000000"/>
                <w:sz w:val="24"/>
              </w:rPr>
              <w:t>________%</w:t>
            </w:r>
          </w:p>
        </w:tc>
      </w:tr>
      <w:tr>
        <w:trPr/>
        <w:tc>
          <w:tcPr>
            <w:tcW w:w="55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u w:val="single"/>
              </w:rPr>
              <w:t>Section 2</w:t>
            </w:r>
            <w:r>
              <w:rPr>
                <w:rFonts w:ascii="Times New Roman" w:hAnsi="Times New Roman"/>
                <w:color w:val="000000"/>
                <w:sz w:val="24"/>
              </w:rPr>
              <w:t>.</w:t>
            </w:r>
          </w:p>
        </w:tc>
        <w:tc>
          <w:tcPr>
            <w:tcW w:w="2191" w:type="dxa"/>
            <w:tcBorders/>
            <w:tcMar>
              <w:top w:w="0" w:type="dxa"/>
              <w:left w:w="0" w:type="dxa"/>
              <w:bottom w:w="0" w:type="dxa"/>
              <w:right w:w="0" w:type="dxa"/>
            </w:tcMar>
            <w:vAlign w:val="center"/>
          </w:tcPr>
          <w:p>
            <w:pPr>
              <w:pStyle w:val="TableContents"/>
              <w:bidi w:val="0"/>
              <w:spacing w:before="0" w:after="240"/>
              <w:ind w:left="0" w:right="0" w:firstLine="360"/>
              <w:jc w:val="left"/>
              <w:rPr/>
            </w:pPr>
            <w:r>
              <w:rPr/>
              <w:t> </w:t>
            </w:r>
          </w:p>
        </w:tc>
      </w:tr>
      <w:tr>
        <w:trPr/>
        <w:tc>
          <w:tcPr>
            <w:tcW w:w="5506" w:type="dxa"/>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 xml:space="preserve">Assignee’s Commitment: </w:t>
            </w:r>
          </w:p>
        </w:tc>
        <w:tc>
          <w:tcPr>
            <w:tcW w:w="2191" w:type="dxa"/>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$_____________</w:t>
            </w:r>
          </w:p>
        </w:tc>
      </w:tr>
      <w:tr>
        <w:trPr/>
        <w:tc>
          <w:tcPr>
            <w:tcW w:w="5506" w:type="dxa"/>
            <w:tcBorders/>
            <w:tcMar>
              <w:top w:w="0" w:type="dxa"/>
              <w:left w:w="0" w:type="dxa"/>
              <w:bottom w:w="0" w:type="dxa"/>
              <w:right w:w="0" w:type="dxa"/>
            </w:tcMar>
            <w:vAlign w:val="center"/>
          </w:tcPr>
          <w:p>
            <w:pPr>
              <w:pStyle w:val="TableContents"/>
              <w:bidi w:val="0"/>
              <w:spacing w:before="0" w:after="360"/>
              <w:ind w:left="0" w:right="0" w:firstLine="360"/>
              <w:jc w:val="left"/>
              <w:rPr>
                <w:rFonts w:ascii="Times New Roman" w:hAnsi="Times New Roman"/>
                <w:color w:val="000000"/>
                <w:sz w:val="24"/>
              </w:rPr>
            </w:pPr>
            <w:r>
              <w:rPr>
                <w:rFonts w:ascii="Times New Roman" w:hAnsi="Times New Roman"/>
                <w:color w:val="000000"/>
                <w:sz w:val="24"/>
              </w:rPr>
              <w:t>Aggregate Lender Advances Owing to the Assignee:</w:t>
            </w:r>
          </w:p>
        </w:tc>
        <w:tc>
          <w:tcPr>
            <w:tcW w:w="2191" w:type="dxa"/>
            <w:tcBorders/>
            <w:tcMar>
              <w:top w:w="0" w:type="dxa"/>
              <w:left w:w="0" w:type="dxa"/>
              <w:bottom w:w="0" w:type="dxa"/>
              <w:right w:w="0" w:type="dxa"/>
            </w:tcMar>
            <w:vAlign w:val="center"/>
          </w:tcPr>
          <w:p>
            <w:pPr>
              <w:pStyle w:val="TableContents"/>
              <w:bidi w:val="0"/>
              <w:spacing w:before="0" w:after="360"/>
              <w:jc w:val="left"/>
              <w:rPr>
                <w:rFonts w:ascii="Times New Roman" w:hAnsi="Times New Roman"/>
                <w:color w:val="000000"/>
                <w:sz w:val="24"/>
              </w:rPr>
            </w:pPr>
            <w:r>
              <w:rPr>
                <w:rFonts w:ascii="Times New Roman" w:hAnsi="Times New Roman"/>
                <w:color w:val="000000"/>
                <w:sz w:val="24"/>
              </w:rPr>
              <w:t>$_____________</w:t>
            </w:r>
          </w:p>
        </w:tc>
      </w:tr>
      <w:tr>
        <w:trPr/>
        <w:tc>
          <w:tcPr>
            <w:tcW w:w="55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u w:val="single"/>
              </w:rPr>
              <w:t>Section 3</w:t>
            </w:r>
            <w:r>
              <w:rPr>
                <w:rFonts w:ascii="Times New Roman" w:hAnsi="Times New Roman"/>
                <w:color w:val="000000"/>
                <w:sz w:val="24"/>
              </w:rPr>
              <w:t>.</w:t>
            </w:r>
          </w:p>
        </w:tc>
        <w:tc>
          <w:tcPr>
            <w:tcW w:w="2191" w:type="dxa"/>
            <w:tcBorders/>
            <w:tcMar>
              <w:top w:w="0" w:type="dxa"/>
              <w:left w:w="0" w:type="dxa"/>
              <w:bottom w:w="0" w:type="dxa"/>
              <w:right w:w="0" w:type="dxa"/>
            </w:tcMar>
            <w:vAlign w:val="center"/>
          </w:tcPr>
          <w:p>
            <w:pPr>
              <w:pStyle w:val="TableContents"/>
              <w:bidi w:val="0"/>
              <w:spacing w:before="0" w:after="240"/>
              <w:ind w:left="0" w:right="0" w:firstLine="360"/>
              <w:jc w:val="left"/>
              <w:rPr/>
            </w:pPr>
            <w:r>
              <w:rPr/>
              <w:t> </w:t>
            </w:r>
          </w:p>
        </w:tc>
      </w:tr>
      <w:tr>
        <w:trPr/>
        <w:tc>
          <w:tcPr>
            <w:tcW w:w="7697"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 xml:space="preserve">Assignment Date: _____________, 201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C-168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D</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E</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POWER OF ATTORNEY</w:t>
      </w:r>
    </w:p>
    <w:p>
      <w:pPr>
        <w:pStyle w:val="TextBody"/>
        <w:bidi w:val="0"/>
        <w:spacing w:before="0" w:after="240"/>
        <w:jc w:val="both"/>
        <w:rPr>
          <w:rFonts w:ascii="Times New Roman" w:hAnsi="Times New Roman"/>
          <w:sz w:val="20"/>
        </w:rPr>
      </w:pPr>
      <w:r>
        <w:rPr>
          <w:rFonts w:ascii="Times New Roman" w:hAnsi="Times New Roman"/>
          <w:color w:val="000000"/>
          <w:sz w:val="24"/>
        </w:rPr>
        <w:t>This Power of Attorney (this “</w:t>
      </w:r>
      <w:r>
        <w:rPr>
          <w:rFonts w:ascii="Times New Roman" w:hAnsi="Times New Roman"/>
          <w:color w:val="000000"/>
          <w:sz w:val="24"/>
          <w:u w:val="single"/>
        </w:rPr>
        <w:t>Power of Attorney</w:t>
      </w:r>
      <w:r>
        <w:rPr>
          <w:rFonts w:ascii="Times New Roman" w:hAnsi="Times New Roman"/>
          <w:color w:val="000000"/>
          <w:sz w:val="20"/>
        </w:rPr>
        <w:t>”</w:t>
      </w:r>
      <w:r>
        <w:rPr>
          <w:rFonts w:ascii="Times New Roman" w:hAnsi="Times New Roman"/>
          <w:color w:val="000000"/>
          <w:sz w:val="24"/>
        </w:rPr>
        <w:t>) is executed and delivered by UACC Auto Financing Trust IV (“</w:t>
      </w:r>
      <w:r>
        <w:rPr>
          <w:rFonts w:ascii="Times New Roman" w:hAnsi="Times New Roman"/>
          <w:color w:val="000000"/>
          <w:sz w:val="24"/>
          <w:u w:val="single"/>
        </w:rPr>
        <w:t>Grantor</w:t>
      </w:r>
      <w:r>
        <w:rPr>
          <w:rFonts w:ascii="Times New Roman" w:hAnsi="Times New Roman"/>
          <w:color w:val="000000"/>
          <w:sz w:val="20"/>
        </w:rPr>
        <w:t>”</w:t>
      </w:r>
      <w:r>
        <w:rPr>
          <w:rFonts w:ascii="Times New Roman" w:hAnsi="Times New Roman"/>
          <w:color w:val="000000"/>
          <w:sz w:val="24"/>
        </w:rPr>
        <w:t>) to [***], as Administrative Agent (“</w:t>
      </w:r>
      <w:r>
        <w:rPr>
          <w:rFonts w:ascii="Times New Roman" w:hAnsi="Times New Roman"/>
          <w:color w:val="000000"/>
          <w:sz w:val="24"/>
          <w:u w:val="single"/>
        </w:rPr>
        <w:t>Attorney</w:t>
      </w:r>
      <w:r>
        <w:rPr>
          <w:rFonts w:ascii="Times New Roman" w:hAnsi="Times New Roman"/>
          <w:color w:val="000000"/>
          <w:sz w:val="20"/>
        </w:rPr>
        <w:t>”</w:t>
      </w:r>
      <w:r>
        <w:rPr>
          <w:rFonts w:ascii="Times New Roman" w:hAnsi="Times New Roman"/>
          <w:color w:val="000000"/>
          <w:sz w:val="24"/>
        </w:rPr>
        <w:t>), pursuant to the Warehouse Agreement, dated as of November 19, 2013 (as amended, restated, supplemented or otherwise modified from time to time, the “</w:t>
      </w:r>
      <w:r>
        <w:rPr>
          <w:rFonts w:ascii="Times New Roman" w:hAnsi="Times New Roman"/>
          <w:color w:val="000000"/>
          <w:sz w:val="24"/>
          <w:u w:val="single"/>
        </w:rPr>
        <w:t>Warehouse Agreement</w:t>
      </w:r>
      <w:r>
        <w:rPr>
          <w:rFonts w:ascii="Times New Roman" w:hAnsi="Times New Roman"/>
          <w:color w:val="000000"/>
          <w:sz w:val="20"/>
        </w:rPr>
        <w:t>”</w:t>
      </w:r>
      <w:r>
        <w:rPr>
          <w:rFonts w:ascii="Times New Roman" w:hAnsi="Times New Roman"/>
          <w:color w:val="000000"/>
          <w:sz w:val="24"/>
        </w:rPr>
        <w:t>), among UACC Auto Financing Trust IV, as borrower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United Auto Credit Corporation, as servicer and as custodian, [***], as backup servicer and account bank, the lenders from time to time parties thereto, the agents from time to time parties thereto, and [***], as administrative agent. Capitalized terms used herein that are not otherwise defined shall have the meanings ascribed thereto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person to whom this Power of Attorney is presented, as authority for Attorney to take any action or actions contemplated hereby, shall inquire into or seek confirmation from Grantor as to the authority of Attorney to take any action described below, or as to the existence of or fulfillment of any condition to this Power of Attorney, which is intended to grant to Attorney unconditionally the authority to take and perform the actions contemplated herein, and Grantor irrevocably waives any right to commence any suit or action, in law or equity, against any person or entity that acts in reliance upon or acknowledges the authority granted under this Power of Attorney. This Power of Attorney is coupled with an interest and may not be revoked or canceled by Grantor until all Aggregate Unpaids have been indefeasibly paid in full.</w:t>
      </w:r>
    </w:p>
    <w:p>
      <w:pPr>
        <w:pStyle w:val="TextBody"/>
        <w:bidi w:val="0"/>
        <w:spacing w:before="0" w:after="240"/>
        <w:jc w:val="both"/>
        <w:rPr>
          <w:rFonts w:ascii="Times New Roman" w:hAnsi="Times New Roman"/>
          <w:sz w:val="20"/>
        </w:rPr>
      </w:pPr>
      <w:r>
        <w:rPr>
          <w:rFonts w:ascii="Times New Roman" w:hAnsi="Times New Roman"/>
          <w:color w:val="000000"/>
          <w:sz w:val="24"/>
        </w:rPr>
        <w:t>Grantor hereby irrevocably constitutes and appoints Attorney (and all officers, employees or agents designated by Attorney), with full power of substitution, as its true and lawful attorney-in-fact with full irrevocable power and authority in its place and stead and in its name or in Attorney’s own name, from time to time in Attorney’s discretion, to take any and all appropriate action and to execute and deliver any and all documents and instruments that may be necessary or desirable to accomplish the purposes of the Warehouse Agreement, and, without limiting the generality of the foregoing, hereby grants to Attorney the power and right, on its behalf, without notice to or assent by it, upon the occurrence and during the continuance of any Termination Event, to do the following: (a) exercise all rights and privileges of Grantor under the Purchase Agreement (including each Transfer Agreement); (b) pay or discharge any taxes, Liens or other encumbrances levied or placed on or threatened against Grantor or Grantor’s property; (c) defend any suit, action or proceeding brought against Grantor if Grantor does not defend such suit, action or proceeding or if Attorney believes that it is not pursuing such defense in a manner that will maximize the recovery to Attorney, and settle, compromise or adjust any suit, action or proceeding described above and, in connection therewith, give such discharges or releases as Attorney may deem appropriate; (d) file or prosecute any claim, litigation, suit or proceeding in any court of competent jurisdiction or before any arbitrator, or take any other action otherwise deemed appropriate by Attorney for the purpose of collecting any and all such moneys due to Grantor whenever payable and to enforce any other right in respect of Grantor’s property; (e) sell, transfer, pledge, make any agreement with respect to or otherwise deal with, any of Grantor’s property, and execute, in connection with such sale or action, any endorsements, assignments or other instruments of conveyance or transfer in connection therewith; and (f) cause the certified public accountants then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engaged by Grantor to prepare and deliver to Attorney at any time and from time to time, promptly upon Attorney’s request, any reports required to be prepared by or on behalf of Grantor under the Warehouse Agreement or any other Basic Document, all as though Attorney were the absolute owner of its property for all purposes, and to do, at Attorney’s option and Grantor’s expense, at any time or from time to time, all acts and other things that Attorney reasonably deems necessary to perfect, preserve, or realize upon its property or assets and the Liens of the Administrative Agent, as agent for the Secured Parties thereon, all as fully and effectively as it might do. Grantor hereby ratifies, to the extent permitted by Applicable Law, all that said attorneys shall lawfully do or cause to be done by virtue 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this Power of Attorney is executed by Grantor as of this __ day of November 2013.</w:t>
      </w:r>
    </w:p>
    <w:p>
      <w:pPr>
        <w:pStyle w:val="TextBody"/>
        <w:bidi w:val="0"/>
        <w:jc w:val="left"/>
        <w:rPr>
          <w:rFonts w:ascii="Times New Roman" w:hAnsi="Times New Roman"/>
          <w:color w:val="000000"/>
          <w:sz w:val="24"/>
        </w:rPr>
      </w:pPr>
      <w:r>
        <w:rPr>
          <w:rFonts w:ascii="Times New Roman" w:hAnsi="Times New Roman"/>
          <w:color w:val="000000"/>
          <w:sz w:val="24"/>
        </w:rPr>
        <w:t>UACC AUTO FINANCING TRUST IV</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 not in its individual capacity but solely as Owner Trustee</w:t>
      </w:r>
    </w:p>
    <w:p>
      <w:pPr>
        <w:pStyle w:val="TextBody"/>
        <w:bidi w:val="0"/>
        <w:jc w:val="left"/>
        <w:rPr/>
      </w:pPr>
      <w:r>
        <w:rPr/>
        <w:t> </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left"/>
        <w:rPr>
          <w:rFonts w:ascii="Times New Roman" w:hAnsi="Times New Roman"/>
          <w:color w:val="000000"/>
          <w:sz w:val="24"/>
        </w:rPr>
      </w:pPr>
      <w:r>
        <w:rPr>
          <w:rFonts w:ascii="Times New Roman" w:hAnsi="Times New Roman"/>
          <w:color w:val="000000"/>
          <w:sz w:val="24"/>
        </w:rPr>
        <w:t>Sworn to and subscribed before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me this __ day of November 2013</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Notary Public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[NOTARY SEAL]</w:t>
      </w:r>
    </w:p>
    <w:p>
      <w:pPr>
        <w:pStyle w:val="TextBody"/>
        <w:bidi w:val="0"/>
        <w:jc w:val="center"/>
        <w:rPr>
          <w:rFonts w:ascii="Times New Roman" w:hAnsi="Times New Roman"/>
          <w:color w:val="000000"/>
          <w:sz w:val="24"/>
        </w:rPr>
      </w:pPr>
      <w:r>
        <w:rPr>
          <w:rFonts w:ascii="Times New Roman" w:hAnsi="Times New Roman"/>
          <w:color w:val="000000"/>
          <w:sz w:val="24"/>
        </w:rPr>
        <w:t>E-171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F</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G</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RELEASE OF DOCUMENTS</w:t>
      </w:r>
    </w:p>
    <w:p>
      <w:pPr>
        <w:pStyle w:val="TextBody"/>
        <w:bidi w:val="0"/>
        <w:spacing w:before="0" w:after="480"/>
        <w:jc w:val="center"/>
        <w:rPr>
          <w:rFonts w:ascii="Times New Roman" w:hAnsi="Times New Roman"/>
          <w:sz w:val="20"/>
        </w:rPr>
      </w:pPr>
      <w:r>
        <w:rPr>
          <w:rFonts w:ascii="Times New Roman" w:hAnsi="Times New Roman"/>
          <w:color w:val="000000"/>
          <w:sz w:val="24"/>
        </w:rPr>
        <w:t>__________, 201</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[Custodian]</w:t>
        <w:br/>
        <w:br/>
        <w:br/>
        <w:t>Attention: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Re: </w:t>
      </w:r>
      <w:r>
        <w:rPr>
          <w:rFonts w:ascii="Times New Roman" w:hAnsi="Times New Roman"/>
          <w:color w:val="000000"/>
          <w:sz w:val="24"/>
          <w:u w:val="single"/>
        </w:rPr>
        <w:t>UACC Auto Financing Trust IV Warehouse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sz w:val="20"/>
        </w:rPr>
      </w:pPr>
      <w:r>
        <w:rPr>
          <w:rFonts w:ascii="Times New Roman" w:hAnsi="Times New Roman"/>
          <w:color w:val="000000"/>
          <w:sz w:val="24"/>
        </w:rPr>
        <w:t>Reference is made to the Warehouse Agreement, dated as of November 19, 2013 (as amended, restated, supplemented or otherwise modified from time to time, the “</w:t>
      </w:r>
      <w:r>
        <w:rPr>
          <w:rFonts w:ascii="Times New Roman" w:hAnsi="Times New Roman"/>
          <w:color w:val="000000"/>
          <w:sz w:val="24"/>
          <w:u w:val="single"/>
        </w:rPr>
        <w:t>Warehouse Agreement</w:t>
      </w:r>
      <w:r>
        <w:rPr>
          <w:rFonts w:ascii="Times New Roman" w:hAnsi="Times New Roman"/>
          <w:color w:val="000000"/>
          <w:sz w:val="20"/>
        </w:rPr>
        <w:t>”</w:t>
      </w:r>
      <w:r>
        <w:rPr>
          <w:rFonts w:ascii="Times New Roman" w:hAnsi="Times New Roman"/>
          <w:color w:val="000000"/>
          <w:sz w:val="24"/>
        </w:rPr>
        <w:t>), among UACC Auto Financing Trust IV, as borrower, United Auto Credit Corporation, as servicer (the “Servicer”) and as custodian, [***], as backup servicer and account bank, the lenders from time to time parties thereto, the agents from time to time parties thereto and [***], as administrative agent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in its capacity as Servicer under the Warehouse Agreement, hereby requests (check one):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______ that the Custodian release to the Servicer the Receivable Files or other documents set forth on Schedule A to this Release of Documents. All documents so released to the Servicer shall be held by the Servicer in trust for the benefit of the Administrative Agent in accordance with the terms of the Warehouse Agreement and the Servicer agrees to return to the Custodian the Receivable File or other such documents when the Servicer’s need therefor no longer exists.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______ that the Custodian permanently release to the Servicer the Receivable Files or other documents set forth on Schedule B to this Release of Documents and the Servicer certifies with respect to such Receivable Files that the related Receivable has been liquidated, prepaid or repaid and that all amounts received in connection with such liquidated Receivable have been credited to the Collection Account as provided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herein that are not otherwise defined shall have the meaning ascribed thereto in the Warehouse Agreement.</w:t>
      </w:r>
    </w:p>
    <w:p>
      <w:pPr>
        <w:pStyle w:val="TextBody"/>
        <w:bidi w:val="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undersigned has executed this Release of Documents as of the date first written above.</w:t>
      </w:r>
    </w:p>
    <w:p>
      <w:pPr>
        <w:pStyle w:val="TextBody"/>
        <w:bidi w:val="0"/>
        <w:jc w:val="left"/>
        <w:rPr>
          <w:rFonts w:ascii="Times New Roman" w:hAnsi="Times New Roman"/>
          <w:color w:val="000000"/>
          <w:sz w:val="24"/>
        </w:rPr>
      </w:pPr>
      <w:r>
        <w:rPr>
          <w:rFonts w:ascii="Times New Roman" w:hAnsi="Times New Roman"/>
          <w:color w:val="000000"/>
          <w:sz w:val="24"/>
        </w:rPr>
        <w:t>UNITED AUTO CREDIT CORPORATION</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AGREED AND ACCEPTED:</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as Custodian</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center"/>
        <w:rPr>
          <w:rFonts w:ascii="Times New Roman" w:hAnsi="Times New Roman"/>
          <w:color w:val="000000"/>
          <w:sz w:val="24"/>
        </w:rPr>
      </w:pPr>
      <w:r>
        <w:rPr>
          <w:rFonts w:ascii="Times New Roman" w:hAnsi="Times New Roman"/>
          <w:color w:val="000000"/>
          <w:sz w:val="24"/>
        </w:rPr>
        <w:t>G-174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H</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RECEIVABLE RECEIPT</w:t>
      </w:r>
    </w:p>
    <w:p>
      <w:pPr>
        <w:pStyle w:val="TextBody"/>
        <w:bidi w:val="0"/>
        <w:spacing w:before="0" w:after="480"/>
        <w:jc w:val="center"/>
        <w:rPr>
          <w:rFonts w:ascii="Times New Roman" w:hAnsi="Times New Roman"/>
          <w:sz w:val="20"/>
        </w:rPr>
      </w:pPr>
      <w:r>
        <w:rPr>
          <w:rFonts w:ascii="Times New Roman" w:hAnsi="Times New Roman"/>
          <w:color w:val="000000"/>
          <w:sz w:val="24"/>
        </w:rPr>
        <w:t>__________, 201</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Attention: Asset-Backed Securities Conduit Group</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Re: </w:t>
      </w:r>
      <w:r>
        <w:rPr>
          <w:rFonts w:ascii="Times New Roman" w:hAnsi="Times New Roman"/>
          <w:color w:val="000000"/>
          <w:sz w:val="24"/>
          <w:u w:val="single"/>
        </w:rPr>
        <w:t>UACC Auto Financing Trust IV Warehouse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sz w:val="20"/>
        </w:rPr>
      </w:pPr>
      <w:r>
        <w:rPr>
          <w:rFonts w:ascii="Times New Roman" w:hAnsi="Times New Roman"/>
          <w:color w:val="000000"/>
          <w:sz w:val="24"/>
        </w:rPr>
        <w:t>Reference is made to the Warehouse Agreement, dated as of November 19, 2013 (as amended, restated, supplemented or otherwise modified from time to time, the “</w:t>
      </w:r>
      <w:r>
        <w:rPr>
          <w:rFonts w:ascii="Times New Roman" w:hAnsi="Times New Roman"/>
          <w:color w:val="000000"/>
          <w:sz w:val="24"/>
          <w:u w:val="single"/>
        </w:rPr>
        <w:t>Warehouse Agreement</w:t>
      </w:r>
      <w:r>
        <w:rPr>
          <w:rFonts w:ascii="Times New Roman" w:hAnsi="Times New Roman"/>
          <w:color w:val="000000"/>
          <w:sz w:val="20"/>
        </w:rPr>
        <w:t>”</w:t>
      </w:r>
      <w:r>
        <w:rPr>
          <w:rFonts w:ascii="Times New Roman" w:hAnsi="Times New Roman"/>
          <w:color w:val="000000"/>
          <w:sz w:val="24"/>
        </w:rPr>
        <w:t>), among UACC Auto Financing Trust IV, as borrower, United Auto Credit Corporation (“</w:t>
      </w:r>
      <w:r>
        <w:rPr>
          <w:rFonts w:ascii="Times New Roman" w:hAnsi="Times New Roman"/>
          <w:color w:val="000000"/>
          <w:sz w:val="24"/>
          <w:u w:val="single"/>
        </w:rPr>
        <w:t>UACC</w:t>
      </w:r>
      <w:r>
        <w:rPr>
          <w:rFonts w:ascii="Times New Roman" w:hAnsi="Times New Roman"/>
          <w:color w:val="000000"/>
          <w:sz w:val="20"/>
        </w:rPr>
        <w:t>”</w:t>
      </w:r>
      <w:r>
        <w:rPr>
          <w:rFonts w:ascii="Times New Roman" w:hAnsi="Times New Roman"/>
          <w:color w:val="000000"/>
          <w:sz w:val="24"/>
        </w:rPr>
        <w:t>), as servicer and as custodian (in such capacity, the “</w:t>
      </w:r>
      <w:r>
        <w:rPr>
          <w:rFonts w:ascii="Times New Roman" w:hAnsi="Times New Roman"/>
          <w:color w:val="000000"/>
          <w:sz w:val="24"/>
          <w:u w:val="single"/>
        </w:rPr>
        <w:t>Custodian</w:t>
      </w:r>
      <w:r>
        <w:rPr>
          <w:rFonts w:ascii="Times New Roman" w:hAnsi="Times New Roman"/>
          <w:color w:val="000000"/>
          <w:sz w:val="20"/>
        </w:rPr>
        <w:t>”</w:t>
      </w:r>
      <w:r>
        <w:rPr>
          <w:rFonts w:ascii="Times New Roman" w:hAnsi="Times New Roman"/>
          <w:color w:val="000000"/>
          <w:sz w:val="24"/>
        </w:rPr>
        <w:t>), [***], as backup servicer and account bank, the lenders from time to time parties thereto, the agents from time to time parties thereto and [***], as administrative agent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on behalf of UACC, in its capacity as Custodian under the Warehouse Agreement, hereby acknowledges (i) delivery of the executed original counterpart of the Contracts set forth on Schedule 1 hereto, evidencing the related Receivables and (ii) stating that the executed original counterparts of the Contracts set forth on Schedule 2 hereto have not been delivered to the Custodian or are mutilated or damaged in any material respect.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herein that are not otherwise defined shall have the meaning ascribed thereto in the Warehouse Agreement.</w:t>
      </w:r>
    </w:p>
    <w:p>
      <w:pPr>
        <w:pStyle w:val="TextBody"/>
        <w:bidi w:val="0"/>
        <w:jc w:val="left"/>
        <w:rPr>
          <w:rFonts w:ascii="Times New Roman" w:hAnsi="Times New Roman"/>
          <w:color w:val="000000"/>
          <w:sz w:val="24"/>
        </w:rPr>
      </w:pPr>
      <w:r>
        <w:rPr>
          <w:rFonts w:ascii="Times New Roman" w:hAnsi="Times New Roman"/>
          <w:color w:val="000000"/>
          <w:sz w:val="24"/>
        </w:rPr>
        <w:t>UNITED AUTO CREDIT CORPORATION,</w:t>
        <w:br/>
        <w:t>as Custodian</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color w:val="000000"/>
          <w:sz w:val="24"/>
        </w:rPr>
      </w:pPr>
      <w:r>
        <w:rPr>
          <w:rFonts w:ascii="Times New Roman" w:hAnsi="Times New Roman"/>
          <w:color w:val="000000"/>
          <w:sz w:val="24"/>
        </w:rPr>
        <w:t>Schedule 1</w:t>
        <w:br/>
        <w:t>To Receivable Receipt</w:t>
      </w:r>
    </w:p>
    <w:p>
      <w:pPr>
        <w:pStyle w:val="TextBody"/>
        <w:bidi w:val="0"/>
        <w:jc w:val="righ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center"/>
        <w:rPr>
          <w:rFonts w:ascii="Times New Roman" w:hAnsi="Times New Roman"/>
          <w:color w:val="000000"/>
          <w:sz w:val="24"/>
        </w:rPr>
      </w:pPr>
      <w:r>
        <w:rPr>
          <w:rFonts w:ascii="Times New Roman" w:hAnsi="Times New Roman"/>
          <w:color w:val="000000"/>
          <w:sz w:val="24"/>
        </w:rPr>
        <w:t>H-176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Schedule 2</w:t>
        <w:br/>
        <w:t>To Receivable Receipt</w:t>
      </w:r>
    </w:p>
    <w:p>
      <w:pPr>
        <w:pStyle w:val="TextBody"/>
        <w:bidi w:val="0"/>
        <w:jc w:val="center"/>
        <w:rPr>
          <w:rFonts w:ascii="Times New Roman" w:hAnsi="Times New Roman"/>
          <w:color w:val="000000"/>
          <w:sz w:val="24"/>
        </w:rPr>
      </w:pPr>
      <w:r>
        <w:rPr>
          <w:rFonts w:ascii="Times New Roman" w:hAnsi="Times New Roman"/>
          <w:color w:val="000000"/>
          <w:sz w:val="24"/>
        </w:rPr>
        <w:t>H-177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color w:val="000000"/>
          <w:sz w:val="24"/>
        </w:rPr>
      </w:pPr>
      <w:r>
        <w:rPr>
          <w:rFonts w:ascii="Times New Roman" w:hAnsi="Times New Roman"/>
          <w:color w:val="000000"/>
          <w:sz w:val="24"/>
        </w:rPr>
        <w:t>EXHIBIT I</w:t>
      </w:r>
    </w:p>
    <w:p>
      <w:pPr>
        <w:pStyle w:val="TextBody"/>
        <w:bidi w:val="0"/>
        <w:jc w:val="righ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Authorized Representatives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[Attached]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bookmarkStart w:id="50" w:name="vrm-ex10_5.htm"/>
      <w:bookmarkStart w:id="51" w:name="ksvrmex10_5"/>
      <w:bookmarkEnd w:id="50"/>
      <w:bookmarkEnd w:id="51"/>
      <w:r>
        <w:rPr>
          <w:rFonts w:ascii="Times New Roman" w:hAnsi="Times New Roman"/>
          <w:color w:val="000000"/>
          <w:sz w:val="24"/>
        </w:rPr>
        <w:t>Exhibit 10.5</w:t>
      </w:r>
      <w:r>
        <w:rPr>
          <w:rFonts w:ascii="Times New Roman" w:hAnsi="Times New Roman"/>
          <w:color w:val="000000"/>
          <w:sz w:val="20"/>
        </w:rPr>
        <w:t xml:space="preserve"> </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AMENDED 2020 INCENTIVE AWARD PLAN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VROOM, INC.</w:t>
        <w:br/>
        <w:t>2020 INCENTIVE AWARD PLAN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(as amended and restated on June 13, 2024)</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(as subsequently amended and restated on January 14, 2025)</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(as subsequently amended and restated on July 28, 2026)</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Article 1.</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br/>
        <w:t>PURPOSE</w:t>
      </w:r>
    </w:p>
    <w:p>
      <w:pPr>
        <w:pStyle w:val="TextBody"/>
        <w:bidi w:val="0"/>
        <w:spacing w:before="0" w:after="240"/>
        <w:jc w:val="both"/>
        <w:rPr>
          <w:rFonts w:ascii="Times New Roman" w:hAnsi="Times New Roman"/>
          <w:sz w:val="20"/>
        </w:rPr>
      </w:pPr>
      <w:r>
        <w:rPr>
          <w:rFonts w:ascii="Times New Roman" w:hAnsi="Times New Roman"/>
          <w:color w:val="000000"/>
          <w:sz w:val="24"/>
        </w:rPr>
        <w:t>The purpose of the Vroom, Inc. 2020 Incentive Award Plan (as it may be amended or restated from time to time,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is to promote the success and enhance the value of Vroom,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by linking the individual interests of Directors,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Directors, Employees, and Consultants upon whose judgment, interest, and special effort the successful conduct of the Company’s operation is largely dependent.</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Article 2.</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br/>
        <w:t>DEFINITIONS AND CONSTRUCTION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Wherever the following terms are used in the Plan they shall have the meanings specified below, unless the context clearly indicates otherwise. The singular pronoun shall include the plural where the context so indicates.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2.01</w:t>
      </w:r>
    </w:p>
    <w:p>
      <w:pPr>
        <w:pStyle w:val="TextBody"/>
        <w:bidi w:val="0"/>
        <w:spacing w:before="0" w:after="240"/>
        <w:jc w:val="both"/>
        <w:rPr/>
      </w:pPr>
      <w:r>
        <w:rPr>
          <w:color w:val="000000"/>
        </w:rPr>
        <w:t>“</w:t>
      </w:r>
      <w:r>
        <w:rPr>
          <w:rFonts w:ascii="Times New Roman" w:hAnsi="Times New Roman"/>
          <w:color w:val="000000"/>
          <w:sz w:val="24"/>
          <w:u w:val="single"/>
        </w:rPr>
        <w:t>Administrator</w:t>
      </w:r>
      <w:r>
        <w:rPr>
          <w:color w:val="000000"/>
        </w:rPr>
        <w:t xml:space="preserve">” </w:t>
      </w:r>
      <w:r>
        <w:rPr>
          <w:rFonts w:ascii="Times New Roman" w:hAnsi="Times New Roman"/>
          <w:color w:val="000000"/>
          <w:sz w:val="24"/>
        </w:rPr>
        <w:t>shall mean the Board or a Committee to the extent that the Board’s powers or authority under the Plan have been delegated to such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2.02</w:t>
      </w:r>
    </w:p>
    <w:p>
      <w:pPr>
        <w:pStyle w:val="TextBody"/>
        <w:bidi w:val="0"/>
        <w:spacing w:before="0" w:after="240"/>
        <w:jc w:val="both"/>
        <w:rPr/>
      </w:pPr>
      <w:r>
        <w:rPr>
          <w:color w:val="000000"/>
        </w:rPr>
        <w:t>“</w:t>
      </w:r>
      <w:r>
        <w:rPr>
          <w:rFonts w:ascii="Times New Roman" w:hAnsi="Times New Roman"/>
          <w:color w:val="000000"/>
          <w:sz w:val="24"/>
          <w:u w:val="single"/>
        </w:rPr>
        <w:t>Applicable Accounting Standards</w:t>
      </w:r>
      <w:r>
        <w:rPr>
          <w:color w:val="000000"/>
        </w:rPr>
        <w:t xml:space="preserve">” </w:t>
      </w:r>
      <w:r>
        <w:rPr>
          <w:rFonts w:ascii="Times New Roman" w:hAnsi="Times New Roman"/>
          <w:color w:val="000000"/>
          <w:sz w:val="24"/>
        </w:rPr>
        <w:t>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2.03</w:t>
      </w:r>
    </w:p>
    <w:p>
      <w:pPr>
        <w:pStyle w:val="TextBody"/>
        <w:bidi w:val="0"/>
        <w:spacing w:before="0" w:after="240"/>
        <w:jc w:val="both"/>
        <w:rPr/>
      </w:pPr>
      <w:r>
        <w:rPr>
          <w:color w:val="000000"/>
        </w:rPr>
        <w:t>“</w:t>
      </w:r>
      <w:r>
        <w:rPr>
          <w:rFonts w:ascii="Times New Roman" w:hAnsi="Times New Roman"/>
          <w:color w:val="000000"/>
          <w:sz w:val="24"/>
          <w:u w:val="single"/>
        </w:rPr>
        <w:t>Applicable Law</w:t>
      </w:r>
      <w:r>
        <w:rPr>
          <w:color w:val="000000"/>
        </w:rPr>
        <w:t xml:space="preserve">” </w:t>
      </w:r>
      <w:r>
        <w:rPr>
          <w:rFonts w:ascii="Times New Roman" w:hAnsi="Times New Roman"/>
          <w:color w:val="000000"/>
          <w:sz w:val="24"/>
        </w:rPr>
        <w:t>shall mean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2.04</w:t>
      </w:r>
    </w:p>
    <w:p>
      <w:pPr>
        <w:pStyle w:val="TextBody"/>
        <w:bidi w:val="0"/>
        <w:spacing w:before="0" w:after="240"/>
        <w:jc w:val="both"/>
        <w:rPr/>
      </w:pPr>
      <w:r>
        <w:rPr>
          <w:color w:val="000000"/>
        </w:rPr>
        <w:t>“</w:t>
      </w:r>
      <w:r>
        <w:rPr>
          <w:rFonts w:ascii="Times New Roman" w:hAnsi="Times New Roman"/>
          <w:color w:val="000000"/>
          <w:sz w:val="24"/>
          <w:u w:val="single"/>
        </w:rPr>
        <w:t>Award</w:t>
      </w:r>
      <w:r>
        <w:rPr>
          <w:color w:val="000000"/>
        </w:rPr>
        <w:t xml:space="preserve">” </w:t>
      </w:r>
      <w:r>
        <w:rPr>
          <w:rFonts w:ascii="Times New Roman" w:hAnsi="Times New Roman"/>
          <w:color w:val="000000"/>
          <w:sz w:val="24"/>
        </w:rPr>
        <w:t>shall mean an Option, a Stock Appreciation Right, a Restricted Stock award, a Restricted Stock Unit award, an Other Stock or Cash Based Award or a Dividend Equivalent award, which may be awarded or granted under the Plan.</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US-DOCS\155347361.6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2.05</w:t>
      </w:r>
    </w:p>
    <w:p>
      <w:pPr>
        <w:pStyle w:val="TextBody"/>
        <w:bidi w:val="0"/>
        <w:spacing w:before="0" w:after="240"/>
        <w:jc w:val="both"/>
        <w:rPr/>
      </w:pPr>
      <w:r>
        <w:rPr>
          <w:color w:val="000000"/>
        </w:rPr>
        <w:t>“</w:t>
      </w:r>
      <w:r>
        <w:rPr>
          <w:rFonts w:ascii="Times New Roman" w:hAnsi="Times New Roman"/>
          <w:color w:val="000000"/>
          <w:sz w:val="24"/>
          <w:u w:val="single"/>
        </w:rPr>
        <w:t>Award Agreement</w:t>
      </w:r>
      <w:r>
        <w:rPr>
          <w:color w:val="000000"/>
        </w:rPr>
        <w:t xml:space="preserve">” </w:t>
      </w:r>
      <w:r>
        <w:rPr>
          <w:rFonts w:ascii="Times New Roman" w:hAnsi="Times New Roman"/>
          <w:color w:val="000000"/>
          <w:sz w:val="24"/>
        </w:rPr>
        <w:t>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2.06</w:t>
      </w:r>
    </w:p>
    <w:p>
      <w:pPr>
        <w:pStyle w:val="TextBody"/>
        <w:bidi w:val="0"/>
        <w:spacing w:before="0" w:after="240"/>
        <w:jc w:val="both"/>
        <w:rPr/>
      </w:pPr>
      <w:r>
        <w:rPr>
          <w:color w:val="000000"/>
        </w:rPr>
        <w:t>“</w:t>
      </w:r>
      <w:r>
        <w:rPr>
          <w:rFonts w:ascii="Times New Roman" w:hAnsi="Times New Roman"/>
          <w:color w:val="000000"/>
          <w:sz w:val="24"/>
          <w:u w:val="single"/>
        </w:rPr>
        <w:t>Board</w:t>
      </w:r>
      <w:r>
        <w:rPr>
          <w:color w:val="000000"/>
        </w:rPr>
        <w:t xml:space="preserve">” </w:t>
      </w:r>
      <w:r>
        <w:rPr>
          <w:rFonts w:ascii="Times New Roman" w:hAnsi="Times New Roman"/>
          <w:color w:val="000000"/>
          <w:sz w:val="24"/>
        </w:rPr>
        <w:t xml:space="preserve">shall mean the Board of Directors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2.07</w:t>
      </w:r>
    </w:p>
    <w:p>
      <w:pPr>
        <w:pStyle w:val="TextBody"/>
        <w:bidi w:val="0"/>
        <w:spacing w:before="0" w:after="240"/>
        <w:jc w:val="both"/>
        <w:rPr/>
      </w:pPr>
      <w:r>
        <w:rPr>
          <w:color w:val="000000"/>
        </w:rPr>
        <w:t>“</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shall mean and includes each of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of the total combined voting power of the Company’s securities outstanding immediately after such acquisition; </w:t>
      </w:r>
      <w:r>
        <w:rPr>
          <w:rFonts w:ascii="Times New Roman" w:hAnsi="Times New Roman"/>
          <w:color w:val="000000"/>
          <w:sz w:val="24"/>
          <w:u w:val="single"/>
        </w:rPr>
        <w:t>provided</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u w:val="single"/>
        </w:rPr>
        <w:t xml:space="preserve"> </w:t>
      </w:r>
      <w:r>
        <w:rPr>
          <w:rFonts w:ascii="Times New Roman" w:hAnsi="Times New Roman"/>
          <w:color w:val="000000"/>
          <w:sz w:val="24"/>
        </w:rPr>
        <w:t>that the following acquisitions shall not constitute a Change in Control: (i) any acquisition by the Company or any of its Subsidiaries; (ii) any acquisition by an employee benefit plan maintained by the Company or any of its Subsidiaries; or (iii) any acquisition which complies with Sections 2.7(c)(i), 2.7(c)(ii) or 2.7(c)(iii);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Incumbent Directors cease for any reason to constitute a majority of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hAnsi="Times New Roman"/>
          <w:color w:val="000000"/>
          <w:sz w:val="24"/>
          <w:u w:val="single"/>
        </w:rPr>
        <w:t>Successor Entity</w:t>
      </w:r>
      <w:r>
        <w:rPr>
          <w:color w:val="000000"/>
        </w:rPr>
        <w:t>”</w:t>
      </w:r>
      <w:r>
        <w:rPr>
          <w:rFonts w:ascii="Times New Roman" w:hAnsi="Times New Roman"/>
          <w:color w:val="000000"/>
          <w:sz w:val="24"/>
        </w:rPr>
        <w:t>)) directly or indirectly, at least a majority of the combined voting power of the Successor Entity’s outstanding voting securities immediately after the transaction,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after which no person or group beneficially owns voting securities representing 50% or more of the combined voting power of the Successor Entity; </w:t>
      </w:r>
      <w:r>
        <w:rPr>
          <w:rFonts w:ascii="Times New Roman" w:hAnsi="Times New Roman"/>
          <w:color w:val="000000"/>
          <w:sz w:val="24"/>
          <w:u w:val="single"/>
        </w:rPr>
        <w:t>provided</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u w:val="single"/>
        </w:rPr>
        <w:t xml:space="preserve"> </w:t>
      </w:r>
      <w:r>
        <w:rPr>
          <w:rFonts w:ascii="Times New Roman" w:hAnsi="Times New Roman"/>
          <w:color w:val="000000"/>
          <w:sz w:val="24"/>
        </w:rPr>
        <w:t>that no person or group shall be treated for purposes of this Section 2.7(c)(ii) as beneficially owning 50% or more of the combined voting power of the Successor Entity if such voting power was held by that person or group in the Company prior to the consummation of the transaction; and</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which at least a majority of the members of the board of directors (or the analogous governing body) of the Successor Entity were Incumbent Directors at the time of the Board’s approval of the execution of the initial agreement providing for such transaction;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date which is 10 business days prior to the completion of a liquidation or dissolution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w:t>
      </w:r>
      <w:r>
        <w:rPr>
          <w:rFonts w:ascii="Times New Roman" w:hAnsi="Times New Roman"/>
          <w:color w:val="000000"/>
          <w:sz w:val="24"/>
          <w:u w:val="single"/>
        </w:rPr>
        <w:t xml:space="preserve">provided </w:t>
      </w:r>
      <w:r>
        <w:rPr>
          <w:rFonts w:ascii="Times New Roman" w:hAnsi="Times New Roman"/>
          <w:color w:val="000000"/>
          <w:sz w:val="24"/>
        </w:rPr>
        <w:t>that any exercise of authority in conjunction with a determination of whether a Change in Control is a “change in control event” as defined in Treasury Regulation Section 1.409A-3(i)(5) shall be consistent with such regulation.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2.08</w:t>
      </w:r>
    </w:p>
    <w:p>
      <w:pPr>
        <w:pStyle w:val="TextBody"/>
        <w:bidi w:val="0"/>
        <w:spacing w:before="0" w:after="240"/>
        <w:jc w:val="both"/>
        <w:rPr/>
      </w:pPr>
      <w:r>
        <w:rPr>
          <w:color w:val="000000"/>
        </w:rPr>
        <w:t>“</w:t>
      </w:r>
      <w:r>
        <w:rPr>
          <w:rFonts w:ascii="Times New Roman" w:hAnsi="Times New Roman"/>
          <w:color w:val="000000"/>
          <w:sz w:val="24"/>
          <w:u w:val="single"/>
        </w:rPr>
        <w:t>Code</w:t>
      </w:r>
      <w:r>
        <w:rPr>
          <w:color w:val="000000"/>
        </w:rPr>
        <w:t xml:space="preserve">” </w:t>
      </w:r>
      <w:r>
        <w:rPr>
          <w:rFonts w:ascii="Times New Roman" w:hAnsi="Times New Roman"/>
          <w:color w:val="000000"/>
          <w:sz w:val="24"/>
        </w:rPr>
        <w:t>shall mean the Internal Revenue Code of 1986, as amended from time to time, together with the regulations and official guidance promulgated thereunder, whether issued prior or subsequent to the grant of any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2.09</w:t>
      </w:r>
    </w:p>
    <w:p>
      <w:pPr>
        <w:pStyle w:val="TextBody"/>
        <w:bidi w:val="0"/>
        <w:spacing w:before="0" w:after="240"/>
        <w:jc w:val="both"/>
        <w:rPr/>
      </w:pPr>
      <w:r>
        <w:rPr>
          <w:color w:val="000000"/>
        </w:rPr>
        <w:t>“</w:t>
      </w:r>
      <w:r>
        <w:rPr>
          <w:rFonts w:ascii="Times New Roman" w:hAnsi="Times New Roman"/>
          <w:color w:val="000000"/>
          <w:sz w:val="24"/>
          <w:u w:val="single"/>
        </w:rPr>
        <w:t>Committee</w:t>
      </w:r>
      <w:r>
        <w:rPr>
          <w:color w:val="000000"/>
        </w:rPr>
        <w:t xml:space="preserve">” </w:t>
      </w:r>
      <w:r>
        <w:rPr>
          <w:rFonts w:ascii="Times New Roman" w:hAnsi="Times New Roman"/>
          <w:color w:val="000000"/>
          <w:sz w:val="24"/>
        </w:rPr>
        <w:t>shall mean the Compensation Committee of the Board, or another committee or subcommittee of the Board which may be comprised of one or more Directors and/or executive officers of the Company as appointed by the Board, to the extent permitted in accordance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2.10</w:t>
      </w:r>
    </w:p>
    <w:p>
      <w:pPr>
        <w:pStyle w:val="TextBody"/>
        <w:bidi w:val="0"/>
        <w:spacing w:before="0" w:after="240"/>
        <w:jc w:val="both"/>
        <w:rPr/>
      </w:pPr>
      <w:r>
        <w:rPr>
          <w:color w:val="000000"/>
        </w:rPr>
        <w:t>“</w:t>
      </w:r>
      <w:r>
        <w:rPr>
          <w:rFonts w:ascii="Times New Roman" w:hAnsi="Times New Roman"/>
          <w:color w:val="000000"/>
          <w:sz w:val="24"/>
          <w:u w:val="single"/>
        </w:rPr>
        <w:t>Common Stock</w:t>
      </w:r>
      <w:r>
        <w:rPr>
          <w:color w:val="000000"/>
        </w:rPr>
        <w:t xml:space="preserve">” </w:t>
      </w:r>
      <w:r>
        <w:rPr>
          <w:rFonts w:ascii="Times New Roman" w:hAnsi="Times New Roman"/>
          <w:color w:val="000000"/>
          <w:sz w:val="24"/>
        </w:rPr>
        <w:t xml:space="preserve">shall mean the common stock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2.11</w:t>
      </w:r>
    </w:p>
    <w:p>
      <w:pPr>
        <w:pStyle w:val="TextBody"/>
        <w:bidi w:val="0"/>
        <w:spacing w:before="0" w:after="240"/>
        <w:jc w:val="both"/>
        <w:rPr/>
      </w:pPr>
      <w:r>
        <w:rPr>
          <w:color w:val="000000"/>
        </w:rPr>
        <w:t>“</w:t>
      </w:r>
      <w:r>
        <w:rPr>
          <w:rFonts w:ascii="Times New Roman" w:hAnsi="Times New Roman"/>
          <w:color w:val="000000"/>
          <w:sz w:val="24"/>
          <w:u w:val="single"/>
        </w:rPr>
        <w:t>Company</w:t>
      </w:r>
      <w:r>
        <w:rPr>
          <w:color w:val="000000"/>
        </w:rPr>
        <w:t xml:space="preserve">” </w:t>
      </w:r>
      <w:r>
        <w:rPr>
          <w:rFonts w:ascii="Times New Roman" w:hAnsi="Times New Roman"/>
          <w:color w:val="000000"/>
          <w:sz w:val="24"/>
        </w:rPr>
        <w:t>shall have the meaning set forth in Article 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2.12</w:t>
      </w:r>
    </w:p>
    <w:p>
      <w:pPr>
        <w:pStyle w:val="TextBody"/>
        <w:bidi w:val="0"/>
        <w:spacing w:before="0" w:after="240"/>
        <w:jc w:val="both"/>
        <w:rPr/>
      </w:pPr>
      <w:r>
        <w:rPr>
          <w:color w:val="000000"/>
        </w:rPr>
        <w:t>“</w:t>
      </w:r>
      <w:r>
        <w:rPr>
          <w:rFonts w:ascii="Times New Roman" w:hAnsi="Times New Roman"/>
          <w:color w:val="000000"/>
          <w:sz w:val="24"/>
          <w:u w:val="single"/>
        </w:rPr>
        <w:t>Consultant</w:t>
      </w:r>
      <w:r>
        <w:rPr>
          <w:color w:val="000000"/>
        </w:rPr>
        <w:t xml:space="preserve">” </w:t>
      </w:r>
      <w:r>
        <w:rPr>
          <w:rFonts w:ascii="Times New Roman" w:hAnsi="Times New Roman"/>
          <w:color w:val="000000"/>
          <w:sz w:val="24"/>
        </w:rPr>
        <w:t>shall mean any consultant or adviser engaged to provide services to the Company or any parent of the Company or Subsidiary who qualifies as a consultant or advisor under the applicable rules of the Securities and Exchange Commission for registration of shares on a Form S-8 Registration 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2.13</w:t>
      </w:r>
    </w:p>
    <w:p>
      <w:pPr>
        <w:pStyle w:val="TextBody"/>
        <w:bidi w:val="0"/>
        <w:spacing w:before="0" w:after="240"/>
        <w:jc w:val="both"/>
        <w:rPr/>
      </w:pPr>
      <w:r>
        <w:rPr>
          <w:color w:val="000000"/>
        </w:rPr>
        <w:t>“</w:t>
      </w:r>
      <w:r>
        <w:rPr>
          <w:rFonts w:ascii="Times New Roman" w:hAnsi="Times New Roman"/>
          <w:color w:val="000000"/>
          <w:sz w:val="24"/>
          <w:u w:val="single"/>
        </w:rPr>
        <w:t>Director</w:t>
      </w:r>
      <w:r>
        <w:rPr>
          <w:color w:val="000000"/>
        </w:rPr>
        <w:t xml:space="preserve">” </w:t>
      </w:r>
      <w:r>
        <w:rPr>
          <w:rFonts w:ascii="Times New Roman" w:hAnsi="Times New Roman"/>
          <w:color w:val="000000"/>
          <w:sz w:val="24"/>
        </w:rPr>
        <w:t xml:space="preserve">shall mean a member of the Board, as constituted from time to time.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2.14</w:t>
      </w:r>
    </w:p>
    <w:p>
      <w:pPr>
        <w:pStyle w:val="TextBody"/>
        <w:bidi w:val="0"/>
        <w:spacing w:before="0" w:after="240"/>
        <w:jc w:val="both"/>
        <w:rPr/>
      </w:pPr>
      <w:r>
        <w:rPr>
          <w:color w:val="000000"/>
        </w:rPr>
        <w:t>“</w:t>
      </w:r>
      <w:r>
        <w:rPr>
          <w:rFonts w:ascii="Times New Roman" w:hAnsi="Times New Roman"/>
          <w:color w:val="000000"/>
          <w:sz w:val="24"/>
          <w:u w:val="single"/>
        </w:rPr>
        <w:t>Director Limit</w:t>
      </w:r>
      <w:r>
        <w:rPr>
          <w:color w:val="000000"/>
        </w:rPr>
        <w:t xml:space="preserve">” </w:t>
      </w:r>
      <w:r>
        <w:rPr>
          <w:rFonts w:ascii="Times New Roman" w:hAnsi="Times New Roman"/>
          <w:color w:val="000000"/>
          <w:sz w:val="24"/>
        </w:rPr>
        <w:t>shall have the meaning set forth in Section 4.6.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2.15</w:t>
      </w:r>
    </w:p>
    <w:p>
      <w:pPr>
        <w:pStyle w:val="TextBody"/>
        <w:bidi w:val="0"/>
        <w:spacing w:before="0" w:after="240"/>
        <w:jc w:val="both"/>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 xml:space="preserve">shall mean that the Holder is either (a) unable to engage in any substantial gainful activity by reason of any medically determinable physical or mental impairment that can be expected to result in death or can be expected to last for a continuous period of not less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than twelve months, or (b) by reason of any medically determinable physical or mental impairment that can be expected to result in death or can be expected to last for a continuous period of not less than twelve months, receiving income replacement benefits for a period of not less than three months under an accident and health plan covering employees of the Company. For purposes of the Plan, a Holder shall be deemed to have incurred a Disability if the Holder is determined to be totally disabled by the Social Security Administration or in accordance with the applicable disability insurance program of the Company’s, </w:t>
      </w:r>
      <w:r>
        <w:rPr>
          <w:rFonts w:ascii="Times New Roman" w:hAnsi="Times New Roman"/>
          <w:color w:val="000000"/>
          <w:sz w:val="24"/>
          <w:u w:val="single"/>
        </w:rPr>
        <w:t xml:space="preserve">provided </w:t>
      </w:r>
      <w:r>
        <w:rPr>
          <w:rFonts w:ascii="Times New Roman" w:hAnsi="Times New Roman"/>
          <w:color w:val="000000"/>
          <w:sz w:val="24"/>
        </w:rPr>
        <w:t>that the definition of “disability” applied under such disability insurance program complies with the requirements of this definition.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2.16</w:t>
      </w:r>
    </w:p>
    <w:p>
      <w:pPr>
        <w:pStyle w:val="TextBody"/>
        <w:bidi w:val="0"/>
        <w:spacing w:before="0" w:after="240"/>
        <w:jc w:val="both"/>
        <w:rPr/>
      </w:pPr>
      <w:r>
        <w:rPr>
          <w:color w:val="000000"/>
        </w:rPr>
        <w:t>“</w:t>
      </w:r>
      <w:r>
        <w:rPr>
          <w:rFonts w:ascii="Times New Roman" w:hAnsi="Times New Roman"/>
          <w:color w:val="000000"/>
          <w:sz w:val="24"/>
          <w:u w:val="single"/>
        </w:rPr>
        <w:t>Dividend Equivalent</w:t>
      </w:r>
      <w:r>
        <w:rPr>
          <w:color w:val="000000"/>
        </w:rPr>
        <w:t xml:space="preserve">” </w:t>
      </w:r>
      <w:r>
        <w:rPr>
          <w:rFonts w:ascii="Times New Roman" w:hAnsi="Times New Roman"/>
          <w:color w:val="000000"/>
          <w:sz w:val="24"/>
        </w:rPr>
        <w:t>shall mean a right to receive the equivalent value (in cash or Shares) of dividends paid on Shares, awarded under Section 9.2.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2.17</w:t>
      </w:r>
    </w:p>
    <w:p>
      <w:pPr>
        <w:pStyle w:val="TextBody"/>
        <w:bidi w:val="0"/>
        <w:spacing w:before="0" w:after="240"/>
        <w:jc w:val="both"/>
        <w:rPr/>
      </w:pPr>
      <w:r>
        <w:rPr>
          <w:color w:val="000000"/>
        </w:rPr>
        <w:t>“</w:t>
      </w:r>
      <w:r>
        <w:rPr>
          <w:rFonts w:ascii="Times New Roman" w:hAnsi="Times New Roman"/>
          <w:color w:val="000000"/>
          <w:sz w:val="24"/>
          <w:u w:val="single"/>
        </w:rPr>
        <w:t>DRO</w:t>
      </w:r>
      <w:r>
        <w:rPr>
          <w:color w:val="000000"/>
        </w:rPr>
        <w:t xml:space="preserve">” </w:t>
      </w:r>
      <w:r>
        <w:rPr>
          <w:rFonts w:ascii="Times New Roman" w:hAnsi="Times New Roman"/>
          <w:color w:val="000000"/>
          <w:sz w:val="24"/>
        </w:rPr>
        <w:t>shall mean a “domestic relations order” as defined by the Code or Title I of the Employee Retirement Income Security Act of 1974, as amended from time to time, or the rules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2.18</w:t>
      </w:r>
    </w:p>
    <w:p>
      <w:pPr>
        <w:pStyle w:val="TextBody"/>
        <w:bidi w:val="0"/>
        <w:spacing w:before="0" w:after="240"/>
        <w:jc w:val="both"/>
        <w:rPr/>
      </w:pPr>
      <w:r>
        <w:rPr>
          <w:color w:val="000000"/>
        </w:rPr>
        <w:t>“</w:t>
      </w:r>
      <w:r>
        <w:rPr>
          <w:rFonts w:ascii="Times New Roman" w:hAnsi="Times New Roman"/>
          <w:color w:val="000000"/>
          <w:sz w:val="24"/>
          <w:u w:val="single"/>
        </w:rPr>
        <w:t>Effective Date</w:t>
      </w:r>
      <w:r>
        <w:rPr>
          <w:color w:val="000000"/>
        </w:rPr>
        <w:t xml:space="preserve">” </w:t>
      </w:r>
      <w:r>
        <w:rPr>
          <w:rFonts w:ascii="Times New Roman" w:hAnsi="Times New Roman"/>
          <w:color w:val="000000"/>
          <w:sz w:val="24"/>
        </w:rPr>
        <w:t>shall mean the day prior to the Public Trading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2.19</w:t>
      </w:r>
    </w:p>
    <w:p>
      <w:pPr>
        <w:pStyle w:val="TextBody"/>
        <w:bidi w:val="0"/>
        <w:spacing w:before="0" w:after="240"/>
        <w:jc w:val="both"/>
        <w:rPr/>
      </w:pPr>
      <w:r>
        <w:rPr>
          <w:color w:val="000000"/>
        </w:rPr>
        <w:t>“</w:t>
      </w:r>
      <w:r>
        <w:rPr>
          <w:rFonts w:ascii="Times New Roman" w:hAnsi="Times New Roman"/>
          <w:color w:val="000000"/>
          <w:sz w:val="24"/>
          <w:u w:val="single"/>
        </w:rPr>
        <w:t>Eligible Individual</w:t>
      </w:r>
      <w:r>
        <w:rPr>
          <w:color w:val="000000"/>
        </w:rPr>
        <w:t xml:space="preserve">” </w:t>
      </w:r>
      <w:r>
        <w:rPr>
          <w:rFonts w:ascii="Times New Roman" w:hAnsi="Times New Roman"/>
          <w:color w:val="000000"/>
          <w:sz w:val="24"/>
        </w:rPr>
        <w:t>shall mean any person who is an Employee, a Consultant or a Non-Employee Director, as determined by the Administrator.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2.20</w:t>
      </w:r>
    </w:p>
    <w:p>
      <w:pPr>
        <w:pStyle w:val="TextBody"/>
        <w:bidi w:val="0"/>
        <w:spacing w:before="0" w:after="240"/>
        <w:jc w:val="both"/>
        <w:rPr/>
      </w:pPr>
      <w:r>
        <w:rPr>
          <w:color w:val="000000"/>
        </w:rPr>
        <w:t>“</w:t>
      </w:r>
      <w:r>
        <w:rPr>
          <w:rFonts w:ascii="Times New Roman" w:hAnsi="Times New Roman"/>
          <w:color w:val="000000"/>
          <w:sz w:val="24"/>
          <w:u w:val="single"/>
        </w:rPr>
        <w:t>Employee</w:t>
      </w:r>
      <w:r>
        <w:rPr>
          <w:color w:val="000000"/>
        </w:rPr>
        <w:t xml:space="preserve">” </w:t>
      </w:r>
      <w:r>
        <w:rPr>
          <w:rFonts w:ascii="Times New Roman" w:hAnsi="Times New Roman"/>
          <w:color w:val="000000"/>
          <w:sz w:val="24"/>
        </w:rPr>
        <w:t>shall mean any officer or other employee (as determined in accordance with Section 3401(c) of the Code and the Treasury Regulations thereunder) of the Company or of any parent of the Company or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2.21</w:t>
      </w:r>
    </w:p>
    <w:p>
      <w:pPr>
        <w:pStyle w:val="TextBody"/>
        <w:bidi w:val="0"/>
        <w:spacing w:before="0" w:after="240"/>
        <w:jc w:val="both"/>
        <w:rPr/>
      </w:pPr>
      <w:r>
        <w:rPr>
          <w:color w:val="000000"/>
        </w:rPr>
        <w:t>“</w:t>
      </w:r>
      <w:r>
        <w:rPr>
          <w:rFonts w:ascii="Times New Roman" w:hAnsi="Times New Roman"/>
          <w:color w:val="000000"/>
          <w:sz w:val="24"/>
          <w:u w:val="single"/>
        </w:rPr>
        <w:t>Equity Restructuring</w:t>
      </w:r>
      <w:r>
        <w:rPr>
          <w:color w:val="000000"/>
        </w:rPr>
        <w:t xml:space="preserve">” </w:t>
      </w:r>
      <w:r>
        <w:rPr>
          <w:rFonts w:ascii="Times New Roman" w:hAnsi="Times New Roman"/>
          <w:color w:val="000000"/>
          <w:sz w:val="24"/>
        </w:rPr>
        <w:t>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per-share value of the Common Stock underlying outstanding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2.22</w:t>
      </w:r>
    </w:p>
    <w:p>
      <w:pPr>
        <w:pStyle w:val="TextBody"/>
        <w:bidi w:val="0"/>
        <w:spacing w:before="0" w:after="240"/>
        <w:jc w:val="both"/>
        <w:rPr/>
      </w:pPr>
      <w:r>
        <w:rPr>
          <w:color w:val="000000"/>
        </w:rPr>
        <w:t>“</w:t>
      </w:r>
      <w:r>
        <w:rPr>
          <w:rFonts w:ascii="Times New Roman" w:hAnsi="Times New Roman"/>
          <w:color w:val="000000"/>
          <w:sz w:val="24"/>
          <w:u w:val="single"/>
        </w:rPr>
        <w:t>Exchange Act</w:t>
      </w:r>
      <w:r>
        <w:rPr>
          <w:color w:val="000000"/>
        </w:rPr>
        <w:t xml:space="preserve">” </w:t>
      </w:r>
      <w:r>
        <w:rPr>
          <w:rFonts w:ascii="Times New Roman" w:hAnsi="Times New Roman"/>
          <w:color w:val="000000"/>
          <w:sz w:val="24"/>
        </w:rPr>
        <w:t xml:space="preserve">shall mean the Securities Exchange Act of 1934, as amended from time to time.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2.23</w:t>
      </w:r>
    </w:p>
    <w:p>
      <w:pPr>
        <w:pStyle w:val="TextBody"/>
        <w:bidi w:val="0"/>
        <w:spacing w:before="0" w:after="240"/>
        <w:jc w:val="both"/>
        <w:rPr/>
      </w:pPr>
      <w:r>
        <w:rPr>
          <w:color w:val="000000"/>
        </w:rPr>
        <w:t>“</w:t>
      </w:r>
      <w:r>
        <w:rPr>
          <w:rFonts w:ascii="Times New Roman" w:hAnsi="Times New Roman"/>
          <w:color w:val="000000"/>
          <w:sz w:val="24"/>
          <w:u w:val="single"/>
        </w:rPr>
        <w:t>Expiration Date</w:t>
      </w:r>
      <w:r>
        <w:rPr>
          <w:color w:val="000000"/>
        </w:rPr>
        <w:t xml:space="preserve">” </w:t>
      </w:r>
      <w:r>
        <w:rPr>
          <w:rFonts w:ascii="Times New Roman" w:hAnsi="Times New Roman"/>
          <w:color w:val="000000"/>
          <w:sz w:val="24"/>
        </w:rPr>
        <w:t>shall have the meaning given to such term in Section 12.1(c).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2.24</w:t>
      </w:r>
    </w:p>
    <w:p>
      <w:pPr>
        <w:pStyle w:val="TextBody"/>
        <w:bidi w:val="0"/>
        <w:spacing w:before="0" w:after="240"/>
        <w:jc w:val="both"/>
        <w:rPr/>
      </w:pPr>
      <w:r>
        <w:rPr>
          <w:color w:val="000000"/>
        </w:rPr>
        <w:t>“</w:t>
      </w:r>
      <w:r>
        <w:rPr>
          <w:rFonts w:ascii="Times New Roman" w:hAnsi="Times New Roman"/>
          <w:color w:val="000000"/>
          <w:sz w:val="24"/>
          <w:u w:val="single"/>
        </w:rPr>
        <w:t>Fair Market Value</w:t>
      </w:r>
      <w:r>
        <w:rPr>
          <w:color w:val="000000"/>
        </w:rPr>
        <w:t xml:space="preserve">” </w:t>
      </w:r>
      <w:r>
        <w:rPr>
          <w:rFonts w:ascii="Times New Roman" w:hAnsi="Times New Roman"/>
          <w:color w:val="000000"/>
          <w:sz w:val="24"/>
        </w:rPr>
        <w:t>shall mean, as of any given date, the value of a Share determined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If the Common Stock is (i) listed on any established securities exchange (such as the New York Stock Exchange, the Nasdaq Capital Market, the Nasdaq Global Market and the Nasdaq Global Select Market), (ii) listed on any national market system or (iii)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Times New Roman" w:hAnsi="Times New Roman"/>
          <w:i/>
          <w:color w:val="000000"/>
          <w:sz w:val="24"/>
        </w:rPr>
        <w:t xml:space="preserve">The Wall Street Journal </w:t>
      </w:r>
      <w:r>
        <w:rPr>
          <w:rFonts w:ascii="Times New Roman" w:hAnsi="Times New Roman"/>
          <w:color w:val="000000"/>
          <w:sz w:val="24"/>
        </w:rPr>
        <w:t>or such other source as the Administrator deems reliable;</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Times New Roman" w:hAnsi="Times New Roman"/>
          <w:i/>
          <w:color w:val="000000"/>
          <w:sz w:val="24"/>
        </w:rPr>
        <w:t xml:space="preserve">The Wall Street Journal </w:t>
      </w:r>
      <w:r>
        <w:rPr>
          <w:rFonts w:ascii="Times New Roman" w:hAnsi="Times New Roman"/>
          <w:color w:val="000000"/>
          <w:sz w:val="24"/>
        </w:rPr>
        <w:t>or such other source as the Administrator deems reliable;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Common Stock is neither listed on an established securities exchange, national market system or automated quotation system nor regularly quoted by a recognized securities dealer, its Fair Market Value shall be established by the Administrator in its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2.25</w:t>
      </w:r>
    </w:p>
    <w:p>
      <w:pPr>
        <w:pStyle w:val="TextBody"/>
        <w:bidi w:val="0"/>
        <w:spacing w:before="0" w:after="240"/>
        <w:jc w:val="both"/>
        <w:rPr/>
      </w:pPr>
      <w:r>
        <w:rPr>
          <w:color w:val="000000"/>
        </w:rPr>
        <w:t>“</w:t>
      </w:r>
      <w:r>
        <w:rPr>
          <w:rFonts w:ascii="Times New Roman" w:hAnsi="Times New Roman"/>
          <w:color w:val="000000"/>
          <w:sz w:val="24"/>
          <w:u w:val="single"/>
        </w:rPr>
        <w:t>Greater Than 10% Stockholder</w:t>
      </w:r>
      <w:r>
        <w:rPr>
          <w:color w:val="000000"/>
        </w:rPr>
        <w:t xml:space="preserve">” </w:t>
      </w:r>
      <w:r>
        <w:rPr>
          <w:rFonts w:ascii="Times New Roman" w:hAnsi="Times New Roman"/>
          <w:color w:val="000000"/>
          <w:sz w:val="24"/>
        </w:rPr>
        <w:t>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2.26</w:t>
      </w:r>
    </w:p>
    <w:p>
      <w:pPr>
        <w:pStyle w:val="TextBody"/>
        <w:bidi w:val="0"/>
        <w:spacing w:before="0" w:after="240"/>
        <w:jc w:val="both"/>
        <w:rPr/>
      </w:pPr>
      <w:r>
        <w:rPr>
          <w:color w:val="000000"/>
        </w:rPr>
        <w:t>“</w:t>
      </w:r>
      <w:r>
        <w:rPr>
          <w:rFonts w:ascii="Times New Roman" w:hAnsi="Times New Roman"/>
          <w:color w:val="000000"/>
          <w:sz w:val="24"/>
          <w:u w:val="single"/>
        </w:rPr>
        <w:t>Holder</w:t>
      </w:r>
      <w:r>
        <w:rPr>
          <w:color w:val="000000"/>
        </w:rPr>
        <w:t xml:space="preserve">” </w:t>
      </w:r>
      <w:r>
        <w:rPr>
          <w:rFonts w:ascii="Times New Roman" w:hAnsi="Times New Roman"/>
          <w:color w:val="000000"/>
          <w:sz w:val="24"/>
        </w:rPr>
        <w:t>shall mean a person who has been granted an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2.27</w:t>
      </w:r>
    </w:p>
    <w:p>
      <w:pPr>
        <w:pStyle w:val="TextBody"/>
        <w:bidi w:val="0"/>
        <w:spacing w:before="0" w:after="240"/>
        <w:jc w:val="both"/>
        <w:rPr/>
      </w:pPr>
      <w:r>
        <w:rPr>
          <w:color w:val="000000"/>
        </w:rPr>
        <w:t>“</w:t>
      </w:r>
      <w:r>
        <w:rPr>
          <w:rFonts w:ascii="Times New Roman" w:hAnsi="Times New Roman"/>
          <w:color w:val="000000"/>
          <w:sz w:val="24"/>
          <w:u w:val="single"/>
        </w:rPr>
        <w:t>Incentive Stock Option</w:t>
      </w:r>
      <w:r>
        <w:rPr>
          <w:color w:val="000000"/>
        </w:rPr>
        <w:t xml:space="preserve">” </w:t>
      </w:r>
      <w:r>
        <w:rPr>
          <w:rFonts w:ascii="Times New Roman" w:hAnsi="Times New Roman"/>
          <w:color w:val="000000"/>
          <w:sz w:val="24"/>
        </w:rPr>
        <w:t>shall mean an Option that is intended to qualify as an incentive stock option and conforms to the applicable provisions of Section 422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2.28</w:t>
      </w:r>
    </w:p>
    <w:p>
      <w:pPr>
        <w:pStyle w:val="TextBody"/>
        <w:bidi w:val="0"/>
        <w:spacing w:before="0" w:after="240"/>
        <w:jc w:val="both"/>
        <w:rPr/>
      </w:pPr>
      <w:r>
        <w:rPr>
          <w:color w:val="000000"/>
        </w:rPr>
        <w:t>“</w:t>
      </w:r>
      <w:r>
        <w:rPr>
          <w:rFonts w:ascii="Times New Roman" w:hAnsi="Times New Roman"/>
          <w:color w:val="000000"/>
          <w:sz w:val="24"/>
          <w:u w:val="single"/>
        </w:rPr>
        <w:t>Incumbent Directors</w:t>
      </w:r>
      <w:r>
        <w:rPr>
          <w:color w:val="000000"/>
        </w:rPr>
        <w:t xml:space="preserve">” </w:t>
      </w:r>
      <w:r>
        <w:rPr>
          <w:rFonts w:ascii="Times New Roman" w:hAnsi="Times New Roman"/>
          <w:color w:val="000000"/>
          <w:sz w:val="24"/>
        </w:rPr>
        <w:t>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2.7(a) or 2.7(c))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2.29</w:t>
      </w:r>
    </w:p>
    <w:p>
      <w:pPr>
        <w:pStyle w:val="TextBody"/>
        <w:bidi w:val="0"/>
        <w:spacing w:before="0" w:after="240"/>
        <w:jc w:val="both"/>
        <w:rPr/>
      </w:pPr>
      <w:r>
        <w:rPr>
          <w:color w:val="000000"/>
        </w:rPr>
        <w:t>“</w:t>
      </w:r>
      <w:r>
        <w:rPr>
          <w:rFonts w:ascii="Times New Roman" w:hAnsi="Times New Roman"/>
          <w:color w:val="000000"/>
          <w:sz w:val="24"/>
          <w:u w:val="single"/>
        </w:rPr>
        <w:t>Non-Employee Director</w:t>
      </w:r>
      <w:r>
        <w:rPr>
          <w:color w:val="000000"/>
        </w:rPr>
        <w:t xml:space="preserve">” </w:t>
      </w:r>
      <w:r>
        <w:rPr>
          <w:rFonts w:ascii="Times New Roman" w:hAnsi="Times New Roman"/>
          <w:color w:val="000000"/>
          <w:sz w:val="24"/>
        </w:rPr>
        <w:t>shall mean a Director of the Company who is not an Employee.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2.30</w:t>
      </w:r>
    </w:p>
    <w:p>
      <w:pPr>
        <w:pStyle w:val="TextBody"/>
        <w:bidi w:val="0"/>
        <w:spacing w:before="0" w:after="240"/>
        <w:jc w:val="both"/>
        <w:rPr/>
      </w:pPr>
      <w:r>
        <w:rPr>
          <w:color w:val="000000"/>
        </w:rPr>
        <w:t>“</w:t>
      </w:r>
      <w:r>
        <w:rPr>
          <w:rFonts w:ascii="Times New Roman" w:hAnsi="Times New Roman"/>
          <w:color w:val="000000"/>
          <w:sz w:val="24"/>
          <w:u w:val="single"/>
        </w:rPr>
        <w:t>Non-Employee Director Equity Compensation Policy</w:t>
      </w:r>
      <w:r>
        <w:rPr>
          <w:color w:val="000000"/>
        </w:rPr>
        <w:t xml:space="preserve">” </w:t>
      </w:r>
      <w:r>
        <w:rPr>
          <w:rFonts w:ascii="Times New Roman" w:hAnsi="Times New Roman"/>
          <w:color w:val="000000"/>
          <w:sz w:val="24"/>
        </w:rPr>
        <w:t>shall have the meaning set forth in Section 4.6.</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2.31</w:t>
      </w:r>
    </w:p>
    <w:p>
      <w:pPr>
        <w:pStyle w:val="TextBody"/>
        <w:bidi w:val="0"/>
        <w:spacing w:before="0" w:after="240"/>
        <w:jc w:val="both"/>
        <w:rPr/>
      </w:pPr>
      <w:r>
        <w:rPr>
          <w:color w:val="000000"/>
        </w:rPr>
        <w:t>“</w:t>
      </w:r>
      <w:r>
        <w:rPr>
          <w:rFonts w:ascii="Times New Roman" w:hAnsi="Times New Roman"/>
          <w:color w:val="000000"/>
          <w:sz w:val="24"/>
          <w:u w:val="single"/>
        </w:rPr>
        <w:t>Non-Qualified Stock Option</w:t>
      </w:r>
      <w:r>
        <w:rPr>
          <w:color w:val="000000"/>
        </w:rPr>
        <w:t xml:space="preserve">” </w:t>
      </w:r>
      <w:r>
        <w:rPr>
          <w:rFonts w:ascii="Times New Roman" w:hAnsi="Times New Roman"/>
          <w:color w:val="000000"/>
          <w:sz w:val="24"/>
        </w:rPr>
        <w:t>shall mean an Option that is not an Incentive Stock Option or which is designated as an Incentive Stock Option but does not meet the applicable requirements of Section 422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2.32</w:t>
      </w:r>
    </w:p>
    <w:p>
      <w:pPr>
        <w:pStyle w:val="TextBody"/>
        <w:bidi w:val="0"/>
        <w:spacing w:before="0" w:after="240"/>
        <w:jc w:val="both"/>
        <w:rPr/>
      </w:pPr>
      <w:r>
        <w:rPr>
          <w:color w:val="000000"/>
        </w:rPr>
        <w:t>“</w:t>
      </w:r>
      <w:r>
        <w:rPr>
          <w:rFonts w:ascii="Times New Roman" w:hAnsi="Times New Roman"/>
          <w:color w:val="000000"/>
          <w:sz w:val="24"/>
          <w:u w:val="single"/>
        </w:rPr>
        <w:t>Option</w:t>
      </w:r>
      <w:r>
        <w:rPr>
          <w:color w:val="000000"/>
        </w:rPr>
        <w:t xml:space="preserve">” </w:t>
      </w:r>
      <w:r>
        <w:rPr>
          <w:rFonts w:ascii="Times New Roman" w:hAnsi="Times New Roman"/>
          <w:color w:val="000000"/>
          <w:sz w:val="24"/>
        </w:rPr>
        <w:t xml:space="preserve">shall mean a right to purchase Shares at a specified exercise price, granted under Article 5. An Option shall be either a Non-Qualified Stock Option or an Incentive Stock Option; </w:t>
      </w:r>
      <w:r>
        <w:rPr>
          <w:rFonts w:ascii="Times New Roman" w:hAnsi="Times New Roman"/>
          <w:color w:val="000000"/>
          <w:sz w:val="24"/>
          <w:u w:val="single"/>
        </w:rPr>
        <w:t>provided</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u w:val="single"/>
        </w:rPr>
        <w:t xml:space="preserve"> </w:t>
      </w:r>
      <w:r>
        <w:rPr>
          <w:rFonts w:ascii="Times New Roman" w:hAnsi="Times New Roman"/>
          <w:color w:val="000000"/>
          <w:sz w:val="24"/>
        </w:rPr>
        <w:t>that Options granted to Non-Employee Directors and Consultants shall only be Non-Qualified Stock 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2.33</w:t>
      </w:r>
    </w:p>
    <w:p>
      <w:pPr>
        <w:pStyle w:val="TextBody"/>
        <w:bidi w:val="0"/>
        <w:spacing w:before="0" w:after="240"/>
        <w:jc w:val="both"/>
        <w:rPr/>
      </w:pPr>
      <w:r>
        <w:rPr>
          <w:color w:val="000000"/>
        </w:rPr>
        <w:t>“</w:t>
      </w:r>
      <w:r>
        <w:rPr>
          <w:rFonts w:ascii="Times New Roman" w:hAnsi="Times New Roman"/>
          <w:color w:val="000000"/>
          <w:sz w:val="24"/>
          <w:u w:val="single"/>
        </w:rPr>
        <w:t>Option Term</w:t>
      </w:r>
      <w:r>
        <w:rPr>
          <w:color w:val="000000"/>
        </w:rPr>
        <w:t xml:space="preserve">” </w:t>
      </w:r>
      <w:r>
        <w:rPr>
          <w:rFonts w:ascii="Times New Roman" w:hAnsi="Times New Roman"/>
          <w:color w:val="000000"/>
          <w:sz w:val="24"/>
        </w:rPr>
        <w:t>shall have the meaning set forth in Section 5.4.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2.34</w:t>
      </w:r>
    </w:p>
    <w:p>
      <w:pPr>
        <w:pStyle w:val="TextBody"/>
        <w:bidi w:val="0"/>
        <w:spacing w:before="0" w:after="240"/>
        <w:jc w:val="both"/>
        <w:rPr/>
      </w:pPr>
      <w:r>
        <w:rPr>
          <w:color w:val="000000"/>
        </w:rPr>
        <w:t>“</w:t>
      </w:r>
      <w:r>
        <w:rPr>
          <w:rFonts w:ascii="Times New Roman" w:hAnsi="Times New Roman"/>
          <w:color w:val="000000"/>
          <w:sz w:val="24"/>
          <w:u w:val="single"/>
        </w:rPr>
        <w:t>Organizational Documents</w:t>
      </w:r>
      <w:r>
        <w:rPr>
          <w:color w:val="000000"/>
        </w:rPr>
        <w:t xml:space="preserve">” </w:t>
      </w:r>
      <w:r>
        <w:rPr>
          <w:rFonts w:ascii="Times New Roman" w:hAnsi="Times New Roman"/>
          <w:color w:val="000000"/>
          <w:sz w:val="24"/>
        </w:rPr>
        <w:t>shall mean, collectively, (a) the Company’s certificate of incorporation, bylaws or other similar organizational documents relating to the creation and governance of the Company, and (b) the Committee’s charter or other similar organizational documentation relating to the creation and governance of the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2.35</w:t>
      </w:r>
    </w:p>
    <w:p>
      <w:pPr>
        <w:pStyle w:val="TextBody"/>
        <w:bidi w:val="0"/>
        <w:spacing w:before="0" w:after="240"/>
        <w:jc w:val="both"/>
        <w:rPr/>
      </w:pPr>
      <w:r>
        <w:rPr>
          <w:color w:val="000000"/>
        </w:rPr>
        <w:t>“</w:t>
      </w:r>
      <w:r>
        <w:rPr>
          <w:rFonts w:ascii="Times New Roman" w:hAnsi="Times New Roman"/>
          <w:color w:val="000000"/>
          <w:sz w:val="24"/>
          <w:u w:val="single"/>
        </w:rPr>
        <w:t>Other Stock or Cash Based Award</w:t>
      </w:r>
      <w:r>
        <w:rPr>
          <w:color w:val="000000"/>
        </w:rPr>
        <w:t xml:space="preserve">” </w:t>
      </w:r>
      <w:r>
        <w:rPr>
          <w:rFonts w:ascii="Times New Roman" w:hAnsi="Times New Roman"/>
          <w:color w:val="000000"/>
          <w:sz w:val="24"/>
        </w:rPr>
        <w:t>shall mean a cash payment, cash bonus award, stock payment, stock bonus award, performance award or incentive award that is paid in cash, Shares or a combination of both, awarded under Section 9.1, which may include, without limitation, deferred stock, deferred stock units, performance awards, retainers, committee fees, and meeting-based fees.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2.36</w:t>
      </w:r>
    </w:p>
    <w:p>
      <w:pPr>
        <w:pStyle w:val="TextBody"/>
        <w:bidi w:val="0"/>
        <w:spacing w:before="0" w:after="240"/>
        <w:jc w:val="both"/>
        <w:rPr/>
      </w:pPr>
      <w:r>
        <w:rPr>
          <w:color w:val="000000"/>
        </w:rPr>
        <w:t>“</w:t>
      </w:r>
      <w:r>
        <w:rPr>
          <w:rFonts w:ascii="Times New Roman" w:hAnsi="Times New Roman"/>
          <w:color w:val="000000"/>
          <w:sz w:val="24"/>
          <w:u w:val="single"/>
        </w:rPr>
        <w:t>Permitted Transferee</w:t>
      </w:r>
      <w:r>
        <w:rPr>
          <w:color w:val="000000"/>
        </w:rPr>
        <w:t xml:space="preserve">” </w:t>
      </w:r>
      <w:r>
        <w:rPr>
          <w:rFonts w:ascii="Times New Roman" w:hAnsi="Times New Roman"/>
          <w:color w:val="000000"/>
          <w:sz w:val="24"/>
        </w:rPr>
        <w:t>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2.37</w:t>
      </w:r>
    </w:p>
    <w:p>
      <w:pPr>
        <w:pStyle w:val="TextBody"/>
        <w:bidi w:val="0"/>
        <w:spacing w:before="0" w:after="240"/>
        <w:jc w:val="both"/>
        <w:rPr/>
      </w:pPr>
      <w:r>
        <w:rPr>
          <w:color w:val="000000"/>
        </w:rPr>
        <w:t>“</w:t>
      </w:r>
      <w:r>
        <w:rPr>
          <w:rFonts w:ascii="Times New Roman" w:hAnsi="Times New Roman"/>
          <w:color w:val="000000"/>
          <w:sz w:val="24"/>
          <w:u w:val="single"/>
        </w:rPr>
        <w:t>Performance Criteria</w:t>
      </w:r>
      <w:r>
        <w:rPr>
          <w:color w:val="000000"/>
        </w:rPr>
        <w:t xml:space="preserve">” </w:t>
      </w:r>
      <w:r>
        <w:rPr>
          <w:rFonts w:ascii="Times New Roman" w:hAnsi="Times New Roman"/>
          <w:color w:val="000000"/>
          <w:sz w:val="24"/>
        </w:rPr>
        <w:t>shall mean the criteria (and adjustments) that the Administrator selects for an Award for purposes of establishing the Performance Goal or Performance Goals for a Performance Period. The Performance Criteria that may be used to establish Performance Goals include, but are not limited to, the following (any of which may be assessed on a per unit basis, as necessary):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(xx) implementation or completion of critical projects; (xxi) market share; (xxii) economic value; (xxiii) unit volume; and (xxiv) individual employee performance, any of which may be measured either in absolute terms or as compared to any incremental increase or decrease or as compared to results of a peer group or other employees or to market performance indicators or indices.</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2.38</w:t>
      </w:r>
    </w:p>
    <w:p>
      <w:pPr>
        <w:pStyle w:val="TextBody"/>
        <w:bidi w:val="0"/>
        <w:spacing w:before="0" w:after="240"/>
        <w:jc w:val="both"/>
        <w:rPr/>
      </w:pPr>
      <w:r>
        <w:rPr>
          <w:color w:val="000000"/>
        </w:rPr>
        <w:t>“</w:t>
      </w:r>
      <w:r>
        <w:rPr>
          <w:rFonts w:ascii="Times New Roman" w:hAnsi="Times New Roman"/>
          <w:color w:val="000000"/>
          <w:sz w:val="24"/>
          <w:u w:val="single"/>
        </w:rPr>
        <w:t>Performance Goals</w:t>
      </w:r>
      <w:r>
        <w:rPr>
          <w:color w:val="000000"/>
        </w:rPr>
        <w:t xml:space="preserve">” </w:t>
      </w:r>
      <w:r>
        <w:rPr>
          <w:rFonts w:ascii="Times New Roman" w:hAnsi="Times New Roman"/>
          <w:color w:val="000000"/>
          <w:sz w:val="24"/>
        </w:rPr>
        <w:t>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with reference to Applicable Accounting Standards or other methodology as determined appropriate by the Administrator.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2.39</w:t>
      </w:r>
    </w:p>
    <w:p>
      <w:pPr>
        <w:pStyle w:val="TextBody"/>
        <w:bidi w:val="0"/>
        <w:spacing w:before="0" w:after="240"/>
        <w:jc w:val="both"/>
        <w:rPr/>
      </w:pPr>
      <w:r>
        <w:rPr>
          <w:color w:val="000000"/>
        </w:rPr>
        <w:t>“</w:t>
      </w:r>
      <w:r>
        <w:rPr>
          <w:rFonts w:ascii="Times New Roman" w:hAnsi="Times New Roman"/>
          <w:color w:val="000000"/>
          <w:sz w:val="24"/>
          <w:u w:val="single"/>
        </w:rPr>
        <w:t>Performance Period</w:t>
      </w:r>
      <w:r>
        <w:rPr>
          <w:color w:val="000000"/>
        </w:rPr>
        <w:t xml:space="preserve">” </w:t>
      </w:r>
      <w:r>
        <w:rPr>
          <w:rFonts w:ascii="Times New Roman" w:hAnsi="Times New Roman"/>
          <w:color w:val="000000"/>
          <w:sz w:val="24"/>
        </w:rPr>
        <w:t>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2.40</w:t>
      </w:r>
    </w:p>
    <w:p>
      <w:pPr>
        <w:pStyle w:val="TextBody"/>
        <w:bidi w:val="0"/>
        <w:spacing w:before="0" w:after="240"/>
        <w:jc w:val="both"/>
        <w:rPr/>
      </w:pPr>
      <w:r>
        <w:rPr>
          <w:color w:val="000000"/>
        </w:rPr>
        <w:t>“</w:t>
      </w:r>
      <w:r>
        <w:rPr>
          <w:rFonts w:ascii="Times New Roman" w:hAnsi="Times New Roman"/>
          <w:color w:val="000000"/>
          <w:sz w:val="24"/>
          <w:u w:val="single"/>
        </w:rPr>
        <w:t>Plan</w:t>
      </w:r>
      <w:r>
        <w:rPr>
          <w:color w:val="000000"/>
        </w:rPr>
        <w:t xml:space="preserve">” </w:t>
      </w:r>
      <w:r>
        <w:rPr>
          <w:rFonts w:ascii="Times New Roman" w:hAnsi="Times New Roman"/>
          <w:color w:val="000000"/>
          <w:sz w:val="24"/>
        </w:rPr>
        <w:t>shall have the meaning set forth in Article 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2.41</w:t>
      </w:r>
    </w:p>
    <w:p>
      <w:pPr>
        <w:pStyle w:val="TextBody"/>
        <w:bidi w:val="0"/>
        <w:spacing w:before="0" w:after="240"/>
        <w:jc w:val="both"/>
        <w:rPr/>
      </w:pPr>
      <w:r>
        <w:rPr>
          <w:color w:val="000000"/>
        </w:rPr>
        <w:t>“</w:t>
      </w:r>
      <w:r>
        <w:rPr>
          <w:rFonts w:ascii="Times New Roman" w:hAnsi="Times New Roman"/>
          <w:color w:val="000000"/>
          <w:sz w:val="24"/>
          <w:u w:val="single"/>
        </w:rPr>
        <w:t>Prior Plans</w:t>
      </w:r>
      <w:r>
        <w:rPr>
          <w:color w:val="000000"/>
        </w:rPr>
        <w:t xml:space="preserve">” </w:t>
      </w:r>
      <w:r>
        <w:rPr>
          <w:rFonts w:ascii="Times New Roman" w:hAnsi="Times New Roman"/>
          <w:color w:val="000000"/>
          <w:sz w:val="24"/>
        </w:rPr>
        <w:t>shall mean, collectively, the following plans of the Company: the Second Amended &amp; Restated 2014 Equity Incentive Plan, and any other prior equity incentive plans of the Company or its predecessor, in each case, as such plan may be amended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2.42</w:t>
      </w:r>
    </w:p>
    <w:p>
      <w:pPr>
        <w:pStyle w:val="TextBody"/>
        <w:bidi w:val="0"/>
        <w:spacing w:before="0" w:after="240"/>
        <w:jc w:val="both"/>
        <w:rPr/>
      </w:pPr>
      <w:r>
        <w:rPr>
          <w:color w:val="000000"/>
        </w:rPr>
        <w:t>“</w:t>
      </w:r>
      <w:r>
        <w:rPr>
          <w:rFonts w:ascii="Times New Roman" w:hAnsi="Times New Roman"/>
          <w:color w:val="000000"/>
          <w:sz w:val="24"/>
          <w:u w:val="single"/>
        </w:rPr>
        <w:t>Program</w:t>
      </w:r>
      <w:r>
        <w:rPr>
          <w:color w:val="000000"/>
        </w:rPr>
        <w:t xml:space="preserve">” </w:t>
      </w:r>
      <w:r>
        <w:rPr>
          <w:rFonts w:ascii="Times New Roman" w:hAnsi="Times New Roman"/>
          <w:color w:val="000000"/>
          <w:sz w:val="24"/>
        </w:rPr>
        <w:t>shall mean any program adopted by the Administrator pursuant to the Plan containing the terms and conditions intended to govern a specified type of Award granted under the Plan and pursuant to which such type of Award may be granted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2.43</w:t>
      </w:r>
    </w:p>
    <w:p>
      <w:pPr>
        <w:pStyle w:val="TextBody"/>
        <w:bidi w:val="0"/>
        <w:spacing w:before="0" w:after="240"/>
        <w:jc w:val="both"/>
        <w:rPr/>
      </w:pPr>
      <w:r>
        <w:rPr>
          <w:color w:val="000000"/>
        </w:rPr>
        <w:t>“</w:t>
      </w:r>
      <w:r>
        <w:rPr>
          <w:rFonts w:ascii="Times New Roman" w:hAnsi="Times New Roman"/>
          <w:color w:val="000000"/>
          <w:sz w:val="24"/>
          <w:u w:val="single"/>
        </w:rPr>
        <w:t>Public Trading Date</w:t>
      </w:r>
      <w:r>
        <w:rPr>
          <w:color w:val="000000"/>
        </w:rPr>
        <w:t xml:space="preserve">” </w:t>
      </w:r>
      <w:r>
        <w:rPr>
          <w:rFonts w:ascii="Times New Roman" w:hAnsi="Times New Roman"/>
          <w:color w:val="000000"/>
          <w:sz w:val="24"/>
        </w:rPr>
        <w:t>shall mean June 9, 2020.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2.44</w:t>
      </w:r>
    </w:p>
    <w:p>
      <w:pPr>
        <w:pStyle w:val="TextBody"/>
        <w:bidi w:val="0"/>
        <w:spacing w:before="0" w:after="240"/>
        <w:jc w:val="both"/>
        <w:rPr/>
      </w:pPr>
      <w:r>
        <w:rPr>
          <w:color w:val="000000"/>
        </w:rPr>
        <w:t>“</w:t>
      </w:r>
      <w:r>
        <w:rPr>
          <w:rFonts w:ascii="Times New Roman" w:hAnsi="Times New Roman"/>
          <w:color w:val="000000"/>
          <w:sz w:val="24"/>
          <w:u w:val="single"/>
        </w:rPr>
        <w:t>Restricted Stock</w:t>
      </w:r>
      <w:r>
        <w:rPr>
          <w:color w:val="000000"/>
        </w:rPr>
        <w:t xml:space="preserve">” </w:t>
      </w:r>
      <w:r>
        <w:rPr>
          <w:rFonts w:ascii="Times New Roman" w:hAnsi="Times New Roman"/>
          <w:color w:val="000000"/>
          <w:sz w:val="24"/>
        </w:rPr>
        <w:t>shall mean Common Stock awarded under Article 7 that is subject to certain restrictions and may be subject to risk of forfeiture or repurchase.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2.45</w:t>
      </w:r>
    </w:p>
    <w:p>
      <w:pPr>
        <w:pStyle w:val="TextBody"/>
        <w:bidi w:val="0"/>
        <w:spacing w:before="0" w:after="240"/>
        <w:jc w:val="both"/>
        <w:rPr/>
      </w:pPr>
      <w:r>
        <w:rPr>
          <w:color w:val="000000"/>
        </w:rPr>
        <w:t>“</w:t>
      </w:r>
      <w:r>
        <w:rPr>
          <w:rFonts w:ascii="Times New Roman" w:hAnsi="Times New Roman"/>
          <w:color w:val="000000"/>
          <w:sz w:val="24"/>
          <w:u w:val="single"/>
        </w:rPr>
        <w:t>Restricted Stock Units</w:t>
      </w:r>
      <w:r>
        <w:rPr>
          <w:color w:val="000000"/>
        </w:rPr>
        <w:t xml:space="preserve">” </w:t>
      </w:r>
      <w:r>
        <w:rPr>
          <w:rFonts w:ascii="Times New Roman" w:hAnsi="Times New Roman"/>
          <w:color w:val="000000"/>
          <w:sz w:val="24"/>
        </w:rPr>
        <w:t>shall mean the right to receive Shares awarded under Article 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2.46</w:t>
      </w:r>
    </w:p>
    <w:p>
      <w:pPr>
        <w:pStyle w:val="TextBody"/>
        <w:bidi w:val="0"/>
        <w:spacing w:before="0" w:after="240"/>
        <w:jc w:val="both"/>
        <w:rPr/>
      </w:pPr>
      <w:r>
        <w:rPr>
          <w:color w:val="000000"/>
        </w:rPr>
        <w:t>“</w:t>
      </w:r>
      <w:r>
        <w:rPr>
          <w:rFonts w:ascii="Times New Roman" w:hAnsi="Times New Roman"/>
          <w:color w:val="000000"/>
          <w:sz w:val="24"/>
          <w:u w:val="single"/>
        </w:rPr>
        <w:t>SAR Term</w:t>
      </w:r>
      <w:r>
        <w:rPr>
          <w:color w:val="000000"/>
        </w:rPr>
        <w:t xml:space="preserve">” </w:t>
      </w:r>
      <w:r>
        <w:rPr>
          <w:rFonts w:ascii="Times New Roman" w:hAnsi="Times New Roman"/>
          <w:color w:val="000000"/>
          <w:sz w:val="24"/>
        </w:rPr>
        <w:t>shall have the meaning set forth in Section 5.4.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2.47</w:t>
      </w:r>
    </w:p>
    <w:p>
      <w:pPr>
        <w:pStyle w:val="TextBody"/>
        <w:bidi w:val="0"/>
        <w:spacing w:before="0" w:after="240"/>
        <w:jc w:val="both"/>
        <w:rPr/>
      </w:pPr>
      <w:r>
        <w:rPr>
          <w:color w:val="000000"/>
        </w:rPr>
        <w:t>“</w:t>
      </w:r>
      <w:r>
        <w:rPr>
          <w:rFonts w:ascii="Times New Roman" w:hAnsi="Times New Roman"/>
          <w:color w:val="000000"/>
          <w:sz w:val="24"/>
          <w:u w:val="single"/>
        </w:rPr>
        <w:t>Section 409A</w:t>
      </w:r>
      <w:r>
        <w:rPr>
          <w:color w:val="000000"/>
        </w:rPr>
        <w:t xml:space="preserve">” </w:t>
      </w:r>
      <w:r>
        <w:rPr>
          <w:rFonts w:ascii="Times New Roman" w:hAnsi="Times New Roman"/>
          <w:color w:val="000000"/>
          <w:sz w:val="24"/>
        </w:rPr>
        <w:t>shall mean Section 409A of the Code and the Department of Treasury regulations and other interpretive guidance issued thereunder, including, without limitation, any such regulations or other guidance that may be issued after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2.48</w:t>
      </w:r>
    </w:p>
    <w:p>
      <w:pPr>
        <w:pStyle w:val="TextBody"/>
        <w:bidi w:val="0"/>
        <w:spacing w:before="0" w:after="240"/>
        <w:jc w:val="both"/>
        <w:rPr/>
      </w:pPr>
      <w:r>
        <w:rPr>
          <w:color w:val="000000"/>
        </w:rPr>
        <w:t>“</w:t>
      </w:r>
      <w:r>
        <w:rPr>
          <w:rFonts w:ascii="Times New Roman" w:hAnsi="Times New Roman"/>
          <w:color w:val="000000"/>
          <w:sz w:val="24"/>
          <w:u w:val="single"/>
        </w:rPr>
        <w:t>Securities Act</w:t>
      </w:r>
      <w:r>
        <w:rPr>
          <w:color w:val="000000"/>
        </w:rPr>
        <w:t xml:space="preserve">” </w:t>
      </w:r>
      <w:r>
        <w:rPr>
          <w:rFonts w:ascii="Times New Roman" w:hAnsi="Times New Roman"/>
          <w:color w:val="000000"/>
          <w:sz w:val="24"/>
        </w:rPr>
        <w:t xml:space="preserve">shall mean the Securities Act of 1933, as amended.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2.49</w:t>
      </w:r>
    </w:p>
    <w:p>
      <w:pPr>
        <w:pStyle w:val="TextBody"/>
        <w:bidi w:val="0"/>
        <w:spacing w:before="0" w:after="240"/>
        <w:jc w:val="both"/>
        <w:rPr/>
      </w:pPr>
      <w:r>
        <w:rPr>
          <w:color w:val="000000"/>
        </w:rPr>
        <w:t>“</w:t>
      </w:r>
      <w:r>
        <w:rPr>
          <w:rFonts w:ascii="Times New Roman" w:hAnsi="Times New Roman"/>
          <w:color w:val="000000"/>
          <w:sz w:val="24"/>
          <w:u w:val="single"/>
        </w:rPr>
        <w:t>Shares</w:t>
      </w:r>
      <w:r>
        <w:rPr>
          <w:color w:val="000000"/>
        </w:rPr>
        <w:t xml:space="preserve">” </w:t>
      </w:r>
      <w:r>
        <w:rPr>
          <w:rFonts w:ascii="Times New Roman" w:hAnsi="Times New Roman"/>
          <w:color w:val="000000"/>
          <w:sz w:val="24"/>
        </w:rPr>
        <w:t>shall mean shares of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2.50</w:t>
      </w:r>
    </w:p>
    <w:p>
      <w:pPr>
        <w:pStyle w:val="TextBody"/>
        <w:bidi w:val="0"/>
        <w:spacing w:before="0" w:after="240"/>
        <w:jc w:val="both"/>
        <w:rPr/>
      </w:pPr>
      <w:r>
        <w:rPr>
          <w:color w:val="000000"/>
        </w:rPr>
        <w:t>“</w:t>
      </w:r>
      <w:r>
        <w:rPr>
          <w:rFonts w:ascii="Times New Roman" w:hAnsi="Times New Roman"/>
          <w:color w:val="000000"/>
          <w:sz w:val="24"/>
          <w:u w:val="single"/>
        </w:rPr>
        <w:t>Stock Appreciation Right</w:t>
      </w:r>
      <w:r>
        <w:rPr>
          <w:color w:val="000000"/>
        </w:rPr>
        <w:t xml:space="preserve">” </w:t>
      </w:r>
      <w:r>
        <w:rPr>
          <w:rFonts w:ascii="Times New Roman" w:hAnsi="Times New Roman"/>
          <w:color w:val="000000"/>
          <w:sz w:val="24"/>
        </w:rPr>
        <w:t xml:space="preserve">shall mean an Award entitling the Holder (or other person entitled to exercise pursuant to the Plan) to exercise all or a specified portion thereof (to the extent then exercisable pursuant to its terms) and to receive from the Company an amount determined by multiplying (i) the difference obtained by subtracting (x) the exercise price per share of such Award from (y) the Fair Market Value on the date of exercise of such Award by (ii) the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number of Shares with respect to which such Award shall have been exercised, subject to any limitations the Administrator may impose.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2.51</w:t>
      </w:r>
    </w:p>
    <w:p>
      <w:pPr>
        <w:pStyle w:val="TextBody"/>
        <w:bidi w:val="0"/>
        <w:spacing w:before="0" w:after="240"/>
        <w:jc w:val="both"/>
        <w:rPr/>
      </w:pPr>
      <w:r>
        <w:rPr>
          <w:color w:val="000000"/>
        </w:rPr>
        <w:t>“</w:t>
      </w:r>
      <w:r>
        <w:rPr>
          <w:rFonts w:ascii="Times New Roman" w:hAnsi="Times New Roman"/>
          <w:color w:val="000000"/>
          <w:sz w:val="24"/>
          <w:u w:val="single"/>
        </w:rPr>
        <w:t>Subsidiary</w:t>
      </w:r>
      <w:r>
        <w:rPr>
          <w:color w:val="000000"/>
        </w:rPr>
        <w:t xml:space="preserve">” </w:t>
      </w:r>
      <w:r>
        <w:rPr>
          <w:rFonts w:ascii="Times New Roman" w:hAnsi="Times New Roman"/>
          <w:color w:val="000000"/>
          <w:sz w:val="24"/>
        </w:rPr>
        <w:t>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2.52</w:t>
      </w:r>
    </w:p>
    <w:p>
      <w:pPr>
        <w:pStyle w:val="TextBody"/>
        <w:bidi w:val="0"/>
        <w:spacing w:before="0" w:after="240"/>
        <w:jc w:val="both"/>
        <w:rPr/>
      </w:pPr>
      <w:r>
        <w:rPr>
          <w:color w:val="000000"/>
        </w:rPr>
        <w:t>“</w:t>
      </w:r>
      <w:r>
        <w:rPr>
          <w:rFonts w:ascii="Times New Roman" w:hAnsi="Times New Roman"/>
          <w:color w:val="000000"/>
          <w:sz w:val="24"/>
          <w:u w:val="single"/>
        </w:rPr>
        <w:t>Substitute Award</w:t>
      </w:r>
      <w:r>
        <w:rPr>
          <w:color w:val="000000"/>
        </w:rPr>
        <w:t xml:space="preserve">” </w:t>
      </w:r>
      <w:r>
        <w:rPr>
          <w:rFonts w:ascii="Times New Roman" w:hAnsi="Times New Roman"/>
          <w:color w:val="000000"/>
          <w:sz w:val="24"/>
        </w:rPr>
        <w:t xml:space="preserve">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Times New Roman" w:hAnsi="Times New Roman"/>
          <w:color w:val="000000"/>
          <w:sz w:val="24"/>
          <w:u w:val="single"/>
        </w:rPr>
        <w:t>provided</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u w:val="single"/>
        </w:rPr>
        <w:t xml:space="preserve"> </w:t>
      </w:r>
      <w:r>
        <w:rPr>
          <w:rFonts w:ascii="Times New Roman" w:hAnsi="Times New Roman"/>
          <w:color w:val="000000"/>
          <w:sz w:val="24"/>
        </w:rPr>
        <w:t>that in no event shall the term “Substitute Award” be construed to refer to an award made in connection with the cancellation and repricing of an Option or Stock Appreciation Right.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2.53</w:t>
      </w:r>
    </w:p>
    <w:p>
      <w:pPr>
        <w:pStyle w:val="TextBody"/>
        <w:bidi w:val="0"/>
        <w:spacing w:before="0" w:after="240"/>
        <w:jc w:val="both"/>
        <w:rPr/>
      </w:pPr>
      <w:r>
        <w:rPr>
          <w:color w:val="000000"/>
        </w:rPr>
        <w:t>“</w:t>
      </w:r>
      <w:r>
        <w:rPr>
          <w:rFonts w:ascii="Times New Roman" w:hAnsi="Times New Roman"/>
          <w:color w:val="000000"/>
          <w:sz w:val="24"/>
          <w:u w:val="single"/>
        </w:rPr>
        <w:t>Termination of Service</w:t>
      </w:r>
      <w:r>
        <w:rPr>
          <w:color w:val="000000"/>
        </w:rPr>
        <w:t xml:space="preserve">” </w:t>
      </w:r>
      <w:r>
        <w:rPr>
          <w:rFonts w:ascii="Times New Roman" w:hAnsi="Times New Roman"/>
          <w:color w:val="000000"/>
          <w:sz w:val="24"/>
        </w:rPr>
        <w:t xml:space="preserve">shall mean the date the Holder ceases to be an Eligible Individual. The Administrator,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w:t>
      </w:r>
      <w:r>
        <w:rPr>
          <w:rFonts w:ascii="Times New Roman" w:hAnsi="Times New Roman"/>
          <w:color w:val="000000"/>
          <w:sz w:val="24"/>
          <w:u w:val="single"/>
        </w:rPr>
        <w:t>provided</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u w:val="single"/>
        </w:rPr>
        <w:t xml:space="preserve"> </w:t>
      </w:r>
      <w:r>
        <w:rPr>
          <w:rFonts w:ascii="Times New Roman" w:hAnsi="Times New Roman"/>
          <w:color w:val="000000"/>
          <w:sz w:val="24"/>
        </w:rPr>
        <w:t>that, with respect to Incentive Stock Options, unless the Administrator otherwise provides in the terms of any Program, Award Agreement or otherwise, or as otherwise required by Applicable Law,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then-applicable regulations and revenue rulings under said Section. For purposes of the Plan, a Holder’s employee-employer relationship or consultancy relations shall be deemed to be terminated in the event that the Subsidiary employing or contracting with such Holder ceases to remain an Subsidiary following any merger, sale of stock or other corporate transaction or event (including, without limitation, a spin-off).</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Article 3.</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br/>
        <w:t>SHARES SUBJECT TO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3.01</w:t>
      </w:r>
    </w:p>
    <w:p>
      <w:pPr>
        <w:pStyle w:val="TextBody"/>
        <w:bidi w:val="0"/>
        <w:spacing w:before="0" w:after="240"/>
        <w:jc w:val="both"/>
        <w:rPr/>
      </w:pPr>
      <w:r>
        <w:rPr>
          <w:rFonts w:ascii="Times New Roman" w:hAnsi="Times New Roman"/>
          <w:color w:val="000000"/>
          <w:sz w:val="24"/>
          <w:u w:val="single"/>
        </w:rPr>
        <w:t>Number of Shares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Subject to Sections 3.1(b) and 12.2, Awards may be made under the Plan covering an aggregate number of Shares equal to the sum of: (i) 1,630 ,880, (ii) any Shares which as of the Effective Date are subject to awards under the Prior Plans which are forfeited or lapse unexercised and which following the Effective Date are not issued under the Prior Plans; and (iii) an annual increase on the first day of each calendar year beginning on January 1, 2022 and ending on and including January 1, 2030, equal to the lesser of (A) 4% of the Shares outstanding (on an as-converted basis) on the last day of the immediately preceding fiscal year and (B) such smaller number of Shares as determined by the Board or the Committee; </w:t>
      </w:r>
      <w:r>
        <w:rPr>
          <w:rFonts w:ascii="Times New Roman" w:hAnsi="Times New Roman"/>
          <w:color w:val="000000"/>
          <w:sz w:val="24"/>
          <w:u w:val="single"/>
        </w:rPr>
        <w:t>provided</w:t>
      </w:r>
      <w:r>
        <w:rPr>
          <w:rFonts w:ascii="Times New Roman" w:hAnsi="Times New Roman"/>
          <w:i/>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no more than 939 ,000 Shares may be issued upon the exercise of Incentive Stock Options. Any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Shares distributed pursuant to an Award may consist, in whole or in part, of authorized and unissued Common Stock, treasury Common Stock or Common Stock purchased on the open market.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Shares subject to an Award are forfeited or expire, are converted to shares of another person in connection with a recapitalization, reorganization, merger, consolidation, split-up, spin-off, combination, exchange of shares or other similar event, or such Award is settled for cash (in whole or in part) (including Shares repurchased by the Company under Section 7.4 at the same price paid by the Holder),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or other stock-settled Award (including Awards that may be settled in cash or stock) that are not issued in connection with the settlement or exercise, as applicable, of the Stock Appreciation Right or other stock-settled Award; and (iv) Shares purchased on the open market by the Company with the cash proceeds received from the exercise of Options. Any Shares repurchased by the Company under Section 7.4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Substitute Awards may be granted on such terms as the Administrator deems appropriate, notwithstanding limitations on Awards in the Plan. Substitute Awards shall not reduce the Shares authorized for grant under the Plan, except as may be required by reason of Section 422 of the Code, and Shares subject to such Substitute Awards shall not be added to the Shares available for Awards under the Plan as provided in Section 3.1(b) above. Additionally, in the event that a company acquired by the Company or any Subsidiary or with which the Company or any Subsidiary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3.1(b) above); </w:t>
      </w:r>
      <w:r>
        <w:rPr>
          <w:rFonts w:ascii="Times New Roman" w:hAnsi="Times New Roman"/>
          <w:color w:val="000000"/>
          <w:sz w:val="24"/>
          <w:u w:val="single"/>
        </w:rPr>
        <w:t xml:space="preserve">provided </w:t>
      </w:r>
      <w:r>
        <w:rPr>
          <w:rFonts w:ascii="Times New Roman" w:hAnsi="Times New Roman"/>
          <w:color w:val="000000"/>
          <w:sz w:val="24"/>
        </w:rPr>
        <w:t>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3.02</w:t>
      </w:r>
    </w:p>
    <w:p>
      <w:pPr>
        <w:pStyle w:val="TextBody"/>
        <w:bidi w:val="0"/>
        <w:spacing w:before="0" w:after="240"/>
        <w:jc w:val="both"/>
        <w:rPr/>
      </w:pPr>
      <w:r>
        <w:rPr>
          <w:rFonts w:ascii="Times New Roman" w:hAnsi="Times New Roman"/>
          <w:color w:val="000000"/>
          <w:sz w:val="24"/>
          <w:u w:val="single"/>
        </w:rPr>
        <w:t>Award Vesting Limitations</w:t>
      </w:r>
      <w:r>
        <w:rPr>
          <w:rFonts w:ascii="Times New Roman" w:hAnsi="Times New Roman"/>
          <w:color w:val="000000"/>
          <w:sz w:val="24"/>
        </w:rPr>
        <w:t xml:space="preserve">. Notwithstanding any other provision of the Plan to the contrary, but subject to Section 12.2, no Award (or portion thereof) granted under the Plan shall vest earlier than the first anniversary of the date the Award is granted and no Award Agreement shall reduce or eliminate such minimum vesting requirement; </w:t>
      </w:r>
      <w:r>
        <w:rPr>
          <w:rFonts w:ascii="Times New Roman" w:hAnsi="Times New Roman"/>
          <w:color w:val="000000"/>
          <w:sz w:val="24"/>
          <w:u w:val="single"/>
        </w:rPr>
        <w:t>provided</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u w:val="single"/>
        </w:rPr>
        <w:t xml:space="preserve"> </w:t>
      </w:r>
      <w:r>
        <w:rPr>
          <w:rFonts w:ascii="Times New Roman" w:hAnsi="Times New Roman"/>
          <w:color w:val="000000"/>
          <w:sz w:val="24"/>
        </w:rPr>
        <w:t xml:space="preserve">that, notwithstanding the foregoing, the minimum vesting requirement of this Section 3.2 shall not apply to: (a) any Substitute Awards, (b) any Awards delivered in lieu of fully-vested Cash-Based Awards (or other fully-vested cash awards or payments), (c) any Awards to Non-Employee Directors for which the vesting period runs from the date of one annual meeting of the Company’s stockholders to the next annual meeting of the Company’s stockholders, or (d) any other Awards granted by the Administrator from time to time that result in the issuance of an aggregate of up to 5% of the shares available for issuance under Section 3.1 as of the Effective Date and increased from time to time; </w:t>
      </w:r>
      <w:r>
        <w:rPr>
          <w:rFonts w:ascii="Times New Roman" w:hAnsi="Times New Roman"/>
          <w:color w:val="000000"/>
          <w:sz w:val="24"/>
          <w:u w:val="single"/>
        </w:rPr>
        <w:t xml:space="preserve">provided </w:t>
      </w:r>
      <w:r>
        <w:rPr>
          <w:rFonts w:ascii="Times New Roman" w:hAnsi="Times New Roman"/>
          <w:color w:val="000000"/>
          <w:sz w:val="24"/>
        </w:rPr>
        <w:t>that, nothing in this Section 3.2 limits the ability of an Award to provide that such minimum vesting restrictions may lapse or be waived upon the Participant’s Termination of Service or death or disability, subject to Section 11.7.</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Article 4.</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br/>
        <w:t>GRANTING OF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4.01</w:t>
      </w:r>
    </w:p>
    <w:p>
      <w:pPr>
        <w:pStyle w:val="TextBody"/>
        <w:bidi w:val="0"/>
        <w:spacing w:before="0" w:after="240"/>
        <w:jc w:val="both"/>
        <w:rPr/>
      </w:pPr>
      <w:r>
        <w:rPr>
          <w:rFonts w:ascii="Times New Roman" w:hAnsi="Times New Roman"/>
          <w:color w:val="000000"/>
          <w:sz w:val="24"/>
          <w:u w:val="single"/>
        </w:rPr>
        <w:t>Participation</w:t>
      </w:r>
      <w:r>
        <w:rPr>
          <w:rFonts w:ascii="Times New Roman" w:hAnsi="Times New Roman"/>
          <w:color w:val="000000"/>
          <w:sz w:val="24"/>
        </w:rPr>
        <w:t>. The Administrator may, from time to time, select from among all Eligible Individuals those to whom an Award shall be granted and shall determine the nature and amount of each Award, which shall not be inconsistent with the requirements of the Plan. Except for any Non-Employee Director’s right to Awards that may be required pursuant to the Non-Employee Director Equity Compensation Policy as described in Section 4.6,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4.02</w:t>
      </w:r>
    </w:p>
    <w:p>
      <w:pPr>
        <w:pStyle w:val="TextBody"/>
        <w:bidi w:val="0"/>
        <w:spacing w:before="0" w:after="240"/>
        <w:jc w:val="both"/>
        <w:rPr/>
      </w:pPr>
      <w:r>
        <w:rPr>
          <w:rFonts w:ascii="Times New Roman" w:hAnsi="Times New Roman"/>
          <w:color w:val="000000"/>
          <w:sz w:val="24"/>
          <w:u w:val="single"/>
        </w:rPr>
        <w:t>Award Agreement</w:t>
      </w:r>
      <w:r>
        <w:rPr>
          <w:rFonts w:ascii="Times New Roman" w:hAnsi="Times New Roman"/>
          <w:color w:val="000000"/>
          <w:sz w:val="24"/>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Incentive Stock Options shall contain such terms and conditions as may be necessary to meet the applicable provisions of Section 422 of the Code. The Administrator, in its sole discretion, may grant Awards to Eligible Individuals that are based on one or more Performance Criteria or achievement of one or more Performance Goals or any such other criteria or goals as the Administrator shall establish.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4.03</w:t>
      </w:r>
    </w:p>
    <w:p>
      <w:pPr>
        <w:pStyle w:val="TextBody"/>
        <w:bidi w:val="0"/>
        <w:spacing w:before="0" w:after="240"/>
        <w:jc w:val="both"/>
        <w:rPr/>
      </w:pPr>
      <w:r>
        <w:rPr>
          <w:rFonts w:ascii="Times New Roman" w:hAnsi="Times New Roman"/>
          <w:color w:val="000000"/>
          <w:sz w:val="24"/>
          <w:u w:val="single"/>
        </w:rPr>
        <w:t>Limitations Applicable to Section 16 Persons</w:t>
      </w:r>
      <w:r>
        <w:rPr>
          <w:rFonts w:ascii="Times New Roman" w:hAnsi="Times New Roman"/>
          <w:color w:val="000000"/>
          <w:sz w:val="24"/>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w:t>
        <w:noBreakHyphen/>
        <w:t>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4.04</w:t>
      </w:r>
    </w:p>
    <w:p>
      <w:pPr>
        <w:pStyle w:val="TextBody"/>
        <w:bidi w:val="0"/>
        <w:spacing w:before="0" w:after="240"/>
        <w:jc w:val="both"/>
        <w:rPr/>
      </w:pPr>
      <w:r>
        <w:rPr>
          <w:rFonts w:ascii="Times New Roman" w:hAnsi="Times New Roman"/>
          <w:color w:val="000000"/>
          <w:sz w:val="24"/>
          <w:u w:val="single"/>
        </w:rPr>
        <w:t>At-Will Service</w:t>
      </w:r>
      <w:r>
        <w:rPr>
          <w:rFonts w:ascii="Times New Roman" w:hAnsi="Times New Roman"/>
          <w:color w:val="000000"/>
          <w:sz w:val="24"/>
        </w:rPr>
        <w:t>. Nothing in the Plan or in any Program or Award Agreement hereunder shall confer upon any Holder any right to continue in the employ of, or as a Director or Consultant for, the Company or any Subsidiary, or shall interfere with or restrict in any way the rights of the Company and any Subsidiary,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4.05</w:t>
      </w:r>
    </w:p>
    <w:p>
      <w:pPr>
        <w:pStyle w:val="TextBody"/>
        <w:bidi w:val="0"/>
        <w:spacing w:before="0" w:after="240"/>
        <w:jc w:val="both"/>
        <w:rPr/>
      </w:pPr>
      <w:r>
        <w:rPr>
          <w:rFonts w:ascii="Times New Roman" w:hAnsi="Times New Roman"/>
          <w:color w:val="000000"/>
          <w:sz w:val="24"/>
          <w:u w:val="single"/>
        </w:rPr>
        <w:t>Foreign Holders</w:t>
      </w:r>
      <w:r>
        <w:rPr>
          <w:rFonts w:ascii="Times New Roman" w:hAnsi="Times New Roman"/>
          <w:color w:val="000000"/>
          <w:sz w:val="24"/>
        </w:rPr>
        <w:t xml:space="preserve">. Notwithstanding any provision of the Plan or applicable Program to the contrary, in order to comply with the laws in countries other than the United States in which the Company and its Subsidiaries operate or have Employees, Non-Employee Directors or Consultants, or in order to comply with the requirements of any foreign securities exchange or other Applicable Law, the Administrator, in its sole discretion, shall have the power and authority to: (a) determine which Subsidiaries shall be covered by the Plan; (b) determine which Eligible Individuals outside the United States are eligible to participate in the Plan; (c) modify the terms and conditions of any Award granted to Eligible Individuals outside the United States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Times New Roman" w:hAnsi="Times New Roman"/>
          <w:color w:val="000000"/>
          <w:sz w:val="24"/>
          <w:u w:val="single"/>
        </w:rPr>
        <w:t>provided</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u w:val="single"/>
        </w:rPr>
        <w:t xml:space="preserve"> </w:t>
      </w:r>
      <w:r>
        <w:rPr>
          <w:rFonts w:ascii="Times New Roman" w:hAnsi="Times New Roman"/>
          <w:color w:val="000000"/>
          <w:sz w:val="24"/>
        </w:rPr>
        <w:t>that no such subplans and/or modifications shall increase the share limitation contained in Section 3.1 or the Director Limit; and (e) take any action, before or after an Award is made, that it deems advisable to obtain approval or comply with any necessary local governmental regulatory exemptions or approvals or listing requirements of any foreign securities exchange.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4.06</w:t>
      </w:r>
    </w:p>
    <w:p>
      <w:pPr>
        <w:pStyle w:val="TextBody"/>
        <w:bidi w:val="0"/>
        <w:spacing w:before="0" w:after="240"/>
        <w:jc w:val="both"/>
        <w:rPr/>
      </w:pPr>
      <w:r>
        <w:rPr>
          <w:rFonts w:ascii="Times New Roman" w:hAnsi="Times New Roman"/>
          <w:color w:val="000000"/>
          <w:sz w:val="24"/>
          <w:u w:val="single"/>
        </w:rPr>
        <w:t>Non-Employee Director Awards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Non-Employee Director Equity Compensation Policy</w:t>
      </w:r>
      <w:r>
        <w:rPr>
          <w:rFonts w:ascii="Times New Roman" w:hAnsi="Times New Roman"/>
          <w:color w:val="000000"/>
          <w:sz w:val="24"/>
        </w:rPr>
        <w:t>. The Administrator, in its sole discretion, may provide that Awards granted to Non-Employee Directors shall be granted pursuant to a written nondiscretionary formula established by the Administrator (the “</w:t>
      </w:r>
      <w:r>
        <w:rPr>
          <w:rFonts w:ascii="Times New Roman" w:hAnsi="Times New Roman"/>
          <w:color w:val="000000"/>
          <w:sz w:val="24"/>
          <w:u w:val="single"/>
        </w:rPr>
        <w:t>Non-Employee Director Equity Compensation Policy</w:t>
      </w:r>
      <w:r>
        <w:rPr>
          <w:color w:val="000000"/>
        </w:rPr>
        <w:t>”</w:t>
      </w:r>
      <w:r>
        <w:rPr>
          <w:rFonts w:ascii="Times New Roman" w:hAnsi="Times New Roman"/>
          <w:color w:val="000000"/>
          <w:sz w:val="24"/>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sole discretion. The Non-Employee Director Equity Compensation Policy may be modified by the Administrator from time to time in its sole discretion and pursuant to the exercise of its business judgment, taking into account such factors, circumstances and considerations as it shall deem relevant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Director Limit</w:t>
      </w:r>
      <w:r>
        <w:rPr>
          <w:rFonts w:ascii="Times New Roman" w:hAnsi="Times New Roman"/>
          <w:color w:val="000000"/>
          <w:sz w:val="24"/>
        </w:rPr>
        <w:t>. Notwithstanding any provision to the contrary in the Plan or in the Non-Employee Director Equity Compensation Policy, the sum of the grant date fair value of equity-based Awards and the amount of any cash-based Awards or other fees granted to a Non-Employee Director during any calendar year shall not exceed $500,000 (the “</w:t>
      </w:r>
      <w:r>
        <w:rPr>
          <w:rFonts w:ascii="Times New Roman" w:hAnsi="Times New Roman"/>
          <w:color w:val="000000"/>
          <w:sz w:val="24"/>
          <w:u w:val="single"/>
        </w:rPr>
        <w:t>Director Limit</w:t>
      </w:r>
      <w:r>
        <w:rPr>
          <w:color w:val="000000"/>
        </w:rPr>
        <w:t>”</w:t>
      </w:r>
      <w:r>
        <w:rPr>
          <w:rFonts w:ascii="Times New Roman" w:hAnsi="Times New Roman"/>
          <w:color w:val="000000"/>
          <w:sz w:val="24"/>
        </w:rPr>
        <w:t xml:space="preserve">). The Administrator may make exceptions to this limit for individual Non-Employee Directors in extraordinary circumstances, as the Administrator may determine in its discretion, </w:t>
      </w:r>
      <w:r>
        <w:rPr>
          <w:rFonts w:ascii="Times New Roman" w:hAnsi="Times New Roman"/>
          <w:color w:val="000000"/>
          <w:sz w:val="24"/>
          <w:u w:val="single"/>
        </w:rPr>
        <w:t xml:space="preserve">provided </w:t>
      </w:r>
      <w:r>
        <w:rPr>
          <w:rFonts w:ascii="Times New Roman" w:hAnsi="Times New Roman"/>
          <w:color w:val="000000"/>
          <w:sz w:val="24"/>
        </w:rPr>
        <w:t xml:space="preserve">that the Non-Employee Director receiving such additional compensation may not participate in the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decision to award such compensation or in other contemporaneous compensation decisions involving Non-Employee Directors.</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Article 5.</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br/>
        <w:t>GRANTING OF OPTIONS AND STOCK APPRECIATION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5.01</w:t>
      </w:r>
    </w:p>
    <w:p>
      <w:pPr>
        <w:pStyle w:val="TextBody"/>
        <w:bidi w:val="0"/>
        <w:spacing w:before="0" w:after="240"/>
        <w:jc w:val="both"/>
        <w:rPr/>
      </w:pPr>
      <w:r>
        <w:rPr>
          <w:rFonts w:ascii="Times New Roman" w:hAnsi="Times New Roman"/>
          <w:color w:val="000000"/>
          <w:sz w:val="24"/>
          <w:u w:val="single"/>
        </w:rPr>
        <w:t>Granting of Options and Stock Appreciation Rights to Eligible Individuals</w:t>
      </w:r>
      <w:r>
        <w:rPr>
          <w:rFonts w:ascii="Times New Roman" w:hAnsi="Times New Roman"/>
          <w:color w:val="000000"/>
          <w:sz w:val="24"/>
        </w:rPr>
        <w:t>. The Administrator is authorized to grant Options and Stock Appreciation Rights to Eligible Individuals from time to time, in its sole discretion, on such terms and conditions as it may determine, which shall not be inconsistent with the Plan, including any limitations in the Plan that apply to Incentive Stock 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5.02</w:t>
      </w:r>
    </w:p>
    <w:p>
      <w:pPr>
        <w:pStyle w:val="TextBody"/>
        <w:bidi w:val="0"/>
        <w:spacing w:before="0" w:after="240"/>
        <w:jc w:val="both"/>
        <w:rPr/>
      </w:pPr>
      <w:r>
        <w:rPr>
          <w:rFonts w:ascii="Times New Roman" w:hAnsi="Times New Roman"/>
          <w:color w:val="000000"/>
          <w:sz w:val="24"/>
          <w:u w:val="single"/>
        </w:rPr>
        <w:t>Qualification of Incentive Stock Options</w:t>
      </w:r>
      <w:r>
        <w:rPr>
          <w:rFonts w:ascii="Times New Roman" w:hAnsi="Times New Roman"/>
          <w:color w:val="000000"/>
          <w:sz w:val="24"/>
        </w:rPr>
        <w:t>.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Stockholder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5.03</w:t>
      </w:r>
    </w:p>
    <w:p>
      <w:pPr>
        <w:pStyle w:val="TextBody"/>
        <w:bidi w:val="0"/>
        <w:spacing w:before="0" w:after="240"/>
        <w:jc w:val="both"/>
        <w:rPr/>
      </w:pPr>
      <w:r>
        <w:rPr>
          <w:rFonts w:ascii="Times New Roman" w:hAnsi="Times New Roman"/>
          <w:color w:val="000000"/>
          <w:sz w:val="24"/>
          <w:u w:val="single"/>
        </w:rPr>
        <w:t>Option and Stock Appreciation Right Exercise Price</w:t>
      </w:r>
      <w:r>
        <w:rPr>
          <w:rFonts w:ascii="Times New Roman" w:hAnsi="Times New Roman"/>
          <w:color w:val="000000"/>
          <w:sz w:val="24"/>
        </w:rPr>
        <w:t xml:space="preserve">.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Times New Roman" w:hAnsi="Times New Roman"/>
          <w:color w:val="000000"/>
          <w:sz w:val="24"/>
          <w:u w:val="single"/>
        </w:rPr>
        <w:t xml:space="preserve">provided </w:t>
      </w:r>
      <w:r>
        <w:rPr>
          <w:rFonts w:ascii="Times New Roman" w:hAnsi="Times New Roman"/>
          <w:color w:val="000000"/>
          <w:sz w:val="24"/>
        </w:rPr>
        <w:t>that the exercise price of any Substitute Award shall be determined in accordance with the applicable requirements of Section 424 and 409A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5.04</w:t>
      </w:r>
    </w:p>
    <w:p>
      <w:pPr>
        <w:pStyle w:val="TextBody"/>
        <w:bidi w:val="0"/>
        <w:spacing w:before="0" w:after="240"/>
        <w:jc w:val="both"/>
        <w:rPr/>
      </w:pPr>
      <w:r>
        <w:rPr>
          <w:rFonts w:ascii="Times New Roman" w:hAnsi="Times New Roman"/>
          <w:color w:val="000000"/>
          <w:sz w:val="24"/>
          <w:u w:val="single"/>
        </w:rPr>
        <w:t>Option and SAR Term</w:t>
      </w:r>
      <w:r>
        <w:rPr>
          <w:rFonts w:ascii="Times New Roman" w:hAnsi="Times New Roman"/>
          <w:color w:val="000000"/>
          <w:sz w:val="24"/>
        </w:rPr>
        <w:t>. The term of each Option (the “</w:t>
      </w:r>
      <w:r>
        <w:rPr>
          <w:rFonts w:ascii="Times New Roman" w:hAnsi="Times New Roman"/>
          <w:color w:val="000000"/>
          <w:sz w:val="24"/>
          <w:u w:val="single"/>
        </w:rPr>
        <w:t>Option Term</w:t>
      </w:r>
      <w:r>
        <w:rPr>
          <w:color w:val="000000"/>
        </w:rPr>
        <w:t>”</w:t>
      </w:r>
      <w:r>
        <w:rPr>
          <w:rFonts w:ascii="Times New Roman" w:hAnsi="Times New Roman"/>
          <w:color w:val="000000"/>
          <w:sz w:val="24"/>
        </w:rPr>
        <w:t>) and the term of each Stock Appreciation Right (the “</w:t>
      </w:r>
      <w:r>
        <w:rPr>
          <w:rFonts w:ascii="Times New Roman" w:hAnsi="Times New Roman"/>
          <w:color w:val="000000"/>
          <w:sz w:val="24"/>
          <w:u w:val="single"/>
        </w:rPr>
        <w:t>SAR Term</w:t>
      </w:r>
      <w:r>
        <w:rPr>
          <w:color w:val="000000"/>
        </w:rPr>
        <w:t>”</w:t>
      </w:r>
      <w:r>
        <w:rPr>
          <w:rFonts w:ascii="Times New Roman" w:hAnsi="Times New Roman"/>
          <w:color w:val="000000"/>
          <w:sz w:val="24"/>
        </w:rPr>
        <w:t xml:space="preserve">) shall be set by the Administrator in its sole discretion; </w:t>
      </w:r>
      <w:r>
        <w:rPr>
          <w:rFonts w:ascii="Times New Roman" w:hAnsi="Times New Roman"/>
          <w:color w:val="000000"/>
          <w:sz w:val="24"/>
          <w:u w:val="single"/>
        </w:rPr>
        <w:t>provided</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u w:val="single"/>
        </w:rPr>
        <w:t xml:space="preserve"> </w:t>
      </w:r>
      <w:r>
        <w:rPr>
          <w:rFonts w:ascii="Times New Roman" w:hAnsi="Times New Roman"/>
          <w:color w:val="000000"/>
          <w:sz w:val="24"/>
        </w:rPr>
        <w:t>that the Option Term or SAR Term, as applicable, shall not be more than (a) ten (10) years from the date the Option or Stock Appreciation Right, as applicable, is granted to an Eligible Individual (other than a Greater Than 10% Stockholder), or (b) five (5) years from the date an Incentive Stock Option is granted to a Greater Than 10% Stockholder. Except as limited by the requirements of Section 409A or Section 422 of the Code and regulations and rulings thereunder or the first sentence of this Section 5.4 and without limiting the Company’s rights under Section 10.7,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10.7 and 12.1, any other term or condition of such Option or Stock Appreciation Right relating to such Termination of Service of the Holder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5.05</w:t>
      </w:r>
    </w:p>
    <w:p>
      <w:pPr>
        <w:pStyle w:val="TextBody"/>
        <w:bidi w:val="0"/>
        <w:spacing w:before="0" w:after="240"/>
        <w:jc w:val="both"/>
        <w:rPr/>
      </w:pPr>
      <w:r>
        <w:rPr>
          <w:rFonts w:ascii="Times New Roman" w:hAnsi="Times New Roman"/>
          <w:color w:val="000000"/>
          <w:sz w:val="24"/>
          <w:u w:val="single"/>
        </w:rPr>
        <w:t>Option and SAR Vesting</w:t>
      </w:r>
      <w:r>
        <w:rPr>
          <w:rFonts w:ascii="Times New Roman" w:hAnsi="Times New Roman"/>
          <w:color w:val="000000"/>
          <w:sz w:val="24"/>
        </w:rPr>
        <w:t xml:space="preserve">. The period during which the right to exercise, in whole or in part, an Option or Stock Appreciation Right vests in the Holder shall be set by the Administrator and set forth in the applicable Award Agreement. Notwithstanding the foregoing and unless determined otherwise by the Company, in the event that on the last business day of the term of an Option or Stock Appreciation Right (other than an Incentive Stock Option) (a) the exercise of the Option or Stock Appreciation Right is prohibited by Applicable Law, as determined by the Company, or (b)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in no event shall the extension last beyond the ten year term of the applicable Option or Stock Appreciation Right. Unless otherwise determined by the Administrator in the Award Agreement, the applicable Program or by action of the Administrator following the grant of the Option or Stock Appreciation Right, (i) no portion of an Option or Stock Appreciation Right which is unexercisable at a Holder’s Termination of Service shall thereafter become exercisable and (ii) the portion of an Option or Stock Appreciation Right that is unexercisable at a Holder’s Termination of Service shall automatically expire thirty (30) days following such Termination of Service.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5.06</w:t>
      </w:r>
    </w:p>
    <w:p>
      <w:pPr>
        <w:pStyle w:val="TextBody"/>
        <w:bidi w:val="0"/>
        <w:spacing w:before="0" w:after="240"/>
        <w:jc w:val="both"/>
        <w:rPr/>
      </w:pPr>
      <w:r>
        <w:rPr>
          <w:rFonts w:ascii="Times New Roman" w:hAnsi="Times New Roman"/>
          <w:color w:val="000000"/>
          <w:sz w:val="24"/>
          <w:u w:val="single"/>
        </w:rPr>
        <w:t>Substitution of Stock Appreciation Rights; Early Exercise of Options</w:t>
      </w:r>
      <w:r>
        <w:rPr>
          <w:rFonts w:ascii="Times New Roman" w:hAnsi="Times New Roman"/>
          <w:color w:val="000000"/>
          <w:sz w:val="24"/>
        </w:rPr>
        <w:t xml:space="preserve">. The Administrator may provide in the applicable Program or Award Agreement evidencing the grant of an Option that the Administrator, in its sole discretion, shall have the right to substitute a Stock Appreciation Right for such Option at any time prior to or upon exercise of such Option; </w:t>
      </w:r>
      <w:r>
        <w:rPr>
          <w:rFonts w:ascii="Times New Roman" w:hAnsi="Times New Roman"/>
          <w:color w:val="000000"/>
          <w:sz w:val="24"/>
          <w:u w:val="single"/>
        </w:rPr>
        <w:t xml:space="preserve">provided </w:t>
      </w:r>
      <w:r>
        <w:rPr>
          <w:rFonts w:ascii="Times New Roman" w:hAnsi="Times New Roman"/>
          <w:color w:val="000000"/>
          <w:sz w:val="24"/>
        </w:rPr>
        <w:t xml:space="preserve">that such Stock Appreciation Right shall be exercisable with respect to the same number of Shares for which such substituted Option would have been exercisable, and shall also have the same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exercise price, vesting schedule and remaining term as the substituted Option. The Administrator may provide in the terms of an Award Agreement that the Holder may exercise 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Article 6.</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br/>
        <w:t>EXERCISE OF OPTIONS AND STOCK APPRECIATION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6.01</w:t>
      </w:r>
    </w:p>
    <w:p>
      <w:pPr>
        <w:pStyle w:val="TextBody"/>
        <w:bidi w:val="0"/>
        <w:spacing w:before="0" w:after="240"/>
        <w:jc w:val="both"/>
        <w:rPr/>
      </w:pPr>
      <w:r>
        <w:rPr>
          <w:rFonts w:ascii="Times New Roman" w:hAnsi="Times New Roman"/>
          <w:color w:val="000000"/>
          <w:sz w:val="24"/>
          <w:u w:val="single"/>
        </w:rPr>
        <w:t>Exercise and Payment</w:t>
      </w:r>
      <w:r>
        <w:rPr>
          <w:rFonts w:ascii="Times New Roman" w:hAnsi="Times New Roman"/>
          <w:color w:val="000000"/>
          <w:sz w:val="24"/>
        </w:rPr>
        <w:t>. An exercisable Option or Stock Appreciation Right may be exercised in whole or in part. However, unless the Administrator otherwise determines,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6 shall be in cash, Shares (based on its Fair Market Value as of the date the Stock Appreciation Right is exercised), or a combination of both, as determined by the Administrator.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6.02</w:t>
      </w:r>
    </w:p>
    <w:p>
      <w:pPr>
        <w:pStyle w:val="TextBody"/>
        <w:bidi w:val="0"/>
        <w:spacing w:before="0" w:after="240"/>
        <w:jc w:val="both"/>
        <w:rPr/>
      </w:pPr>
      <w:r>
        <w:rPr>
          <w:rFonts w:ascii="Times New Roman" w:hAnsi="Times New Roman"/>
          <w:color w:val="000000"/>
          <w:sz w:val="24"/>
          <w:u w:val="single"/>
        </w:rPr>
        <w:t>Manner of Exercise</w:t>
      </w:r>
      <w:r>
        <w:rPr>
          <w:rFonts w:ascii="Times New Roman" w:hAnsi="Times New Roman"/>
          <w:color w:val="000000"/>
          <w:sz w:val="24"/>
        </w:rPr>
        <w:t>. Except as set forth in Section 6.3, all or a portion of an exercisable Option or Stock Appreciation Right shall be deemed exercised upon delivery of all of the following to the Secretary of the Company, the stock plan administrator of the Company or such other person or entity designated by the Administrator, or his, her or its office,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written notice of exercise in a form the Administrator approves (which may be electronic) complying with the applicable rules established by the Administrator. The notice shall be signed or otherwise acknowledged electronically by the Holder or other person then entitled to exercise the Option or Stock Appreciation Right or such portion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representations and documents as the Administrator, in its sole discretion, deems necessary or advisable to effect compliance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the Option shall be exercised pursuant to Section 10.3 by any person or persons other than the Holder, appropriate proof of the right of such person or persons to exercise the Option or Stock Appreciation Right, as determined in the sole discretion of the Administrator;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Full payment of the exercise price and applicable withholding taxes for the Shares with respect to which the Option or Stock Appreciation Right, or portion thereof, is exercised, in a manner permitted by the Administrator in accordance with Sections 10.1 and 10.2.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6.03</w:t>
      </w:r>
    </w:p>
    <w:p>
      <w:pPr>
        <w:pStyle w:val="TextBody"/>
        <w:bidi w:val="0"/>
        <w:spacing w:before="0" w:after="240"/>
        <w:jc w:val="both"/>
        <w:rPr/>
      </w:pPr>
      <w:r>
        <w:rPr>
          <w:rFonts w:ascii="Times New Roman" w:hAnsi="Times New Roman"/>
          <w:color w:val="000000"/>
          <w:sz w:val="24"/>
          <w:u w:val="single"/>
        </w:rPr>
        <w:t>Notification Regarding Disposition</w:t>
      </w:r>
      <w:r>
        <w:rPr>
          <w:rFonts w:ascii="Times New Roman" w:hAnsi="Times New Roman"/>
          <w:color w:val="000000"/>
          <w:sz w:val="24"/>
        </w:rPr>
        <w:t xml:space="preserve">. The Holder shall give the Company prompt written or electronic notice of any disposition or other transfers (other than in connection with a Change in Control) of Shares acquired by exercise of an Incentive 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disposition or other transfer and the amount realized, in cash, other property, assumption of indebtedness or other consideration, by the Holder in such disposition or other transfer.</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Article 7.</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br/>
        <w:t>AWARD OF RESTRICTED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7.01</w:t>
      </w:r>
    </w:p>
    <w:p>
      <w:pPr>
        <w:pStyle w:val="TextBody"/>
        <w:bidi w:val="0"/>
        <w:spacing w:before="0" w:after="240"/>
        <w:jc w:val="both"/>
        <w:rPr/>
      </w:pPr>
      <w:r>
        <w:rPr>
          <w:rFonts w:ascii="Times New Roman" w:hAnsi="Times New Roman"/>
          <w:color w:val="000000"/>
          <w:sz w:val="24"/>
          <w:u w:val="single"/>
        </w:rPr>
        <w:t>Award of Restricted Stock</w:t>
      </w:r>
      <w:r>
        <w:rPr>
          <w:rFonts w:ascii="Times New Roman" w:hAnsi="Times New Roman"/>
          <w:color w:val="000000"/>
          <w:sz w:val="24"/>
        </w:rPr>
        <w:t xml:space="preserve">. The Administrator is authorized to grant Restricted Stock, or the right to purchase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The Administrator shall establish the purchase price, if any, and form of payment for Restricted Stock; </w:t>
      </w:r>
      <w:r>
        <w:rPr>
          <w:rFonts w:ascii="Times New Roman" w:hAnsi="Times New Roman"/>
          <w:color w:val="000000"/>
          <w:sz w:val="24"/>
          <w:u w:val="single"/>
        </w:rPr>
        <w:t>provided</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u w:val="single"/>
        </w:rPr>
        <w:t xml:space="preserve"> </w:t>
      </w:r>
      <w:r>
        <w:rPr>
          <w:rFonts w:ascii="Times New Roman" w:hAnsi="Times New Roman"/>
          <w:color w:val="000000"/>
          <w:sz w:val="24"/>
        </w:rPr>
        <w:t>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7.02</w:t>
      </w:r>
    </w:p>
    <w:p>
      <w:pPr>
        <w:pStyle w:val="TextBody"/>
        <w:bidi w:val="0"/>
        <w:spacing w:before="0" w:after="240"/>
        <w:jc w:val="both"/>
        <w:rPr/>
      </w:pPr>
      <w:r>
        <w:rPr>
          <w:rFonts w:ascii="Times New Roman" w:hAnsi="Times New Roman"/>
          <w:color w:val="000000"/>
          <w:sz w:val="24"/>
          <w:u w:val="single"/>
        </w:rPr>
        <w:t>Rights as Stockholders</w:t>
      </w:r>
      <w:r>
        <w:rPr>
          <w:rFonts w:ascii="Times New Roman" w:hAnsi="Times New Roman"/>
          <w:color w:val="000000"/>
          <w:sz w:val="24"/>
        </w:rPr>
        <w:t xml:space="preserve">. Subject to Section 7.4, upon issuance of Restricted Stock, the Holder shall have, unless otherwise provided by the Administrator, all of the rights of a stockholder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Times New Roman" w:hAnsi="Times New Roman"/>
          <w:color w:val="000000"/>
          <w:sz w:val="24"/>
          <w:u w:val="single"/>
        </w:rPr>
        <w:t>provided</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u w:val="single"/>
        </w:rPr>
        <w:t xml:space="preserve"> </w:t>
      </w:r>
      <w:r>
        <w:rPr>
          <w:rFonts w:ascii="Times New Roman" w:hAnsi="Times New Roman"/>
          <w:color w:val="000000"/>
          <w:sz w:val="24"/>
        </w:rPr>
        <w:t>that, in the sole discretion of the Administrator, any extraordinary dividends or distributions with respect to the Shares may be subject to the restrictions set forth in Section 7.3. In addition, notwithstanding anything to the contrary herein, with respect to a share of Restricted Stock, dividends which are paid prior to vesting shall only be paid out to the Holder to the extent that the share of Restricted Stock vests.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7.03</w:t>
      </w:r>
    </w:p>
    <w:p>
      <w:pPr>
        <w:pStyle w:val="TextBody"/>
        <w:bidi w:val="0"/>
        <w:spacing w:before="0" w:after="240"/>
        <w:jc w:val="both"/>
        <w:rPr/>
      </w:pPr>
      <w:r>
        <w:rPr>
          <w:rFonts w:ascii="Times New Roman" w:hAnsi="Times New Roman"/>
          <w:color w:val="000000"/>
          <w:sz w:val="24"/>
          <w:u w:val="single"/>
        </w:rPr>
        <w:t>Restrictions</w:t>
      </w:r>
      <w:r>
        <w:rPr>
          <w:rFonts w:ascii="Times New Roman" w:hAnsi="Times New Roman"/>
          <w:color w:val="000000"/>
          <w:sz w:val="24"/>
        </w:rPr>
        <w:t>. All shares of Restricted Stock (including any shares received by Holders thereof with respect to shares of Restricted Stock as a result of stock dividends, stock splits or any other form of recapitalization) and, unless the Administrator provides otherwise, any property (other than cash) transferred to Holders in connection with an extraordinary dividend or distribution shall be subject to such restrictions and vesting requirements as the Administrator shall provide in the applicable Program or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7.04</w:t>
      </w:r>
    </w:p>
    <w:p>
      <w:pPr>
        <w:pStyle w:val="TextBody"/>
        <w:bidi w:val="0"/>
        <w:spacing w:before="0" w:after="240"/>
        <w:jc w:val="both"/>
        <w:rPr/>
      </w:pPr>
      <w:r>
        <w:rPr>
          <w:rFonts w:ascii="Times New Roman" w:hAnsi="Times New Roman"/>
          <w:color w:val="000000"/>
          <w:sz w:val="24"/>
          <w:u w:val="single"/>
        </w:rPr>
        <w:t>Repurchase or Forfeiture of Restricted Stock</w:t>
      </w:r>
      <w:r>
        <w:rPr>
          <w:rFonts w:ascii="Times New Roman" w:hAnsi="Times New Roman"/>
          <w:color w:val="000000"/>
          <w:sz w:val="24"/>
        </w:rPr>
        <w:t>. Except as otherwise determined by the Administrator,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on the date of such Termination of Service.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7.05</w:t>
      </w:r>
    </w:p>
    <w:p>
      <w:pPr>
        <w:pStyle w:val="TextBody"/>
        <w:bidi w:val="0"/>
        <w:spacing w:before="0" w:after="240"/>
        <w:jc w:val="both"/>
        <w:rPr/>
      </w:pPr>
      <w:r>
        <w:rPr>
          <w:rFonts w:ascii="Times New Roman" w:hAnsi="Times New Roman"/>
          <w:color w:val="000000"/>
          <w:sz w:val="24"/>
          <w:u w:val="single"/>
        </w:rPr>
        <w:t>Section 83(b) Election</w:t>
      </w:r>
      <w:r>
        <w:rPr>
          <w:rFonts w:ascii="Times New Roman" w:hAnsi="Times New Roman"/>
          <w:color w:val="000000"/>
          <w:sz w:val="24"/>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Article 8.</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br/>
        <w:t>AWARD OF RESTRICTED STOCK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8.01</w:t>
      </w:r>
    </w:p>
    <w:p>
      <w:pPr>
        <w:pStyle w:val="TextBody"/>
        <w:bidi w:val="0"/>
        <w:spacing w:before="0" w:after="240"/>
        <w:jc w:val="both"/>
        <w:rPr/>
      </w:pPr>
      <w:r>
        <w:rPr>
          <w:rFonts w:ascii="Times New Roman" w:hAnsi="Times New Roman"/>
          <w:color w:val="000000"/>
          <w:sz w:val="24"/>
          <w:u w:val="single"/>
        </w:rPr>
        <w:t>Grant of Restricted Stock Units</w:t>
      </w:r>
      <w:r>
        <w:rPr>
          <w:rFonts w:ascii="Times New Roman" w:hAnsi="Times New Roman"/>
          <w:color w:val="000000"/>
          <w:sz w:val="24"/>
        </w:rPr>
        <w:t>. The Administrator is authorized to grant Awards of Restricted Stock Units to any Eligible Individual selected by the Administrator in such amounts and subject to such terms and conditions as determined by the Administrator. A Holder will have no rights of a stockholder with respect to Shares subject to any Restricted Stock Unit unless and until the Shares are delivered in settlement of the Restricted Stock Unit.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8.02</w:t>
      </w:r>
    </w:p>
    <w:p>
      <w:pPr>
        <w:pStyle w:val="TextBody"/>
        <w:bidi w:val="0"/>
        <w:spacing w:before="0" w:after="240"/>
        <w:jc w:val="both"/>
        <w:rPr/>
      </w:pPr>
      <w:r>
        <w:rPr>
          <w:rFonts w:ascii="Times New Roman" w:hAnsi="Times New Roman"/>
          <w:color w:val="000000"/>
          <w:sz w:val="24"/>
          <w:u w:val="single"/>
        </w:rPr>
        <w:t>Vesting of Restricted Stock Units</w:t>
      </w:r>
      <w:r>
        <w:rPr>
          <w:rFonts w:ascii="Times New Roman" w:hAnsi="Times New Roman"/>
          <w:color w:val="000000"/>
          <w:sz w:val="24"/>
        </w:rPr>
        <w:t xml:space="preserve">.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Goals or other specific criteria, in each case on a specified date or dates or over any period or periods, as determined by the Administrator. An Award of Restricted Stock Units shall only be eligible to vest while the Holder is an Employee, a Consultant or a Non-Employee Director, as applicable; </w:t>
      </w:r>
      <w:r>
        <w:rPr>
          <w:rFonts w:ascii="Times New Roman" w:hAnsi="Times New Roman"/>
          <w:color w:val="000000"/>
          <w:sz w:val="24"/>
          <w:u w:val="single"/>
        </w:rPr>
        <w:t>provided</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u w:val="single"/>
        </w:rPr>
        <w:t xml:space="preserve"> </w:t>
      </w:r>
      <w:r>
        <w:rPr>
          <w:rFonts w:ascii="Times New Roman" w:hAnsi="Times New Roman"/>
          <w:color w:val="000000"/>
          <w:sz w:val="24"/>
        </w:rPr>
        <w:t>that the Administrator, in its sole discretion, may provide (in an Award Agreement or otherwise) that a Restricted Stock Unit award may become vested subsequent to a Termination of Service in the event of the occurrence of certain events, including a Change in Control, the Holder’s death, retirement or disability or any other specified Termination of Service, subject to Section 11.7.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8.03</w:t>
      </w:r>
    </w:p>
    <w:p>
      <w:pPr>
        <w:pStyle w:val="TextBody"/>
        <w:bidi w:val="0"/>
        <w:spacing w:before="0" w:after="240"/>
        <w:jc w:val="both"/>
        <w:rPr/>
      </w:pPr>
      <w:r>
        <w:rPr>
          <w:rFonts w:ascii="Times New Roman" w:hAnsi="Times New Roman"/>
          <w:color w:val="000000"/>
          <w:sz w:val="24"/>
          <w:u w:val="single"/>
        </w:rPr>
        <w:t>Maturity and Payment</w:t>
      </w:r>
      <w:r>
        <w:rPr>
          <w:rFonts w:ascii="Times New Roman" w:hAnsi="Times New Roman"/>
          <w:color w:val="000000"/>
          <w:sz w:val="24"/>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 w:hAnsi="Times New Roman"/>
          <w:color w:val="000000"/>
          <w:sz w:val="24"/>
          <w:u w:val="single"/>
        </w:rPr>
        <w:t xml:space="preserve">provided </w:t>
      </w:r>
      <w:r>
        <w:rPr>
          <w:rFonts w:ascii="Times New Roman" w:hAnsi="Times New Roman"/>
          <w:color w:val="000000"/>
          <w:sz w:val="24"/>
        </w:rPr>
        <w:t>that, except as otherwise determined by the Administrator, and subject to compliance with Section 409A, in no event shall the maturity date relating to each Restricted Stock Unit occur following the later of (a) the 15th day of the third month following the end of the calendar year in which the applicable portion of the Restricted Stock Unit vests; and (b) the 15th day of the third month following the end of the Company’s fiscal year in which the applicable portion of the Restricted Stock Unit vests. On the maturity date, the Company shall, in accordance with the applicable Award Agreement and subject to Section 10.4(f),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Article 9.</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br/>
        <w:t>AWARD OF OTHER STOCK OR CASH BASED AWARDS AND DIVIDEND EQUIVALENTS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9.01</w:t>
      </w:r>
    </w:p>
    <w:p>
      <w:pPr>
        <w:pStyle w:val="TextBody"/>
        <w:bidi w:val="0"/>
        <w:spacing w:before="0" w:after="240"/>
        <w:jc w:val="both"/>
        <w:rPr/>
      </w:pPr>
      <w:r>
        <w:rPr>
          <w:rFonts w:ascii="Times New Roman" w:hAnsi="Times New Roman"/>
          <w:color w:val="000000"/>
          <w:sz w:val="24"/>
          <w:u w:val="single"/>
        </w:rPr>
        <w:t>Other Stock or Cash Based Awards</w:t>
      </w:r>
      <w:r>
        <w:rPr>
          <w:rFonts w:ascii="Times New Roman" w:hAnsi="Times New Roman"/>
          <w:color w:val="000000"/>
          <w:sz w:val="24"/>
        </w:rPr>
        <w:t>. The Administrator is authorized to grant Other Stock or Cash Based Awards, including awards entitling a Holder to receive Shares or cash to be delivered immediately or in the future, to any Eligible Individual. Subject to the provisions of the Plan and any applicable Program, the Administrator shall determine the terms and conditions of each Other Stock or Cash Based Award, including the term of the Award, any exercise or purchase price, Performance Criteria and Performance Goals, transfer restrictions, vesting conditions and other terms and conditions applicable thereto, which shall be set forth in the applicable Award Agreement. Other Stock or Cash Based Awards may be paid in cash, Shares, or a combination 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9.02</w:t>
      </w:r>
    </w:p>
    <w:p>
      <w:pPr>
        <w:pStyle w:val="TextBody"/>
        <w:bidi w:val="0"/>
        <w:spacing w:before="0" w:after="240"/>
        <w:jc w:val="both"/>
        <w:rPr/>
      </w:pPr>
      <w:r>
        <w:rPr>
          <w:rFonts w:ascii="Times New Roman" w:hAnsi="Times New Roman"/>
          <w:color w:val="000000"/>
          <w:sz w:val="24"/>
          <w:u w:val="single"/>
        </w:rPr>
        <w:t>Dividend Equivalents</w:t>
      </w:r>
      <w:r>
        <w:rPr>
          <w:rFonts w:ascii="Times New Roman" w:hAnsi="Times New Roman"/>
          <w:color w:val="000000"/>
          <w:sz w:val="24"/>
        </w:rPr>
        <w:t>. Dividend Equivalents may be granted by the Administrator, either alone or in tandem with another Award, based on dividends declared on the Common Stock,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Article 10.</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br/>
        <w:t>ADDITIONAL TERMS OF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10.01</w:t>
      </w:r>
    </w:p>
    <w:p>
      <w:pPr>
        <w:pStyle w:val="TextBody"/>
        <w:bidi w:val="0"/>
        <w:spacing w:before="0" w:after="240"/>
        <w:jc w:val="both"/>
        <w:rPr/>
      </w:pPr>
      <w:r>
        <w:rPr>
          <w:rFonts w:ascii="Times New Roman" w:hAnsi="Times New Roman"/>
          <w:color w:val="000000"/>
          <w:sz w:val="24"/>
          <w:u w:val="single"/>
        </w:rPr>
        <w:t>Payment</w:t>
      </w:r>
      <w:r>
        <w:rPr>
          <w:rFonts w:ascii="Times New Roman" w:hAnsi="Times New Roman"/>
          <w:color w:val="000000"/>
          <w:sz w:val="24"/>
        </w:rPr>
        <w:t xml:space="preserve">. The Administrator shall determine the method or methods by which payments by any Holder with respect to any Awards granted under the Plan shall be made, including, without limitation: (a) cash, wire transfer of immediately available funds or check, (b) Shares (including, in the case of payment of the exercise price of an Award, Shares issuable pursuant to the exercise of the Award) or Shares held for such minimum period of time as may be established by the Administrator, in each case, having a Fair Market Value on the date of delivery equal to the aggregate payments required, (c)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hAnsi="Times New Roman"/>
          <w:color w:val="000000"/>
          <w:sz w:val="24"/>
          <w:u w:val="single"/>
        </w:rPr>
        <w:t xml:space="preserve">provided </w:t>
      </w:r>
      <w:r>
        <w:rPr>
          <w:rFonts w:ascii="Times New Roman" w:hAnsi="Times New Roman"/>
          <w:color w:val="000000"/>
          <w:sz w:val="24"/>
        </w:rPr>
        <w:t xml:space="preserve">that payment of such proceeds is then made to the Company upon settlement of such sale, (d) other form of legal consideration acceptable to the Administrator in its sole discretion, or (e) any combination of the above permitted forms of payment. Notwithstanding any other provision of the Plan to the contrary, no Holder who is a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10.02</w:t>
      </w:r>
    </w:p>
    <w:p>
      <w:pPr>
        <w:pStyle w:val="TextBody"/>
        <w:bidi w:val="0"/>
        <w:spacing w:before="0" w:after="240"/>
        <w:jc w:val="both"/>
        <w:rPr/>
      </w:pPr>
      <w:r>
        <w:rPr>
          <w:rFonts w:ascii="Times New Roman" w:hAnsi="Times New Roman"/>
          <w:color w:val="000000"/>
          <w:sz w:val="24"/>
          <w:u w:val="single"/>
        </w:rPr>
        <w:t>Tax Withholding</w:t>
      </w:r>
      <w:r>
        <w:rPr>
          <w:rFonts w:ascii="Times New Roman" w:hAnsi="Times New Roman"/>
          <w:color w:val="000000"/>
          <w:sz w:val="24"/>
        </w:rPr>
        <w:t>. The Company or any Subsidiary shall have the authority and the right to deduct or withhold, or require a Holder to remit to the Company, an amount sufficient to satisfy federal, state, local and foreign taxes (including the Holder’s FICA, employment tax or other social security contribution obligation) required by law to be withheld with respect to any taxable event concerning a Holder arising as a result of the Plan or any Award. The Administrator may, in its sole discretion and in satisfaction of the foregoing requirement, or in satisfaction of such additional withholding obligations as a Holder may have elected, allow a Holder to satisfy such obligations by any payment means described in Section 10.1 hereof, including without limitation, by allowing such Holder to elect to have the Company or any Subsidiary withhold Shares otherwise issuable under an Award (or allow the surrender of Shares). The number of Shares that may be so withheld or surrendered shall be limited to the number of Shares that have a fair market value on the date of withholding or repurchase no greater than the aggregate amount of such liabilities based on the maximum statutory withholding rates in such Holder’s applicable jurisdictions for federal, state, local and foreign income tax and payroll tax purposes that are applicable to such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10.03</w:t>
      </w:r>
    </w:p>
    <w:p>
      <w:pPr>
        <w:pStyle w:val="TextBody"/>
        <w:bidi w:val="0"/>
        <w:spacing w:before="0" w:after="240"/>
        <w:jc w:val="both"/>
        <w:rPr/>
      </w:pPr>
      <w:r>
        <w:rPr>
          <w:rFonts w:ascii="Times New Roman" w:hAnsi="Times New Roman"/>
          <w:color w:val="000000"/>
          <w:sz w:val="24"/>
          <w:u w:val="single"/>
        </w:rPr>
        <w:t>Transferability of Awards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provided in Sections 10.3(b) and 10.3(c):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Award under the Plan may be sold, pledged, assigned or transferred in any manner other than (A) by will or the laws of descent and distribution or (B) subject to the consent of the Administrator, pursuant to a DRO, unless and until such Award has been exercised or the Shares underlying such Award have been issued, and all restrictions applicable to such Shares have lapsed;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10.3(a)(i); and</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then-applicable laws of descent and distribution.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Section 10.3(a),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the transfer of an Award to a Permitted Transferee shall be without consideration. In addition, and further notwithstanding Section 10.3(a),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Notwithstanding Section 10.3(a),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hAnsi="Times New Roman"/>
          <w:color w:val="000000"/>
          <w:sz w:val="24"/>
          <w:u w:val="single"/>
        </w:rPr>
        <w:t xml:space="preserve">provided </w:t>
      </w:r>
      <w:r>
        <w:rPr>
          <w:rFonts w:ascii="Times New Roman" w:hAnsi="Times New Roman"/>
          <w:color w:val="000000"/>
          <w:sz w:val="24"/>
        </w:rPr>
        <w:t>that the change or revocation is delivered in writing to the Administrator prior to the Holder’s death.</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10.04</w:t>
      </w:r>
    </w:p>
    <w:p>
      <w:pPr>
        <w:pStyle w:val="TextBody"/>
        <w:bidi w:val="0"/>
        <w:spacing w:before="0" w:after="240"/>
        <w:jc w:val="both"/>
        <w:rPr/>
      </w:pPr>
      <w:r>
        <w:rPr>
          <w:rFonts w:ascii="Times New Roman" w:hAnsi="Times New Roman"/>
          <w:color w:val="000000"/>
          <w:sz w:val="24"/>
          <w:u w:val="single"/>
        </w:rPr>
        <w:t>Conditions to Issuance of Shares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the Administrator otherwise determines, no fractional Shares shall be issued and the Administrator, in its sole discretion, shall determine whether cash shall be given in lieu of fractional Shares or whether such fractional Shares shall be eliminated by rounding down.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in its sole discretion, may (i) retain physical possession of any stock certificate evidencing Shares until any restrictions thereon shall have lapsed and/or (ii) require that the stock certificates evidencing such Shares be held in custody by a designated escrow agent (which may but need not be the Company) until the restrictions thereon shall have lapsed, and that the Holder deliver a stock power, endorsed in blank, relating to such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10.05</w:t>
      </w:r>
    </w:p>
    <w:p>
      <w:pPr>
        <w:pStyle w:val="TextBody"/>
        <w:bidi w:val="0"/>
        <w:spacing w:before="0" w:after="240"/>
        <w:jc w:val="both"/>
        <w:rPr/>
      </w:pPr>
      <w:r>
        <w:rPr>
          <w:rFonts w:ascii="Times New Roman" w:hAnsi="Times New Roman"/>
          <w:color w:val="000000"/>
          <w:sz w:val="24"/>
          <w:u w:val="single"/>
        </w:rPr>
        <w:t>Forfeiture and Claw-Back Provisions</w:t>
      </w:r>
      <w:r>
        <w:rPr>
          <w:rFonts w:ascii="Times New Roman" w:hAnsi="Times New Roman"/>
          <w:color w:val="000000"/>
          <w:sz w:val="24"/>
        </w:rPr>
        <w:t xml:space="preserve">. All Awards (including any proceeds, gains or other economic benefit actually or constructively received by a Holder upon any receipt or exercise of any Award or upon the receipt or resale of any Shares underlying the Award and any payments of a portion of an incentive-based bonus pool allocated to a Holder)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whether or not such claw-back policy was in place at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time of grant of an Award, to the extent set forth in such claw-back policy and/or in the applicable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10.06</w:t>
      </w:r>
    </w:p>
    <w:p>
      <w:pPr>
        <w:pStyle w:val="TextBody"/>
        <w:bidi w:val="0"/>
        <w:spacing w:before="0" w:after="240"/>
        <w:jc w:val="both"/>
        <w:rPr/>
      </w:pPr>
      <w:r>
        <w:rPr>
          <w:rFonts w:ascii="Times New Roman" w:hAnsi="Times New Roman"/>
          <w:color w:val="000000"/>
          <w:sz w:val="24"/>
          <w:u w:val="single"/>
        </w:rPr>
        <w:t>Repricing</w:t>
      </w:r>
      <w:r>
        <w:rPr>
          <w:rFonts w:ascii="Times New Roman" w:hAnsi="Times New Roman"/>
          <w:color w:val="000000"/>
          <w:sz w:val="24"/>
        </w:rPr>
        <w:t>. Subject to Section 12.2, the Administrator shall not, without the approval of the stockholders of the Company, (a) authorize the amendment of any outstanding Option or Stock Appreciation Right to reduce its price per Share, or (b) cancel any Option or Stock Appreciation Right in exchange for cash or another Award when the Option or Stock Appreciation Right price per Share exceeds the Fair Market Value of the underlying Shares. Furthermore, for purposes of this Section 10.6,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 without the approval of the stockholders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10.07</w:t>
      </w:r>
    </w:p>
    <w:p>
      <w:pPr>
        <w:pStyle w:val="TextBody"/>
        <w:bidi w:val="0"/>
        <w:spacing w:before="0" w:after="240"/>
        <w:jc w:val="both"/>
        <w:rPr/>
      </w:pPr>
      <w:r>
        <w:rPr>
          <w:rFonts w:ascii="Times New Roman" w:hAnsi="Times New Roman"/>
          <w:color w:val="000000"/>
          <w:sz w:val="24"/>
          <w:u w:val="single"/>
        </w:rPr>
        <w:t>Amendment of Awards</w:t>
      </w:r>
      <w:r>
        <w:rPr>
          <w:rFonts w:ascii="Times New Roman" w:hAnsi="Times New Roman"/>
          <w:color w:val="000000"/>
          <w:sz w:val="24"/>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unless (a) the Administrator determines that the action, taking into account any related action, would not materially and adversely affect the Holder, or (b) the change is otherwise permitted under the Plan (including, without limitation, under Section 12.2 or 12.10).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10.08</w:t>
      </w:r>
    </w:p>
    <w:p>
      <w:pPr>
        <w:pStyle w:val="TextBody"/>
        <w:bidi w:val="0"/>
        <w:spacing w:before="0" w:after="240"/>
        <w:jc w:val="both"/>
        <w:rPr/>
      </w:pPr>
      <w:r>
        <w:rPr>
          <w:rFonts w:ascii="Times New Roman" w:hAnsi="Times New Roman"/>
          <w:color w:val="000000"/>
          <w:sz w:val="24"/>
          <w:u w:val="single"/>
        </w:rPr>
        <w:t>Lock-Up Period</w:t>
      </w:r>
      <w:r>
        <w:rPr>
          <w:rFonts w:ascii="Times New Roman" w:hAnsi="Times New Roman"/>
          <w:color w:val="000000"/>
          <w:sz w:val="24"/>
        </w:rPr>
        <w:t>. The Company may, in connection with registering the offering of any Company securities under the Securities Act, prohibit Holders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 In order to enforce the foregoing, the Company shall have the right to place restrictive legends on the certificates of any securities of the Company held by the Holder and to impose stop transfer instructions with the Company’s transfer agent with respect to any securities of the Company held by the Holder until the end of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10.09</w:t>
      </w:r>
    </w:p>
    <w:p>
      <w:pPr>
        <w:pStyle w:val="TextBody"/>
        <w:bidi w:val="0"/>
        <w:spacing w:before="0" w:after="240"/>
        <w:jc w:val="both"/>
        <w:rPr/>
      </w:pPr>
      <w:r>
        <w:rPr>
          <w:rFonts w:ascii="Times New Roman" w:hAnsi="Times New Roman"/>
          <w:color w:val="000000"/>
          <w:sz w:val="24"/>
          <w:u w:val="single"/>
        </w:rPr>
        <w:t>Data Privacy</w:t>
      </w:r>
      <w:r>
        <w:rPr>
          <w:rFonts w:ascii="Times New Roman" w:hAnsi="Times New Roman"/>
          <w:color w:val="000000"/>
          <w:sz w:val="24"/>
        </w:rPr>
        <w:t>. As a condition of receipt of any Award, each Holder explicitly and unambiguously consents to the collection, use and transfer, in electronic or other form, of personal data as described in this Section 10.9 by and among, as applicable, the Company and its Subsidiaries for the exclusive purpose of implementing, administering and managing the Holder’s participation in the Plan. The Company and its Subsidiaries may hold certain personal information about a Holder, including but not limited to, the Holder’s name, home address and telephone number, date of birth, social security or insurance number or other identification number, salary, nationality, job title(s), any shares of stock held in the Company or any of its Subsidiaries, details of all Awards, in each case, for the purpose of implementing, managing and administering the Plan and Awards (the “</w:t>
      </w:r>
      <w:r>
        <w:rPr>
          <w:rFonts w:ascii="Times New Roman" w:hAnsi="Times New Roman"/>
          <w:color w:val="000000"/>
          <w:sz w:val="24"/>
          <w:u w:val="single"/>
        </w:rPr>
        <w:t>Data</w:t>
      </w:r>
      <w:r>
        <w:rPr>
          <w:color w:val="000000"/>
        </w:rPr>
        <w:t>”</w:t>
      </w:r>
      <w:r>
        <w:rPr>
          <w:rFonts w:ascii="Times New Roman" w:hAnsi="Times New Roman"/>
          <w:color w:val="000000"/>
          <w:sz w:val="24"/>
        </w:rPr>
        <w:t xml:space="preserve">). The Company and its Subsidiaries may transfer the Data amongst themselves as necessary for the purpose of implementation, administration and management of a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Holder’s participation in the Plan, and the Company and its Subsidiaries may each further transfer the Data to any third parties assisting the Company and its Subsidiaries in the implementation, administration and management of the Plan. These recipients may be located in the Holder’s country, or elsewhere, and the Holder’s country may have different data privacy laws and protections than the recipients’ country. Through acceptance of an Award, each Holder authorizes such recipients to receive, possess, use, retain and transfer the Data, in electronic or other form, for the purposes of implementing, administering and managing the Holder’s participation in the Plan, including any requisite transfer of such Data as may be required to a broker or other third party with whom the Company or any of its Subsidiaries or the Holder may elect to deposit any Shares. The Data related to a Holder will be held only as long as is necessary to implement, administer, and manage the Holder’s participation in the Plan. A Holder may, at any time, view the Data held by the Company with respect to such Holder, request additional information about the storage and processing of the Data with respect to such Holder, recommend any necessary corrections to the Data with respect to the Holder or refuse or withdraw the consents herein in writing, in any case without cost, by contacting his or her local human resources representative. The Company may cancel the Holder’s ability to participate in the Plan and, in the Administrator’s discretion, the Holder may forfeit any outstanding Awards if the Holder refuses or withdraws his or her consents as described herein. For more information on the consequences of refusal to consent or withdrawal of consent, Holders may contact their local human resources representative.</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Article 11.</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br/>
        <w:t>ADMINISTRATION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11.01</w:t>
      </w:r>
    </w:p>
    <w:p>
      <w:pPr>
        <w:pStyle w:val="TextBody"/>
        <w:bidi w:val="0"/>
        <w:spacing w:before="0" w:after="240"/>
        <w:jc w:val="both"/>
        <w:rPr/>
      </w:pPr>
      <w:r>
        <w:rPr>
          <w:rFonts w:ascii="Times New Roman" w:hAnsi="Times New Roman"/>
          <w:color w:val="000000"/>
          <w:sz w:val="24"/>
          <w:u w:val="single"/>
        </w:rPr>
        <w:t>Administrator</w:t>
      </w:r>
      <w:r>
        <w:rPr>
          <w:rFonts w:ascii="Times New Roman" w:hAnsi="Times New Roman"/>
          <w:color w:val="000000"/>
          <w:sz w:val="24"/>
        </w:rPr>
        <w:t>. The Committee shall administer the Plan (except as otherwise permitted herein). To the extent required to comply with the provisions of Rule 16b-3, it is intended that each member of the Committee will be, at the time the Committee takes any action with respect to an Award that is subject to Rule 16b-3, a “non-employee director” within the meaning of Rule 16b-3. Additionally, to the extent required by Applicable Law, each of the individuals constituting the Committee shall be an “independent director” under the rules of any securities exchange or automated quotation system on which the Shares are listed, quoted or traded. Notwithstanding the foregoing, any action taken by the Committee shall be valid and effective, whether or not members of the Committee at the time of such action are later determined not to have satisfied the requirements for membership set forth in this Section 11.1 or the Organizational Documents. Except as may otherwise be provided in the Organizational Documents or as otherwise required by Applicable Law, (a) appointment of Committee members shall be effective upon acceptance of appointment, (b) Committee members may resign at any time by delivering written or electronic notice to the Board and (c) vacancies in the Committee may only be filled by the Board. Notwithstanding the foregoing, (i) the full Board, acting by a majority of its members in office, shall conduct the general administration of the Plan with respect to Awards granted to Non-Employee Directors and, with respect to such Awards, the term “Administrator” as used in the Plan shall be deemed to refer to the Board and (ii) the Board or Committee may delegate its authority hereunder to the extent permitted by Section 11.6.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11.02</w:t>
      </w:r>
    </w:p>
    <w:p>
      <w:pPr>
        <w:pStyle w:val="TextBody"/>
        <w:bidi w:val="0"/>
        <w:spacing w:before="0" w:after="240"/>
        <w:jc w:val="both"/>
        <w:rPr/>
      </w:pPr>
      <w:r>
        <w:rPr>
          <w:rFonts w:ascii="Times New Roman" w:hAnsi="Times New Roman"/>
          <w:color w:val="000000"/>
          <w:sz w:val="24"/>
          <w:u w:val="single"/>
        </w:rPr>
        <w:t>Duties and Powers of Administrator</w:t>
      </w:r>
      <w:r>
        <w:rPr>
          <w:rFonts w:ascii="Times New Roman" w:hAnsi="Times New Roman"/>
          <w:color w:val="000000"/>
          <w:sz w:val="24"/>
        </w:rPr>
        <w:t xml:space="preserve">. It shall be the duty of the Administrator to conduct the general administration of the Plan in accordance with its provisions. The Administrator shall have the power to interpret the Plan, all Programs and Award Agreements, and to adopt such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rules for the administration, interpretation and application of the Plan and any Program as are not inconsistent with the Plan, to interpret, amend or revoke any such rules and to amend the Plan or any Program or Award Agreement; </w:t>
      </w:r>
      <w:r>
        <w:rPr>
          <w:rFonts w:ascii="Times New Roman" w:hAnsi="Times New Roman"/>
          <w:color w:val="000000"/>
          <w:sz w:val="24"/>
          <w:u w:val="single"/>
        </w:rPr>
        <w:t xml:space="preserve">provided </w:t>
      </w:r>
      <w:r>
        <w:rPr>
          <w:rFonts w:ascii="Times New Roman" w:hAnsi="Times New Roman"/>
          <w:color w:val="000000"/>
          <w:sz w:val="24"/>
        </w:rPr>
        <w:t>that the rights or obligations of the Holder of the Award that is the subject of any such Program or Award Agreement are not materially and adversely affected by such amendment, unless the consent of the Holder is obtained or such amendment is otherwise permitted under Section 10.7 or Section 12.10. In its sole discretion, the Board may at any time and from time to time exercise any and all rights and duties of the Committee in its capacity as the Administrator under the Plan except with respect to matters which under Rule 16b</w:t>
        <w:noBreakHyphen/>
        <w:t>3 under the Exchange Act or any successor rule, or any regulations or rules issued thereunder, or the rules of any securities exchange or automated quotation system on which the Shares are listed, quoted or traded are required to be determined in the sole discretion of the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11.03</w:t>
      </w:r>
    </w:p>
    <w:p>
      <w:pPr>
        <w:pStyle w:val="TextBody"/>
        <w:bidi w:val="0"/>
        <w:spacing w:before="0" w:after="240"/>
        <w:jc w:val="both"/>
        <w:rPr/>
      </w:pPr>
      <w:r>
        <w:rPr>
          <w:rFonts w:ascii="Times New Roman" w:hAnsi="Times New Roman"/>
          <w:color w:val="000000"/>
          <w:sz w:val="24"/>
          <w:u w:val="single"/>
        </w:rPr>
        <w:t>Action by the Administrator</w:t>
      </w:r>
      <w:r>
        <w:rPr>
          <w:rFonts w:ascii="Times New Roman" w:hAnsi="Times New Roman"/>
          <w:color w:val="000000"/>
          <w:sz w:val="24"/>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 Neither the Administrator nor any member or delegate thereof shall have any liability to any person (including any Holder) for any action taken or omitted to be taken or any determination made in good faith with respect to the Plan or any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11.04</w:t>
      </w:r>
    </w:p>
    <w:p>
      <w:pPr>
        <w:pStyle w:val="TextBody"/>
        <w:bidi w:val="0"/>
        <w:spacing w:before="0" w:after="240"/>
        <w:jc w:val="both"/>
        <w:rPr/>
      </w:pPr>
      <w:r>
        <w:rPr>
          <w:rFonts w:ascii="Times New Roman" w:hAnsi="Times New Roman"/>
          <w:color w:val="000000"/>
          <w:sz w:val="24"/>
          <w:u w:val="single"/>
        </w:rPr>
        <w:t>Authority of Administrator</w:t>
      </w:r>
      <w:r>
        <w:rPr>
          <w:rFonts w:ascii="Times New Roman" w:hAnsi="Times New Roman"/>
          <w:color w:val="000000"/>
          <w:sz w:val="24"/>
        </w:rPr>
        <w:t>. Subject to the Organizational Documents, any specific designation in the Plan and Applicable Law, the Administrator has the exclusive power, authority and sole discretion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Designate Eligible Individuals to receive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Determine the type or types of Awards to be granted to each Eligible Individual (including, without limitation, any Awards granted in tandem with another Award granted pursuant to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Determine the number of Awards to be granted and the number of Shares to which an Award will relate;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Determine the terms and conditions of any Award granted pursuant to the Plan, including, but not limited to, the exercise price, grant price, purchase price, any Performance Criteria and/or Performance Goals,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Determine whether, to what extent, and under what circumstances an Award may be settled in, or the exercise price of an Award may be paid in cash, Shares, other Awards, or other property, or an Award may be canceled, forfeited, or surrendered;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Prescribe the form of each Award Agreement, which need not be identical for each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Decide all other matters that must be determined in connection with an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Establish, adopt, or revise any Programs, rules and regulations as it may deem necessary or advisable to administer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Interpret the terms of, and any matter arising pursuant to, the Plan, any Program or any Award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Make all other decisions and determinations that may be required pursuant to the Plan or as the Administrator deems necessary or advisable to administer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11.05</w:t>
      </w:r>
    </w:p>
    <w:p>
      <w:pPr>
        <w:pStyle w:val="TextBody"/>
        <w:bidi w:val="0"/>
        <w:spacing w:before="0" w:after="240"/>
        <w:jc w:val="both"/>
        <w:rPr/>
      </w:pPr>
      <w:r>
        <w:rPr>
          <w:rFonts w:ascii="Times New Roman" w:hAnsi="Times New Roman"/>
          <w:color w:val="000000"/>
          <w:sz w:val="24"/>
          <w:u w:val="single"/>
        </w:rPr>
        <w:t>Decisions Binding</w:t>
      </w:r>
      <w:r>
        <w:rPr>
          <w:rFonts w:ascii="Times New Roman" w:hAnsi="Times New Roman"/>
          <w:color w:val="000000"/>
          <w:sz w:val="24"/>
        </w:rPr>
        <w:t>. The Administrator’s interpretation of the Plan, any Awards granted pursuant to the Plan, any Program or any Award Agreement and all decisions and determinations by the Administrator with respect to the Plan are final, binding and conclusive on all persons.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11.06</w:t>
      </w:r>
    </w:p>
    <w:p>
      <w:pPr>
        <w:pStyle w:val="TextBody"/>
        <w:bidi w:val="0"/>
        <w:spacing w:before="0" w:after="240"/>
        <w:jc w:val="both"/>
        <w:rPr/>
      </w:pPr>
      <w:r>
        <w:rPr>
          <w:rFonts w:ascii="Times New Roman" w:hAnsi="Times New Roman"/>
          <w:color w:val="000000"/>
          <w:sz w:val="24"/>
          <w:u w:val="single"/>
        </w:rPr>
        <w:t>Delegation of Authority</w:t>
      </w:r>
      <w:r>
        <w:rPr>
          <w:rFonts w:ascii="Times New Roman" w:hAnsi="Times New Roman"/>
          <w:color w:val="000000"/>
          <w:sz w:val="24"/>
        </w:rPr>
        <w:t xml:space="preserve">. The Board or Committee may from time to time delegate to a committee of one or more Directors or one or more officers of the Company the authority to grant or amend Awards or to take other administrative actions pursuant to this Article 11; </w:t>
      </w:r>
      <w:r>
        <w:rPr>
          <w:rFonts w:ascii="Times New Roman" w:hAnsi="Times New Roman"/>
          <w:color w:val="000000"/>
          <w:sz w:val="24"/>
          <w:u w:val="single"/>
        </w:rPr>
        <w:t>provided</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u w:val="single"/>
        </w:rPr>
        <w:t xml:space="preserve"> </w:t>
      </w:r>
      <w:r>
        <w:rPr>
          <w:rFonts w:ascii="Times New Roman" w:hAnsi="Times New Roman"/>
          <w:color w:val="000000"/>
          <w:sz w:val="24"/>
        </w:rPr>
        <w:t xml:space="preserve">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w:t>
      </w:r>
      <w:r>
        <w:rPr>
          <w:rFonts w:ascii="Times New Roman" w:hAnsi="Times New Roman"/>
          <w:color w:val="000000"/>
          <w:sz w:val="24"/>
          <w:u w:val="single"/>
        </w:rPr>
        <w:t>provided</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color w:val="000000"/>
          <w:u w:val="single"/>
        </w:rPr>
        <w:t xml:space="preserve"> </w:t>
      </w:r>
      <w:r>
        <w:rPr>
          <w:rFonts w:ascii="Times New Roman" w:hAnsi="Times New Roman"/>
          <w:color w:val="000000"/>
          <w:sz w:val="24"/>
        </w:rPr>
        <w:t>that any delegation of administrative authority shall only be permitted to the extent it is permissible under any Organizational Documents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11.6 shall serve in such capacity at the pleasure of the Board or the Committee, as applicable, and the Board or the Committee may abolish any committee at any time and re-vest in itself any previously delegated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11.07</w:t>
      </w:r>
    </w:p>
    <w:p>
      <w:pPr>
        <w:pStyle w:val="TextBody"/>
        <w:bidi w:val="0"/>
        <w:spacing w:before="0" w:after="240"/>
        <w:jc w:val="both"/>
        <w:rPr/>
      </w:pPr>
      <w:r>
        <w:rPr>
          <w:rFonts w:ascii="Times New Roman" w:hAnsi="Times New Roman"/>
          <w:color w:val="000000"/>
          <w:sz w:val="24"/>
          <w:u w:val="single"/>
        </w:rPr>
        <w:t>Acceleration</w:t>
      </w:r>
      <w:r>
        <w:rPr>
          <w:rFonts w:ascii="Times New Roman" w:hAnsi="Times New Roman"/>
          <w:color w:val="000000"/>
          <w:sz w:val="24"/>
        </w:rPr>
        <w:t>. Subject to the Organizational Documents, any specific designation in the Plan and Applicable Law, the Administrator has the exclusive power, authority and sole discretion to accelerate, wholly or partially, the vesting or lapse of restrictions (and, if applicable, the Company shall cease to have a right of repurchase) of any Award or portion thereof at any time after the grant of an Award, subject to whatever terms and conditions it selects and Section 12.2.</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Article 12.</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br/>
        <w:t>MISCELLANEOUS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12.01</w:t>
      </w:r>
    </w:p>
    <w:p>
      <w:pPr>
        <w:pStyle w:val="TextBody"/>
        <w:bidi w:val="0"/>
        <w:spacing w:before="0" w:after="240"/>
        <w:jc w:val="both"/>
        <w:rPr/>
      </w:pPr>
      <w:r>
        <w:rPr>
          <w:rFonts w:ascii="Times New Roman" w:hAnsi="Times New Roman"/>
          <w:color w:val="000000"/>
          <w:sz w:val="24"/>
          <w:u w:val="single"/>
        </w:rPr>
        <w:t>Amendment, Suspension or Termination of the Plan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Except as otherwise provided in Section 12.1(b), the Plan may be wholly or partially amended or otherwise modified, suspended or terminated at any time or from time to time by the Board; </w:t>
      </w:r>
      <w:r>
        <w:rPr>
          <w:rFonts w:ascii="Times New Roman" w:hAnsi="Times New Roman"/>
          <w:color w:val="000000"/>
          <w:sz w:val="24"/>
          <w:u w:val="single"/>
        </w:rPr>
        <w:t xml:space="preserve">provided </w:t>
      </w:r>
      <w:r>
        <w:rPr>
          <w:rFonts w:ascii="Times New Roman" w:hAnsi="Times New Roman"/>
          <w:color w:val="000000"/>
          <w:sz w:val="24"/>
        </w:rPr>
        <w:t>that, except as provided in Section 10.7 and Section 12.10, no amendment, suspension or termination of the Plan shall, without the consent of the Holder, materially and adversely affect any rights or obligations under any Award theretofore granted or awarded, unless the Award itself otherwise expressly so provides.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Section 12.1(a), the Board may not, except as provided in Section 12.2, take any of the following actions without approval of the Company’s stockholders given within twelve (12) months before or after such action: (i) increase the limit imposed in Section 3.1 on the maximum number of Shares which may be issued under the Plan, (ii) reduce the price per share of any outstanding Option or Stock Appreciation Right granted under the Plan or take any action prohibited under Section 11.6, or (iii) cancel any Option or Stock Appreciation Right in exchange for cash or another Award in violation of Section 10.6.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No Awards may be granted or awarded during any period of suspension or after termination of the Plan, and notwithstanding anything herein to the contrary, in no event may any Award be granted under the Plan after the tenth (10th) anniversary of the earlier of (i) the date on which the Plan was initially adopted by the Board or (ii) the date the Plan was initially approved by the Company’s stockholders (such anniversary, the “</w:t>
      </w:r>
      <w:r>
        <w:rPr>
          <w:rFonts w:ascii="Times New Roman" w:hAnsi="Times New Roman"/>
          <w:color w:val="000000"/>
          <w:sz w:val="24"/>
          <w:u w:val="single"/>
        </w:rPr>
        <w:t>Expiration Date</w:t>
      </w:r>
      <w:r>
        <w:rPr>
          <w:color w:val="000000"/>
        </w:rPr>
        <w:t>”</w:t>
      </w:r>
      <w:r>
        <w:rPr>
          <w:rFonts w:ascii="Times New Roman" w:hAnsi="Times New Roman"/>
          <w:color w:val="000000"/>
          <w:sz w:val="24"/>
        </w:rPr>
        <w:t xml:space="preserve">). Any Awards that are outstanding on the Expiration Date shall remain in force according to the terms of the Plan, the applicable Program and the applicable Award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12.02</w:t>
      </w:r>
    </w:p>
    <w:p>
      <w:pPr>
        <w:pStyle w:val="TextBody"/>
        <w:bidi w:val="0"/>
        <w:spacing w:before="0" w:after="240"/>
        <w:jc w:val="both"/>
        <w:rPr/>
      </w:pPr>
      <w:r>
        <w:rPr>
          <w:rFonts w:ascii="Times New Roman" w:hAnsi="Times New Roman"/>
          <w:color w:val="000000"/>
          <w:sz w:val="24"/>
          <w:u w:val="single"/>
        </w:rPr>
        <w:t>Changes in Common Stock or Assets of the Company, Acquisition or Liquidation of the Company and Other Corporate Events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to reflect such change with respect to: (i) the aggregate number and kind of Shares that may be issued under the Plan (including, but not limited to, adjustments of the limitations in Section 3.1 on the maximum number and kind of Shares which may be issued under the Plan); (ii) the number and kind of Shares (or other securities or property) subject to outstanding Awards; (iii) the terms and conditions of any outstanding Awards (including, without limitation, any applicable Performance Criteria and Performance Goals with respect thereto); and (iv) the grant or exercise price per share for any outstanding Awards under the Plan; and (v) the number and kind of Shares (or other securities or property) for which automatic grants are subsequently to be made to new and continuing Non-Employee Directors pursuant to any Non-Employee Director Compensation Policy adopted in accordance with Section 4.6.</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of any transaction or event described in Section 12.2(a) or any unusual or nonrecurring transactions or events affecting the Company, any Subsidiary of the Company, or the financial statements of the Company or any Subsidiary,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make adjustments in the number and type of Shares of the Company’s stock (or other securities or property) subject to outstanding Awards, and/or in the terms and conditions of (including the grant or exercise price), and the criteria included in, outstanding Awards and Awards which may be granted in the future;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provide that such Award shall be exercisable or payable or fully vested with respect to all Shares covered thereby, notwithstanding anything to the contrary in the Plan or the applicable Program or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replace such Award with other rights or property selected by the Administrator; and/or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provide that the Award cannot vest, be exercised or become payable after such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the occurrence of any Equity Restructuring, and notwithstanding anything to the contrary in Sections 12.2(a) and 12.2(b):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number and type of securities subject to each outstanding Award and the exercise price or grant price thereof, if applicable, shall be equitably adjusted (and the adjustments provided under this Section 12.2(c)(i) shall be nondiscretionary and shall be final and binding on the affected Holder and the Company); and/or</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12.2, (A) such Award (other than any portion subject to performance-based vesting) shall continue in effect or be assumed or an equivalent Award (which may include, without limitation, an Award settled in cash)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 In the event an Award continues in effect or is assumed or an equivalent Award substituted, then, in addition to any applicable vesting provisions set forth in any individual Award Agreement or other services agreement or policy applicable to a Holder, if the Holder incurs a Termination of Service without “cause” (as such term is defined in the Award Agreement relating to such Award or if such term is not defined, as determined in the sole discretion of the Administrator) upon or within twelve (12) months following the Change in Control, such Holder shall become fully vested in such continued, assumed or substituted Award immediately upon such Termination of Services.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pursuant to Section 12.2(b)(i)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 xml:space="preserve">For the purposes of this Section 12.2,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Times New Roman" w:hAnsi="Times New Roman"/>
          <w:color w:val="000000"/>
          <w:sz w:val="24"/>
          <w:u w:val="single"/>
        </w:rPr>
        <w:t>provided</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color w:val="000000"/>
          <w:u w:val="single"/>
        </w:rPr>
        <w:t xml:space="preserve"> </w:t>
      </w:r>
      <w:r>
        <w:rPr>
          <w:rFonts w:ascii="Times New Roman" w:hAnsi="Times New Roman"/>
          <w:color w:val="000000"/>
          <w:sz w:val="24"/>
        </w:rPr>
        <w:t>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Administrator, in its sole discretion, may include such further provisions and limitations in any Award, agreement or certificate, as it may deem equitable and in the best interests of the Company that are not inconsistent with the provisions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determined by the Administrator, no adjustment or action described in this Section 12.2 or in any other provision of the Plan shall be authorized to the extent it would (i) cause the Plan to violate Section 422(b)(1) of the Code, (ii) result in short-swing profits liability under Section 16 of the Exchange Act or violate the exemptive conditions of Rule 16b-3 of the Exchange Act, or (iii) cause an Award to fail to be exempt from or comply with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existence of the Plan, any Program, any Award Agreement and/or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Administrator, in its sole discretion, may refuse to permit the exercise of any Award during a period of up to thirty (30 days prior to the consummation of any such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12.03</w:t>
      </w:r>
    </w:p>
    <w:p>
      <w:pPr>
        <w:pStyle w:val="TextBody"/>
        <w:bidi w:val="0"/>
        <w:spacing w:before="0" w:after="240"/>
        <w:jc w:val="both"/>
        <w:rPr/>
      </w:pPr>
      <w:r>
        <w:rPr>
          <w:rFonts w:ascii="Times New Roman" w:hAnsi="Times New Roman"/>
          <w:color w:val="000000"/>
          <w:sz w:val="24"/>
          <w:u w:val="single"/>
        </w:rPr>
        <w:t>Approval of Plan by Stockholders</w:t>
      </w:r>
      <w:r>
        <w:rPr>
          <w:rFonts w:ascii="Times New Roman" w:hAnsi="Times New Roman"/>
          <w:color w:val="000000"/>
          <w:sz w:val="24"/>
        </w:rPr>
        <w:t xml:space="preserve">. The Plan shall be submitted for the approval of the Company’s stockholders within twelve (12) months after the date of the Board’s initial adoption of the Plan to the extent required by Applicable Law. Awards may be granted or awarded prior to such stockholder approval; </w:t>
      </w:r>
      <w:r>
        <w:rPr>
          <w:rFonts w:ascii="Times New Roman" w:hAnsi="Times New Roman"/>
          <w:color w:val="000000"/>
          <w:sz w:val="24"/>
          <w:u w:val="single"/>
        </w:rPr>
        <w:t xml:space="preserve">provided </w:t>
      </w:r>
      <w:r>
        <w:rPr>
          <w:rFonts w:ascii="Times New Roman" w:hAnsi="Times New Roman"/>
          <w:color w:val="000000"/>
          <w:sz w:val="24"/>
        </w:rPr>
        <w:t xml:space="preserve">that such Awards shall not be exercisable, shall not vest and the restrictions thereon shall not lapse and no Shares shall be issued pursuant thereto prior to the time when the Plan is approved by the Company’s stockholders; and </w:t>
      </w:r>
      <w:r>
        <w:rPr>
          <w:rFonts w:ascii="Times New Roman" w:hAnsi="Times New Roman"/>
          <w:color w:val="000000"/>
          <w:sz w:val="24"/>
          <w:u w:val="single"/>
        </w:rPr>
        <w:t>provided</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color w:val="000000"/>
          <w:u w:val="single"/>
        </w:rPr>
        <w:t xml:space="preserve"> </w:t>
      </w:r>
      <w:r>
        <w:rPr>
          <w:rFonts w:ascii="Times New Roman" w:hAnsi="Times New Roman"/>
          <w:color w:val="000000"/>
          <w:sz w:val="24"/>
        </w:rPr>
        <w:t>that if such approval has not been obtained at the end of said twelve (12) month period, all Awards previously granted or awarded under the Plan shall thereupon be canceled and become null and void.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12.04</w:t>
      </w:r>
    </w:p>
    <w:p>
      <w:pPr>
        <w:pStyle w:val="TextBody"/>
        <w:bidi w:val="0"/>
        <w:spacing w:before="0" w:after="240"/>
        <w:jc w:val="both"/>
        <w:rPr/>
      </w:pPr>
      <w:r>
        <w:rPr>
          <w:rFonts w:ascii="Times New Roman" w:hAnsi="Times New Roman"/>
          <w:color w:val="000000"/>
          <w:sz w:val="24"/>
          <w:u w:val="single"/>
        </w:rPr>
        <w:t>No Stockholders Rights</w:t>
      </w:r>
      <w:r>
        <w:rPr>
          <w:rFonts w:ascii="Times New Roman" w:hAnsi="Times New Roman"/>
          <w:color w:val="000000"/>
          <w:sz w:val="24"/>
        </w:rPr>
        <w:t>. Except as otherwise provided herein or in an applicable Program or Award Agreement, a Holder shall have none of the rights of a stockholder with respect to Shares covered by any Award until the Holder becomes the record owner of such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12.05</w:t>
      </w:r>
    </w:p>
    <w:p>
      <w:pPr>
        <w:pStyle w:val="TextBody"/>
        <w:bidi w:val="0"/>
        <w:spacing w:before="0" w:after="240"/>
        <w:jc w:val="both"/>
        <w:rPr/>
      </w:pPr>
      <w:r>
        <w:rPr>
          <w:rFonts w:ascii="Times New Roman" w:hAnsi="Times New Roman"/>
          <w:color w:val="000000"/>
          <w:sz w:val="24"/>
          <w:u w:val="single"/>
        </w:rPr>
        <w:t>Paperless Administration</w:t>
      </w:r>
      <w:r>
        <w:rPr>
          <w:rFonts w:ascii="Times New Roman" w:hAnsi="Times New Roman"/>
          <w:color w:val="000000"/>
          <w:sz w:val="24"/>
        </w:rPr>
        <w:t xml:space="preserve">. In the event that the Company establishes, for itself or using the services of a third party, an automated system for the documentation, granting or exercise of Awards, such as a system using an internet website or interactive voice response, then the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paperless documentation, granting or exercise of Awards by a Holder may be permitted through the use of such an automated system.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12.06</w:t>
      </w:r>
    </w:p>
    <w:p>
      <w:pPr>
        <w:pStyle w:val="TextBody"/>
        <w:bidi w:val="0"/>
        <w:spacing w:before="0" w:after="240"/>
        <w:jc w:val="both"/>
        <w:rPr/>
      </w:pPr>
      <w:r>
        <w:rPr>
          <w:rFonts w:ascii="Times New Roman" w:hAnsi="Times New Roman"/>
          <w:color w:val="000000"/>
          <w:sz w:val="24"/>
          <w:u w:val="single"/>
        </w:rPr>
        <w:t>Effect of Plan upon Other Compensation Plans</w:t>
      </w:r>
      <w:r>
        <w:rPr>
          <w:rFonts w:ascii="Times New Roman" w:hAnsi="Times New Roman"/>
          <w:color w:val="000000"/>
          <w:sz w:val="24"/>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or Consultants of the Company or any Subsidiary,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12.07</w:t>
      </w:r>
    </w:p>
    <w:p>
      <w:pPr>
        <w:pStyle w:val="TextBody"/>
        <w:bidi w:val="0"/>
        <w:spacing w:before="0" w:after="240"/>
        <w:jc w:val="both"/>
        <w:rPr/>
      </w:pPr>
      <w:r>
        <w:rPr>
          <w:rFonts w:ascii="Times New Roman" w:hAnsi="Times New Roman"/>
          <w:color w:val="000000"/>
          <w:sz w:val="24"/>
          <w:u w:val="single"/>
        </w:rPr>
        <w:t>Compliance with Laws</w:t>
      </w:r>
      <w:r>
        <w:rPr>
          <w:rFonts w:ascii="Times New Roman" w:hAnsi="Times New Roman"/>
          <w:color w:val="000000"/>
          <w:sz w:val="24"/>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12.08</w:t>
      </w:r>
    </w:p>
    <w:p>
      <w:pPr>
        <w:pStyle w:val="TextBody"/>
        <w:bidi w:val="0"/>
        <w:spacing w:before="0" w:after="240"/>
        <w:jc w:val="both"/>
        <w:rPr/>
      </w:pPr>
      <w:r>
        <w:rPr>
          <w:rFonts w:ascii="Times New Roman" w:hAnsi="Times New Roman"/>
          <w:color w:val="000000"/>
          <w:sz w:val="24"/>
          <w:u w:val="single"/>
        </w:rPr>
        <w:t>Titles and Headings, References to Sections of the Code or Exchange Act</w:t>
      </w:r>
      <w:r>
        <w:rPr>
          <w:rFonts w:ascii="Times New Roman" w:hAnsi="Times New Roman"/>
          <w:color w:val="000000"/>
          <w:sz w:val="24"/>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12.09</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The Plan and any Programs and Award Agreements hereunder shall be administered, interpreted and enforced under the internal laws of the State of Delaware without regard to conflicts of laws thereof or of any other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12.10</w:t>
      </w:r>
    </w:p>
    <w:p>
      <w:pPr>
        <w:pStyle w:val="TextBody"/>
        <w:bidi w:val="0"/>
        <w:spacing w:before="0" w:after="240"/>
        <w:jc w:val="both"/>
        <w:rPr/>
      </w:pPr>
      <w:r>
        <w:rPr>
          <w:rFonts w:ascii="Times New Roman" w:hAnsi="Times New Roman"/>
          <w:color w:val="000000"/>
          <w:sz w:val="24"/>
          <w:u w:val="single"/>
        </w:rPr>
        <w:t>Section 409A</w:t>
      </w:r>
      <w:r>
        <w:rPr>
          <w:rFonts w:ascii="Times New Roman" w:hAnsi="Times New Roman"/>
          <w:color w:val="000000"/>
          <w:sz w:val="24"/>
        </w:rPr>
        <w:t xml:space="preserve">.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In that regard, to the extent any Award under the Plan or any other compensatory plan or arrangement of the Company or any of its Subsidiaries is subject to Section 409A, and such Award or other amount is payable on account of a Holder’s Termination of Service (or any similarly defined term), then (a) such Award or amount shall only be paid to the extent such Termination of Service qualifies as a “separation from service” as defined in Section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409A, and (b) if such Award or amount is payable to a “specified employee” as defined in Section 409A then to the extent required in order to avoid a prohibited distribution under Section 409A, such Award or other compensatory payment shall not be payable prior to the earlier of (i) the expiration of the six-month period measured from the date of the Holder’s Termination of Service, or (ii) the date of the Holder’s death.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12.10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12.11</w:t>
      </w:r>
    </w:p>
    <w:p>
      <w:pPr>
        <w:pStyle w:val="TextBody"/>
        <w:bidi w:val="0"/>
        <w:spacing w:before="0" w:after="240"/>
        <w:jc w:val="both"/>
        <w:rPr/>
      </w:pPr>
      <w:r>
        <w:rPr>
          <w:rFonts w:ascii="Times New Roman" w:hAnsi="Times New Roman"/>
          <w:color w:val="000000"/>
          <w:sz w:val="24"/>
          <w:u w:val="single"/>
        </w:rPr>
        <w:t>Unfunded Status of Awards</w:t>
      </w:r>
      <w:r>
        <w:rPr>
          <w:rFonts w:ascii="Times New Roman" w:hAnsi="Times New Roman"/>
          <w:color w:val="000000"/>
          <w:sz w:val="24"/>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12.12</w:t>
      </w:r>
    </w:p>
    <w:p>
      <w:pPr>
        <w:pStyle w:val="TextBody"/>
        <w:bidi w:val="0"/>
        <w:spacing w:before="0" w:after="240"/>
        <w:jc w:val="both"/>
        <w:rPr/>
      </w:pPr>
      <w:r>
        <w:rPr>
          <w:rFonts w:ascii="Times New Roman" w:hAnsi="Times New Roman"/>
          <w:color w:val="000000"/>
          <w:sz w:val="24"/>
          <w:u w:val="single"/>
        </w:rPr>
        <w:t>Indemnification</w:t>
      </w:r>
      <w:r>
        <w:rPr>
          <w:rFonts w:ascii="Times New Roman" w:hAnsi="Times New Roman"/>
          <w:color w:val="000000"/>
          <w:sz w:val="24"/>
        </w:rPr>
        <w:t xml:space="preserve">. To the extent permitted under Applicable Law and the Organizational Documents, each member of the Administrator (and each delegate thereof pursuant to Section 11.6)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or any Award Agreement and against and from any and all amounts paid by him or her, with the Board’s approval, in satisfaction of judgment in such action, suit, or proceeding against him or her;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he or she gives the Company an opportunity, at its own expense, to handle and defend the same before he or she undertakes to handle and defend it on his or her own behalf and, once the Company gives notice of its intent to assume such defense, the Company shall have sole control over such defense with counsel of the Company’s choosing. The foregoing right of indemnification shall not be available to the extent that a court of competent jurisdiction in a final judgment or other final adjudication, in either case not subject to further appeal, determines that the acts or omissions of the person seeking indemnity giving rise to the indemnification claim resulted from such person’s bad faith, fraud or willful criminal act or omission.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12.13</w:t>
      </w:r>
    </w:p>
    <w:p>
      <w:pPr>
        <w:pStyle w:val="TextBody"/>
        <w:bidi w:val="0"/>
        <w:spacing w:before="0" w:after="240"/>
        <w:jc w:val="both"/>
        <w:rPr/>
      </w:pPr>
      <w:r>
        <w:rPr>
          <w:rFonts w:ascii="Times New Roman" w:hAnsi="Times New Roman"/>
          <w:color w:val="000000"/>
          <w:sz w:val="24"/>
          <w:u w:val="single"/>
        </w:rPr>
        <w:t>Relationship to Other Benefits</w:t>
      </w:r>
      <w:r>
        <w:rPr>
          <w:rFonts w:ascii="Times New Roman" w:hAnsi="Times New Roman"/>
          <w:color w:val="000000"/>
          <w:sz w:val="24"/>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12.14</w:t>
      </w:r>
    </w:p>
    <w:p>
      <w:pPr>
        <w:pStyle w:val="TextBody"/>
        <w:bidi w:val="0"/>
        <w:spacing w:before="0" w:after="240"/>
        <w:jc w:val="both"/>
        <w:rPr/>
      </w:pPr>
      <w:r>
        <w:rPr>
          <w:rFonts w:ascii="Times New Roman" w:hAnsi="Times New Roman"/>
          <w:color w:val="000000"/>
          <w:sz w:val="24"/>
          <w:u w:val="single"/>
        </w:rPr>
        <w:t>Expenses</w:t>
      </w:r>
      <w:r>
        <w:rPr>
          <w:rFonts w:ascii="Times New Roman" w:hAnsi="Times New Roman"/>
          <w:color w:val="000000"/>
          <w:sz w:val="24"/>
        </w:rPr>
        <w:t>. The expenses of administering the Plan shall be borne by the Company and its Subsidiaries.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 * * *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52" w:name="vrm-ex10_6.htm"/>
      <w:bookmarkStart w:id="53" w:name="ksvrmex10_6"/>
      <w:bookmarkEnd w:id="52"/>
      <w:bookmarkEnd w:id="53"/>
      <w:r>
        <w:rPr>
          <w:rFonts w:ascii="Times New Roman" w:hAnsi="Times New Roman"/>
          <w:b/>
          <w:color w:val="000000"/>
          <w:sz w:val="24"/>
        </w:rPr>
        <w:t>Exhibit 10.6</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AMENDMENT NO. 2 TO CREDIT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AMENDMENT NO. 2 TO CREDIT AGREEMENT (this “</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or the “</w:t>
      </w:r>
      <w:r>
        <w:rPr>
          <w:rFonts w:ascii="Times New Roman" w:hAnsi="Times New Roman"/>
          <w:color w:val="000000"/>
          <w:sz w:val="24"/>
          <w:u w:val="single"/>
        </w:rPr>
        <w:t>Second Amendment</w:t>
      </w:r>
      <w:r>
        <w:rPr>
          <w:rFonts w:ascii="Times New Roman" w:hAnsi="Times New Roman"/>
          <w:color w:val="000000"/>
          <w:sz w:val="20"/>
        </w:rPr>
        <w:t>”</w:t>
      </w:r>
      <w:r>
        <w:rPr>
          <w:rFonts w:ascii="Times New Roman" w:hAnsi="Times New Roman"/>
          <w:color w:val="000000"/>
          <w:sz w:val="24"/>
        </w:rPr>
        <w:t>) is dated as of August 3, 2026, by and among Vroom, Inc., a Delaware corporation, Darkwater Funding, LLC, a Delaware limited liability company (the “</w:t>
      </w:r>
      <w:r>
        <w:rPr>
          <w:rFonts w:ascii="Times New Roman" w:hAnsi="Times New Roman"/>
          <w:color w:val="000000"/>
          <w:sz w:val="24"/>
          <w:u w:val="single"/>
        </w:rPr>
        <w:t>Residual Holder</w:t>
      </w:r>
      <w:r>
        <w:rPr>
          <w:rFonts w:ascii="Times New Roman" w:hAnsi="Times New Roman"/>
          <w:color w:val="000000"/>
          <w:sz w:val="20"/>
        </w:rPr>
        <w:t>”</w:t>
      </w:r>
      <w:r>
        <w:rPr>
          <w:rFonts w:ascii="Times New Roman" w:hAnsi="Times New Roman"/>
          <w:color w:val="000000"/>
          <w:sz w:val="24"/>
        </w:rPr>
        <w:t>), and United Auto Credit Corporation, a California corporation (each, a “</w:t>
      </w:r>
      <w:r>
        <w:rPr>
          <w:rFonts w:ascii="Times New Roman" w:hAnsi="Times New Roman"/>
          <w:color w:val="000000"/>
          <w:sz w:val="24"/>
          <w:u w:val="single"/>
        </w:rPr>
        <w:t>Borrower</w:t>
      </w:r>
      <w:r>
        <w:rPr>
          <w:rFonts w:ascii="Times New Roman" w:hAnsi="Times New Roman"/>
          <w:color w:val="000000"/>
          <w:sz w:val="20"/>
        </w:rPr>
        <w:t xml:space="preserve">” </w:t>
      </w:r>
      <w:r>
        <w:rPr>
          <w:rFonts w:ascii="Times New Roman" w:hAnsi="Times New Roman"/>
          <w:color w:val="000000"/>
          <w:sz w:val="24"/>
        </w:rPr>
        <w:t>and together the “</w:t>
      </w:r>
      <w:r>
        <w:rPr>
          <w:rFonts w:ascii="Times New Roman" w:hAnsi="Times New Roman"/>
          <w:color w:val="000000"/>
          <w:sz w:val="24"/>
          <w:u w:val="single"/>
        </w:rPr>
        <w:t>Borrowers</w:t>
      </w:r>
      <w:r>
        <w:rPr>
          <w:rFonts w:ascii="Times New Roman" w:hAnsi="Times New Roman"/>
          <w:color w:val="000000"/>
          <w:sz w:val="20"/>
        </w:rPr>
        <w:t>”</w:t>
      </w:r>
      <w:r>
        <w:rPr>
          <w:rFonts w:ascii="Times New Roman" w:hAnsi="Times New Roman"/>
          <w:color w:val="000000"/>
          <w:sz w:val="24"/>
        </w:rPr>
        <w:t>), Mudrick Capital Management, L.P., as administrative agent (in such capacity,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and the lenders party hereto (each, a “</w:t>
      </w:r>
      <w:r>
        <w:rPr>
          <w:rFonts w:ascii="Times New Roman" w:hAnsi="Times New Roman"/>
          <w:color w:val="000000"/>
          <w:sz w:val="24"/>
          <w:u w:val="single"/>
        </w:rPr>
        <w:t xml:space="preserve">Lender </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color w:val="000000"/>
          <w:sz w:val="24"/>
          <w:u w:val="single"/>
        </w:rPr>
        <w:t>Lenders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sz w:val="20"/>
        </w:rPr>
      </w:pPr>
      <w:r>
        <w:rPr>
          <w:rFonts w:ascii="Times New Roman" w:hAnsi="Times New Roman"/>
          <w:color w:val="000000"/>
          <w:sz w:val="24"/>
        </w:rPr>
        <w:t>WHEREAS, the parties hereto are party to that certain Loan and Security Agreement, dated as of March 8, 2025, by and among the Borrowers, the Administrative Agent, and the Lenders party thereto (as amended by that certain Amendment No. 1 to Credit Agreement, dated as of October 9, 2025, and as may be further amended, restated, supplemented or otherwise modified from time to time prior to the date hereof, the “</w:t>
      </w:r>
      <w:r>
        <w:rPr>
          <w:rFonts w:ascii="Times New Roman" w:hAnsi="Times New Roman"/>
          <w:color w:val="000000"/>
          <w:sz w:val="24"/>
          <w:u w:val="single"/>
        </w:rPr>
        <w:t>Credit Agreement</w:t>
      </w:r>
      <w:r>
        <w:rPr>
          <w:rFonts w:ascii="Times New Roman" w:hAnsi="Times New Roman"/>
          <w:color w:val="000000"/>
          <w:sz w:val="20"/>
        </w:rPr>
        <w:t xml:space="preserve">” </w:t>
      </w:r>
      <w:r>
        <w:rPr>
          <w:rFonts w:ascii="Times New Roman" w:hAnsi="Times New Roman"/>
          <w:color w:val="000000"/>
          <w:sz w:val="24"/>
        </w:rPr>
        <w:t>and, as amended by this Agreement, the “</w:t>
      </w:r>
      <w:r>
        <w:rPr>
          <w:rFonts w:ascii="Times New Roman" w:hAnsi="Times New Roman"/>
          <w:color w:val="000000"/>
          <w:sz w:val="24"/>
          <w:u w:val="single"/>
        </w:rPr>
        <w:t>Amended Credit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parties hereto wish to amend the definition of “Maturity Date” in the Credit Agreement to extend the maturity of the credit facility to December 31, 2027;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this Agreement constitutes an amendment for purposes of Section 11.1 of the Credit Agreement that will extend the final maturity date and, as such, requires the prior written consent of each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Borrowers, the Administrative Agent and the Lenders party hereto (constituting all of the Lenders under the Credit Agreement) have agreed to the amendments set forth herein on the terms and conditions set forth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for good and valuable consideration, the receipt and sufficiency of which are hereby acknowledged, and for the mutual covenants herein contained, the parties hereto hereby agree as follows: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1.</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 Capitalized terms used but not defined herein shall have the meanings ascribed to such terms in the Credit Agreement. Section references herein refer to the numbered sections of the Credit Agreement, unless stated otherwise in the context.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2.</w:t>
      </w:r>
    </w:p>
    <w:p>
      <w:pPr>
        <w:pStyle w:val="TextBody"/>
        <w:bidi w:val="0"/>
        <w:spacing w:before="0" w:after="240"/>
        <w:jc w:val="both"/>
        <w:rPr/>
      </w:pPr>
      <w:r>
        <w:rPr>
          <w:rFonts w:ascii="Times New Roman" w:hAnsi="Times New Roman"/>
          <w:color w:val="000000"/>
          <w:sz w:val="24"/>
          <w:u w:val="single"/>
        </w:rPr>
        <w:t>Amendments</w:t>
      </w:r>
      <w:r>
        <w:rPr>
          <w:rFonts w:ascii="Times New Roman" w:hAnsi="Times New Roman"/>
          <w:color w:val="000000"/>
          <w:sz w:val="24"/>
        </w:rPr>
        <w:t>. The Credit Agreement is hereby amended as set forth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definition of “Maturity Date” in Section 1.1 of the Credit Agreement is hereby deleted in its entirety and replaced with the following definition:</w:t>
      </w:r>
    </w:p>
    <w:p>
      <w:pPr>
        <w:pStyle w:val="TextBody"/>
        <w:bidi w:val="0"/>
        <w:spacing w:before="0" w:after="240"/>
        <w:jc w:val="both"/>
        <w:rPr/>
      </w:pPr>
      <w:r>
        <w:rPr>
          <w:color w:val="000000"/>
        </w:rPr>
        <w:t>“</w:t>
      </w:r>
      <w:r>
        <w:rPr>
          <w:rFonts w:ascii="Times New Roman" w:hAnsi="Times New Roman"/>
          <w:color w:val="000000"/>
          <w:sz w:val="24"/>
          <w:u w:val="single"/>
        </w:rPr>
        <w:t>Maturity Date</w:t>
      </w:r>
      <w:r>
        <w:rPr>
          <w:rFonts w:ascii="Times New Roman" w:hAnsi="Times New Roman"/>
          <w:color w:val="000000"/>
          <w:sz w:val="20"/>
        </w:rPr>
        <w:t xml:space="preserve">” </w:t>
      </w:r>
      <w:r>
        <w:rPr>
          <w:rFonts w:ascii="Times New Roman" w:hAnsi="Times New Roman"/>
          <w:color w:val="000000"/>
          <w:sz w:val="24"/>
        </w:rPr>
        <w:t>means December 31, 2027.”</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3.</w:t>
      </w:r>
    </w:p>
    <w:p>
      <w:pPr>
        <w:pStyle w:val="TextBody"/>
        <w:bidi w:val="0"/>
        <w:spacing w:before="0" w:after="240"/>
        <w:jc w:val="both"/>
        <w:rPr/>
      </w:pPr>
      <w:r>
        <w:rPr>
          <w:rFonts w:ascii="Times New Roman" w:hAnsi="Times New Roman"/>
          <w:color w:val="000000"/>
          <w:sz w:val="24"/>
          <w:u w:val="single"/>
        </w:rPr>
        <w:t>Representations and Warranties</w:t>
      </w:r>
      <w:r>
        <w:rPr>
          <w:rFonts w:ascii="Times New Roman" w:hAnsi="Times New Roman"/>
          <w:color w:val="000000"/>
          <w:sz w:val="24"/>
        </w:rPr>
        <w:t>. Each Borrower represents and warrants to each of the Lenders and the Administrative Agent that as of the date hereof:</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|US-DOCS\174261170.3||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has been duly authorized, executed and delivered by them and this Agreement and the Amended Credit Agreement constitute their valid and binding obligations, enforceable against them in accordance with their respective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representations and warranties of the Borrowers set forth in the Credit Agreement are true and correct in all material respects (other than to the extent qualified by materiality or “Material Adverse Effect”, in which case, such representations and warranties are true and correct), except in the case of any such representations and warranties that expressly relate to an earlier date, in which case such representations and warranties are true and correct in all material respects (other than to the extent qualified by materiality or “Material Adverse Effect”, in which case such representations and warranties are true and correct) on and as of such earlier date;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Default or Event of Default has occurred and is continuing.</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4.</w:t>
      </w:r>
    </w:p>
    <w:p>
      <w:pPr>
        <w:pStyle w:val="TextBody"/>
        <w:bidi w:val="0"/>
        <w:spacing w:before="0" w:after="240"/>
        <w:jc w:val="both"/>
        <w:rPr/>
      </w:pPr>
      <w:r>
        <w:rPr>
          <w:rFonts w:ascii="Times New Roman" w:hAnsi="Times New Roman"/>
          <w:color w:val="000000"/>
          <w:sz w:val="24"/>
          <w:u w:val="single"/>
        </w:rPr>
        <w:t>Security Reaffirmation</w:t>
      </w:r>
      <w:r>
        <w:rPr>
          <w:rFonts w:ascii="Times New Roman" w:hAnsi="Times New Roman"/>
          <w:color w:val="000000"/>
          <w:sz w:val="24"/>
        </w:rPr>
        <w:t>. The Residual Holder hereby reaffirms its grant to the Administrative Agent, for the benefit of the Secured Parties, of a continuing security interest in, and a right to set off against, any and all right, title and interest of the Residual Holder in and to the Collateral, whether now owned or existing or owned, acquired or arising hereafter, and all proceeds and products thereof, to secure the prompt payment and performance in full when due, whether by lapse of time, acceleration or otherwise of the Obligations, pursuant to the Credit Agreement. The execution and delivery of this Agreement shall constitute an amendment, but not a novation, of the Obligations and the pledge of the Collateral made by the Residual Holder thereunder to the Administrative Agent. The Residual Holder hereby reaffirms all UCC financing statements and continuation statements and amendments thereof filed and all other filings and recordations made in respect of the Collateral and the Liens and security interests granted under the Credit Agreement and this Agreement and acknowledges that all such filings and recordations were and remain authorized and effective on and after the date hereof.</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5.</w:t>
      </w:r>
    </w:p>
    <w:p>
      <w:pPr>
        <w:pStyle w:val="TextBody"/>
        <w:bidi w:val="0"/>
        <w:spacing w:before="0" w:after="240"/>
        <w:jc w:val="both"/>
        <w:rPr/>
      </w:pPr>
      <w:r>
        <w:rPr>
          <w:rFonts w:ascii="Times New Roman" w:hAnsi="Times New Roman"/>
          <w:color w:val="000000"/>
          <w:sz w:val="24"/>
          <w:u w:val="single"/>
        </w:rPr>
        <w:t>No Further Modification; Ratification</w:t>
      </w:r>
      <w:r>
        <w:rPr>
          <w:rFonts w:ascii="Times New Roman" w:hAnsi="Times New Roman"/>
          <w:color w:val="000000"/>
          <w:sz w:val="24"/>
        </w:rPr>
        <w:t>. Except as expressly amended, modified or waived in this Agreement, all of the terms, covenants, provisions, agreements and conditions of the Credit Agreement are hereby ratified and confirmed in every respect and shall remain unmodified and unchanged and shall continue in full force and effect. The Credit Agreement, as amended by this Agreement, is hereby ratified and confirmed. This Agreement shall constitute a “Transaction Document” for purposes of the Amended Credit Agreement.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6.</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any number of counterparts and by different parties hereto in separate counterparts, each of which when so executed shall be deemed to be an original and all of which when taken together shall constitute one and the same agreement.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7.</w:t>
      </w:r>
    </w:p>
    <w:p>
      <w:pPr>
        <w:pStyle w:val="TextBody"/>
        <w:bidi w:val="0"/>
        <w:spacing w:before="0" w:after="240"/>
        <w:jc w:val="both"/>
        <w:rPr/>
      </w:pPr>
      <w:r>
        <w:rPr>
          <w:rFonts w:ascii="Times New Roman" w:hAnsi="Times New Roman"/>
          <w:color w:val="000000"/>
          <w:sz w:val="24"/>
          <w:u w:val="single"/>
        </w:rPr>
        <w:t>Electronic Execution</w:t>
      </w:r>
      <w:r>
        <w:rPr>
          <w:rFonts w:ascii="Times New Roman" w:hAnsi="Times New Roman"/>
          <w:color w:val="000000"/>
          <w:sz w:val="24"/>
        </w:rPr>
        <w:t xml:space="preserve">. The words “execution”, “executed”, “signed”, “signature”, and words of like import in this Agreement and the other Transaction Documents shall be deemed to include electronic signatures or electronic records, each of which shall be of the same legal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16"/>
        </w:rPr>
      </w:pPr>
      <w:r>
        <w:rPr>
          <w:rFonts w:ascii="Times New Roman" w:hAnsi="Times New Roman"/>
          <w:color w:val="000000"/>
          <w:sz w:val="16"/>
        </w:rPr>
        <w:t>|US-DOCS\174261170.3||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8.</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9.</w:t>
      </w:r>
    </w:p>
    <w:p>
      <w:pPr>
        <w:pStyle w:val="TextBody"/>
        <w:bidi w:val="0"/>
        <w:spacing w:before="0" w:after="240"/>
        <w:jc w:val="both"/>
        <w:rPr/>
      </w:pPr>
      <w:r>
        <w:rPr>
          <w:rFonts w:ascii="Times New Roman" w:hAnsi="Times New Roman"/>
          <w:color w:val="000000"/>
          <w:sz w:val="24"/>
          <w:u w:val="single"/>
        </w:rPr>
        <w:t>Integration</w:t>
      </w:r>
      <w:r>
        <w:rPr>
          <w:rFonts w:ascii="Times New Roman" w:hAnsi="Times New Roman"/>
          <w:color w:val="000000"/>
          <w:sz w:val="24"/>
        </w:rPr>
        <w:t>. 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 contemplated hereby.</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10.</w:t>
      </w:r>
    </w:p>
    <w:p>
      <w:pPr>
        <w:pStyle w:val="TextBody"/>
        <w:bidi w:val="0"/>
        <w:spacing w:before="0" w:after="240"/>
        <w:jc w:val="both"/>
        <w:rPr/>
      </w:pPr>
      <w:r>
        <w:rPr>
          <w:rFonts w:ascii="Times New Roman" w:hAnsi="Times New Roman"/>
          <w:color w:val="000000"/>
          <w:sz w:val="24"/>
          <w:u w:val="single"/>
        </w:rPr>
        <w:t>GOVERNING LAW; CONSENT TO JURISDICTION; WAIVER OF</w:t>
      </w:r>
      <w:r>
        <w:rPr>
          <w:color w:val="000000"/>
        </w:rPr>
        <w:t xml:space="preserve"> </w:t>
      </w:r>
      <w:r>
        <w:rPr>
          <w:rFonts w:ascii="Times New Roman" w:hAnsi="Times New Roman"/>
          <w:color w:val="000000"/>
          <w:sz w:val="24"/>
          <w:u w:val="single"/>
        </w:rPr>
        <w:t>OBJECTION TO VENUE</w:t>
      </w:r>
      <w:r>
        <w:rPr>
          <w:rFonts w:ascii="Times New Roman" w:hAnsi="Times New Roman"/>
          <w:color w:val="000000"/>
          <w:sz w:val="24"/>
        </w:rPr>
        <w:t>. THIS AGREEMENT SHALL BE GOVERNED BY, AND CONSTRUED IN ACCORDANCE WITH, THE LAWS OF THE STATE OF NEW YORK (WITHOUT REFERENCE TO ITS CONFLICT OF LAWS PROVISIONS (OTHER THAN §§5 1401 AND 5 1402 OF THE NEW YORK GENERAL OBLIGATIONS LAW)). EACH OF THE PARTIES HERETO HEREBY AGREES TO THE JURISDICTION OF THE COURTS OF THE STATE OF NEW YORK, LOCATED IN THE BOROUGH OF MANHATTAN AND THE FEDERAL COURTS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11.</w:t>
      </w:r>
    </w:p>
    <w:p>
      <w:pPr>
        <w:pStyle w:val="TextBody"/>
        <w:bidi w:val="0"/>
        <w:spacing w:before="0" w:after="240"/>
        <w:jc w:val="both"/>
        <w:rPr/>
      </w:pPr>
      <w:r>
        <w:rPr>
          <w:rFonts w:ascii="Times New Roman" w:hAnsi="Times New Roman"/>
          <w:color w:val="000000"/>
          <w:sz w:val="24"/>
          <w:u w:val="single"/>
        </w:rPr>
        <w:t>WAIVER OF JURY TRIAL</w:t>
      </w:r>
      <w:r>
        <w:rPr>
          <w:rFonts w:ascii="Times New Roman" w:hAnsi="Times New Roman"/>
          <w:color w:val="000000"/>
          <w:sz w:val="24"/>
        </w:rPr>
        <w:t>. 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Pages Follow</w:t>
      </w:r>
      <w:r>
        <w:rPr>
          <w:rFonts w:ascii="Times New Roman" w:hAnsi="Times New Roman"/>
          <w:color w:val="000000"/>
          <w:sz w:val="24"/>
        </w:rPr>
        <w:t>]</w:t>
      </w:r>
    </w:p>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both"/>
        <w:rPr>
          <w:rFonts w:ascii="Times New Roman" w:hAnsi="Times New Roman"/>
          <w:color w:val="000000"/>
          <w:sz w:val="16"/>
        </w:rPr>
      </w:pPr>
      <w:r>
        <w:rPr>
          <w:rFonts w:ascii="Times New Roman" w:hAnsi="Times New Roman"/>
          <w:color w:val="000000"/>
          <w:sz w:val="16"/>
        </w:rPr>
        <w:t>|US-DOCS\174261170.3||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IN WITNESS WHEREOF, the parties have caused this Agreement to be executed by their duly authorized officers as of the date first above written.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The Borrowers</w:t>
      </w:r>
    </w:p>
    <w:tbl>
      <w:tblPr>
        <w:tblW w:w="10205" w:type="dxa"/>
        <w:jc w:val="left"/>
        <w:tblInd w:w="0" w:type="dxa"/>
        <w:tblLayout w:type="fixed"/>
        <w:tblCellMar>
          <w:top w:w="28" w:type="dxa"/>
          <w:left w:w="28" w:type="dxa"/>
          <w:bottom w:w="28" w:type="dxa"/>
          <w:right w:w="28" w:type="dxa"/>
        </w:tblCellMar>
      </w:tblPr>
      <w:tblGrid>
        <w:gridCol w:w="5611"/>
        <w:gridCol w:w="4594"/>
      </w:tblGrid>
      <w:tr>
        <w:trPr/>
        <w:tc>
          <w:tcPr>
            <w:tcW w:w="5611" w:type="dxa"/>
            <w:tcBorders/>
            <w:vAlign w:val="center"/>
          </w:tcPr>
          <w:p>
            <w:pPr>
              <w:pStyle w:val="TableContents"/>
              <w:bidi w:val="0"/>
              <w:spacing w:before="0" w:after="283"/>
              <w:jc w:val="left"/>
              <w:rPr>
                <w:sz w:val="4"/>
                <w:szCs w:val="4"/>
              </w:rPr>
            </w:pPr>
            <w:r>
              <w:rPr>
                <w:sz w:val="4"/>
                <w:szCs w:val="4"/>
              </w:rPr>
            </w:r>
          </w:p>
        </w:tc>
        <w:tc>
          <w:tcPr>
            <w:tcW w:w="4594" w:type="dxa"/>
            <w:tcBorders/>
            <w:vAlign w:val="center"/>
          </w:tcPr>
          <w:p>
            <w:pPr>
              <w:pStyle w:val="TableContents"/>
              <w:bidi w:val="0"/>
              <w:spacing w:before="0" w:after="283"/>
              <w:jc w:val="left"/>
              <w:rPr>
                <w:sz w:val="4"/>
                <w:szCs w:val="4"/>
              </w:rPr>
            </w:pPr>
            <w:r>
              <w:rPr>
                <w:sz w:val="4"/>
                <w:szCs w:val="4"/>
              </w:rPr>
            </w:r>
          </w:p>
        </w:tc>
      </w:tr>
      <w:tr>
        <w:trPr/>
        <w:tc>
          <w:tcPr>
            <w:tcW w:w="5611" w:type="dxa"/>
            <w:tcBorders/>
            <w:tcMar>
              <w:top w:w="0" w:type="dxa"/>
              <w:left w:w="0" w:type="dxa"/>
              <w:bottom w:w="0" w:type="dxa"/>
              <w:right w:w="0" w:type="dxa"/>
            </w:tcMar>
            <w:vAlign w:val="center"/>
          </w:tcPr>
          <w:p>
            <w:pPr>
              <w:pStyle w:val="TableContents"/>
              <w:bidi w:val="0"/>
              <w:spacing w:before="0" w:after="480"/>
              <w:jc w:val="left"/>
              <w:rPr>
                <w:rFonts w:ascii="Times New Roman" w:hAnsi="Times New Roman"/>
                <w:b/>
                <w:color w:val="000000"/>
                <w:sz w:val="24"/>
              </w:rPr>
            </w:pPr>
            <w:r>
              <w:rPr>
                <w:rFonts w:ascii="Times New Roman" w:hAnsi="Times New Roman"/>
                <w:b/>
                <w:color w:val="000000"/>
                <w:sz w:val="24"/>
              </w:rPr>
              <w:t>VROOM, INC., as Borrower</w:t>
            </w:r>
          </w:p>
        </w:tc>
        <w:tc>
          <w:tcPr>
            <w:tcW w:w="4594" w:type="dxa"/>
            <w:tcBorders/>
            <w:tcMar>
              <w:top w:w="0" w:type="dxa"/>
              <w:left w:w="0" w:type="dxa"/>
              <w:bottom w:w="0" w:type="dxa"/>
              <w:right w:w="0" w:type="dxa"/>
            </w:tcMar>
            <w:vAlign w:val="center"/>
          </w:tcPr>
          <w:p>
            <w:pPr>
              <w:pStyle w:val="TableContents"/>
              <w:bidi w:val="0"/>
              <w:spacing w:before="0" w:after="480"/>
              <w:jc w:val="left"/>
              <w:rPr>
                <w:rFonts w:ascii="Times New Roman" w:hAnsi="Times New Roman"/>
                <w:b/>
                <w:color w:val="000000"/>
                <w:sz w:val="24"/>
              </w:rPr>
            </w:pPr>
            <w:r>
              <w:rPr>
                <w:rFonts w:ascii="Times New Roman" w:hAnsi="Times New Roman"/>
                <w:b/>
                <w:color w:val="000000"/>
                <w:sz w:val="24"/>
              </w:rPr>
              <w:t>DARKWATER FUNDING, LLC, as Borrower</w:t>
            </w:r>
          </w:p>
        </w:tc>
      </w:tr>
      <w:tr>
        <w:trPr/>
        <w:tc>
          <w:tcPr>
            <w:tcW w:w="5611" w:type="dxa"/>
            <w:tcBorders/>
            <w:tcMar>
              <w:top w:w="0" w:type="dxa"/>
              <w:left w:w="0" w:type="dxa"/>
              <w:bottom w:w="0" w:type="dxa"/>
              <w:right w:w="0" w:type="dxa"/>
            </w:tcMar>
            <w:vAlign w:val="center"/>
          </w:tcPr>
          <w:p>
            <w:pPr>
              <w:pStyle w:val="TableContents"/>
              <w:bidi w:val="0"/>
              <w:spacing w:before="240" w:after="48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Jonathan Sandison </w:t>
              <w:br/>
            </w:r>
            <w:r>
              <w:rPr>
                <w:rFonts w:ascii="Times New Roman" w:hAnsi="Times New Roman"/>
                <w:color w:val="000000"/>
                <w:sz w:val="24"/>
              </w:rPr>
              <w:t xml:space="preserve">Name: </w:t>
            </w:r>
            <w:r>
              <w:rPr>
                <w:rFonts w:ascii="Times New Roman" w:hAnsi="Times New Roman"/>
                <w:color w:val="000000"/>
                <w:sz w:val="24"/>
                <w:u w:val="single"/>
              </w:rPr>
              <w:t xml:space="preserve">Jonathan Sandison </w:t>
              <w:br/>
            </w:r>
            <w:r>
              <w:rPr>
                <w:rFonts w:ascii="Times New Roman" w:hAnsi="Times New Roman"/>
                <w:color w:val="000000"/>
                <w:sz w:val="24"/>
              </w:rPr>
              <w:t>Title:</w:t>
            </w:r>
            <w:r>
              <w:rPr>
                <w:rFonts w:ascii="Times New Roman" w:hAnsi="Times New Roman"/>
                <w:color w:val="000000"/>
                <w:sz w:val="24"/>
                <w:u w:val="single"/>
              </w:rPr>
              <w:t> Chief Financial Officer</w:t>
            </w:r>
          </w:p>
        </w:tc>
        <w:tc>
          <w:tcPr>
            <w:tcW w:w="4594" w:type="dxa"/>
            <w:tcBorders/>
            <w:tcMar>
              <w:top w:w="0" w:type="dxa"/>
              <w:left w:w="0" w:type="dxa"/>
              <w:bottom w:w="0" w:type="dxa"/>
              <w:right w:w="0" w:type="dxa"/>
            </w:tcMar>
            <w:vAlign w:val="center"/>
          </w:tcPr>
          <w:p>
            <w:pPr>
              <w:pStyle w:val="TableContents"/>
              <w:bidi w:val="0"/>
              <w:spacing w:before="240" w:after="48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Jonathan Sandison </w:t>
              <w:br/>
            </w:r>
            <w:r>
              <w:rPr>
                <w:rFonts w:ascii="Times New Roman" w:hAnsi="Times New Roman"/>
                <w:color w:val="000000"/>
                <w:sz w:val="24"/>
              </w:rPr>
              <w:t xml:space="preserve">Name: </w:t>
            </w:r>
            <w:r>
              <w:rPr>
                <w:rFonts w:ascii="Times New Roman" w:hAnsi="Times New Roman"/>
                <w:color w:val="000000"/>
                <w:sz w:val="24"/>
                <w:u w:val="single"/>
              </w:rPr>
              <w:t xml:space="preserve">Jonathan Sandison </w:t>
              <w:br/>
            </w:r>
            <w:r>
              <w:rPr>
                <w:rFonts w:ascii="Times New Roman" w:hAnsi="Times New Roman"/>
                <w:color w:val="000000"/>
                <w:sz w:val="24"/>
              </w:rPr>
              <w:t>Title:</w:t>
            </w:r>
            <w:r>
              <w:rPr>
                <w:rFonts w:ascii="Times New Roman" w:hAnsi="Times New Roman"/>
                <w:color w:val="000000"/>
                <w:sz w:val="24"/>
                <w:u w:val="single"/>
              </w:rPr>
              <w:t> Chief Financial Officer</w:t>
            </w:r>
          </w:p>
        </w:tc>
      </w:tr>
      <w:tr>
        <w:trPr/>
        <w:tc>
          <w:tcPr>
            <w:tcW w:w="5611" w:type="dxa"/>
            <w:tcBorders/>
            <w:tcMar>
              <w:top w:w="0" w:type="dxa"/>
              <w:left w:w="0" w:type="dxa"/>
              <w:bottom w:w="0" w:type="dxa"/>
              <w:right w:w="0" w:type="dxa"/>
            </w:tcMar>
            <w:vAlign w:val="center"/>
          </w:tcPr>
          <w:p>
            <w:pPr>
              <w:pStyle w:val="TableContents"/>
              <w:bidi w:val="0"/>
              <w:spacing w:before="0" w:after="480"/>
              <w:jc w:val="left"/>
              <w:rPr>
                <w:rFonts w:ascii="Times New Roman" w:hAnsi="Times New Roman"/>
                <w:b/>
                <w:color w:val="000000"/>
                <w:sz w:val="24"/>
              </w:rPr>
            </w:pPr>
            <w:r>
              <w:rPr>
                <w:rFonts w:ascii="Times New Roman" w:hAnsi="Times New Roman"/>
                <w:b/>
                <w:color w:val="000000"/>
                <w:sz w:val="24"/>
              </w:rPr>
              <w:t>UNITED AUTO CREDIT CORPORATION, as Borrower</w:t>
            </w:r>
          </w:p>
        </w:tc>
        <w:tc>
          <w:tcPr>
            <w:tcW w:w="4594" w:type="dxa"/>
            <w:tcBorders/>
            <w:tcMar>
              <w:top w:w="0" w:type="dxa"/>
              <w:left w:w="0" w:type="dxa"/>
              <w:bottom w:w="0" w:type="dxa"/>
              <w:right w:w="0" w:type="dxa"/>
            </w:tcMar>
            <w:vAlign w:val="center"/>
          </w:tcPr>
          <w:p>
            <w:pPr>
              <w:pStyle w:val="TableContents"/>
              <w:bidi w:val="0"/>
              <w:spacing w:before="0" w:after="480"/>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240" w:after="48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Jonathan Sandison </w:t>
              <w:br/>
            </w:r>
            <w:r>
              <w:rPr>
                <w:rFonts w:ascii="Times New Roman" w:hAnsi="Times New Roman"/>
                <w:color w:val="000000"/>
                <w:sz w:val="24"/>
              </w:rPr>
              <w:t xml:space="preserve">Name: </w:t>
            </w:r>
            <w:r>
              <w:rPr>
                <w:rFonts w:ascii="Times New Roman" w:hAnsi="Times New Roman"/>
                <w:color w:val="000000"/>
                <w:sz w:val="24"/>
                <w:u w:val="single"/>
              </w:rPr>
              <w:t xml:space="preserve">Jonathan Sandison </w:t>
              <w:br/>
            </w:r>
            <w:r>
              <w:rPr>
                <w:rFonts w:ascii="Times New Roman" w:hAnsi="Times New Roman"/>
                <w:color w:val="000000"/>
                <w:sz w:val="24"/>
              </w:rPr>
              <w:t>Title:</w:t>
            </w:r>
            <w:r>
              <w:rPr>
                <w:rFonts w:ascii="Times New Roman" w:hAnsi="Times New Roman"/>
                <w:color w:val="000000"/>
                <w:sz w:val="24"/>
                <w:u w:val="single"/>
              </w:rPr>
              <w:t> Chief Financial Officer</w:t>
            </w:r>
          </w:p>
        </w:tc>
        <w:tc>
          <w:tcPr>
            <w:tcW w:w="4594" w:type="dxa"/>
            <w:tcBorders/>
            <w:tcMar>
              <w:top w:w="0" w:type="dxa"/>
              <w:left w:w="0" w:type="dxa"/>
              <w:bottom w:w="0" w:type="dxa"/>
              <w:right w:w="0" w:type="dxa"/>
            </w:tcMar>
            <w:vAlign w:val="center"/>
          </w:tcPr>
          <w:p>
            <w:pPr>
              <w:pStyle w:val="TableContents"/>
              <w:bidi w:val="0"/>
              <w:spacing w:before="240" w:after="480"/>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Amendment No. 2 to Credit Agreement</w:t>
      </w:r>
      <w:r>
        <w:rPr>
          <w:rFonts w:ascii="Times New Roman" w:hAnsi="Times New Roman"/>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480"/>
        <w:jc w:val="both"/>
        <w:rPr>
          <w:rFonts w:ascii="Times New Roman" w:hAnsi="Times New Roman"/>
          <w:b/>
          <w:color w:val="000000"/>
          <w:sz w:val="24"/>
        </w:rPr>
      </w:pPr>
      <w:r>
        <w:rPr>
          <w:rFonts w:ascii="Times New Roman" w:hAnsi="Times New Roman"/>
          <w:b/>
          <w:color w:val="000000"/>
          <w:sz w:val="24"/>
        </w:rPr>
        <w:t>MUDRICK CAPITAL MANAGEMENT, L.P., as Administrative Agent</w:t>
      </w:r>
    </w:p>
    <w:tbl>
      <w:tblPr>
        <w:tblW w:w="3057" w:type="dxa"/>
        <w:jc w:val="left"/>
        <w:tblInd w:w="0" w:type="dxa"/>
        <w:tblLayout w:type="fixed"/>
        <w:tblCellMar>
          <w:top w:w="28" w:type="dxa"/>
          <w:left w:w="28" w:type="dxa"/>
          <w:bottom w:w="28" w:type="dxa"/>
          <w:right w:w="28" w:type="dxa"/>
        </w:tblCellMar>
      </w:tblPr>
      <w:tblGrid>
        <w:gridCol w:w="2866"/>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240" w:after="48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Glenn Springer </w:t>
              <w:br/>
            </w:r>
            <w:r>
              <w:rPr>
                <w:rFonts w:ascii="Times New Roman" w:hAnsi="Times New Roman"/>
                <w:color w:val="000000"/>
                <w:sz w:val="24"/>
              </w:rPr>
              <w:t xml:space="preserve">Name: </w:t>
            </w:r>
            <w:r>
              <w:rPr>
                <w:rFonts w:ascii="Times New Roman" w:hAnsi="Times New Roman"/>
                <w:color w:val="000000"/>
                <w:sz w:val="24"/>
                <w:u w:val="single"/>
              </w:rPr>
              <w:t xml:space="preserve">Glenn Springer </w:t>
              <w:br/>
            </w:r>
            <w:r>
              <w:rPr>
                <w:rFonts w:ascii="Times New Roman" w:hAnsi="Times New Roman"/>
                <w:color w:val="000000"/>
                <w:sz w:val="24"/>
              </w:rPr>
              <w:t xml:space="preserve">Title: </w:t>
            </w:r>
            <w:r>
              <w:rPr>
                <w:rFonts w:ascii="Times New Roman" w:hAnsi="Times New Roman"/>
                <w:color w:val="000000"/>
                <w:sz w:val="24"/>
                <w:u w:val="single"/>
              </w:rPr>
              <w:t>Chief Financial Officer</w:t>
            </w:r>
          </w:p>
        </w:tc>
        <w:tc>
          <w:tcPr>
            <w:tcW w:w="191" w:type="dxa"/>
            <w:tcBorders/>
            <w:tcMar>
              <w:top w:w="0" w:type="dxa"/>
              <w:left w:w="0" w:type="dxa"/>
              <w:bottom w:w="0" w:type="dxa"/>
              <w:right w:w="0" w:type="dxa"/>
            </w:tcMar>
            <w:vAlign w:val="center"/>
          </w:tcPr>
          <w:p>
            <w:pPr>
              <w:pStyle w:val="TableContents"/>
              <w:bidi w:val="0"/>
              <w:spacing w:before="240" w:after="480"/>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Amendment No. 2 to Credit Agreement</w:t>
      </w:r>
      <w:r>
        <w:rPr>
          <w:rFonts w:ascii="Times New Roman" w:hAnsi="Times New Roman"/>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480"/>
        <w:jc w:val="left"/>
        <w:rPr>
          <w:rFonts w:ascii="Times New Roman" w:hAnsi="Times New Roman"/>
          <w:sz w:val="20"/>
        </w:rPr>
      </w:pPr>
      <w:r>
        <w:rPr>
          <w:rFonts w:ascii="Times New Roman" w:hAnsi="Times New Roman"/>
          <w:b/>
          <w:color w:val="000000"/>
          <w:sz w:val="24"/>
        </w:rPr>
        <w:t xml:space="preserve">BLACKWELL PARTNERS LLC </w:t>
      </w:r>
      <w:r>
        <w:rPr>
          <w:rFonts w:ascii="Times New Roman" w:hAnsi="Times New Roman"/>
          <w:color w:val="000000"/>
          <w:sz w:val="24"/>
        </w:rPr>
        <w:t xml:space="preserve">- </w:t>
      </w:r>
      <w:r>
        <w:rPr>
          <w:rFonts w:ascii="Times New Roman" w:hAnsi="Times New Roman"/>
          <w:b/>
          <w:color w:val="000000"/>
          <w:sz w:val="24"/>
        </w:rPr>
        <w:t>SERIES A, as a Lender</w:t>
        <w:br/>
      </w:r>
      <w:r>
        <w:rPr>
          <w:rFonts w:ascii="Times New Roman" w:hAnsi="Times New Roman"/>
          <w:color w:val="000000"/>
          <w:sz w:val="24"/>
        </w:rPr>
        <w:t>By: Mudrick Capital Management, L.P., its Investment Manager</w:t>
      </w:r>
    </w:p>
    <w:tbl>
      <w:tblPr>
        <w:tblW w:w="3057" w:type="dxa"/>
        <w:jc w:val="left"/>
        <w:tblInd w:w="0" w:type="dxa"/>
        <w:tblLayout w:type="fixed"/>
        <w:tblCellMar>
          <w:top w:w="28" w:type="dxa"/>
          <w:left w:w="28" w:type="dxa"/>
          <w:bottom w:w="28" w:type="dxa"/>
          <w:right w:w="28" w:type="dxa"/>
        </w:tblCellMar>
      </w:tblPr>
      <w:tblGrid>
        <w:gridCol w:w="2866"/>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240" w:after="48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Glenn Springer </w:t>
              <w:br/>
            </w:r>
            <w:r>
              <w:rPr>
                <w:rFonts w:ascii="Times New Roman" w:hAnsi="Times New Roman"/>
                <w:color w:val="000000"/>
                <w:sz w:val="24"/>
              </w:rPr>
              <w:t xml:space="preserve">Name: </w:t>
            </w:r>
            <w:r>
              <w:rPr>
                <w:rFonts w:ascii="Times New Roman" w:hAnsi="Times New Roman"/>
                <w:color w:val="000000"/>
                <w:sz w:val="24"/>
                <w:u w:val="single"/>
              </w:rPr>
              <w:t xml:space="preserve">Glenn Springer </w:t>
              <w:br/>
            </w:r>
            <w:r>
              <w:rPr>
                <w:rFonts w:ascii="Times New Roman" w:hAnsi="Times New Roman"/>
                <w:color w:val="000000"/>
                <w:sz w:val="24"/>
              </w:rPr>
              <w:t xml:space="preserve">Title: </w:t>
            </w:r>
            <w:r>
              <w:rPr>
                <w:rFonts w:ascii="Times New Roman" w:hAnsi="Times New Roman"/>
                <w:color w:val="000000"/>
                <w:sz w:val="24"/>
                <w:u w:val="single"/>
              </w:rPr>
              <w:t>Chief Financial Officer</w:t>
            </w:r>
          </w:p>
        </w:tc>
        <w:tc>
          <w:tcPr>
            <w:tcW w:w="191" w:type="dxa"/>
            <w:tcBorders/>
            <w:tcMar>
              <w:top w:w="0" w:type="dxa"/>
              <w:left w:w="0" w:type="dxa"/>
              <w:bottom w:w="0" w:type="dxa"/>
              <w:right w:w="0" w:type="dxa"/>
            </w:tcMar>
            <w:vAlign w:val="center"/>
          </w:tcPr>
          <w:p>
            <w:pPr>
              <w:pStyle w:val="TableContents"/>
              <w:bidi w:val="0"/>
              <w:spacing w:before="240" w:after="480"/>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Amendment No. 2 to Credit Agreement</w:t>
      </w:r>
      <w:r>
        <w:rPr>
          <w:rFonts w:ascii="Times New Roman" w:hAnsi="Times New Roman"/>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480"/>
        <w:jc w:val="left"/>
        <w:rPr>
          <w:rFonts w:ascii="Times New Roman" w:hAnsi="Times New Roman"/>
          <w:sz w:val="20"/>
        </w:rPr>
      </w:pPr>
      <w:r>
        <w:rPr>
          <w:rFonts w:ascii="Times New Roman" w:hAnsi="Times New Roman"/>
          <w:b/>
          <w:color w:val="000000"/>
          <w:sz w:val="24"/>
        </w:rPr>
        <w:t>BOSTON PATRIOT BATTERYMARCH ST LLC, as a Lender</w:t>
        <w:br/>
      </w:r>
      <w:r>
        <w:rPr>
          <w:rFonts w:ascii="Times New Roman" w:hAnsi="Times New Roman"/>
          <w:color w:val="000000"/>
          <w:sz w:val="24"/>
        </w:rPr>
        <w:t>By: Mudrick Capital Management, L.P., its Investment Manager</w:t>
      </w:r>
    </w:p>
    <w:tbl>
      <w:tblPr>
        <w:tblW w:w="3057" w:type="dxa"/>
        <w:jc w:val="left"/>
        <w:tblInd w:w="0" w:type="dxa"/>
        <w:tblLayout w:type="fixed"/>
        <w:tblCellMar>
          <w:top w:w="28" w:type="dxa"/>
          <w:left w:w="28" w:type="dxa"/>
          <w:bottom w:w="28" w:type="dxa"/>
          <w:right w:w="28" w:type="dxa"/>
        </w:tblCellMar>
      </w:tblPr>
      <w:tblGrid>
        <w:gridCol w:w="2866"/>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240" w:after="48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Glenn Springer </w:t>
              <w:br/>
            </w:r>
            <w:r>
              <w:rPr>
                <w:rFonts w:ascii="Times New Roman" w:hAnsi="Times New Roman"/>
                <w:color w:val="000000"/>
                <w:sz w:val="24"/>
              </w:rPr>
              <w:t xml:space="preserve">Name: </w:t>
            </w:r>
            <w:r>
              <w:rPr>
                <w:rFonts w:ascii="Times New Roman" w:hAnsi="Times New Roman"/>
                <w:color w:val="000000"/>
                <w:sz w:val="24"/>
                <w:u w:val="single"/>
              </w:rPr>
              <w:t xml:space="preserve">Glenn Springer </w:t>
              <w:br/>
            </w:r>
            <w:r>
              <w:rPr>
                <w:rFonts w:ascii="Times New Roman" w:hAnsi="Times New Roman"/>
                <w:color w:val="000000"/>
                <w:sz w:val="24"/>
              </w:rPr>
              <w:t xml:space="preserve">Title: </w:t>
            </w:r>
            <w:r>
              <w:rPr>
                <w:rFonts w:ascii="Times New Roman" w:hAnsi="Times New Roman"/>
                <w:color w:val="000000"/>
                <w:sz w:val="24"/>
                <w:u w:val="single"/>
              </w:rPr>
              <w:t>Chief Financial Officer</w:t>
            </w:r>
          </w:p>
        </w:tc>
        <w:tc>
          <w:tcPr>
            <w:tcW w:w="191" w:type="dxa"/>
            <w:tcBorders/>
            <w:tcMar>
              <w:top w:w="0" w:type="dxa"/>
              <w:left w:w="0" w:type="dxa"/>
              <w:bottom w:w="0" w:type="dxa"/>
              <w:right w:w="0" w:type="dxa"/>
            </w:tcMar>
            <w:vAlign w:val="center"/>
          </w:tcPr>
          <w:p>
            <w:pPr>
              <w:pStyle w:val="TableContents"/>
              <w:bidi w:val="0"/>
              <w:spacing w:before="240" w:after="480"/>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Amendment No. 2 to Credit Agreement</w:t>
      </w:r>
      <w:r>
        <w:rPr>
          <w:rFonts w:ascii="Times New Roman" w:hAnsi="Times New Roman"/>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480"/>
        <w:jc w:val="left"/>
        <w:rPr>
          <w:rFonts w:ascii="Times New Roman" w:hAnsi="Times New Roman"/>
          <w:sz w:val="20"/>
        </w:rPr>
      </w:pPr>
      <w:r>
        <w:rPr>
          <w:rFonts w:ascii="Times New Roman" w:hAnsi="Times New Roman"/>
          <w:b/>
          <w:color w:val="000000"/>
          <w:sz w:val="24"/>
        </w:rPr>
        <w:t>MUDRICK CAV MASTER, LP, as a Lender</w:t>
        <w:br/>
      </w:r>
      <w:r>
        <w:rPr>
          <w:rFonts w:ascii="Times New Roman" w:hAnsi="Times New Roman"/>
          <w:color w:val="000000"/>
          <w:sz w:val="24"/>
        </w:rPr>
        <w:t>By: Mudrick Capital Management, L.P., its Investment Manager</w:t>
      </w:r>
    </w:p>
    <w:tbl>
      <w:tblPr>
        <w:tblW w:w="3057" w:type="dxa"/>
        <w:jc w:val="left"/>
        <w:tblInd w:w="0" w:type="dxa"/>
        <w:tblLayout w:type="fixed"/>
        <w:tblCellMar>
          <w:top w:w="28" w:type="dxa"/>
          <w:left w:w="28" w:type="dxa"/>
          <w:bottom w:w="28" w:type="dxa"/>
          <w:right w:w="28" w:type="dxa"/>
        </w:tblCellMar>
      </w:tblPr>
      <w:tblGrid>
        <w:gridCol w:w="2866"/>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240" w:after="48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Glenn Springer </w:t>
              <w:br/>
            </w:r>
            <w:r>
              <w:rPr>
                <w:rFonts w:ascii="Times New Roman" w:hAnsi="Times New Roman"/>
                <w:color w:val="000000"/>
                <w:sz w:val="24"/>
              </w:rPr>
              <w:t xml:space="preserve">Name: </w:t>
            </w:r>
            <w:r>
              <w:rPr>
                <w:rFonts w:ascii="Times New Roman" w:hAnsi="Times New Roman"/>
                <w:color w:val="000000"/>
                <w:sz w:val="24"/>
                <w:u w:val="single"/>
              </w:rPr>
              <w:t xml:space="preserve">Glenn Springer </w:t>
              <w:br/>
            </w:r>
            <w:r>
              <w:rPr>
                <w:rFonts w:ascii="Times New Roman" w:hAnsi="Times New Roman"/>
                <w:color w:val="000000"/>
                <w:sz w:val="24"/>
              </w:rPr>
              <w:t xml:space="preserve">Title: </w:t>
            </w:r>
            <w:r>
              <w:rPr>
                <w:rFonts w:ascii="Times New Roman" w:hAnsi="Times New Roman"/>
                <w:color w:val="000000"/>
                <w:sz w:val="24"/>
                <w:u w:val="single"/>
              </w:rPr>
              <w:t>Chief Financial Officer</w:t>
            </w:r>
          </w:p>
        </w:tc>
        <w:tc>
          <w:tcPr>
            <w:tcW w:w="191" w:type="dxa"/>
            <w:tcBorders/>
            <w:tcMar>
              <w:top w:w="0" w:type="dxa"/>
              <w:left w:w="0" w:type="dxa"/>
              <w:bottom w:w="0" w:type="dxa"/>
              <w:right w:w="0" w:type="dxa"/>
            </w:tcMar>
            <w:vAlign w:val="center"/>
          </w:tcPr>
          <w:p>
            <w:pPr>
              <w:pStyle w:val="TableContents"/>
              <w:bidi w:val="0"/>
              <w:spacing w:before="240" w:after="480"/>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Amendment No. 2 to Credit Agreement</w:t>
      </w:r>
      <w:r>
        <w:rPr>
          <w:rFonts w:ascii="Times New Roman" w:hAnsi="Times New Roman"/>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480"/>
        <w:jc w:val="left"/>
        <w:rPr>
          <w:rFonts w:ascii="Times New Roman" w:hAnsi="Times New Roman"/>
          <w:sz w:val="20"/>
        </w:rPr>
      </w:pPr>
      <w:r>
        <w:rPr>
          <w:rFonts w:ascii="Times New Roman" w:hAnsi="Times New Roman"/>
          <w:b/>
          <w:color w:val="000000"/>
          <w:sz w:val="24"/>
        </w:rPr>
        <w:t>MUDRICK DISTRESSED OPPORTUNITY 2020 DISLOCATION FUND, L.P., as a Lender</w:t>
        <w:br/>
      </w:r>
      <w:r>
        <w:rPr>
          <w:rFonts w:ascii="Times New Roman" w:hAnsi="Times New Roman"/>
          <w:color w:val="000000"/>
          <w:sz w:val="24"/>
        </w:rPr>
        <w:t>By: Mudrick Distressed Opportunity 2020 Dislocation Fund GP, LLC, its General Partner</w:t>
      </w:r>
    </w:p>
    <w:tbl>
      <w:tblPr>
        <w:tblW w:w="3057" w:type="dxa"/>
        <w:jc w:val="left"/>
        <w:tblInd w:w="0" w:type="dxa"/>
        <w:tblLayout w:type="fixed"/>
        <w:tblCellMar>
          <w:top w:w="28" w:type="dxa"/>
          <w:left w:w="28" w:type="dxa"/>
          <w:bottom w:w="28" w:type="dxa"/>
          <w:right w:w="28" w:type="dxa"/>
        </w:tblCellMar>
      </w:tblPr>
      <w:tblGrid>
        <w:gridCol w:w="2866"/>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240" w:after="48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Glenn Springer </w:t>
              <w:br/>
            </w:r>
            <w:r>
              <w:rPr>
                <w:rFonts w:ascii="Times New Roman" w:hAnsi="Times New Roman"/>
                <w:color w:val="000000"/>
                <w:sz w:val="24"/>
              </w:rPr>
              <w:t xml:space="preserve">Name: </w:t>
            </w:r>
            <w:r>
              <w:rPr>
                <w:rFonts w:ascii="Times New Roman" w:hAnsi="Times New Roman"/>
                <w:color w:val="000000"/>
                <w:sz w:val="24"/>
                <w:u w:val="single"/>
              </w:rPr>
              <w:t xml:space="preserve">Glenn Springer </w:t>
              <w:br/>
            </w:r>
            <w:r>
              <w:rPr>
                <w:rFonts w:ascii="Times New Roman" w:hAnsi="Times New Roman"/>
                <w:color w:val="000000"/>
                <w:sz w:val="24"/>
              </w:rPr>
              <w:t xml:space="preserve">Title: </w:t>
            </w:r>
            <w:r>
              <w:rPr>
                <w:rFonts w:ascii="Times New Roman" w:hAnsi="Times New Roman"/>
                <w:color w:val="000000"/>
                <w:sz w:val="24"/>
                <w:u w:val="single"/>
              </w:rPr>
              <w:t>Chief Financial Officer</w:t>
            </w:r>
          </w:p>
        </w:tc>
        <w:tc>
          <w:tcPr>
            <w:tcW w:w="191" w:type="dxa"/>
            <w:tcBorders/>
            <w:tcMar>
              <w:top w:w="0" w:type="dxa"/>
              <w:left w:w="0" w:type="dxa"/>
              <w:bottom w:w="0" w:type="dxa"/>
              <w:right w:w="0" w:type="dxa"/>
            </w:tcMar>
            <w:vAlign w:val="center"/>
          </w:tcPr>
          <w:p>
            <w:pPr>
              <w:pStyle w:val="TableContents"/>
              <w:bidi w:val="0"/>
              <w:spacing w:before="240" w:after="480"/>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Amendment No. 2 to Credit Agreement</w:t>
      </w:r>
      <w:r>
        <w:rPr>
          <w:rFonts w:ascii="Times New Roman" w:hAnsi="Times New Roman"/>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480"/>
        <w:jc w:val="left"/>
        <w:rPr>
          <w:rFonts w:ascii="Times New Roman" w:hAnsi="Times New Roman"/>
          <w:sz w:val="20"/>
        </w:rPr>
      </w:pPr>
      <w:r>
        <w:rPr>
          <w:rFonts w:ascii="Times New Roman" w:hAnsi="Times New Roman"/>
          <w:b/>
          <w:color w:val="000000"/>
          <w:sz w:val="24"/>
        </w:rPr>
        <w:t>MUDRICK DISTRESSED OPPORTUNITY DRAWDOWN FUND II</w:t>
      </w:r>
      <w:r>
        <w:rPr>
          <w:rFonts w:ascii="Times New Roman" w:hAnsi="Times New Roman"/>
          <w:color w:val="000000"/>
          <w:sz w:val="20"/>
        </w:rPr>
        <w:t xml:space="preserve"> </w:t>
      </w:r>
      <w:r>
        <w:rPr>
          <w:rFonts w:ascii="Times New Roman" w:hAnsi="Times New Roman"/>
          <w:b/>
          <w:color w:val="000000"/>
          <w:sz w:val="24"/>
        </w:rPr>
        <w:t>SC, L.P., as a Lender</w:t>
        <w:br/>
      </w:r>
      <w:r>
        <w:rPr>
          <w:rFonts w:ascii="Times New Roman" w:hAnsi="Times New Roman"/>
          <w:color w:val="000000"/>
          <w:sz w:val="24"/>
        </w:rPr>
        <w:t>By: Mudrick Distressed Opportunity Drawdown Fund II GP, LLC, its General Partner</w:t>
      </w:r>
    </w:p>
    <w:tbl>
      <w:tblPr>
        <w:tblW w:w="3057" w:type="dxa"/>
        <w:jc w:val="left"/>
        <w:tblInd w:w="0" w:type="dxa"/>
        <w:tblLayout w:type="fixed"/>
        <w:tblCellMar>
          <w:top w:w="28" w:type="dxa"/>
          <w:left w:w="28" w:type="dxa"/>
          <w:bottom w:w="28" w:type="dxa"/>
          <w:right w:w="28" w:type="dxa"/>
        </w:tblCellMar>
      </w:tblPr>
      <w:tblGrid>
        <w:gridCol w:w="2866"/>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240" w:after="48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Glenn Springer </w:t>
              <w:br/>
            </w:r>
            <w:r>
              <w:rPr>
                <w:rFonts w:ascii="Times New Roman" w:hAnsi="Times New Roman"/>
                <w:color w:val="000000"/>
                <w:sz w:val="24"/>
              </w:rPr>
              <w:t xml:space="preserve">Name: </w:t>
            </w:r>
            <w:r>
              <w:rPr>
                <w:rFonts w:ascii="Times New Roman" w:hAnsi="Times New Roman"/>
                <w:color w:val="000000"/>
                <w:sz w:val="24"/>
                <w:u w:val="single"/>
              </w:rPr>
              <w:t xml:space="preserve">Glenn Springer </w:t>
              <w:br/>
            </w:r>
            <w:r>
              <w:rPr>
                <w:rFonts w:ascii="Times New Roman" w:hAnsi="Times New Roman"/>
                <w:color w:val="000000"/>
                <w:sz w:val="24"/>
              </w:rPr>
              <w:t xml:space="preserve">Title: </w:t>
            </w:r>
            <w:r>
              <w:rPr>
                <w:rFonts w:ascii="Times New Roman" w:hAnsi="Times New Roman"/>
                <w:color w:val="000000"/>
                <w:sz w:val="24"/>
                <w:u w:val="single"/>
              </w:rPr>
              <w:t>Chief Financial Officer</w:t>
            </w:r>
          </w:p>
        </w:tc>
        <w:tc>
          <w:tcPr>
            <w:tcW w:w="191" w:type="dxa"/>
            <w:tcBorders/>
            <w:tcMar>
              <w:top w:w="0" w:type="dxa"/>
              <w:left w:w="0" w:type="dxa"/>
              <w:bottom w:w="0" w:type="dxa"/>
              <w:right w:w="0" w:type="dxa"/>
            </w:tcMar>
            <w:vAlign w:val="center"/>
          </w:tcPr>
          <w:p>
            <w:pPr>
              <w:pStyle w:val="TableContents"/>
              <w:bidi w:val="0"/>
              <w:spacing w:before="240" w:after="480"/>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Amendment No. 2 to Credit Agreement</w:t>
      </w:r>
      <w:r>
        <w:rPr>
          <w:rFonts w:ascii="Times New Roman" w:hAnsi="Times New Roman"/>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480"/>
        <w:jc w:val="left"/>
        <w:rPr>
          <w:rFonts w:ascii="Times New Roman" w:hAnsi="Times New Roman"/>
          <w:sz w:val="20"/>
        </w:rPr>
      </w:pPr>
      <w:r>
        <w:rPr>
          <w:rFonts w:ascii="Times New Roman" w:hAnsi="Times New Roman"/>
          <w:b/>
          <w:color w:val="000000"/>
          <w:sz w:val="24"/>
        </w:rPr>
        <w:t>MUDRICK DISTRESSED OPPORTUNITY DRAWDOWN FUND II,</w:t>
      </w:r>
      <w:r>
        <w:rPr>
          <w:rFonts w:ascii="Times New Roman" w:hAnsi="Times New Roman"/>
          <w:color w:val="000000"/>
          <w:sz w:val="20"/>
        </w:rPr>
        <w:t xml:space="preserve"> </w:t>
      </w:r>
      <w:r>
        <w:rPr>
          <w:rFonts w:ascii="Times New Roman" w:hAnsi="Times New Roman"/>
          <w:b/>
          <w:color w:val="000000"/>
          <w:sz w:val="24"/>
        </w:rPr>
        <w:t>L.P., as a Lender</w:t>
        <w:br/>
      </w:r>
      <w:r>
        <w:rPr>
          <w:rFonts w:ascii="Times New Roman" w:hAnsi="Times New Roman"/>
          <w:color w:val="000000"/>
          <w:sz w:val="24"/>
        </w:rPr>
        <w:t>By: Mudrick Distressed Opportunity Drawdown Fund II GP, LLC, its General Partner</w:t>
      </w:r>
    </w:p>
    <w:tbl>
      <w:tblPr>
        <w:tblW w:w="3057" w:type="dxa"/>
        <w:jc w:val="left"/>
        <w:tblInd w:w="0" w:type="dxa"/>
        <w:tblLayout w:type="fixed"/>
        <w:tblCellMar>
          <w:top w:w="28" w:type="dxa"/>
          <w:left w:w="28" w:type="dxa"/>
          <w:bottom w:w="28" w:type="dxa"/>
          <w:right w:w="28" w:type="dxa"/>
        </w:tblCellMar>
      </w:tblPr>
      <w:tblGrid>
        <w:gridCol w:w="2866"/>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240" w:after="48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Glenn Springer </w:t>
              <w:br/>
            </w:r>
            <w:r>
              <w:rPr>
                <w:rFonts w:ascii="Times New Roman" w:hAnsi="Times New Roman"/>
                <w:color w:val="000000"/>
                <w:sz w:val="24"/>
              </w:rPr>
              <w:t xml:space="preserve">Name: </w:t>
            </w:r>
            <w:r>
              <w:rPr>
                <w:rFonts w:ascii="Times New Roman" w:hAnsi="Times New Roman"/>
                <w:color w:val="000000"/>
                <w:sz w:val="24"/>
                <w:u w:val="single"/>
              </w:rPr>
              <w:t xml:space="preserve">Glenn Springer </w:t>
              <w:br/>
            </w:r>
            <w:r>
              <w:rPr>
                <w:rFonts w:ascii="Times New Roman" w:hAnsi="Times New Roman"/>
                <w:color w:val="000000"/>
                <w:sz w:val="24"/>
              </w:rPr>
              <w:t xml:space="preserve">Title: </w:t>
            </w:r>
            <w:r>
              <w:rPr>
                <w:rFonts w:ascii="Times New Roman" w:hAnsi="Times New Roman"/>
                <w:color w:val="000000"/>
                <w:sz w:val="24"/>
                <w:u w:val="single"/>
              </w:rPr>
              <w:t>Chief Financial Officer</w:t>
            </w:r>
          </w:p>
        </w:tc>
        <w:tc>
          <w:tcPr>
            <w:tcW w:w="191" w:type="dxa"/>
            <w:tcBorders/>
            <w:tcMar>
              <w:top w:w="0" w:type="dxa"/>
              <w:left w:w="0" w:type="dxa"/>
              <w:bottom w:w="0" w:type="dxa"/>
              <w:right w:w="0" w:type="dxa"/>
            </w:tcMar>
            <w:vAlign w:val="center"/>
          </w:tcPr>
          <w:p>
            <w:pPr>
              <w:pStyle w:val="TableContents"/>
              <w:bidi w:val="0"/>
              <w:spacing w:before="240" w:after="480"/>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Amendment No. 2 to Credit Agreement</w:t>
      </w:r>
      <w:r>
        <w:rPr>
          <w:rFonts w:ascii="Times New Roman" w:hAnsi="Times New Roman"/>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480"/>
        <w:jc w:val="left"/>
        <w:rPr>
          <w:rFonts w:ascii="Times New Roman" w:hAnsi="Times New Roman"/>
          <w:sz w:val="20"/>
        </w:rPr>
      </w:pPr>
      <w:r>
        <w:rPr>
          <w:rFonts w:ascii="Times New Roman" w:hAnsi="Times New Roman"/>
          <w:b/>
          <w:color w:val="000000"/>
          <w:sz w:val="24"/>
        </w:rPr>
        <w:t>MUDRICK DISTRESSED OPPORTUNITY DRAWDOWN FUND III,</w:t>
      </w:r>
      <w:r>
        <w:rPr>
          <w:rFonts w:ascii="Times New Roman" w:hAnsi="Times New Roman"/>
          <w:color w:val="000000"/>
          <w:sz w:val="20"/>
        </w:rPr>
        <w:t xml:space="preserve"> </w:t>
      </w:r>
      <w:r>
        <w:rPr>
          <w:rFonts w:ascii="Times New Roman" w:hAnsi="Times New Roman"/>
          <w:b/>
          <w:color w:val="000000"/>
          <w:sz w:val="24"/>
        </w:rPr>
        <w:t>L.P., as a Lender</w:t>
        <w:br/>
      </w:r>
      <w:r>
        <w:rPr>
          <w:rFonts w:ascii="Times New Roman" w:hAnsi="Times New Roman"/>
          <w:color w:val="000000"/>
          <w:sz w:val="24"/>
        </w:rPr>
        <w:t>By: Mudrick Distressed Opportunity Drawdown Fund III GP, LLC, its General Partner</w:t>
      </w:r>
    </w:p>
    <w:tbl>
      <w:tblPr>
        <w:tblW w:w="3057" w:type="dxa"/>
        <w:jc w:val="left"/>
        <w:tblInd w:w="0" w:type="dxa"/>
        <w:tblLayout w:type="fixed"/>
        <w:tblCellMar>
          <w:top w:w="28" w:type="dxa"/>
          <w:left w:w="28" w:type="dxa"/>
          <w:bottom w:w="28" w:type="dxa"/>
          <w:right w:w="28" w:type="dxa"/>
        </w:tblCellMar>
      </w:tblPr>
      <w:tblGrid>
        <w:gridCol w:w="2866"/>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240" w:after="48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Glenn Springer </w:t>
              <w:br/>
            </w:r>
            <w:r>
              <w:rPr>
                <w:rFonts w:ascii="Times New Roman" w:hAnsi="Times New Roman"/>
                <w:color w:val="000000"/>
                <w:sz w:val="24"/>
              </w:rPr>
              <w:t xml:space="preserve">Name: </w:t>
            </w:r>
            <w:r>
              <w:rPr>
                <w:rFonts w:ascii="Times New Roman" w:hAnsi="Times New Roman"/>
                <w:color w:val="000000"/>
                <w:sz w:val="24"/>
                <w:u w:val="single"/>
              </w:rPr>
              <w:t xml:space="preserve">Glenn Springer </w:t>
              <w:br/>
            </w:r>
            <w:r>
              <w:rPr>
                <w:rFonts w:ascii="Times New Roman" w:hAnsi="Times New Roman"/>
                <w:color w:val="000000"/>
                <w:sz w:val="24"/>
              </w:rPr>
              <w:t xml:space="preserve">Title: </w:t>
            </w:r>
            <w:r>
              <w:rPr>
                <w:rFonts w:ascii="Times New Roman" w:hAnsi="Times New Roman"/>
                <w:color w:val="000000"/>
                <w:sz w:val="24"/>
                <w:u w:val="single"/>
              </w:rPr>
              <w:t>Chief Financial Officer</w:t>
            </w:r>
          </w:p>
        </w:tc>
        <w:tc>
          <w:tcPr>
            <w:tcW w:w="191" w:type="dxa"/>
            <w:tcBorders/>
            <w:tcMar>
              <w:top w:w="0" w:type="dxa"/>
              <w:left w:w="0" w:type="dxa"/>
              <w:bottom w:w="0" w:type="dxa"/>
              <w:right w:w="0" w:type="dxa"/>
            </w:tcMar>
            <w:vAlign w:val="center"/>
          </w:tcPr>
          <w:p>
            <w:pPr>
              <w:pStyle w:val="TableContents"/>
              <w:bidi w:val="0"/>
              <w:spacing w:before="240" w:after="480"/>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Amendment No. 2 to Credit Agreement</w:t>
      </w:r>
      <w:r>
        <w:rPr>
          <w:rFonts w:ascii="Times New Roman" w:hAnsi="Times New Roman"/>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480"/>
        <w:jc w:val="left"/>
        <w:rPr>
          <w:rFonts w:ascii="Times New Roman" w:hAnsi="Times New Roman"/>
          <w:sz w:val="20"/>
        </w:rPr>
      </w:pPr>
      <w:r>
        <w:rPr>
          <w:rFonts w:ascii="Times New Roman" w:hAnsi="Times New Roman"/>
          <w:b/>
          <w:color w:val="000000"/>
          <w:sz w:val="24"/>
        </w:rPr>
        <w:t>MUDRICK DISTRESSED OPPORTUNITY FUND GLOBAL, L.P., as a Lender</w:t>
        <w:br/>
      </w:r>
      <w:r>
        <w:rPr>
          <w:rFonts w:ascii="Times New Roman" w:hAnsi="Times New Roman"/>
          <w:color w:val="000000"/>
          <w:sz w:val="24"/>
        </w:rPr>
        <w:t>By: Mudrick GP, LLC, its General Partner</w:t>
      </w:r>
    </w:p>
    <w:tbl>
      <w:tblPr>
        <w:tblW w:w="3057" w:type="dxa"/>
        <w:jc w:val="left"/>
        <w:tblInd w:w="0" w:type="dxa"/>
        <w:tblLayout w:type="fixed"/>
        <w:tblCellMar>
          <w:top w:w="28" w:type="dxa"/>
          <w:left w:w="28" w:type="dxa"/>
          <w:bottom w:w="28" w:type="dxa"/>
          <w:right w:w="28" w:type="dxa"/>
        </w:tblCellMar>
      </w:tblPr>
      <w:tblGrid>
        <w:gridCol w:w="2866"/>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240" w:after="48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Glenn Springer </w:t>
              <w:br/>
            </w:r>
            <w:r>
              <w:rPr>
                <w:rFonts w:ascii="Times New Roman" w:hAnsi="Times New Roman"/>
                <w:color w:val="000000"/>
                <w:sz w:val="24"/>
              </w:rPr>
              <w:t xml:space="preserve">Name: </w:t>
            </w:r>
            <w:r>
              <w:rPr>
                <w:rFonts w:ascii="Times New Roman" w:hAnsi="Times New Roman"/>
                <w:color w:val="000000"/>
                <w:sz w:val="24"/>
                <w:u w:val="single"/>
              </w:rPr>
              <w:t xml:space="preserve">Glenn Springer </w:t>
              <w:br/>
            </w:r>
            <w:r>
              <w:rPr>
                <w:rFonts w:ascii="Times New Roman" w:hAnsi="Times New Roman"/>
                <w:color w:val="000000"/>
                <w:sz w:val="24"/>
              </w:rPr>
              <w:t xml:space="preserve">Title: </w:t>
            </w:r>
            <w:r>
              <w:rPr>
                <w:rFonts w:ascii="Times New Roman" w:hAnsi="Times New Roman"/>
                <w:color w:val="000000"/>
                <w:sz w:val="24"/>
                <w:u w:val="single"/>
              </w:rPr>
              <w:t>Chief Financial Officer</w:t>
            </w:r>
          </w:p>
        </w:tc>
        <w:tc>
          <w:tcPr>
            <w:tcW w:w="191" w:type="dxa"/>
            <w:tcBorders/>
            <w:tcMar>
              <w:top w:w="0" w:type="dxa"/>
              <w:left w:w="0" w:type="dxa"/>
              <w:bottom w:w="0" w:type="dxa"/>
              <w:right w:w="0" w:type="dxa"/>
            </w:tcMar>
            <w:vAlign w:val="center"/>
          </w:tcPr>
          <w:p>
            <w:pPr>
              <w:pStyle w:val="TableContents"/>
              <w:bidi w:val="0"/>
              <w:spacing w:before="240" w:after="480"/>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Amendment No. 2 to Credit Agreement</w:t>
      </w:r>
      <w:r>
        <w:rPr>
          <w:rFonts w:ascii="Times New Roman" w:hAnsi="Times New Roman"/>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480"/>
        <w:jc w:val="left"/>
        <w:rPr>
          <w:rFonts w:ascii="Times New Roman" w:hAnsi="Times New Roman"/>
          <w:sz w:val="20"/>
        </w:rPr>
      </w:pPr>
      <w:r>
        <w:rPr>
          <w:rFonts w:ascii="Times New Roman" w:hAnsi="Times New Roman"/>
          <w:b/>
          <w:color w:val="000000"/>
          <w:sz w:val="24"/>
        </w:rPr>
        <w:t>MUDRICK DISTRESSED OPPORTUNITY SIF MASTER FUND, L.P., as a Lender</w:t>
        <w:br/>
      </w:r>
      <w:r>
        <w:rPr>
          <w:rFonts w:ascii="Times New Roman" w:hAnsi="Times New Roman"/>
          <w:color w:val="000000"/>
          <w:sz w:val="24"/>
        </w:rPr>
        <w:t>By: Mudrick Distressed Opportunity SIF GP, LLC, its General Partner</w:t>
      </w:r>
    </w:p>
    <w:tbl>
      <w:tblPr>
        <w:tblW w:w="3057" w:type="dxa"/>
        <w:jc w:val="left"/>
        <w:tblInd w:w="0" w:type="dxa"/>
        <w:tblLayout w:type="fixed"/>
        <w:tblCellMar>
          <w:top w:w="28" w:type="dxa"/>
          <w:left w:w="28" w:type="dxa"/>
          <w:bottom w:w="28" w:type="dxa"/>
          <w:right w:w="28" w:type="dxa"/>
        </w:tblCellMar>
      </w:tblPr>
      <w:tblGrid>
        <w:gridCol w:w="2866"/>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240" w:after="48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Glenn Springer </w:t>
              <w:br/>
            </w:r>
            <w:r>
              <w:rPr>
                <w:rFonts w:ascii="Times New Roman" w:hAnsi="Times New Roman"/>
                <w:color w:val="000000"/>
                <w:sz w:val="24"/>
              </w:rPr>
              <w:t xml:space="preserve">Name: </w:t>
            </w:r>
            <w:r>
              <w:rPr>
                <w:rFonts w:ascii="Times New Roman" w:hAnsi="Times New Roman"/>
                <w:color w:val="000000"/>
                <w:sz w:val="24"/>
                <w:u w:val="single"/>
              </w:rPr>
              <w:t xml:space="preserve">Glenn Springer </w:t>
              <w:br/>
            </w:r>
            <w:r>
              <w:rPr>
                <w:rFonts w:ascii="Times New Roman" w:hAnsi="Times New Roman"/>
                <w:color w:val="000000"/>
                <w:sz w:val="24"/>
              </w:rPr>
              <w:t xml:space="preserve">Title: </w:t>
            </w:r>
            <w:r>
              <w:rPr>
                <w:rFonts w:ascii="Times New Roman" w:hAnsi="Times New Roman"/>
                <w:color w:val="000000"/>
                <w:sz w:val="24"/>
                <w:u w:val="single"/>
              </w:rPr>
              <w:t>Chief Financial Officer</w:t>
            </w:r>
          </w:p>
        </w:tc>
        <w:tc>
          <w:tcPr>
            <w:tcW w:w="191" w:type="dxa"/>
            <w:tcBorders/>
            <w:tcMar>
              <w:top w:w="0" w:type="dxa"/>
              <w:left w:w="0" w:type="dxa"/>
              <w:bottom w:w="0" w:type="dxa"/>
              <w:right w:w="0" w:type="dxa"/>
            </w:tcMar>
            <w:vAlign w:val="center"/>
          </w:tcPr>
          <w:p>
            <w:pPr>
              <w:pStyle w:val="TableContents"/>
              <w:bidi w:val="0"/>
              <w:spacing w:before="240" w:after="480"/>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Amendment No. 2 to Credit Agreement</w:t>
      </w:r>
      <w:r>
        <w:rPr>
          <w:rFonts w:ascii="Times New Roman" w:hAnsi="Times New Roman"/>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4" w:name="vrm-ex31_1.htm"/>
      <w:bookmarkStart w:id="55" w:name="ksvrmex31_1"/>
      <w:bookmarkEnd w:id="54"/>
      <w:bookmarkEnd w:id="55"/>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H. Shortt, certify that:</w:t>
      </w:r>
    </w:p>
    <w:tbl>
      <w:tblPr>
        <w:tblW w:w="5882" w:type="dxa"/>
        <w:jc w:val="left"/>
        <w:tblInd w:w="0" w:type="dxa"/>
        <w:tblLayout w:type="fixed"/>
        <w:tblCellMar>
          <w:top w:w="28" w:type="dxa"/>
          <w:left w:w="28" w:type="dxa"/>
          <w:bottom w:w="28" w:type="dxa"/>
          <w:right w:w="28" w:type="dxa"/>
        </w:tblCellMar>
      </w:tblPr>
      <w:tblGrid>
        <w:gridCol w:w="271"/>
        <w:gridCol w:w="5611"/>
      </w:tblGrid>
      <w:tr>
        <w:trPr/>
        <w:tc>
          <w:tcPr>
            <w:tcW w:w="271"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561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Vroom, Inc.;</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96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3.</w:t>
            </w:r>
          </w:p>
        </w:tc>
        <w:tc>
          <w:tcPr>
            <w:tcW w:w="996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4.</w:t>
            </w:r>
          </w:p>
        </w:tc>
        <w:tc>
          <w:tcPr>
            <w:tcW w:w="996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74"/>
        <w:gridCol w:w="9807"/>
      </w:tblGrid>
      <w:tr>
        <w:trPr/>
        <w:tc>
          <w:tcPr>
            <w:tcW w:w="1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80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807"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9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9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(c)</w:t>
            </w:r>
          </w:p>
        </w:tc>
        <w:tc>
          <w:tcPr>
            <w:tcW w:w="975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w:t>
            </w:r>
          </w:p>
        </w:tc>
        <w:tc>
          <w:tcPr>
            <w:tcW w:w="975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5.</w:t>
            </w:r>
          </w:p>
        </w:tc>
        <w:tc>
          <w:tcPr>
            <w:tcW w:w="996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79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7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HorizontalLine"/>
        <w:pBdr>
          <w:bottom w:val="double" w:sz="2" w:space="0" w:color="808080"/>
        </w:pBdr>
        <w:bidi w:val="0"/>
        <w:spacing w:before="0" w:after="283"/>
        <w:jc w:val="left"/>
        <w:rPr/>
      </w:pPr>
      <w:r>
        <w:rPr/>
      </w:r>
    </w:p>
    <w:tbl>
      <w:tblPr>
        <w:tblW w:w="4837" w:type="dxa"/>
        <w:jc w:val="left"/>
        <w:tblInd w:w="0" w:type="dxa"/>
        <w:tblLayout w:type="fixed"/>
        <w:tblCellMar>
          <w:top w:w="28" w:type="dxa"/>
          <w:left w:w="28" w:type="dxa"/>
          <w:bottom w:w="28" w:type="dxa"/>
          <w:right w:w="28" w:type="dxa"/>
        </w:tblCellMar>
      </w:tblPr>
      <w:tblGrid>
        <w:gridCol w:w="1891"/>
        <w:gridCol w:w="109"/>
        <w:gridCol w:w="406"/>
        <w:gridCol w:w="24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Date: </w:t>
            </w:r>
            <w:r>
              <w:rPr>
                <w:rFonts w:ascii="Arial" w:hAnsi="Arial"/>
                <w:color w:val="000000"/>
                <w:sz w:val="20"/>
              </w:rPr>
              <w:t>August 4</w:t>
            </w:r>
            <w:r>
              <w:rPr>
                <w:rFonts w:ascii="Times New Roman" w:hAnsi="Times New Roman"/>
                <w:color w:val="000000"/>
                <w:sz w:val="20"/>
              </w:rPr>
              <w:t>,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3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H. Shortt</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H. Shortt</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6" w:name="vrm-ex31_2.htm"/>
      <w:bookmarkStart w:id="57" w:name="ksvrmex31_2"/>
      <w:bookmarkEnd w:id="56"/>
      <w:bookmarkEnd w:id="57"/>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Jonathan Sandison, certify that:</w:t>
      </w:r>
    </w:p>
    <w:tbl>
      <w:tblPr>
        <w:tblW w:w="5882" w:type="dxa"/>
        <w:jc w:val="left"/>
        <w:tblInd w:w="0" w:type="dxa"/>
        <w:tblLayout w:type="fixed"/>
        <w:tblCellMar>
          <w:top w:w="28" w:type="dxa"/>
          <w:left w:w="28" w:type="dxa"/>
          <w:bottom w:w="28" w:type="dxa"/>
          <w:right w:w="28" w:type="dxa"/>
        </w:tblCellMar>
      </w:tblPr>
      <w:tblGrid>
        <w:gridCol w:w="271"/>
        <w:gridCol w:w="5611"/>
      </w:tblGrid>
      <w:tr>
        <w:trPr/>
        <w:tc>
          <w:tcPr>
            <w:tcW w:w="271"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561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Vroom, Inc.;</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96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3.</w:t>
            </w:r>
          </w:p>
        </w:tc>
        <w:tc>
          <w:tcPr>
            <w:tcW w:w="996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4.</w:t>
            </w:r>
          </w:p>
        </w:tc>
        <w:tc>
          <w:tcPr>
            <w:tcW w:w="996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75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55"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(c)</w:t>
            </w:r>
          </w:p>
        </w:tc>
        <w:tc>
          <w:tcPr>
            <w:tcW w:w="975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w:t>
            </w:r>
          </w:p>
        </w:tc>
        <w:tc>
          <w:tcPr>
            <w:tcW w:w="975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5.</w:t>
            </w:r>
          </w:p>
        </w:tc>
        <w:tc>
          <w:tcPr>
            <w:tcW w:w="996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79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7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tbl>
      <w:tblPr>
        <w:tblW w:w="4822" w:type="dxa"/>
        <w:jc w:val="left"/>
        <w:tblInd w:w="0" w:type="dxa"/>
        <w:tblLayout w:type="fixed"/>
        <w:tblCellMar>
          <w:top w:w="28" w:type="dxa"/>
          <w:left w:w="28" w:type="dxa"/>
          <w:bottom w:w="28" w:type="dxa"/>
          <w:right w:w="28" w:type="dxa"/>
        </w:tblCellMar>
      </w:tblPr>
      <w:tblGrid>
        <w:gridCol w:w="1891"/>
        <w:gridCol w:w="109"/>
        <w:gridCol w:w="406"/>
        <w:gridCol w:w="241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Date: </w:t>
            </w:r>
            <w:r>
              <w:rPr>
                <w:rFonts w:ascii="Arial" w:hAnsi="Arial"/>
                <w:color w:val="000000"/>
                <w:sz w:val="20"/>
              </w:rPr>
              <w:t>August 4</w:t>
            </w:r>
            <w:r>
              <w:rPr>
                <w:rFonts w:ascii="Times New Roman" w:hAnsi="Times New Roman"/>
                <w:color w:val="000000"/>
                <w:sz w:val="20"/>
              </w:rPr>
              <w:t>,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Jonathan Sandison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Jonathan Sandison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HorizontalLine"/>
        <w:pBdr>
          <w:bottom w:val="double" w:sz="2" w:space="0" w:color="808080"/>
        </w:pBdr>
        <w:bidi w:val="0"/>
        <w:spacing w:before="0" w:after="283"/>
        <w:jc w:val="left"/>
        <w:rPr/>
      </w:pPr>
      <w:r>
        <w:rPr/>
      </w:r>
    </w:p>
    <w:p>
      <w:pPr>
        <w:pStyle w:val="TextBody"/>
        <w:bidi w:val="0"/>
        <w:jc w:val="left"/>
        <w:rPr/>
      </w:pPr>
      <w:bookmarkStart w:id="58" w:name="vrm-ex32_1.htm"/>
      <w:bookmarkStart w:id="59" w:name="ksvrmex32_1"/>
      <w:bookmarkEnd w:id="58"/>
      <w:bookmarkEnd w:id="5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Vroom, Inc. (the “Company”) for the period ended June 30, 2026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324"/>
        <w:gridCol w:w="97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5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9757"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76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tbl>
      <w:tblPr>
        <w:tblW w:w="4837" w:type="dxa"/>
        <w:jc w:val="left"/>
        <w:tblInd w:w="0" w:type="dxa"/>
        <w:tblLayout w:type="fixed"/>
        <w:tblCellMar>
          <w:top w:w="28" w:type="dxa"/>
          <w:left w:w="28" w:type="dxa"/>
          <w:bottom w:w="28" w:type="dxa"/>
          <w:right w:w="28" w:type="dxa"/>
        </w:tblCellMar>
      </w:tblPr>
      <w:tblGrid>
        <w:gridCol w:w="1891"/>
        <w:gridCol w:w="109"/>
        <w:gridCol w:w="406"/>
        <w:gridCol w:w="24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Date: </w:t>
            </w:r>
            <w:r>
              <w:rPr>
                <w:rFonts w:ascii="Arial" w:hAnsi="Arial"/>
                <w:color w:val="000000"/>
                <w:sz w:val="20"/>
              </w:rPr>
              <w:t>August 4</w:t>
            </w:r>
            <w:r>
              <w:rPr>
                <w:rFonts w:ascii="Times New Roman" w:hAnsi="Times New Roman"/>
                <w:color w:val="000000"/>
                <w:sz w:val="20"/>
              </w:rPr>
              <w:t>,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H. Shortt</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H. Shortt</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0" w:name="vrm-ex32_2.htm"/>
      <w:bookmarkStart w:id="61" w:name="ksvrmex32_2"/>
      <w:bookmarkEnd w:id="60"/>
      <w:bookmarkEnd w:id="6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Vroom, Inc. (the “Company”) for the period ended June 30, 2026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324"/>
        <w:gridCol w:w="97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5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9757"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76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tbl>
      <w:tblPr>
        <w:tblW w:w="4822" w:type="dxa"/>
        <w:jc w:val="left"/>
        <w:tblInd w:w="0" w:type="dxa"/>
        <w:tblLayout w:type="fixed"/>
        <w:tblCellMar>
          <w:top w:w="28" w:type="dxa"/>
          <w:left w:w="28" w:type="dxa"/>
          <w:bottom w:w="28" w:type="dxa"/>
          <w:right w:w="28" w:type="dxa"/>
        </w:tblCellMar>
      </w:tblPr>
      <w:tblGrid>
        <w:gridCol w:w="1891"/>
        <w:gridCol w:w="109"/>
        <w:gridCol w:w="406"/>
        <w:gridCol w:w="241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Date: </w:t>
            </w:r>
            <w:r>
              <w:rPr>
                <w:rFonts w:ascii="Arial" w:hAnsi="Arial"/>
                <w:color w:val="000000"/>
                <w:sz w:val="20"/>
              </w:rPr>
              <w:t>August 4</w:t>
            </w:r>
            <w:r>
              <w:rPr>
                <w:rFonts w:ascii="Times New Roman" w:hAnsi="Times New Roman"/>
                <w:color w:val="000000"/>
                <w:sz w:val="20"/>
              </w:rPr>
              <w:t>,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Jonathan Sandison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Jonathan Sandison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0864/000095017021002077/vrm-ex2_1.htm" TargetMode="External"/><Relationship Id="rId3" Type="http://schemas.openxmlformats.org/officeDocument/2006/relationships/hyperlink" Target="https://www.sec.gov/Archives/edgar/data/1580864/000095017025005647/vrm-ex2_1.htm" TargetMode="External"/><Relationship Id="rId4" Type="http://schemas.openxmlformats.org/officeDocument/2006/relationships/hyperlink" Target="https://www.sec.gov/Archives/edgar/data/1580864/000095017025037265/vrm-ex3_2.htm" TargetMode="External"/><Relationship Id="rId5" Type="http://schemas.openxmlformats.org/officeDocument/2006/relationships/hyperlink" Target="https://www.sec.gov/Archives/edgar/data/1580864/000095017025037265/vrm-ex3_1.htm" TargetMode="External"/><Relationship Id="rId6" Type="http://schemas.openxmlformats.org/officeDocument/2006/relationships/hyperlink" Target="https://www.sec.gov/Archives/edgar/data/1580864/000156459020039778/vrm-ex32_234.htm" TargetMode="External"/><Relationship Id="rId7" Type="http://schemas.openxmlformats.org/officeDocument/2006/relationships/hyperlink" Target="https://www.sec.gov/Archives/edgar/data/1580864/000119312520145219/d801274dex42.htm" TargetMode="External"/><Relationship Id="rId8" Type="http://schemas.openxmlformats.org/officeDocument/2006/relationships/hyperlink" Target="https://www.sec.gov/Archives/edgar/data/1580864/000119312526224748/vrm-ex10_8.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214698</Words>
  <Characters>1150213</Characters>
  <CharactersWithSpaces>1367310</CharactersWithSpaces>
  <Paragraphs>24015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