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325-2_4seq1.xml.htm"/>
      <w:bookmarkStart w:id="1" w:name="kstm2623325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Vroom, Inc.</w:t>
              </w:r>
            </w:hyperlink>
            <w:r>
              <w:rPr/>
              <w:t xml:space="preserve"> [ </w:t>
            </w:r>
            <w:r>
              <w:rPr>
                <w:rFonts w:ascii="Times;serif" w:hAnsi="Times;serif"/>
                <w:color w:val="0000FF"/>
                <w:sz w:val="24"/>
                <w:shd w:fill="FFFFFF" w:val="clear"/>
              </w:rPr>
              <w:t>VRM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42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1221"/>
        <w:gridCol w:w="276"/>
        <w:gridCol w:w="906"/>
        <w:gridCol w:w="801"/>
        <w:gridCol w:w="891"/>
        <w:gridCol w:w="981"/>
        <w:gridCol w:w="801"/>
        <w:gridCol w:w="1326"/>
        <w:gridCol w:w="831"/>
        <w:gridCol w:w="846"/>
      </w:tblGrid>
      <w:tr>
        <w:trPr>
          <w:tblHeader w:val="true"/>
        </w:trPr>
        <w:tc>
          <w:tcPr>
            <w:tcW w:w="134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9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3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Convertible Notes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11.42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6,511,627.91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04/01/2032</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570,199</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20,000,000.09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Notes</w:t>
            </w:r>
            <w:r>
              <w:rPr>
                <w:rFonts w:ascii="Times;serif" w:hAnsi="Times;serif"/>
                <w:color w:val="008000"/>
                <w:position w:val="7"/>
                <w:sz w:val="16"/>
                <w:sz w:val="20"/>
                <w:shd w:fill="FFFFFF" w:val="clear"/>
              </w:rPr>
              <w:t>(1)(2)(3)(6)</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Mudrick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Mudrick Distressed Opportunity 2020 Dislocation Fund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Mudrick Distressed Opportunity Fund Global,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Mudrick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 WEST 52ND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statement is being filed by the following Reporting Persons: Mudrick Capital Management, L.P. ("MCM"); Mudrick Capital Management, LLC ("MCM GP"); Jason Mudrick; Mudrick Distressed Opportunity Fund Global, L.P. ("Mudrick Opp Global"); Mudrick GP, LLC ("Mudrick GP"); Mudrick Distressed Opportunity Drawdown Fund II, L.P. ("Drawdown II"); Mudrick Distressed Opportunity Drawdown Fund II SC, L.P. ("Drawdown II SC"); Mudrick Distressed Opportunity Drawdown Fund II GP, LLC ("Drawdown II GP"); Mudrick Distressed Opportunity Drawdown Fund III, L.P. ("Drawdown III"); Mudrick Distressed Opportunity Drawdown Fund III GP, LLC ("Drawdown III GP"); Mudrick Distressed Opportunity 2020 Dislocation Fund, L.P. ("DISL"); Mudrick Distressed Opportunity 2020 Dislocation Fund GP, LLC ("DISL GP"); and Matthew Pietroforte, who is a member of the Issuer's board of directors and a Managing Director and Senior Analyst at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Mudrick GP is the general partner of Global LP and may be deemed to beneficially own the number of securities of the Issuer directly held by Global LP. Drawdown II GP is the general partner of Drawdown II and Drawdown II SC and may be deemed to beneficially own the securities of the Issuer directly held by Drawdown II and Drawdown II SC. Drawdown III GP is the general partner of Drawdown III and may be deemed to beneficially own the securities of the Issuer directly held by Drawdown III. DISL GP is the general partner of DISL and may be deemed to beneficially own the number of securities of the Issuer held by DISL.</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MCM is the investment manager to Drawdown II, Global LP, Drawdown II SC, Drawdown III and DISL and certain accounts managed by MCM. Mr. Mudrick is the sole member of Mudrick GP, Drawdown II GP, Drawdown III GP, MCM GP, and DISL GP. By virtue of these relationships, each of MCM, MCM GP and Mr. Mudrick may be deemed to beneficially own the securities held directly by Global LP, Drawdown II, Drawdown II SC, Drawdown III and DISL and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an Exchange and Subscription Agreement with the Issuer, dated as of May 14, 2026 (the "Exchange Agreement"), the Reporting Persons acquired from the Issuer Senior Secured Delayed Draw Convertible Notes due 2032 ("Notes") that are convertible into shares of Common Stock pursuant to the terms of the Exchange Agreement and the terms of the Senior Secured Delayed Draw Convertible 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into which the Notes acquired from the Issuer on August 13, 2026 may be converted in each case, subject to adjustment and other terms of the Notes as follows: 152,498 by Drawdown II.; 14,232 by Drawdown II SC; 9,252 by Drawdown III; 42,185 by DISL; and 352,032 by certain accounts managed by MCM.</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Persons disclaim any beneficial ownership of the reported securities other than to the extent of any pecuniary interest they may have therein, directly or indirectly. Pursuant to Rule 16a-1(a)(4) under the Securities Exchange Act of 1934, as amended (the "Exchange Act"), this filing shall not be deemed an admission that the Reporting Persons are, for purposes of Section 16 of the Exchange Act or otherwise, the beneficial owners of any equity securities of the Issuer in excess of their respective pecuniary interests. The Reporting Persons are jointly filing this Form 4 pursuant to Rule 16a-3(j) under the Exchange Act. Exhibit List: Joint Filer Information. This filing shall not be deemed an admission that any of the Reporting Persons is subject to Section 16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99.1 (Joint Filer Information) is incorporated herein by reference. This Form 4 is the second of two identical Form 4s filed relating to the same event. The Form 4 has been split into two filings because there are more than 10 Reporting Persons in total, and the SEC's EDGAR filing system limits a single Form 4 to a maximum of 10 Reporting Persons. Each Form 4 is filed by Designated Filer, Mudrick Capital Management,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See Exhibit 99.1**</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tm2623325d2_ex99-1.htm"/>
      <w:bookmarkStart w:id="3" w:name="kstm2623325d2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560"/>
        <w:gridCol w:w="4490"/>
        <w:gridCol w:w="75"/>
      </w:tblGrid>
      <w:tr>
        <w:trPr/>
        <w:tc>
          <w:tcPr>
            <w:tcW w:w="560" w:type="dxa"/>
            <w:tcBorders/>
            <w:vAlign w:val="center"/>
          </w:tcPr>
          <w:p>
            <w:pPr>
              <w:pStyle w:val="TableContents"/>
              <w:bidi w:val="0"/>
              <w:spacing w:before="0" w:after="283"/>
              <w:jc w:val="left"/>
              <w:rPr/>
            </w:pPr>
            <w:r>
              <w:rPr/>
              <w:t>By:</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Mudrick Capital Management, LLC, its general partner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9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4490"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Mudrick</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75" w:type="dxa"/>
        <w:jc w:val="left"/>
        <w:tblInd w:w="0" w:type="dxa"/>
        <w:tblLayout w:type="fixed"/>
        <w:tblCellMar>
          <w:top w:w="0" w:type="dxa"/>
          <w:left w:w="0" w:type="dxa"/>
          <w:bottom w:w="28" w:type="dxa"/>
          <w:right w:w="0" w:type="dxa"/>
        </w:tblCellMar>
      </w:tblPr>
      <w:tblGrid>
        <w:gridCol w:w="1700"/>
        <w:gridCol w:w="75"/>
      </w:tblGrid>
      <w:tr>
        <w:trPr/>
        <w:tc>
          <w:tcPr>
            <w:tcW w:w="1700" w:type="dxa"/>
            <w:tcBorders>
              <w:bottom w:val="single" w:sz="8" w:space="0" w:color="000000"/>
            </w:tcBorders>
            <w:vAlign w:val="center"/>
          </w:tcPr>
          <w:p>
            <w:pPr>
              <w:pStyle w:val="TableContents"/>
              <w:bidi w:val="0"/>
              <w:spacing w:before="0" w:after="283"/>
              <w:jc w:val="left"/>
              <w:rPr/>
            </w:pPr>
            <w:r>
              <w:rPr/>
              <w:t>/s/ Jason Mudrick</w:t>
            </w:r>
          </w:p>
        </w:tc>
        <w:tc>
          <w:tcPr>
            <w:tcW w:w="7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tcMar>
              <w:bottom w:w="0" w:type="dxa"/>
            </w:tcMar>
            <w:vAlign w:val="center"/>
          </w:tcPr>
          <w:p>
            <w:pPr>
              <w:pStyle w:val="TableContents"/>
              <w:bidi w:val="0"/>
              <w:spacing w:before="0" w:after="283"/>
              <w:jc w:val="left"/>
              <w:rPr/>
            </w:pPr>
            <w:r>
              <w:rPr/>
              <w:t> </w:t>
            </w:r>
          </w:p>
        </w:tc>
      </w:tr>
      <w:tr>
        <w:trPr/>
        <w:tc>
          <w:tcPr>
            <w:tcW w:w="1700" w:type="dxa"/>
            <w:tcBorders/>
            <w:tcMar>
              <w:bottom w:w="0" w:type="dxa"/>
            </w:tcMar>
            <w:vAlign w:val="center"/>
          </w:tcPr>
          <w:p>
            <w:pPr>
              <w:pStyle w:val="TableContents"/>
              <w:bidi w:val="0"/>
              <w:spacing w:before="0" w:after="283"/>
              <w:jc w:val="left"/>
              <w:rPr/>
            </w:pPr>
            <w:r>
              <w:rPr/>
              <w:t>August 17, 2026</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L.P.</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III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169" w:type="dxa"/>
        <w:jc w:val="left"/>
        <w:tblInd w:w="0" w:type="dxa"/>
        <w:tblLayout w:type="fixed"/>
        <w:tblCellMar>
          <w:top w:w="0" w:type="dxa"/>
          <w:left w:w="0" w:type="dxa"/>
          <w:bottom w:w="0" w:type="dxa"/>
          <w:right w:w="0" w:type="dxa"/>
        </w:tblCellMar>
      </w:tblPr>
      <w:tblGrid>
        <w:gridCol w:w="1520"/>
        <w:gridCol w:w="4574"/>
        <w:gridCol w:w="75"/>
      </w:tblGrid>
      <w:tr>
        <w:trPr/>
        <w:tc>
          <w:tcPr>
            <w:tcW w:w="6094" w:type="dxa"/>
            <w:gridSpan w:val="2"/>
            <w:tcBorders/>
            <w:vAlign w:val="center"/>
          </w:tcPr>
          <w:p>
            <w:pPr>
              <w:pStyle w:val="TableContents"/>
              <w:bidi w:val="0"/>
              <w:spacing w:before="0" w:after="283"/>
              <w:jc w:val="left"/>
              <w:rPr/>
            </w:pPr>
            <w:r>
              <w:rPr/>
              <w:t>Mudrick Distressed Opportunity Drawdown Fund III, GP, LLC</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457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574"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5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Date:</w:t>
            </w:r>
          </w:p>
        </w:tc>
        <w:tc>
          <w:tcPr>
            <w:tcW w:w="4574"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Pietroforte</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560"/>
        <w:gridCol w:w="2180"/>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80" w:type="dxa"/>
            <w:tcBorders>
              <w:bottom w:val="single" w:sz="8" w:space="0" w:color="000000"/>
            </w:tcBorders>
            <w:tcMar>
              <w:bottom w:w="28" w:type="dxa"/>
            </w:tcMar>
            <w:vAlign w:val="center"/>
          </w:tcPr>
          <w:p>
            <w:pPr>
              <w:pStyle w:val="TableContents"/>
              <w:bidi w:val="0"/>
              <w:spacing w:before="0" w:after="283"/>
              <w:jc w:val="left"/>
              <w:rPr/>
            </w:pPr>
            <w:r>
              <w:rPr/>
              <w:t>/s/ 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0" w:type="dxa"/>
            <w:tcBorders/>
            <w:vAlign w:val="center"/>
          </w:tcPr>
          <w:p>
            <w:pPr>
              <w:pStyle w:val="TableContents"/>
              <w:bidi w:val="0"/>
              <w:spacing w:before="0" w:after="283"/>
              <w:jc w:val="left"/>
              <w:rPr/>
            </w:pPr>
            <w:r>
              <w:rPr/>
              <w:t>Matthew Pietroforte</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3"/>
        <w:gridCol w:w="5942"/>
      </w:tblGrid>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Filed(Month/Day/Year):</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SC, L.P.</w:t>
      </w:r>
    </w:p>
    <w:p>
      <w:pPr>
        <w:pStyle w:val="TextBody"/>
        <w:bidi w:val="0"/>
        <w:spacing w:before="0" w:after="0"/>
        <w:ind w:left="0" w:right="0" w:hanging="0"/>
        <w:jc w:val="left"/>
        <w:rPr>
          <w:caps w:val="false"/>
          <w:smallCaps w:val="false"/>
        </w:rPr>
      </w:pPr>
      <w:r>
        <w:rPr>
          <w:caps w:val="false"/>
          <w:smallCaps w:val="false"/>
        </w:rPr>
        <w:t> </w:t>
      </w:r>
    </w:p>
    <w:tbl>
      <w:tblPr>
        <w:tblW w:w="8179" w:type="dxa"/>
        <w:jc w:val="left"/>
        <w:tblInd w:w="0" w:type="dxa"/>
        <w:tblLayout w:type="fixed"/>
        <w:tblCellMar>
          <w:top w:w="0" w:type="dxa"/>
          <w:left w:w="0" w:type="dxa"/>
          <w:bottom w:w="0" w:type="dxa"/>
          <w:right w:w="0" w:type="dxa"/>
        </w:tblCellMar>
      </w:tblPr>
      <w:tblGrid>
        <w:gridCol w:w="1974"/>
        <w:gridCol w:w="5941"/>
        <w:gridCol w:w="264"/>
      </w:tblGrid>
      <w:tr>
        <w:trPr/>
        <w:tc>
          <w:tcPr>
            <w:tcW w:w="8179" w:type="dxa"/>
            <w:gridSpan w:val="3"/>
            <w:tcBorders/>
            <w:vAlign w:val="center"/>
          </w:tcPr>
          <w:p>
            <w:pPr>
              <w:pStyle w:val="TableContents"/>
              <w:bidi w:val="0"/>
              <w:spacing w:before="0" w:after="283"/>
              <w:jc w:val="left"/>
              <w:rPr/>
            </w:pPr>
            <w:r>
              <w:rPr/>
              <w:t>By: Mudrick Distressed Opportunity Drawdown Fund II GP, LLC, its general partner</w:t>
            </w:r>
          </w:p>
        </w:tc>
      </w:tr>
      <w:tr>
        <w:trPr/>
        <w:tc>
          <w:tcPr>
            <w:tcW w:w="1974" w:type="dxa"/>
            <w:tcBorders/>
            <w:vAlign w:val="center"/>
          </w:tcPr>
          <w:p>
            <w:pPr>
              <w:pStyle w:val="TableContents"/>
              <w:bidi w:val="0"/>
              <w:spacing w:before="0" w:after="283"/>
              <w:jc w:val="left"/>
              <w:rPr/>
            </w:pPr>
            <w:r>
              <w:rPr/>
              <w:t> </w:t>
            </w:r>
          </w:p>
        </w:tc>
        <w:tc>
          <w:tcPr>
            <w:tcW w:w="5941"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1"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pPr>
            <w:r>
              <w:rPr/>
              <w:t>Date:</w:t>
            </w:r>
          </w:p>
        </w:tc>
        <w:tc>
          <w:tcPr>
            <w:tcW w:w="5941" w:type="dxa"/>
            <w:tcBorders/>
            <w:vAlign w:val="center"/>
          </w:tcPr>
          <w:p>
            <w:pPr>
              <w:pStyle w:val="TableContents"/>
              <w:bidi w:val="0"/>
              <w:spacing w:before="0" w:after="283"/>
              <w:jc w:val="left"/>
              <w:rPr/>
            </w:pPr>
            <w:r>
              <w:rPr/>
              <w:t>August 17, 2026</w:t>
            </w:r>
          </w:p>
        </w:tc>
        <w:tc>
          <w:tcPr>
            <w:tcW w:w="264"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3"/>
        <w:gridCol w:w="5942"/>
      </w:tblGrid>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Filed(Month/Day/Year):</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63" w:type="dxa"/>
            <w:tcBorders/>
            <w:vAlign w:val="center"/>
          </w:tcPr>
          <w:p>
            <w:pPr>
              <w:pStyle w:val="TableContents"/>
              <w:bidi w:val="0"/>
              <w:spacing w:before="0" w:after="283"/>
              <w:jc w:val="left"/>
              <w:rPr>
                <w:caps w:val="false"/>
                <w:smallCaps w:val="false"/>
              </w:rPr>
            </w:pPr>
            <w:r>
              <w:rPr>
                <w:caps w:val="false"/>
                <w:smallCaps w:val="false"/>
              </w:rPr>
              <w:t>  </w:t>
            </w:r>
          </w:p>
        </w:tc>
        <w:tc>
          <w:tcPr>
            <w:tcW w:w="5942" w:type="dxa"/>
            <w:tcBorders/>
            <w:vAlign w:val="center"/>
          </w:tcPr>
          <w:p>
            <w:pPr>
              <w:pStyle w:val="TableContents"/>
              <w:bidi w:val="0"/>
              <w:spacing w:before="0" w:after="283"/>
              <w:jc w:val="left"/>
              <w:rPr/>
            </w:pPr>
            <w:r>
              <w:rPr/>
              <w:t> </w:t>
            </w:r>
          </w:p>
        </w:tc>
      </w:tr>
      <w:tr>
        <w:trPr/>
        <w:tc>
          <w:tcPr>
            <w:tcW w:w="4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jc w:val="righ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Drawdown Fund II, L.P.</w:t>
      </w:r>
    </w:p>
    <w:p>
      <w:pPr>
        <w:pStyle w:val="TextBody"/>
        <w:bidi w:val="0"/>
        <w:spacing w:before="0" w:after="0"/>
        <w:ind w:left="0" w:right="0" w:hanging="0"/>
        <w:jc w:val="left"/>
        <w:rPr>
          <w:caps w:val="false"/>
          <w:smallCaps w:val="false"/>
        </w:rPr>
      </w:pPr>
      <w:r>
        <w:rPr>
          <w:caps w:val="false"/>
          <w:smallCaps w:val="false"/>
        </w:rPr>
        <w:t> </w:t>
      </w:r>
    </w:p>
    <w:tbl>
      <w:tblPr>
        <w:tblW w:w="8179" w:type="dxa"/>
        <w:jc w:val="left"/>
        <w:tblInd w:w="0" w:type="dxa"/>
        <w:tblLayout w:type="fixed"/>
        <w:tblCellMar>
          <w:top w:w="0" w:type="dxa"/>
          <w:left w:w="0" w:type="dxa"/>
          <w:bottom w:w="0" w:type="dxa"/>
          <w:right w:w="0" w:type="dxa"/>
        </w:tblCellMar>
      </w:tblPr>
      <w:tblGrid>
        <w:gridCol w:w="1974"/>
        <w:gridCol w:w="5941"/>
        <w:gridCol w:w="264"/>
      </w:tblGrid>
      <w:tr>
        <w:trPr/>
        <w:tc>
          <w:tcPr>
            <w:tcW w:w="8179" w:type="dxa"/>
            <w:gridSpan w:val="3"/>
            <w:tcBorders/>
            <w:vAlign w:val="center"/>
          </w:tcPr>
          <w:p>
            <w:pPr>
              <w:pStyle w:val="TableContents"/>
              <w:bidi w:val="0"/>
              <w:spacing w:before="0" w:after="283"/>
              <w:jc w:val="left"/>
              <w:rPr/>
            </w:pPr>
            <w:r>
              <w:rPr/>
              <w:t>By: Mudrick Distressed Opportunity Drawdown Fund II GP, LLC, its general partner</w:t>
            </w:r>
          </w:p>
        </w:tc>
      </w:tr>
      <w:tr>
        <w:trPr/>
        <w:tc>
          <w:tcPr>
            <w:tcW w:w="1974" w:type="dxa"/>
            <w:tcBorders/>
            <w:vAlign w:val="center"/>
          </w:tcPr>
          <w:p>
            <w:pPr>
              <w:pStyle w:val="TableContents"/>
              <w:bidi w:val="0"/>
              <w:spacing w:before="0" w:after="283"/>
              <w:jc w:val="left"/>
              <w:rPr/>
            </w:pPr>
            <w:r>
              <w:rPr/>
              <w:t> </w:t>
            </w:r>
          </w:p>
        </w:tc>
        <w:tc>
          <w:tcPr>
            <w:tcW w:w="5941"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941"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64" w:type="dxa"/>
            <w:tcBorders/>
            <w:vAlign w:val="center"/>
          </w:tcPr>
          <w:p>
            <w:pPr>
              <w:pStyle w:val="TableContents"/>
              <w:bidi w:val="0"/>
              <w:spacing w:before="0" w:after="283"/>
              <w:jc w:val="left"/>
              <w:rPr/>
            </w:pPr>
            <w:r>
              <w:rPr/>
              <w:t> </w:t>
            </w:r>
          </w:p>
        </w:tc>
      </w:tr>
      <w:tr>
        <w:trPr/>
        <w:tc>
          <w:tcPr>
            <w:tcW w:w="1974" w:type="dxa"/>
            <w:tcBorders/>
            <w:vAlign w:val="center"/>
          </w:tcPr>
          <w:p>
            <w:pPr>
              <w:pStyle w:val="TableContents"/>
              <w:bidi w:val="0"/>
              <w:spacing w:before="0" w:after="283"/>
              <w:jc w:val="left"/>
              <w:rPr/>
            </w:pPr>
            <w:r>
              <w:rPr/>
              <w:t>Date:</w:t>
            </w:r>
          </w:p>
        </w:tc>
        <w:tc>
          <w:tcPr>
            <w:tcW w:w="5941" w:type="dxa"/>
            <w:tcBorders/>
            <w:vAlign w:val="center"/>
          </w:tcPr>
          <w:p>
            <w:pPr>
              <w:pStyle w:val="TableContents"/>
              <w:bidi w:val="0"/>
              <w:spacing w:before="0" w:after="283"/>
              <w:jc w:val="left"/>
              <w:rPr/>
            </w:pPr>
            <w:r>
              <w:rPr/>
              <w:t>August 17, 2026</w:t>
            </w:r>
          </w:p>
        </w:tc>
        <w:tc>
          <w:tcPr>
            <w:tcW w:w="26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L.P.</w:t>
      </w:r>
    </w:p>
    <w:p>
      <w:pPr>
        <w:pStyle w:val="TextBody"/>
        <w:bidi w:val="0"/>
        <w:spacing w:before="0" w:after="0"/>
        <w:ind w:left="0" w:right="0" w:hanging="0"/>
        <w:jc w:val="left"/>
        <w:rPr>
          <w:caps w:val="false"/>
          <w:smallCaps w:val="false"/>
        </w:rPr>
      </w:pPr>
      <w:r>
        <w:rPr>
          <w:caps w:val="false"/>
          <w:smallCaps w:val="false"/>
        </w:rPr>
        <w:t> </w:t>
      </w:r>
    </w:p>
    <w:tbl>
      <w:tblPr>
        <w:tblW w:w="8509" w:type="dxa"/>
        <w:jc w:val="left"/>
        <w:tblInd w:w="0" w:type="dxa"/>
        <w:tblLayout w:type="fixed"/>
        <w:tblCellMar>
          <w:top w:w="0" w:type="dxa"/>
          <w:left w:w="0" w:type="dxa"/>
          <w:bottom w:w="0" w:type="dxa"/>
          <w:right w:w="0" w:type="dxa"/>
        </w:tblCellMar>
      </w:tblPr>
      <w:tblGrid>
        <w:gridCol w:w="2054"/>
        <w:gridCol w:w="6180"/>
        <w:gridCol w:w="275"/>
      </w:tblGrid>
      <w:tr>
        <w:trPr/>
        <w:tc>
          <w:tcPr>
            <w:tcW w:w="8509" w:type="dxa"/>
            <w:gridSpan w:val="3"/>
            <w:tcBorders/>
            <w:vAlign w:val="center"/>
          </w:tcPr>
          <w:p>
            <w:pPr>
              <w:pStyle w:val="TableContents"/>
              <w:bidi w:val="0"/>
              <w:spacing w:before="0" w:after="283"/>
              <w:jc w:val="left"/>
              <w:rPr/>
            </w:pPr>
            <w:r>
              <w:rPr/>
              <w:t>By: Mudrick Distressed Opportunity 2020 Dislocation Fund GP, LLC, its general partner</w:t>
            </w:r>
          </w:p>
        </w:tc>
      </w:tr>
      <w:tr>
        <w:trPr/>
        <w:tc>
          <w:tcPr>
            <w:tcW w:w="2054" w:type="dxa"/>
            <w:tcBorders/>
            <w:vAlign w:val="center"/>
          </w:tcPr>
          <w:p>
            <w:pPr>
              <w:pStyle w:val="TableContents"/>
              <w:bidi w:val="0"/>
              <w:spacing w:before="0" w:after="283"/>
              <w:jc w:val="left"/>
              <w:rPr/>
            </w:pPr>
            <w:r>
              <w:rPr/>
              <w:t> </w:t>
            </w:r>
          </w:p>
        </w:tc>
        <w:tc>
          <w:tcPr>
            <w:tcW w:w="618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6180"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61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275" w:type="dxa"/>
            <w:tcBorders/>
            <w:vAlign w:val="center"/>
          </w:tcPr>
          <w:p>
            <w:pPr>
              <w:pStyle w:val="TableContents"/>
              <w:bidi w:val="0"/>
              <w:spacing w:before="0" w:after="283"/>
              <w:jc w:val="left"/>
              <w:rPr/>
            </w:pPr>
            <w:r>
              <w:rPr/>
              <w:t> </w:t>
            </w:r>
          </w:p>
        </w:tc>
      </w:tr>
      <w:tr>
        <w:trPr/>
        <w:tc>
          <w:tcPr>
            <w:tcW w:w="2054" w:type="dxa"/>
            <w:tcBorders/>
            <w:vAlign w:val="center"/>
          </w:tcPr>
          <w:p>
            <w:pPr>
              <w:pStyle w:val="TableContents"/>
              <w:bidi w:val="0"/>
              <w:spacing w:before="0" w:after="283"/>
              <w:jc w:val="left"/>
              <w:rPr/>
            </w:pPr>
            <w:r>
              <w:rPr/>
              <w:t>Date:</w:t>
            </w:r>
          </w:p>
        </w:tc>
        <w:tc>
          <w:tcPr>
            <w:tcW w:w="6180" w:type="dxa"/>
            <w:tcBorders/>
            <w:vAlign w:val="center"/>
          </w:tcPr>
          <w:p>
            <w:pPr>
              <w:pStyle w:val="TableContents"/>
              <w:bidi w:val="0"/>
              <w:spacing w:before="0" w:after="283"/>
              <w:jc w:val="left"/>
              <w:rPr/>
            </w:pPr>
            <w:r>
              <w:rPr/>
              <w:t>August 17, 2026</w:t>
            </w:r>
          </w:p>
        </w:tc>
        <w:tc>
          <w:tcPr>
            <w:tcW w:w="2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2020 Dislocation Fund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Fund Global,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Distressed Opportunity Fund Global, L.P.</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957"/>
        <w:gridCol w:w="2879"/>
        <w:gridCol w:w="128"/>
      </w:tblGrid>
      <w:tr>
        <w:trPr/>
        <w:tc>
          <w:tcPr>
            <w:tcW w:w="3964" w:type="dxa"/>
            <w:gridSpan w:val="3"/>
            <w:tcBorders/>
            <w:vAlign w:val="center"/>
          </w:tcPr>
          <w:p>
            <w:pPr>
              <w:pStyle w:val="TableContents"/>
              <w:bidi w:val="0"/>
              <w:spacing w:before="0" w:after="283"/>
              <w:jc w:val="left"/>
              <w:rPr/>
            </w:pPr>
            <w:r>
              <w:rPr/>
              <w:t>By: Mudrick GP, LLC its general partner</w:t>
            </w:r>
          </w:p>
        </w:tc>
      </w:tr>
      <w:tr>
        <w:trPr/>
        <w:tc>
          <w:tcPr>
            <w:tcW w:w="957"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79"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128" w:type="dxa"/>
            <w:tcBorders/>
            <w:vAlign w:val="center"/>
          </w:tcPr>
          <w:p>
            <w:pPr>
              <w:pStyle w:val="TableContents"/>
              <w:bidi w:val="0"/>
              <w:spacing w:before="0" w:after="283"/>
              <w:jc w:val="left"/>
              <w:rPr/>
            </w:pPr>
            <w:r>
              <w:rPr/>
              <w:t> </w:t>
            </w:r>
          </w:p>
        </w:tc>
      </w:tr>
      <w:tr>
        <w:trPr/>
        <w:tc>
          <w:tcPr>
            <w:tcW w:w="957" w:type="dxa"/>
            <w:tcBorders/>
            <w:vAlign w:val="center"/>
          </w:tcPr>
          <w:p>
            <w:pPr>
              <w:pStyle w:val="TableContents"/>
              <w:bidi w:val="0"/>
              <w:spacing w:before="0" w:after="283"/>
              <w:jc w:val="left"/>
              <w:rPr/>
            </w:pPr>
            <w:r>
              <w:rPr/>
              <w:t>Date:</w:t>
            </w:r>
          </w:p>
        </w:tc>
        <w:tc>
          <w:tcPr>
            <w:tcW w:w="2879" w:type="dxa"/>
            <w:tcBorders/>
            <w:vAlign w:val="center"/>
          </w:tcPr>
          <w:p>
            <w:pPr>
              <w:pStyle w:val="TableContents"/>
              <w:bidi w:val="0"/>
              <w:spacing w:before="0" w:after="283"/>
              <w:jc w:val="left"/>
              <w:rPr/>
            </w:pPr>
            <w:r>
              <w:rPr/>
              <w:t>August 17, 2026</w:t>
            </w:r>
          </w:p>
        </w:tc>
        <w:tc>
          <w:tcPr>
            <w:tcW w:w="12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righ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Filer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74"/>
        <w:gridCol w:w="5931"/>
      </w:tblGrid>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Joint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GP, LLC</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Joint Filer:</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West 52nd Street</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ind w:left="0" w:right="0" w:firstLine="4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16th Floor</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Name and Ticker or Trading Symbol:</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Vroom, Inc. [ VRM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Transaction:</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13, 2026</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Amendment, Date Original Filed (Month/Day/Year):</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Designated Filer:</w:t>
            </w:r>
          </w:p>
        </w:tc>
        <w:tc>
          <w:tcPr>
            <w:tcW w:w="59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Capital Management, L.P.</w:t>
            </w:r>
          </w:p>
        </w:tc>
      </w:tr>
      <w:tr>
        <w:trPr/>
        <w:tc>
          <w:tcPr>
            <w:tcW w:w="4274" w:type="dxa"/>
            <w:tcBorders/>
            <w:vAlign w:val="center"/>
          </w:tcPr>
          <w:p>
            <w:pPr>
              <w:pStyle w:val="TableContents"/>
              <w:bidi w:val="0"/>
              <w:spacing w:before="0" w:after="283"/>
              <w:jc w:val="left"/>
              <w:rPr>
                <w:caps w:val="false"/>
                <w:smallCaps w:val="false"/>
              </w:rPr>
            </w:pPr>
            <w:r>
              <w:rPr>
                <w:caps w:val="false"/>
                <w:smallCaps w:val="false"/>
              </w:rPr>
              <w:t>  </w:t>
            </w:r>
          </w:p>
        </w:tc>
        <w:tc>
          <w:tcPr>
            <w:tcW w:w="5931" w:type="dxa"/>
            <w:tcBorders/>
            <w:vAlign w:val="center"/>
          </w:tcPr>
          <w:p>
            <w:pPr>
              <w:pStyle w:val="TableContents"/>
              <w:bidi w:val="0"/>
              <w:spacing w:before="0" w:after="283"/>
              <w:jc w:val="left"/>
              <w:rPr/>
            </w:pPr>
            <w:r>
              <w:rPr/>
              <w:t> </w:t>
            </w:r>
          </w:p>
        </w:tc>
      </w:tr>
      <w:tr>
        <w:trPr/>
        <w:tc>
          <w:tcPr>
            <w:tcW w:w="42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593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Mudrick GP, LLC</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560"/>
        <w:gridCol w:w="168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685" w:type="dxa"/>
            <w:tcBorders>
              <w:bottom w:val="single" w:sz="8" w:space="0" w:color="000000"/>
            </w:tcBorders>
            <w:tcMar>
              <w:bottom w:w="28" w:type="dxa"/>
            </w:tcMar>
            <w:vAlign w:val="center"/>
          </w:tcPr>
          <w:p>
            <w:pPr>
              <w:pStyle w:val="TableContents"/>
              <w:bidi w:val="0"/>
              <w:spacing w:before="0" w:after="283"/>
              <w:jc w:val="left"/>
              <w:rPr/>
            </w:pPr>
            <w:r>
              <w:rPr/>
              <w:t>/s/ 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Mudrick</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Member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Date:</w:t>
            </w:r>
          </w:p>
        </w:tc>
        <w:tc>
          <w:tcPr>
            <w:tcW w:w="1685" w:type="dxa"/>
            <w:tcBorders/>
            <w:vAlign w:val="center"/>
          </w:tcPr>
          <w:p>
            <w:pPr>
              <w:pStyle w:val="TableContents"/>
              <w:bidi w:val="0"/>
              <w:spacing w:before="0" w:after="283"/>
              <w:jc w:val="left"/>
              <w:rPr/>
            </w:pPr>
            <w:r>
              <w:rPr/>
              <w:t>August 17,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5183" TargetMode="External"/><Relationship Id="rId5" Type="http://schemas.openxmlformats.org/officeDocument/2006/relationships/hyperlink" Target="http://www.sec.gov/cgi-bin/browse-edgar?action=getcompany&amp;CIK=000158086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55183" TargetMode="External"/><Relationship Id="rId10" Type="http://schemas.openxmlformats.org/officeDocument/2006/relationships/hyperlink" Target="http://www.sec.gov/cgi-bin/browse-edgar?action=getcompany&amp;CIK=0001959099" TargetMode="External"/><Relationship Id="rId11" Type="http://schemas.openxmlformats.org/officeDocument/2006/relationships/hyperlink" Target="http://www.sec.gov/cgi-bin/browse-edgar?action=getcompany&amp;CIK=0001813628" TargetMode="External"/><Relationship Id="rId12" Type="http://schemas.openxmlformats.org/officeDocument/2006/relationships/hyperlink" Target="http://www.sec.gov/cgi-bin/browse-edgar?action=getcompany&amp;CIK=0001656059"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2402</Words>
  <Characters>12948</Characters>
  <CharactersWithSpaces>15299</CharactersWithSpaces>
  <Paragraphs>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