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MYLOD ROBERT J JR</w:t>
              </w:r>
            </w:hyperlink>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Vroom,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VRM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60" w:type="dxa"/>
            <w:vAlign w:val="bottom"/>
            <w:gridSpan w:val="3"/>
            <w:vMerge w:val="continue"/>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0000EE"/>
            </w:tcBorders>
          </w:tcPr>
          <w:p>
            <w:pPr>
              <w:spacing w:after="0"/>
              <w:rPr>
                <w:sz w:val="6"/>
                <w:szCs w:val="6"/>
                <w:color w:val="auto"/>
              </w:rPr>
            </w:pPr>
          </w:p>
        </w:tc>
        <w:tc>
          <w:tcPr>
            <w:tcW w:w="2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0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2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VROOM, INC.</w:t>
            </w:r>
          </w:p>
        </w:tc>
        <w:tc>
          <w:tcPr>
            <w:tcW w:w="138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4700 MERCANTILE DRIVE</w:t>
            </w: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27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60" w:type="dxa"/>
            <w:vAlign w:val="bottom"/>
            <w:gridSpan w:val="3"/>
            <w:vMerge w:val="continue"/>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FORT WORTH  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76137</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9,832</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20,117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color w:val="0000FF"/>
              </w:rPr>
              <w:t>13,171</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Annox</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on the earlier of the day immediately preceding the date of the first annual meeting of stockholders following the date of grant, or June 11, 2027, subject to the Reporting Person's continued service through the applicable vesting date.</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managing member of Annox Capital, LLC and as a result may be deemed to beneficially own the securities held of record by Annox Capital, LLC. The Reporting Person disclaims such beneficial ownership except to the extent of his pecuniary interest therein, if any.</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Anna-Lisa Corrales,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236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MYLOD  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ROBERT J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413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4135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4607" TargetMode="External"/><Relationship Id="rId14" Type="http://schemas.openxmlformats.org/officeDocument/2006/relationships/hyperlink" Target="http://www.sec.gov/cgi-bin/browse-edgar?action=getcompany&amp;CIK=00015808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2026-06-12T12:47:41Z</dcterms:created>
  <dcterms:modified xsi:type="dcterms:W3CDTF">2026-06-12T12:47:41Z</dcterms:modified>
</cp:coreProperties>
</file>