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m-20260630.htm"/>
      <w:bookmarkStart w:id="1" w:name="ksvrm20260630"/>
      <w:bookmarkEnd w:id="0"/>
      <w:bookmarkEnd w:id="1"/>
      <w:r>
        <w:rPr/>
        <w:t> </w:t>
      </w:r>
    </w:p>
    <w:p>
      <w:pPr>
        <w:pStyle w:val="TextBody"/>
        <w:pBdr>
          <w:bottom w:val="double" w:sz="6" w:space="1" w:color="000000"/>
        </w:pBdr>
        <w:bidi w:val="0"/>
        <w:spacing w:before="0" w:after="120"/>
        <w:jc w:val="left"/>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0" w:after="120"/>
        <w:jc w:val="center"/>
        <w:rPr>
          <w:rFonts w:ascii="Times New Roman" w:hAnsi="Times New Roman"/>
          <w:sz w:val="20"/>
        </w:rPr>
      </w:pPr>
      <w:r>
        <w:rPr>
          <w:rFonts w:ascii="Times New Roman" w:hAnsi="Times New Roman"/>
          <w:b/>
          <w:color w:val="000000"/>
          <w:sz w:val="32"/>
        </w:rPr>
        <w:t>SECURITIES AND EXCHANGE COMMISSION</w:t>
        <w:br/>
      </w:r>
      <w:r>
        <w:rPr>
          <w:rFonts w:ascii="Times New Roman" w:hAnsi="Times New Roman"/>
          <w:b/>
          <w:color w:val="000000"/>
          <w:sz w:val="22"/>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____________________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Date of Report (Date of earliest event reported): June 30, 2026</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____________________</w:t>
      </w:r>
    </w:p>
    <w:p>
      <w:pPr>
        <w:pStyle w:val="TextBody"/>
        <w:bidi w:val="0"/>
        <w:jc w:val="center"/>
        <w:rPr>
          <w:rFonts w:ascii="Times New Roman" w:hAnsi="Times New Roman"/>
          <w:b/>
          <w:color w:val="000000"/>
          <w:sz w:val="36"/>
        </w:rPr>
      </w:pPr>
      <w:r>
        <w:rPr>
          <w:rFonts w:ascii="Times New Roman" w:hAnsi="Times New Roman"/>
          <w:b/>
          <w:color w:val="000000"/>
          <w:sz w:val="36"/>
        </w:rPr>
        <w:t>VROOM, INC.</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____________________</w:t>
      </w:r>
    </w:p>
    <w:tbl>
      <w:tblPr>
        <w:tblW w:w="5118" w:type="dxa"/>
        <w:jc w:val="left"/>
        <w:tblInd w:w="0" w:type="dxa"/>
        <w:tblLayout w:type="fixed"/>
        <w:tblCellMar>
          <w:top w:w="28" w:type="dxa"/>
          <w:left w:w="28" w:type="dxa"/>
          <w:bottom w:w="28" w:type="dxa"/>
          <w:right w:w="28" w:type="dxa"/>
        </w:tblCellMar>
      </w:tblPr>
      <w:tblGrid>
        <w:gridCol w:w="2566"/>
        <w:gridCol w:w="1066"/>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001-39315</w:t>
            </w:r>
          </w:p>
        </w:tc>
        <w:tc>
          <w:tcPr>
            <w:tcW w:w="14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90-1112566</w:t>
            </w:r>
          </w:p>
        </w:tc>
      </w:tr>
      <w:tr>
        <w:trPr/>
        <w:tc>
          <w:tcPr>
            <w:tcW w:w="256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(State or other jurisdiction</w:t>
              <w:br/>
              <w:t>of incorporation or organization)</w:t>
            </w:r>
          </w:p>
        </w:tc>
        <w:tc>
          <w:tcPr>
            <w:tcW w:w="106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5118" w:type="dxa"/>
            <w:gridSpan w:val="3"/>
            <w:tcBorders/>
            <w:tcMar>
              <w:top w:w="0" w:type="dxa"/>
              <w:left w:w="0" w:type="dxa"/>
              <w:bottom w:w="0" w:type="dxa"/>
              <w:right w:w="0" w:type="dxa"/>
            </w:tcMar>
            <w:vAlign w:val="center"/>
          </w:tcPr>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4700 Mercantile Dr.</w:t>
            </w:r>
          </w:p>
          <w:p>
            <w:pPr>
              <w:pStyle w:val="TableContents"/>
              <w:bidi w:val="0"/>
              <w:spacing w:before="0" w:after="30"/>
              <w:jc w:val="center"/>
              <w:rPr>
                <w:rFonts w:ascii="Times New Roman" w:hAnsi="Times New Roman"/>
                <w:sz w:val="20"/>
              </w:rPr>
            </w:pPr>
            <w:r>
              <w:rPr>
                <w:rFonts w:ascii="Times New Roman" w:hAnsi="Times New Roman"/>
                <w:b/>
                <w:color w:val="000000"/>
                <w:sz w:val="16"/>
              </w:rPr>
              <w:t>Fort Worth, Texas</w:t>
            </w:r>
            <w:r>
              <w:rPr>
                <w:rFonts w:ascii="Times New Roman" w:hAnsi="Times New Roman"/>
                <w:color w:val="000000"/>
                <w:sz w:val="20"/>
              </w:rPr>
              <w:t xml:space="preserve"> </w:t>
            </w:r>
            <w:r>
              <w:rPr>
                <w:rFonts w:ascii="Times New Roman" w:hAnsi="Times New Roman"/>
                <w:b/>
                <w:color w:val="000000"/>
                <w:sz w:val="16"/>
              </w:rPr>
              <w:t>76137</w:t>
            </w:r>
          </w:p>
        </w:tc>
      </w:tr>
      <w:tr>
        <w:trPr/>
        <w:tc>
          <w:tcPr>
            <w:tcW w:w="5118" w:type="dxa"/>
            <w:gridSpan w:val="3"/>
            <w:tcBorders/>
            <w:tcMar>
              <w:top w:w="0" w:type="dxa"/>
              <w:left w:w="0" w:type="dxa"/>
              <w:bottom w:w="0" w:type="dxa"/>
              <w:right w:w="0" w:type="dxa"/>
            </w:tcMar>
            <w:vAlign w:val="center"/>
          </w:tcPr>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(Address of principal executive offices) (Zip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16"/>
        </w:rPr>
        <w:t>(917)</w:t>
      </w:r>
      <w:r>
        <w:rPr>
          <w:rFonts w:ascii="Times New Roman" w:hAnsi="Times New Roman"/>
          <w:color w:val="000000"/>
          <w:sz w:val="20"/>
        </w:rPr>
        <w:t xml:space="preserve"> </w:t>
      </w:r>
      <w:r>
        <w:rPr>
          <w:rFonts w:ascii="Times New Roman" w:hAnsi="Times New Roman"/>
          <w:b/>
          <w:color w:val="000000"/>
          <w:sz w:val="16"/>
        </w:rPr>
        <w:t>451-9855</w:t>
        <w:br/>
        <w:t>(Registrant’s telephone number, including area code)</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0" w:after="24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__________________</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Check the appropriate box below if the Form 8</w:t>
        <w:noBreakHyphen/>
        <w:t>K filing is intended to simultaneously satisfy the filing obligation of the registrant under any of the following provisions:</w:t>
      </w:r>
    </w:p>
    <w:p>
      <w:pPr>
        <w:pStyle w:val="TextBody"/>
        <w:bidi w:val="0"/>
        <w:spacing w:before="0" w:after="12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18"/>
        </w:rPr>
        <w:t>Soliciting material pursuant to Rule 14a</w:t>
        <w:noBreakHyphen/>
        <w:t>12 under the Exchange Act (17 CFR 240.14a</w:t>
        <w:noBreakHyphen/>
        <w:t>12)</w:t>
      </w:r>
    </w:p>
    <w:p>
      <w:pPr>
        <w:pStyle w:val="TextBody"/>
        <w:bidi w:val="0"/>
        <w:spacing w:before="0" w:after="120"/>
        <w:jc w:val="left"/>
        <w:rPr/>
      </w:pPr>
      <w:r>
        <w:rPr>
          <w:color w:val="000000"/>
        </w:rPr>
        <w:t xml:space="preserve">☐ </w:t>
      </w:r>
      <w:r>
        <w:rPr>
          <w:rFonts w:ascii="Times New Roman" w:hAnsi="Times New Roman"/>
          <w:color w:val="000000"/>
          <w:sz w:val="18"/>
        </w:rPr>
        <w:t>Pre</w:t>
        <w:noBreakHyphen/>
        <w:t>commencement communications pursuant to Rule 14d</w:t>
        <w:noBreakHyphen/>
        <w:t>2(b) under the Exchange Act (17 CFR 240.14d</w:t>
        <w:noBreakHyphen/>
        <w:t>2(b))</w:t>
      </w:r>
    </w:p>
    <w:p>
      <w:pPr>
        <w:pStyle w:val="TextBody"/>
        <w:bidi w:val="0"/>
        <w:spacing w:before="0" w:after="120"/>
        <w:jc w:val="left"/>
        <w:rPr/>
      </w:pPr>
      <w:r>
        <w:rPr>
          <w:color w:val="000000"/>
        </w:rPr>
        <w:t xml:space="preserve">☐ </w:t>
      </w:r>
      <w:r>
        <w:rPr>
          <w:rFonts w:ascii="Times New Roman" w:hAnsi="Times New Roman"/>
          <w:color w:val="000000"/>
          <w:sz w:val="18"/>
        </w:rPr>
        <w:t>Pre</w:t>
        <w:noBreakHyphen/>
        <w:t>commencement communications pursuant to Rule 13e</w:t>
        <w:noBreakHyphen/>
        <w:t>4(c) under the Exchange Act (17 CFR 240.13e</w:t>
        <w:noBreakHyphen/>
        <w:t>4(c))</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8500" w:type="dxa"/>
        <w:jc w:val="left"/>
        <w:tblInd w:w="0" w:type="dxa"/>
        <w:tblLayout w:type="fixed"/>
        <w:tblCellMar>
          <w:top w:w="28" w:type="dxa"/>
          <w:left w:w="28" w:type="dxa"/>
          <w:bottom w:w="28" w:type="dxa"/>
          <w:right w:w="28" w:type="dxa"/>
        </w:tblCellMar>
      </w:tblPr>
      <w:tblGrid>
        <w:gridCol w:w="3166"/>
        <w:gridCol w:w="146"/>
        <w:gridCol w:w="1561"/>
        <w:gridCol w:w="146"/>
        <w:gridCol w:w="348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00"/>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00"/>
              <w:jc w:val="center"/>
              <w:rPr/>
            </w:pPr>
            <w:r>
              <w:rPr/>
              <w:t> </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00"/>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00"/>
              <w:jc w:val="center"/>
              <w:rPr/>
            </w:pPr>
            <w:r>
              <w:rPr/>
              <w:t> </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00"/>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100"/>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100"/>
              <w:jc w:val="center"/>
              <w:rPr/>
            </w:pPr>
            <w:r>
              <w:rPr/>
              <w:t> </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100"/>
              <w:jc w:val="center"/>
              <w:rPr>
                <w:rFonts w:ascii="Times New Roman" w:hAnsi="Times New Roman"/>
                <w:color w:val="000000"/>
                <w:sz w:val="18"/>
              </w:rPr>
            </w:pPr>
            <w:r>
              <w:rPr>
                <w:rFonts w:ascii="Times New Roman" w:hAnsi="Times New Roman"/>
                <w:color w:val="000000"/>
                <w:sz w:val="18"/>
              </w:rPr>
              <w:t>VRM</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100"/>
              <w:jc w:val="center"/>
              <w:rPr/>
            </w:pPr>
            <w:r>
              <w:rPr/>
              <w:t> </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100"/>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0" w:after="24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w:t>
        <w:noBreakHyphen/>
        <w:t>2 of this chapter).</w:t>
      </w:r>
    </w:p>
    <w:p>
      <w:pPr>
        <w:pStyle w:val="TextBody"/>
        <w:bidi w:val="0"/>
        <w:spacing w:before="0" w:after="24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6" w:space="1" w:color="000000"/>
        </w:pBdr>
        <w:bidi w:val="0"/>
        <w:spacing w:before="0" w:after="12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Item 1.01. Entry into a Material Definitive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Warehouse Credit Facility Amendment</w:t>
      </w:r>
    </w:p>
    <w:p>
      <w:pPr>
        <w:pStyle w:val="TextBody"/>
        <w:bidi w:val="0"/>
        <w:jc w:val="left"/>
        <w:rPr>
          <w:rFonts w:ascii="Times New Roman" w:hAnsi="Times New Roman"/>
          <w:sz w:val="20"/>
        </w:rPr>
      </w:pPr>
      <w:r>
        <w:rPr>
          <w:rFonts w:ascii="Times New Roman" w:hAnsi="Times New Roman"/>
          <w:color w:val="000000"/>
          <w:sz w:val="22"/>
        </w:rPr>
        <w:t>On June 30, 2026, Vroom, Inc.’s (the “Company’s”) wholly-owned subsidiaries United Auto Credit Corporation (“UACC”) and UACC Auto Financing Trust IV (the “Trust IV”), entered into Amendment No. 29 (“Amendment No. 29”) to that certain Warehouse Agreement, dated as of November 19, 2013 (as amended, the “Warehouse Credit Facility”), by and among the Trust IV, as borrower, UACC, as servicer and custodian, the lenders party thereto, the agents party thereto, and JPMorgan Chase Bank, N.A., as administrative agent. Amendment No. 29 extends the Commitment Termination Date (as defined in Warehouse Credit Facility) from July 2, 2026 to June 2, 2027.</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In addition, Amendment No. 29, among other changes,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In addition, in connection with Amendment No. 29, Vroom Finance Holdings LLC ("VFH"), UACC's parent company, entered into a Performance Guaranty in favor of the administrative agent, dated as of the effective date of Amendment No. 29, pursuant to which VFH guarantees certain obligations under the Warehouse Credit Facility. All other material terms of the Warehouse Credit Facility remain unchanged.</w:t>
      </w:r>
    </w:p>
    <w:p>
      <w:pPr>
        <w:pStyle w:val="TextBody"/>
        <w:bidi w:val="0"/>
        <w:jc w:val="left"/>
        <w:rPr>
          <w:rFonts w:ascii="Times New Roman" w:hAnsi="Times New Roman"/>
          <w:b/>
          <w:color w:val="000000"/>
          <w:sz w:val="22"/>
        </w:rPr>
      </w:pPr>
      <w:r>
        <w:rPr>
          <w:rFonts w:ascii="Times New Roman" w:hAnsi="Times New Roman"/>
          <w:b/>
          <w:color w:val="000000"/>
          <w:sz w:val="22"/>
        </w:rPr>
        <w:t>Item 2.03. Creation of a Direct Financial Obligation or an Obligation under an Off-Balance Sheet Arrangement of a Registrant.</w:t>
      </w:r>
    </w:p>
    <w:p>
      <w:pPr>
        <w:pStyle w:val="TextBody"/>
        <w:bidi w:val="0"/>
        <w:jc w:val="left"/>
        <w:rPr>
          <w:rFonts w:ascii="Times New Roman" w:hAnsi="Times New Roman"/>
          <w:color w:val="000000"/>
          <w:sz w:val="22"/>
        </w:rPr>
      </w:pPr>
      <w:r>
        <w:rPr>
          <w:rFonts w:ascii="Times New Roman" w:hAnsi="Times New Roman"/>
          <w:color w:val="000000"/>
          <w:sz w:val="22"/>
        </w:rPr>
        <w:t>The information provided under Item 1.01 is hereby incorporated by reference into this Item 2.03.</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tbl>
      <w:tblPr>
        <w:tblW w:w="5975" w:type="dxa"/>
        <w:jc w:val="left"/>
        <w:tblInd w:w="0" w:type="dxa"/>
        <w:tblLayout w:type="fixed"/>
        <w:tblCellMar>
          <w:top w:w="28" w:type="dxa"/>
          <w:left w:w="28" w:type="dxa"/>
          <w:bottom w:w="28" w:type="dxa"/>
          <w:right w:w="28" w:type="dxa"/>
        </w:tblCellMar>
      </w:tblPr>
      <w:tblGrid>
        <w:gridCol w:w="1966"/>
        <w:gridCol w:w="681"/>
        <w:gridCol w:w="3328"/>
      </w:tblGrid>
      <w:tr>
        <w:trPr/>
        <w:tc>
          <w:tcPr>
            <w:tcW w:w="196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22"/>
              </w:rPr>
            </w:pPr>
            <w:r>
              <w:rPr>
                <w:rFonts w:ascii="Times New Roman" w:hAnsi="Times New Roman"/>
                <w:color w:val="000000"/>
                <w:sz w:val="22"/>
              </w:rPr>
              <w:t>Dated: July 6, 2026</w:t>
            </w:r>
          </w:p>
        </w:tc>
        <w:tc>
          <w:tcPr>
            <w:tcW w:w="4009" w:type="dxa"/>
            <w:gridSpan w:val="2"/>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2"/>
              </w:rPr>
            </w:pPr>
            <w:r>
              <w:rPr>
                <w:rFonts w:ascii="Times New Roman" w:hAnsi="Times New Roman"/>
                <w:b/>
                <w:color w:val="000000"/>
                <w:sz w:val="22"/>
              </w:rPr>
              <w:t>VROOM,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28"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2"/>
              </w:rPr>
              <w:t>/s/ Thomas H. Shortt</w:t>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1099"/>
              <w:jc w:val="left"/>
              <w:rPr/>
            </w:pPr>
            <w:r>
              <w:rPr/>
              <w:t> </w:t>
            </w:r>
          </w:p>
        </w:tc>
        <w:tc>
          <w:tcPr>
            <w:tcW w:w="4009" w:type="dxa"/>
            <w:gridSpan w:val="2"/>
            <w:tcBorders/>
            <w:tcMar>
              <w:top w:w="0" w:type="dxa"/>
              <w:left w:w="0" w:type="dxa"/>
              <w:bottom w:w="0" w:type="dxa"/>
              <w:right w:w="0" w:type="dxa"/>
            </w:tcMar>
            <w:vAlign w:val="center"/>
          </w:tcPr>
          <w:p>
            <w:pPr>
              <w:pStyle w:val="TableContents"/>
              <w:bidi w:val="0"/>
              <w:spacing w:before="0" w:after="283"/>
              <w:ind w:left="0" w:right="0" w:firstLine="1099"/>
              <w:jc w:val="left"/>
              <w:rPr>
                <w:rFonts w:ascii="Times New Roman" w:hAnsi="Times New Roman"/>
                <w:color w:val="000000"/>
                <w:sz w:val="22"/>
              </w:rPr>
            </w:pPr>
            <w:r>
              <w:rPr>
                <w:rFonts w:ascii="Times New Roman" w:hAnsi="Times New Roman"/>
                <w:color w:val="000000"/>
                <w:sz w:val="22"/>
              </w:rPr>
              <w:t>Name: Thomas H. Shortt</w:t>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1099"/>
              <w:jc w:val="left"/>
              <w:rPr/>
            </w:pPr>
            <w:r>
              <w:rPr/>
              <w:t> </w:t>
            </w:r>
          </w:p>
        </w:tc>
        <w:tc>
          <w:tcPr>
            <w:tcW w:w="4009" w:type="dxa"/>
            <w:gridSpan w:val="2"/>
            <w:tcBorders/>
            <w:tcMar>
              <w:top w:w="0" w:type="dxa"/>
              <w:left w:w="0" w:type="dxa"/>
              <w:bottom w:w="0" w:type="dxa"/>
              <w:right w:w="0" w:type="dxa"/>
            </w:tcMar>
            <w:vAlign w:val="center"/>
          </w:tcPr>
          <w:p>
            <w:pPr>
              <w:pStyle w:val="TableContents"/>
              <w:bidi w:val="0"/>
              <w:spacing w:before="0" w:after="283"/>
              <w:ind w:left="0" w:right="0" w:firstLine="1099"/>
              <w:jc w:val="left"/>
              <w:rPr>
                <w:rFonts w:ascii="Times New Roman" w:hAnsi="Times New Roman"/>
                <w:color w:val="000000"/>
                <w:sz w:val="22"/>
              </w:rPr>
            </w:pPr>
            <w:r>
              <w:rPr>
                <w:rFonts w:ascii="Times New Roman" w:hAnsi="Times New Roman"/>
                <w:color w:val="000000"/>
                <w:sz w:val="22"/>
              </w:rPr>
              <w:t>Title: Chief Executive Officer</w:t>
            </w:r>
          </w:p>
        </w:tc>
      </w:tr>
    </w:tbl>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616</Words>
  <Characters>3494</Characters>
  <CharactersWithSpaces>4075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